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color w:val="000000"/>
          <w:sz w:val="36"/>
          <w:szCs w:val="36"/>
        </w:rPr>
      </w:pPr>
      <w:bookmarkStart w:id="0" w:name="_Hlk116553518"/>
      <w:bookmarkStart w:id="37" w:name="_GoBack"/>
      <w:bookmarkEnd w:id="37"/>
    </w:p>
    <w:p>
      <w:pPr>
        <w:spacing w:line="360" w:lineRule="auto"/>
        <w:jc w:val="center"/>
        <w:rPr>
          <w:color w:val="000000"/>
          <w:sz w:val="36"/>
          <w:szCs w:val="36"/>
        </w:rPr>
      </w:pPr>
    </w:p>
    <w:p>
      <w:pPr>
        <w:spacing w:line="360" w:lineRule="auto"/>
        <w:jc w:val="center"/>
        <w:rPr>
          <w:color w:val="000000"/>
          <w:sz w:val="36"/>
          <w:szCs w:val="36"/>
        </w:rPr>
      </w:pPr>
    </w:p>
    <w:p>
      <w:pPr>
        <w:adjustRightInd w:val="0"/>
        <w:snapToGrid w:val="0"/>
        <w:jc w:val="center"/>
        <w:outlineLvl w:val="0"/>
        <w:rPr>
          <w:bCs/>
          <w:color w:val="000000"/>
          <w:sz w:val="72"/>
          <w:szCs w:val="72"/>
        </w:rPr>
      </w:pPr>
      <w:bookmarkStart w:id="1" w:name="_Toc66862666"/>
      <w:bookmarkStart w:id="2" w:name="_Toc66883115"/>
      <w:bookmarkStart w:id="3" w:name="_Toc66801944"/>
      <w:bookmarkStart w:id="4" w:name="_Toc27685"/>
      <w:bookmarkStart w:id="5" w:name="_Toc112774073"/>
      <w:bookmarkStart w:id="6" w:name="_Toc26826"/>
      <w:r>
        <w:rPr>
          <w:bCs/>
          <w:color w:val="000000"/>
          <w:sz w:val="72"/>
          <w:szCs w:val="72"/>
        </w:rPr>
        <w:t>建设项目环境影响报告表</w:t>
      </w:r>
      <w:bookmarkEnd w:id="1"/>
      <w:bookmarkEnd w:id="2"/>
      <w:bookmarkEnd w:id="3"/>
      <w:bookmarkEnd w:id="4"/>
      <w:bookmarkEnd w:id="5"/>
      <w:bookmarkEnd w:id="6"/>
    </w:p>
    <w:p>
      <w:pPr>
        <w:adjustRightInd w:val="0"/>
        <w:snapToGrid w:val="0"/>
        <w:spacing w:before="192" w:beforeLines="80"/>
        <w:jc w:val="center"/>
        <w:rPr>
          <w:color w:val="000000"/>
          <w:sz w:val="52"/>
          <w:szCs w:val="52"/>
        </w:rPr>
      </w:pPr>
      <w:r>
        <w:rPr>
          <w:bCs/>
          <w:color w:val="000000"/>
          <w:sz w:val="48"/>
          <w:szCs w:val="48"/>
        </w:rPr>
        <w:t>（污染影响类）</w:t>
      </w:r>
    </w:p>
    <w:p>
      <w:pPr>
        <w:adjustRightInd w:val="0"/>
        <w:snapToGrid w:val="0"/>
        <w:spacing w:line="288" w:lineRule="auto"/>
        <w:jc w:val="center"/>
        <w:rPr>
          <w:color w:val="000000"/>
          <w:kern w:val="44"/>
          <w:sz w:val="44"/>
          <w:szCs w:val="44"/>
        </w:rPr>
      </w:pPr>
      <w:r>
        <w:rPr>
          <w:rFonts w:hint="eastAsia"/>
          <w:color w:val="000000"/>
          <w:kern w:val="44"/>
          <w:sz w:val="44"/>
          <w:szCs w:val="44"/>
        </w:rPr>
        <w:t>送审稿</w:t>
      </w: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360" w:lineRule="auto"/>
        <w:ind w:left="2010" w:leftChars="100" w:hanging="1800" w:hangingChars="500"/>
        <w:rPr>
          <w:color w:val="000000"/>
          <w:sz w:val="36"/>
          <w:szCs w:val="36"/>
          <w:u w:val="single"/>
        </w:rPr>
      </w:pPr>
      <w:r>
        <w:rPr>
          <w:color w:val="000000"/>
          <w:sz w:val="36"/>
          <w:szCs w:val="36"/>
        </w:rPr>
        <w:t>项目名称：</w:t>
      </w:r>
      <w:r>
        <w:rPr>
          <w:rFonts w:hint="eastAsia"/>
          <w:color w:val="000000"/>
          <w:sz w:val="36"/>
          <w:szCs w:val="36"/>
          <w:u w:val="single"/>
        </w:rPr>
        <w:t>中铁十八局集团第二工程有限公司云南省</w:t>
      </w:r>
      <w:r>
        <w:rPr>
          <w:color w:val="000000"/>
          <w:sz w:val="36"/>
          <w:szCs w:val="36"/>
          <w:u w:val="single"/>
        </w:rPr>
        <w:t>东川港一期建设</w:t>
      </w:r>
      <w:r>
        <w:rPr>
          <w:rFonts w:hint="eastAsia"/>
          <w:color w:val="000000"/>
          <w:sz w:val="36"/>
          <w:szCs w:val="36"/>
          <w:u w:val="single"/>
        </w:rPr>
        <w:t xml:space="preserve">自用混凝土搅拌站项目 </w:t>
      </w:r>
      <w:r>
        <w:rPr>
          <w:color w:val="000000"/>
          <w:sz w:val="36"/>
          <w:szCs w:val="36"/>
          <w:u w:val="single"/>
        </w:rPr>
        <w:t xml:space="preserve">   </w:t>
      </w:r>
      <w:r>
        <w:rPr>
          <w:rFonts w:hint="eastAsia"/>
          <w:color w:val="000000"/>
          <w:sz w:val="36"/>
          <w:szCs w:val="36"/>
          <w:u w:val="single"/>
        </w:rPr>
        <w:t xml:space="preserve">                </w:t>
      </w:r>
      <w:r>
        <w:rPr>
          <w:color w:val="000000"/>
          <w:sz w:val="36"/>
          <w:szCs w:val="36"/>
          <w:u w:val="single"/>
        </w:rPr>
        <w:t xml:space="preserve">           </w:t>
      </w:r>
      <w:r>
        <w:rPr>
          <w:rFonts w:hint="eastAsia"/>
          <w:color w:val="000000"/>
          <w:sz w:val="36"/>
          <w:szCs w:val="36"/>
          <w:u w:val="single"/>
        </w:rPr>
        <w:t xml:space="preserve"> </w:t>
      </w:r>
    </w:p>
    <w:p>
      <w:pPr>
        <w:adjustRightInd w:val="0"/>
        <w:snapToGrid w:val="0"/>
        <w:spacing w:line="360" w:lineRule="auto"/>
        <w:ind w:left="3090" w:leftChars="100" w:hanging="2880" w:hangingChars="800"/>
        <w:rPr>
          <w:color w:val="000000"/>
          <w:sz w:val="36"/>
          <w:szCs w:val="36"/>
          <w:u w:val="single"/>
        </w:rPr>
      </w:pPr>
      <w:r>
        <w:rPr>
          <w:color w:val="000000"/>
          <w:sz w:val="36"/>
          <w:szCs w:val="36"/>
        </w:rPr>
        <w:t>建设单位（盖章）：</w:t>
      </w:r>
      <w:r>
        <w:rPr>
          <w:rFonts w:hint="eastAsia"/>
          <w:color w:val="000000"/>
          <w:sz w:val="36"/>
          <w:szCs w:val="36"/>
          <w:u w:val="single"/>
        </w:rPr>
        <w:t xml:space="preserve">中铁十八局集团第二工程有限公司 </w:t>
      </w:r>
      <w:r>
        <w:rPr>
          <w:color w:val="000000"/>
          <w:sz w:val="36"/>
          <w:szCs w:val="36"/>
          <w:u w:val="single"/>
        </w:rPr>
        <w:t xml:space="preserve">                         </w:t>
      </w:r>
    </w:p>
    <w:p>
      <w:pPr>
        <w:adjustRightInd w:val="0"/>
        <w:snapToGrid w:val="0"/>
        <w:spacing w:line="360" w:lineRule="auto"/>
        <w:ind w:firstLine="180" w:firstLineChars="50"/>
        <w:rPr>
          <w:color w:val="000000"/>
          <w:sz w:val="36"/>
          <w:szCs w:val="36"/>
          <w:u w:val="single"/>
        </w:rPr>
      </w:pPr>
      <w:r>
        <w:rPr>
          <w:color w:val="000000"/>
          <w:sz w:val="36"/>
          <w:szCs w:val="36"/>
        </w:rPr>
        <w:t>编制日期：</w:t>
      </w:r>
      <w:r>
        <w:rPr>
          <w:color w:val="000000"/>
          <w:sz w:val="36"/>
          <w:szCs w:val="36"/>
          <w:u w:val="single"/>
        </w:rPr>
        <w:t xml:space="preserve"> 2023</w:t>
      </w:r>
      <w:r>
        <w:rPr>
          <w:rFonts w:hint="eastAsia"/>
          <w:color w:val="000000"/>
          <w:sz w:val="36"/>
          <w:szCs w:val="36"/>
          <w:u w:val="single"/>
        </w:rPr>
        <w:t>年</w:t>
      </w:r>
      <w:r>
        <w:rPr>
          <w:rFonts w:hint="eastAsia"/>
          <w:color w:val="000000"/>
          <w:sz w:val="36"/>
          <w:szCs w:val="36"/>
          <w:u w:val="single"/>
          <w:lang w:val="en-US" w:eastAsia="zh-CN"/>
        </w:rPr>
        <w:t>9</w:t>
      </w:r>
      <w:r>
        <w:rPr>
          <w:rFonts w:hint="eastAsia"/>
          <w:color w:val="000000"/>
          <w:sz w:val="36"/>
          <w:szCs w:val="36"/>
          <w:u w:val="single"/>
        </w:rPr>
        <w:t>月</w:t>
      </w:r>
      <w:r>
        <w:rPr>
          <w:color w:val="000000"/>
          <w:sz w:val="36"/>
          <w:szCs w:val="36"/>
          <w:u w:val="single"/>
        </w:rPr>
        <w:t xml:space="preserve">   </w:t>
      </w:r>
      <w:r>
        <w:rPr>
          <w:rFonts w:hint="eastAsia"/>
          <w:color w:val="000000"/>
          <w:sz w:val="36"/>
          <w:szCs w:val="36"/>
          <w:u w:val="single"/>
        </w:rPr>
        <w:t xml:space="preserve">    </w:t>
      </w:r>
      <w:r>
        <w:rPr>
          <w:color w:val="000000"/>
          <w:sz w:val="36"/>
          <w:szCs w:val="36"/>
          <w:u w:val="single"/>
        </w:rPr>
        <w:t xml:space="preserve"> </w:t>
      </w:r>
      <w:bookmarkStart w:id="7" w:name="_Hlk74754320"/>
      <w:r>
        <w:rPr>
          <w:color w:val="000000"/>
          <w:sz w:val="36"/>
          <w:szCs w:val="36"/>
          <w:u w:val="single"/>
        </w:rPr>
        <w:t xml:space="preserve">             </w:t>
      </w:r>
      <w:bookmarkEnd w:id="7"/>
      <w:r>
        <w:rPr>
          <w:color w:val="000000"/>
          <w:sz w:val="36"/>
          <w:szCs w:val="36"/>
          <w:u w:val="single"/>
        </w:rPr>
        <w:t xml:space="preserve">  </w:t>
      </w:r>
    </w:p>
    <w:p>
      <w:pPr>
        <w:adjustRightInd w:val="0"/>
        <w:snapToGrid w:val="0"/>
        <w:spacing w:line="288" w:lineRule="auto"/>
        <w:jc w:val="center"/>
        <w:rPr>
          <w:color w:val="000000"/>
          <w:kern w:val="44"/>
          <w:sz w:val="44"/>
          <w:szCs w:val="44"/>
        </w:rPr>
      </w:pPr>
      <w:bookmarkStart w:id="8" w:name="_Hlk57884087"/>
    </w:p>
    <w:p>
      <w:pPr>
        <w:adjustRightInd w:val="0"/>
        <w:snapToGrid w:val="0"/>
        <w:spacing w:line="288" w:lineRule="auto"/>
        <w:jc w:val="center"/>
        <w:rPr>
          <w:color w:val="000000"/>
          <w:kern w:val="44"/>
          <w:sz w:val="44"/>
          <w:szCs w:val="44"/>
        </w:rPr>
      </w:pPr>
    </w:p>
    <w:bookmarkEnd w:id="8"/>
    <w:p>
      <w:pPr>
        <w:adjustRightInd w:val="0"/>
        <w:snapToGrid w:val="0"/>
        <w:spacing w:line="288" w:lineRule="auto"/>
        <w:jc w:val="center"/>
        <w:outlineLvl w:val="0"/>
        <w:rPr>
          <w:color w:val="000000"/>
          <w:sz w:val="36"/>
          <w:szCs w:val="36"/>
        </w:rPr>
        <w:sectPr>
          <w:pgSz w:w="11906" w:h="16838"/>
          <w:pgMar w:top="1440" w:right="1800" w:bottom="1440" w:left="1800" w:header="851" w:footer="1077" w:gutter="0"/>
          <w:cols w:space="720" w:num="1"/>
          <w:docGrid w:linePitch="312" w:charSpace="0"/>
        </w:sectPr>
      </w:pPr>
      <w:bookmarkStart w:id="9" w:name="_Toc29984"/>
      <w:bookmarkStart w:id="10" w:name="_Toc6529"/>
      <w:bookmarkStart w:id="11" w:name="_Toc112774074"/>
      <w:r>
        <w:rPr>
          <w:color w:val="000000"/>
          <w:sz w:val="36"/>
          <w:szCs w:val="36"/>
        </w:rPr>
        <w:t>中华人民共和国生态环境部制</w:t>
      </w:r>
      <w:bookmarkEnd w:id="9"/>
      <w:bookmarkEnd w:id="10"/>
      <w:bookmarkEnd w:id="11"/>
    </w:p>
    <w:bookmarkEnd w:id="0"/>
    <w:p>
      <w:pPr>
        <w:adjustRightInd w:val="0"/>
        <w:snapToGrid w:val="0"/>
        <w:spacing w:line="288" w:lineRule="auto"/>
        <w:jc w:val="center"/>
        <w:outlineLvl w:val="0"/>
        <w:rPr>
          <w:b/>
          <w:bCs/>
          <w:color w:val="000000"/>
          <w:sz w:val="28"/>
          <w:szCs w:val="28"/>
        </w:rPr>
      </w:pPr>
      <w:r>
        <w:rPr>
          <w:rFonts w:hint="eastAsia"/>
          <w:b/>
          <w:bCs/>
          <w:color w:val="000000"/>
          <w:sz w:val="28"/>
          <w:szCs w:val="28"/>
        </w:rPr>
        <w:t>现场照片</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90165" cy="202882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1406" cy="2029322"/>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8"/>
                <w:szCs w:val="28"/>
              </w:rPr>
            </w:pPr>
            <w:r>
              <w:rPr>
                <w:b/>
                <w:bCs/>
                <w:color w:val="000000"/>
                <w:sz w:val="28"/>
                <w:szCs w:val="28"/>
              </w:rPr>
              <w:drawing>
                <wp:inline distT="0" distB="0" distL="0" distR="0">
                  <wp:extent cx="2603500" cy="191452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9232" cy="192582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项目进出口及磅房</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搅拌楼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04440" cy="2047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737" cy="2056295"/>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55240" cy="2000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977" cy="200708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项目住宿及办公区</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原料仓库及喷淋系统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606675" cy="203835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551" cy="2045979"/>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42540" cy="2038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4133" cy="20476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项目三级沉淀</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项目封闭式垃圾箱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605405" cy="203835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208" cy="2046802"/>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581275" cy="201993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9842" cy="202663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项目炮雾机</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592705" cy="20288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2584" cy="2036555"/>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587625" cy="2015490"/>
                  <wp:effectExtent l="0" t="0" r="317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007" cy="203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项目厕所</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项目生活区雨水排水沟</w:t>
            </w:r>
          </w:p>
        </w:tc>
      </w:tr>
    </w:tbl>
    <w:p>
      <w:pPr>
        <w:rPr>
          <w:color w:val="000000"/>
          <w:sz w:val="36"/>
          <w:szCs w:val="36"/>
        </w:rPr>
      </w:pPr>
      <w:r>
        <w:rPr>
          <w:rFonts w:hint="eastAsia"/>
          <w:color w:val="000000"/>
          <w:sz w:val="36"/>
          <w:szCs w:val="36"/>
        </w:rPr>
        <w:br w:type="page"/>
      </w:r>
    </w:p>
    <w:sdt>
      <w:sdtPr>
        <w:rPr>
          <w:rFonts w:ascii="宋体" w:hAnsi="宋体"/>
        </w:rPr>
        <w:id w:val="147469698"/>
        <w15:color w:val="DBDBDB"/>
        <w:docPartObj>
          <w:docPartGallery w:val="Table of Contents"/>
          <w:docPartUnique/>
        </w:docPartObj>
      </w:sdtPr>
      <w:sdtEndPr>
        <w:rPr>
          <w:rFonts w:ascii="Times New Roman" w:hAnsi="Times New Roman"/>
        </w:rPr>
      </w:sdtEndPr>
      <w:sdtContent>
        <w:p>
          <w:pPr>
            <w:jc w:val="center"/>
          </w:pPr>
          <w:r>
            <w:rPr>
              <w:sz w:val="32"/>
              <w:szCs w:val="32"/>
            </w:rPr>
            <w:t>目录</w:t>
          </w:r>
        </w:p>
        <w:p>
          <w:pPr>
            <w:pStyle w:val="114"/>
            <w:tabs>
              <w:tab w:val="right" w:leader="dot" w:pos="8306"/>
            </w:tabs>
            <w:spacing w:line="360" w:lineRule="auto"/>
            <w:rPr>
              <w:rFonts w:ascii="Times New Roman" w:hAnsi="Times New Roman" w:cs="Times New Roman"/>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TOC \o "1-1" \h \u </w:instrText>
          </w:r>
          <w:r>
            <w:rPr>
              <w:rFonts w:ascii="Times New Roman" w:hAnsi="Times New Roman" w:cs="Times New Roman"/>
              <w:b/>
              <w:sz w:val="24"/>
              <w:szCs w:val="24"/>
            </w:rPr>
            <w:fldChar w:fldCharType="separate"/>
          </w:r>
          <w:r>
            <w:fldChar w:fldCharType="begin"/>
          </w:r>
          <w:r>
            <w:instrText xml:space="preserve"> HYPERLINK \l "_Toc2459" </w:instrText>
          </w:r>
          <w:r>
            <w:fldChar w:fldCharType="separate"/>
          </w:r>
          <w:r>
            <w:rPr>
              <w:rFonts w:ascii="Times New Roman" w:hAnsi="Times New Roman" w:cs="Times New Roman"/>
              <w:bCs/>
              <w:sz w:val="24"/>
              <w:szCs w:val="24"/>
            </w:rPr>
            <w:t>一、建设项目基本情况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_Toc2459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4"/>
            <w:tabs>
              <w:tab w:val="right" w:leader="dot" w:pos="8306"/>
            </w:tabs>
            <w:spacing w:line="360" w:lineRule="auto"/>
            <w:rPr>
              <w:rFonts w:ascii="Times New Roman" w:hAnsi="Times New Roman" w:cs="Times New Roman"/>
              <w:sz w:val="24"/>
              <w:szCs w:val="24"/>
            </w:rPr>
          </w:pPr>
          <w:r>
            <w:fldChar w:fldCharType="begin"/>
          </w:r>
          <w:r>
            <w:instrText xml:space="preserve"> HYPERLINK \l "_Toc31856" </w:instrText>
          </w:r>
          <w:r>
            <w:fldChar w:fldCharType="separate"/>
          </w:r>
          <w:r>
            <w:rPr>
              <w:rFonts w:ascii="Times New Roman" w:hAnsi="Times New Roman" w:cs="Times New Roman"/>
              <w:bCs/>
              <w:sz w:val="24"/>
              <w:szCs w:val="24"/>
            </w:rPr>
            <w:t>二、建设项目工程分析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_Toc31856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4"/>
            <w:tabs>
              <w:tab w:val="right" w:leader="dot" w:pos="8306"/>
            </w:tabs>
            <w:spacing w:line="360" w:lineRule="auto"/>
            <w:rPr>
              <w:rFonts w:ascii="Times New Roman" w:hAnsi="Times New Roman" w:cs="Times New Roman"/>
              <w:sz w:val="24"/>
              <w:szCs w:val="24"/>
            </w:rPr>
          </w:pPr>
          <w:r>
            <w:fldChar w:fldCharType="begin"/>
          </w:r>
          <w:r>
            <w:instrText xml:space="preserve"> HYPERLINK \l "_Toc11914" </w:instrText>
          </w:r>
          <w:r>
            <w:fldChar w:fldCharType="separate"/>
          </w:r>
          <w:r>
            <w:rPr>
              <w:rFonts w:ascii="Times New Roman" w:hAnsi="Times New Roman" w:cs="Times New Roman"/>
              <w:bCs/>
              <w:sz w:val="24"/>
              <w:szCs w:val="24"/>
            </w:rPr>
            <w:t>三、区域环境质量现状、环境保护目标及评价标准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_Toc11914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4"/>
            <w:tabs>
              <w:tab w:val="right" w:leader="dot" w:pos="8306"/>
            </w:tabs>
            <w:spacing w:line="360" w:lineRule="auto"/>
            <w:rPr>
              <w:rFonts w:ascii="Times New Roman" w:hAnsi="Times New Roman" w:cs="Times New Roman"/>
              <w:sz w:val="24"/>
              <w:szCs w:val="24"/>
            </w:rPr>
          </w:pPr>
          <w:r>
            <w:fldChar w:fldCharType="begin"/>
          </w:r>
          <w:r>
            <w:instrText xml:space="preserve"> HYPERLINK \l "_Toc24671" </w:instrText>
          </w:r>
          <w:r>
            <w:fldChar w:fldCharType="separate"/>
          </w:r>
          <w:r>
            <w:rPr>
              <w:rFonts w:ascii="Times New Roman" w:hAnsi="Times New Roman" w:cs="Times New Roman"/>
              <w:bCs/>
              <w:sz w:val="24"/>
              <w:szCs w:val="24"/>
            </w:rPr>
            <w:t>四、主要环境影响和保护措施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_Toc24671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4"/>
            <w:tabs>
              <w:tab w:val="right" w:leader="dot" w:pos="8306"/>
            </w:tabs>
            <w:spacing w:line="360" w:lineRule="auto"/>
            <w:rPr>
              <w:rFonts w:ascii="Times New Roman" w:hAnsi="Times New Roman" w:cs="Times New Roman"/>
              <w:sz w:val="24"/>
              <w:szCs w:val="24"/>
            </w:rPr>
          </w:pPr>
          <w:r>
            <w:fldChar w:fldCharType="begin"/>
          </w:r>
          <w:r>
            <w:instrText xml:space="preserve"> HYPERLINK \l "_Toc31394" </w:instrText>
          </w:r>
          <w:r>
            <w:fldChar w:fldCharType="separate"/>
          </w:r>
          <w:r>
            <w:rPr>
              <w:rFonts w:ascii="Times New Roman" w:hAnsi="Times New Roman" w:cs="Times New Roman"/>
              <w:bCs/>
              <w:sz w:val="24"/>
              <w:szCs w:val="24"/>
            </w:rPr>
            <w:t>五、环境保护措施监督检查清单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_Toc31394 \h </w:instrText>
          </w:r>
          <w:r>
            <w:rPr>
              <w:rFonts w:ascii="Times New Roman" w:hAnsi="Times New Roman" w:cs="Times New Roman"/>
              <w:sz w:val="24"/>
              <w:szCs w:val="24"/>
            </w:rPr>
            <w:fldChar w:fldCharType="separate"/>
          </w:r>
          <w:r>
            <w:rPr>
              <w:rFonts w:ascii="Times New Roman" w:hAnsi="Times New Roman" w:cs="Times New Roman"/>
              <w:sz w:val="24"/>
              <w:szCs w:val="24"/>
            </w:rPr>
            <w:t>54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4"/>
            <w:tabs>
              <w:tab w:val="right" w:leader="dot" w:pos="8306"/>
            </w:tabs>
            <w:spacing w:line="360" w:lineRule="auto"/>
            <w:rPr>
              <w:rFonts w:ascii="Times New Roman" w:hAnsi="Times New Roman" w:cs="Times New Roman"/>
              <w:sz w:val="24"/>
              <w:szCs w:val="24"/>
            </w:rPr>
          </w:pPr>
          <w:r>
            <w:fldChar w:fldCharType="begin"/>
          </w:r>
          <w:r>
            <w:instrText xml:space="preserve"> HYPERLINK \l "_Toc17409" </w:instrText>
          </w:r>
          <w:r>
            <w:fldChar w:fldCharType="separate"/>
          </w:r>
          <w:r>
            <w:rPr>
              <w:rFonts w:ascii="Times New Roman" w:hAnsi="Times New Roman" w:cs="Times New Roman"/>
              <w:bCs/>
              <w:sz w:val="24"/>
              <w:szCs w:val="24"/>
            </w:rPr>
            <w:t>六、结论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_Toc17409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line="360" w:lineRule="auto"/>
            <w:jc w:val="center"/>
            <w:rPr>
              <w:b/>
              <w:sz w:val="24"/>
            </w:rPr>
          </w:pPr>
          <w:r>
            <w:rPr>
              <w:rFonts w:eastAsiaTheme="minorEastAsia"/>
              <w:sz w:val="24"/>
            </w:rPr>
            <w:fldChar w:fldCharType="end"/>
          </w:r>
        </w:p>
      </w:sdtContent>
    </w:sdt>
    <w:p>
      <w:pPr>
        <w:spacing w:line="500" w:lineRule="exact"/>
        <w:jc w:val="left"/>
        <w:outlineLvl w:val="0"/>
        <w:rPr>
          <w:b/>
          <w:sz w:val="24"/>
        </w:rPr>
      </w:pPr>
      <w:bookmarkStart w:id="12" w:name="_Toc23477"/>
      <w:r>
        <w:rPr>
          <w:b/>
          <w:sz w:val="24"/>
        </w:rPr>
        <w:t>附件</w:t>
      </w:r>
      <w:bookmarkEnd w:id="12"/>
    </w:p>
    <w:p>
      <w:pPr>
        <w:jc w:val="left"/>
        <w:outlineLvl w:val="0"/>
        <w:rPr>
          <w:sz w:val="24"/>
        </w:rPr>
      </w:pPr>
      <w:bookmarkStart w:id="13" w:name="_Toc12030"/>
      <w:r>
        <w:rPr>
          <w:sz w:val="24"/>
        </w:rPr>
        <w:t>附件1  委托书</w:t>
      </w:r>
      <w:bookmarkEnd w:id="13"/>
    </w:p>
    <w:p>
      <w:pPr>
        <w:jc w:val="left"/>
        <w:outlineLvl w:val="0"/>
        <w:rPr>
          <w:sz w:val="24"/>
        </w:rPr>
      </w:pPr>
      <w:bookmarkStart w:id="14" w:name="_Toc25254"/>
      <w:r>
        <w:rPr>
          <w:sz w:val="24"/>
        </w:rPr>
        <w:t>附件2  营业执照</w:t>
      </w:r>
      <w:bookmarkEnd w:id="14"/>
    </w:p>
    <w:p>
      <w:pPr>
        <w:jc w:val="left"/>
        <w:outlineLvl w:val="0"/>
        <w:rPr>
          <w:sz w:val="24"/>
        </w:rPr>
      </w:pPr>
      <w:bookmarkStart w:id="15" w:name="_Toc3483"/>
      <w:r>
        <w:rPr>
          <w:sz w:val="24"/>
        </w:rPr>
        <w:t xml:space="preserve">附件3  </w:t>
      </w:r>
      <w:bookmarkEnd w:id="15"/>
      <w:r>
        <w:rPr>
          <w:rFonts w:hint="eastAsia"/>
          <w:sz w:val="24"/>
        </w:rPr>
        <w:t>投资备案证</w:t>
      </w:r>
    </w:p>
    <w:p>
      <w:pPr>
        <w:jc w:val="left"/>
        <w:rPr>
          <w:sz w:val="24"/>
        </w:rPr>
      </w:pPr>
      <w:r>
        <w:rPr>
          <w:rFonts w:hint="eastAsia"/>
          <w:sz w:val="24"/>
        </w:rPr>
        <w:t>附件</w:t>
      </w:r>
      <w:r>
        <w:rPr>
          <w:rFonts w:hint="eastAsia"/>
          <w:sz w:val="24"/>
          <w:lang w:val="en-US" w:eastAsia="zh-CN"/>
        </w:rPr>
        <w:t>4</w:t>
      </w:r>
      <w:r>
        <w:rPr>
          <w:sz w:val="24"/>
        </w:rPr>
        <w:t xml:space="preserve">  </w:t>
      </w:r>
      <w:r>
        <w:rPr>
          <w:rFonts w:hint="eastAsia"/>
          <w:sz w:val="24"/>
        </w:rPr>
        <w:t>委托编制合同</w:t>
      </w:r>
    </w:p>
    <w:p>
      <w:pPr>
        <w:jc w:val="left"/>
        <w:outlineLvl w:val="0"/>
        <w:rPr>
          <w:rFonts w:hint="eastAsia"/>
          <w:sz w:val="24"/>
        </w:rPr>
      </w:pPr>
      <w:r>
        <w:rPr>
          <w:rFonts w:hint="eastAsia"/>
          <w:sz w:val="24"/>
        </w:rPr>
        <w:t>附件5  项目临时用地合同</w:t>
      </w:r>
    </w:p>
    <w:p>
      <w:pPr>
        <w:jc w:val="left"/>
        <w:outlineLvl w:val="0"/>
        <w:rPr>
          <w:rFonts w:hint="eastAsia"/>
          <w:sz w:val="24"/>
          <w:lang w:val="en-US" w:eastAsia="zh-CN"/>
        </w:rPr>
      </w:pPr>
      <w:r>
        <w:rPr>
          <w:rFonts w:hint="eastAsia"/>
          <w:sz w:val="24"/>
          <w:lang w:val="en-US" w:eastAsia="zh-CN"/>
        </w:rPr>
        <w:t>附件6  “三区三线”的情况说明</w:t>
      </w:r>
    </w:p>
    <w:p>
      <w:pPr>
        <w:jc w:val="left"/>
        <w:rPr>
          <w:rFonts w:hint="default"/>
          <w:sz w:val="24"/>
          <w:lang w:val="en-US" w:eastAsia="zh-CN"/>
        </w:rPr>
      </w:pPr>
      <w:r>
        <w:rPr>
          <w:rFonts w:hint="eastAsia"/>
          <w:sz w:val="24"/>
        </w:rPr>
        <w:t>附件</w:t>
      </w:r>
      <w:r>
        <w:rPr>
          <w:rFonts w:hint="eastAsia"/>
          <w:sz w:val="24"/>
          <w:lang w:val="en-US" w:eastAsia="zh-CN"/>
        </w:rPr>
        <w:t>7</w:t>
      </w:r>
      <w:r>
        <w:rPr>
          <w:sz w:val="24"/>
        </w:rPr>
        <w:t xml:space="preserve">  </w:t>
      </w:r>
      <w:r>
        <w:rPr>
          <w:rFonts w:hint="eastAsia"/>
          <w:sz w:val="24"/>
        </w:rPr>
        <w:t>昆明市生态环境局责令改正违法行为决定书</w:t>
      </w:r>
    </w:p>
    <w:p>
      <w:pPr>
        <w:jc w:val="left"/>
        <w:rPr>
          <w:sz w:val="24"/>
        </w:rPr>
      </w:pPr>
      <w:r>
        <w:rPr>
          <w:rFonts w:hint="eastAsia"/>
          <w:sz w:val="24"/>
        </w:rPr>
        <w:t>附件</w:t>
      </w:r>
      <w:r>
        <w:rPr>
          <w:rFonts w:hint="eastAsia"/>
          <w:sz w:val="24"/>
          <w:lang w:val="en-US" w:eastAsia="zh-CN"/>
        </w:rPr>
        <w:t>8</w:t>
      </w:r>
      <w:r>
        <w:rPr>
          <w:rFonts w:hint="eastAsia"/>
          <w:sz w:val="24"/>
        </w:rPr>
        <w:t xml:space="preserve">  生活污水接纳协议</w:t>
      </w:r>
    </w:p>
    <w:p>
      <w:pPr>
        <w:jc w:val="left"/>
        <w:rPr>
          <w:sz w:val="24"/>
        </w:rPr>
      </w:pPr>
      <w:bookmarkStart w:id="16" w:name="_Toc4002"/>
      <w:r>
        <w:rPr>
          <w:sz w:val="24"/>
        </w:rPr>
        <w:t>附件</w:t>
      </w:r>
      <w:r>
        <w:rPr>
          <w:rFonts w:hint="eastAsia"/>
          <w:sz w:val="24"/>
          <w:lang w:val="en-US" w:eastAsia="zh-CN"/>
        </w:rPr>
        <w:t>9</w:t>
      </w:r>
      <w:r>
        <w:rPr>
          <w:sz w:val="24"/>
        </w:rPr>
        <w:t xml:space="preserve">  </w:t>
      </w:r>
      <w:r>
        <w:rPr>
          <w:rFonts w:hint="eastAsia"/>
          <w:sz w:val="24"/>
        </w:rPr>
        <w:t>声环境质量现状</w:t>
      </w:r>
      <w:r>
        <w:rPr>
          <w:sz w:val="24"/>
        </w:rPr>
        <w:t>监测报告</w:t>
      </w:r>
      <w:bookmarkEnd w:id="16"/>
    </w:p>
    <w:p>
      <w:pPr>
        <w:jc w:val="left"/>
        <w:rPr>
          <w:rFonts w:hint="default"/>
          <w:sz w:val="24"/>
          <w:lang w:val="en-US" w:eastAsia="zh-CN"/>
        </w:rPr>
      </w:pPr>
      <w:r>
        <w:rPr>
          <w:rFonts w:hint="eastAsia"/>
          <w:sz w:val="24"/>
          <w:lang w:val="en-US" w:eastAsia="zh-CN"/>
        </w:rPr>
        <w:t>附件10  项目大气环境质量现状及污染源监测</w:t>
      </w:r>
    </w:p>
    <w:p>
      <w:pPr>
        <w:jc w:val="left"/>
        <w:rPr>
          <w:rFonts w:hint="default"/>
          <w:sz w:val="24"/>
          <w:lang w:val="en-US" w:eastAsia="zh-CN"/>
        </w:rPr>
      </w:pPr>
      <w:r>
        <w:rPr>
          <w:rFonts w:hint="eastAsia"/>
          <w:sz w:val="24"/>
          <w:lang w:val="en-US" w:eastAsia="zh-CN"/>
        </w:rPr>
        <w:t>附件11  第一次评估意见</w:t>
      </w:r>
    </w:p>
    <w:p>
      <w:pPr>
        <w:spacing w:line="500" w:lineRule="exact"/>
        <w:jc w:val="left"/>
        <w:rPr>
          <w:b/>
          <w:sz w:val="24"/>
        </w:rPr>
      </w:pPr>
      <w:r>
        <w:rPr>
          <w:b/>
          <w:sz w:val="24"/>
        </w:rPr>
        <w:t>附图</w:t>
      </w:r>
    </w:p>
    <w:p>
      <w:pPr>
        <w:jc w:val="left"/>
        <w:outlineLvl w:val="0"/>
        <w:rPr>
          <w:color w:val="000000" w:themeColor="text1"/>
          <w:sz w:val="24"/>
          <w14:textFill>
            <w14:solidFill>
              <w14:schemeClr w14:val="tx1"/>
            </w14:solidFill>
          </w14:textFill>
        </w:rPr>
      </w:pPr>
      <w:bookmarkStart w:id="17" w:name="_Toc17095"/>
      <w:r>
        <w:rPr>
          <w:color w:val="000000" w:themeColor="text1"/>
          <w:sz w:val="24"/>
          <w14:textFill>
            <w14:solidFill>
              <w14:schemeClr w14:val="tx1"/>
            </w14:solidFill>
          </w14:textFill>
        </w:rPr>
        <w:t>附图1  项目地理位置图</w:t>
      </w:r>
      <w:bookmarkEnd w:id="17"/>
    </w:p>
    <w:p>
      <w:pPr>
        <w:jc w:val="left"/>
        <w:outlineLvl w:val="0"/>
        <w:rPr>
          <w:color w:val="000000" w:themeColor="text1"/>
          <w:sz w:val="24"/>
          <w14:textFill>
            <w14:solidFill>
              <w14:schemeClr w14:val="tx1"/>
            </w14:solidFill>
          </w14:textFill>
        </w:rPr>
      </w:pPr>
      <w:bookmarkStart w:id="18" w:name="_Toc30685"/>
      <w:r>
        <w:rPr>
          <w:color w:val="000000" w:themeColor="text1"/>
          <w:sz w:val="24"/>
          <w14:textFill>
            <w14:solidFill>
              <w14:schemeClr w14:val="tx1"/>
            </w14:solidFill>
          </w14:textFill>
        </w:rPr>
        <w:t>附图2  项目区水系图</w:t>
      </w:r>
      <w:bookmarkEnd w:id="18"/>
    </w:p>
    <w:p>
      <w:pPr>
        <w:jc w:val="left"/>
        <w:outlineLvl w:val="0"/>
        <w:rPr>
          <w:color w:val="000000" w:themeColor="text1"/>
          <w:sz w:val="24"/>
          <w14:textFill>
            <w14:solidFill>
              <w14:schemeClr w14:val="tx1"/>
            </w14:solidFill>
          </w14:textFill>
        </w:rPr>
      </w:pPr>
      <w:bookmarkStart w:id="19" w:name="_Toc15995"/>
      <w:r>
        <w:rPr>
          <w:color w:val="000000" w:themeColor="text1"/>
          <w:sz w:val="24"/>
          <w14:textFill>
            <w14:solidFill>
              <w14:schemeClr w14:val="tx1"/>
            </w14:solidFill>
          </w14:textFill>
        </w:rPr>
        <w:t>附图3  项目总平面布置图</w:t>
      </w:r>
      <w:bookmarkEnd w:id="19"/>
    </w:p>
    <w:p>
      <w:pPr>
        <w:jc w:val="left"/>
        <w:outlineLvl w:val="0"/>
        <w:rPr>
          <w:color w:val="000000" w:themeColor="text1"/>
          <w:sz w:val="24"/>
          <w14:textFill>
            <w14:solidFill>
              <w14:schemeClr w14:val="tx1"/>
            </w14:solidFill>
          </w14:textFill>
        </w:rPr>
      </w:pPr>
      <w:bookmarkStart w:id="20" w:name="_Toc1203"/>
      <w:r>
        <w:rPr>
          <w:color w:val="000000" w:themeColor="text1"/>
          <w:sz w:val="24"/>
          <w14:textFill>
            <w14:solidFill>
              <w14:schemeClr w14:val="tx1"/>
            </w14:solidFill>
          </w14:textFill>
        </w:rPr>
        <w:t xml:space="preserve">附图4  </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周边关系图</w:t>
      </w:r>
      <w:bookmarkEnd w:id="20"/>
    </w:p>
    <w:p>
      <w:pPr>
        <w:jc w:val="left"/>
        <w:outlineLvl w:val="0"/>
        <w:rPr>
          <w:color w:val="000000" w:themeColor="text1"/>
          <w:sz w:val="24"/>
          <w14:textFill>
            <w14:solidFill>
              <w14:schemeClr w14:val="tx1"/>
            </w14:solidFill>
          </w14:textFill>
        </w:rPr>
      </w:pPr>
      <w:bookmarkStart w:id="21" w:name="_Toc16579"/>
      <w:r>
        <w:rPr>
          <w:color w:val="000000" w:themeColor="text1"/>
          <w:sz w:val="24"/>
          <w14:textFill>
            <w14:solidFill>
              <w14:schemeClr w14:val="tx1"/>
            </w14:solidFill>
          </w14:textFill>
        </w:rPr>
        <w:t>附图5  监测点位示意图</w:t>
      </w:r>
      <w:bookmarkEnd w:id="21"/>
    </w:p>
    <w:p>
      <w:pPr>
        <w:jc w:val="left"/>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网上公示截图</w:t>
      </w:r>
    </w:p>
    <w:p/>
    <w:p>
      <w:pPr>
        <w:sectPr>
          <w:footerReference r:id="rId3" w:type="default"/>
          <w:pgSz w:w="11906" w:h="16838"/>
          <w:pgMar w:top="1440" w:right="1800" w:bottom="1440" w:left="1800" w:header="851" w:footer="992" w:gutter="0"/>
          <w:pgNumType w:start="1"/>
          <w:cols w:space="425" w:num="1"/>
          <w:docGrid w:type="lines" w:linePitch="312" w:charSpace="0"/>
        </w:sectPr>
      </w:pPr>
    </w:p>
    <w:p>
      <w:pPr>
        <w:numPr>
          <w:ilvl w:val="0"/>
          <w:numId w:val="16"/>
        </w:numPr>
        <w:jc w:val="center"/>
        <w:outlineLvl w:val="0"/>
        <w:rPr>
          <w:b/>
          <w:bCs/>
          <w:sz w:val="30"/>
          <w:szCs w:val="30"/>
        </w:rPr>
      </w:pPr>
      <w:bookmarkStart w:id="22" w:name="_Toc112774075"/>
      <w:bookmarkStart w:id="23" w:name="_Toc2459"/>
      <w:r>
        <w:rPr>
          <w:rFonts w:hint="eastAsia"/>
          <w:b/>
          <w:bCs/>
          <w:sz w:val="30"/>
          <w:szCs w:val="30"/>
        </w:rPr>
        <w:t>建设项目基本情况</w:t>
      </w:r>
      <w:bookmarkEnd w:id="22"/>
      <w:bookmarkEnd w:id="23"/>
    </w:p>
    <w:tbl>
      <w:tblPr>
        <w:tblStyle w:val="8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18"/>
        <w:gridCol w:w="668"/>
        <w:gridCol w:w="2450"/>
        <w:gridCol w:w="1110"/>
        <w:gridCol w:w="34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建设项目名称</w:t>
            </w:r>
          </w:p>
        </w:tc>
        <w:tc>
          <w:tcPr>
            <w:tcW w:w="4227" w:type="pct"/>
            <w:gridSpan w:val="3"/>
            <w:vAlign w:val="center"/>
          </w:tcPr>
          <w:p>
            <w:pPr>
              <w:adjustRightInd w:val="0"/>
              <w:snapToGrid w:val="0"/>
              <w:jc w:val="center"/>
              <w:rPr>
                <w:color w:val="000000"/>
                <w:sz w:val="24"/>
                <w:szCs w:val="21"/>
              </w:rPr>
            </w:pPr>
            <w:r>
              <w:rPr>
                <w:rFonts w:hint="eastAsia"/>
                <w:color w:val="000000"/>
                <w:sz w:val="24"/>
                <w:szCs w:val="21"/>
              </w:rPr>
              <w:t>中铁十八局集团第二工程有限公司云南省东川港一期建设自用混凝土搅拌站项目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项目代码</w:t>
            </w:r>
          </w:p>
        </w:tc>
        <w:tc>
          <w:tcPr>
            <w:tcW w:w="4227" w:type="pct"/>
            <w:gridSpan w:val="3"/>
            <w:vAlign w:val="center"/>
          </w:tcPr>
          <w:p>
            <w:pPr>
              <w:adjustRightInd w:val="0"/>
              <w:snapToGrid w:val="0"/>
              <w:jc w:val="center"/>
              <w:rPr>
                <w:rFonts w:hint="eastAsia" w:eastAsia="宋体"/>
                <w:color w:val="000000"/>
                <w:sz w:val="24"/>
                <w:szCs w:val="21"/>
                <w:lang w:eastAsia="zh-CN"/>
              </w:rPr>
            </w:pPr>
            <w:r>
              <w:rPr>
                <w:rFonts w:hint="eastAsia"/>
                <w:color w:val="000000"/>
                <w:sz w:val="24"/>
                <w:szCs w:val="21"/>
                <w:lang w:eastAsia="zh-CN"/>
              </w:rPr>
              <w:t>****</w:t>
            </w:r>
            <w:r>
              <w:rPr>
                <w:rFonts w:hint="eastAsia"/>
                <w:color w:val="000000"/>
                <w:sz w:val="24"/>
                <w:szCs w:val="21"/>
              </w:rPr>
              <w:t>-</w:t>
            </w:r>
            <w:r>
              <w:rPr>
                <w:rFonts w:hint="eastAsia"/>
                <w:color w:val="000000"/>
                <w:sz w:val="24"/>
                <w:szCs w:val="21"/>
                <w:lang w:eastAsia="zh-CN"/>
              </w:rPr>
              <w:t>******</w:t>
            </w:r>
            <w:r>
              <w:rPr>
                <w:rFonts w:hint="eastAsia"/>
                <w:color w:val="000000"/>
                <w:sz w:val="24"/>
                <w:szCs w:val="21"/>
              </w:rPr>
              <w:t>-</w:t>
            </w:r>
            <w:r>
              <w:rPr>
                <w:color w:val="000000"/>
                <w:sz w:val="24"/>
                <w:szCs w:val="21"/>
              </w:rPr>
              <w:t>04</w:t>
            </w:r>
            <w:r>
              <w:rPr>
                <w:rFonts w:hint="eastAsia"/>
                <w:color w:val="000000"/>
                <w:sz w:val="24"/>
                <w:szCs w:val="21"/>
              </w:rPr>
              <w:t>-</w:t>
            </w:r>
            <w:r>
              <w:rPr>
                <w:color w:val="000000"/>
                <w:sz w:val="24"/>
                <w:szCs w:val="21"/>
              </w:rPr>
              <w:t>01</w:t>
            </w:r>
            <w:r>
              <w:rPr>
                <w:rFonts w:hint="eastAsia"/>
                <w:color w:val="000000"/>
                <w:sz w:val="24"/>
                <w:szCs w:val="21"/>
              </w:rPr>
              <w:t>-</w:t>
            </w:r>
            <w:r>
              <w:rPr>
                <w:rFonts w:hint="eastAsia"/>
                <w:color w:val="000000"/>
                <w:sz w:val="24"/>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建设单位联系人</w:t>
            </w:r>
          </w:p>
        </w:tc>
        <w:tc>
          <w:tcPr>
            <w:tcW w:w="1470" w:type="pct"/>
            <w:vAlign w:val="center"/>
          </w:tcPr>
          <w:p>
            <w:pPr>
              <w:adjustRightInd w:val="0"/>
              <w:snapToGrid w:val="0"/>
              <w:jc w:val="center"/>
              <w:rPr>
                <w:rFonts w:hint="eastAsia" w:eastAsia="宋体"/>
                <w:color w:val="000000"/>
                <w:sz w:val="24"/>
                <w:szCs w:val="21"/>
                <w:lang w:val="en-US" w:eastAsia="zh-CN"/>
              </w:rPr>
            </w:pPr>
            <w:r>
              <w:rPr>
                <w:rFonts w:hint="eastAsia"/>
                <w:color w:val="000000"/>
                <w:sz w:val="24"/>
                <w:szCs w:val="21"/>
              </w:rPr>
              <w:t>杨</w:t>
            </w:r>
            <w:r>
              <w:rPr>
                <w:rFonts w:hint="eastAsia"/>
                <w:color w:val="000000"/>
                <w:sz w:val="24"/>
                <w:szCs w:val="21"/>
                <w:lang w:val="en-US" w:eastAsia="zh-CN"/>
              </w:rPr>
              <w:t>*</w:t>
            </w:r>
          </w:p>
        </w:tc>
        <w:tc>
          <w:tcPr>
            <w:tcW w:w="666" w:type="pct"/>
            <w:vAlign w:val="center"/>
          </w:tcPr>
          <w:p>
            <w:pPr>
              <w:adjustRightInd w:val="0"/>
              <w:snapToGrid w:val="0"/>
              <w:jc w:val="center"/>
              <w:rPr>
                <w:color w:val="000000"/>
                <w:sz w:val="24"/>
                <w:szCs w:val="21"/>
              </w:rPr>
            </w:pPr>
            <w:r>
              <w:rPr>
                <w:color w:val="000000"/>
                <w:sz w:val="24"/>
                <w:szCs w:val="21"/>
              </w:rPr>
              <w:t>联系方式</w:t>
            </w:r>
          </w:p>
        </w:tc>
        <w:tc>
          <w:tcPr>
            <w:tcW w:w="2090" w:type="pct"/>
            <w:vAlign w:val="center"/>
          </w:tcPr>
          <w:p>
            <w:pPr>
              <w:adjustRightInd w:val="0"/>
              <w:snapToGrid w:val="0"/>
              <w:jc w:val="center"/>
              <w:rPr>
                <w:rFonts w:hint="eastAsia" w:eastAsia="宋体"/>
                <w:color w:val="000000"/>
                <w:sz w:val="24"/>
                <w:szCs w:val="21"/>
                <w:lang w:eastAsia="zh-CN"/>
              </w:rPr>
            </w:pPr>
            <w:r>
              <w:rPr>
                <w:color w:val="000000"/>
                <w:sz w:val="24"/>
                <w:szCs w:val="21"/>
              </w:rPr>
              <w:t>151</w:t>
            </w:r>
            <w:r>
              <w:rPr>
                <w:rFonts w:hint="eastAsia"/>
                <w:color w:val="000000"/>
                <w:sz w:val="24"/>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建设地点</w:t>
            </w:r>
          </w:p>
        </w:tc>
        <w:tc>
          <w:tcPr>
            <w:tcW w:w="4227" w:type="pct"/>
            <w:gridSpan w:val="3"/>
            <w:vAlign w:val="center"/>
          </w:tcPr>
          <w:p>
            <w:pPr>
              <w:adjustRightInd w:val="0"/>
              <w:snapToGrid w:val="0"/>
              <w:jc w:val="center"/>
              <w:rPr>
                <w:color w:val="000000"/>
                <w:sz w:val="24"/>
                <w:szCs w:val="21"/>
              </w:rPr>
            </w:pPr>
            <w:bookmarkStart w:id="24" w:name="OLE_LINK1"/>
            <w:bookmarkStart w:id="25" w:name="OLE_LINK2"/>
            <w:r>
              <w:rPr>
                <w:rFonts w:hint="eastAsia"/>
                <w:color w:val="000000"/>
                <w:sz w:val="24"/>
                <w:szCs w:val="21"/>
              </w:rPr>
              <w:t>云南</w:t>
            </w:r>
            <w:r>
              <w:rPr>
                <w:color w:val="000000"/>
                <w:sz w:val="24"/>
                <w:szCs w:val="21"/>
              </w:rPr>
              <w:t>省</w:t>
            </w:r>
            <w:r>
              <w:rPr>
                <w:rFonts w:hint="eastAsia"/>
                <w:color w:val="000000"/>
                <w:sz w:val="24"/>
                <w:szCs w:val="21"/>
              </w:rPr>
              <w:t>昆明市东川区拖布卡镇格勒村</w:t>
            </w:r>
            <w:bookmarkEnd w:id="24"/>
            <w:bookmarkEnd w:id="2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地理坐标</w:t>
            </w:r>
          </w:p>
        </w:tc>
        <w:tc>
          <w:tcPr>
            <w:tcW w:w="4227" w:type="pct"/>
            <w:gridSpan w:val="3"/>
            <w:vAlign w:val="center"/>
          </w:tcPr>
          <w:p>
            <w:pPr>
              <w:jc w:val="center"/>
              <w:rPr>
                <w:color w:val="000000"/>
                <w:sz w:val="24"/>
                <w:szCs w:val="21"/>
              </w:rPr>
            </w:pPr>
            <w:r>
              <w:rPr>
                <w:color w:val="000000"/>
                <w:sz w:val="24"/>
                <w:szCs w:val="21"/>
              </w:rPr>
              <w:t>（</w:t>
            </w:r>
            <w:r>
              <w:rPr>
                <w:rFonts w:hint="eastAsia"/>
                <w:color w:val="000000"/>
                <w:sz w:val="24"/>
                <w:szCs w:val="21"/>
              </w:rPr>
              <w:t>1</w:t>
            </w:r>
            <w:r>
              <w:rPr>
                <w:color w:val="000000"/>
                <w:sz w:val="24"/>
                <w:szCs w:val="21"/>
              </w:rPr>
              <w:t>03度3分54.53640秒，26度28分17.11920秒）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国民经济行业类别</w:t>
            </w:r>
          </w:p>
        </w:tc>
        <w:tc>
          <w:tcPr>
            <w:tcW w:w="1470" w:type="pct"/>
            <w:vAlign w:val="center"/>
          </w:tcPr>
          <w:p>
            <w:pPr>
              <w:adjustRightInd w:val="0"/>
              <w:snapToGrid w:val="0"/>
              <w:jc w:val="center"/>
              <w:rPr>
                <w:color w:val="000000"/>
                <w:sz w:val="24"/>
                <w:szCs w:val="21"/>
              </w:rPr>
            </w:pPr>
            <w:r>
              <w:rPr>
                <w:rFonts w:hint="eastAsia"/>
                <w:color w:val="000000"/>
                <w:sz w:val="24"/>
                <w:szCs w:val="21"/>
              </w:rPr>
              <w:t>水泥制品制造（C302</w:t>
            </w:r>
            <w:r>
              <w:rPr>
                <w:rFonts w:hint="eastAsia"/>
                <w:color w:val="000000"/>
                <w:sz w:val="24"/>
                <w:szCs w:val="21"/>
                <w:lang w:val="en-US" w:eastAsia="zh-CN"/>
              </w:rPr>
              <w:t>1</w:t>
            </w:r>
            <w:r>
              <w:rPr>
                <w:rFonts w:hint="eastAsia"/>
                <w:color w:val="000000"/>
                <w:sz w:val="24"/>
                <w:szCs w:val="21"/>
              </w:rPr>
              <w:t>）</w:t>
            </w:r>
          </w:p>
        </w:tc>
        <w:tc>
          <w:tcPr>
            <w:tcW w:w="666" w:type="pct"/>
            <w:vAlign w:val="center"/>
          </w:tcPr>
          <w:p>
            <w:pPr>
              <w:adjustRightInd w:val="0"/>
              <w:snapToGrid w:val="0"/>
              <w:jc w:val="center"/>
              <w:rPr>
                <w:color w:val="000000"/>
                <w:sz w:val="24"/>
                <w:szCs w:val="21"/>
              </w:rPr>
            </w:pPr>
            <w:bookmarkStart w:id="26" w:name="_Hlk49843745"/>
            <w:r>
              <w:rPr>
                <w:color w:val="000000"/>
                <w:sz w:val="24"/>
                <w:szCs w:val="21"/>
              </w:rPr>
              <w:t>建设项目行业类别</w:t>
            </w:r>
            <w:bookmarkEnd w:id="26"/>
          </w:p>
        </w:tc>
        <w:tc>
          <w:tcPr>
            <w:tcW w:w="2090" w:type="pct"/>
            <w:vAlign w:val="center"/>
          </w:tcPr>
          <w:p>
            <w:pPr>
              <w:adjustRightInd w:val="0"/>
              <w:snapToGrid w:val="0"/>
              <w:rPr>
                <w:color w:val="000000"/>
                <w:sz w:val="24"/>
                <w:szCs w:val="21"/>
              </w:rPr>
            </w:pPr>
            <w:r>
              <w:rPr>
                <w:rFonts w:hint="eastAsia"/>
                <w:color w:val="000000"/>
                <w:sz w:val="24"/>
                <w:szCs w:val="21"/>
              </w:rPr>
              <w:t>二十七、“非金属矿物制品业”中55“石膏、水泥制品及类似制品制造”中“水泥制品制造”。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建设性质</w:t>
            </w:r>
          </w:p>
        </w:tc>
        <w:tc>
          <w:tcPr>
            <w:tcW w:w="1470" w:type="pct"/>
            <w:vAlign w:val="center"/>
          </w:tcPr>
          <w:p>
            <w:pPr>
              <w:snapToGrid w:val="0"/>
              <w:jc w:val="left"/>
              <w:rPr>
                <w:color w:val="000000"/>
                <w:sz w:val="24"/>
                <w:szCs w:val="21"/>
              </w:rPr>
            </w:pPr>
            <w:r>
              <w:rPr>
                <w:rFonts w:hint="eastAsia"/>
                <w:color w:val="000000"/>
                <w:sz w:val="24"/>
                <w:szCs w:val="21"/>
              </w:rPr>
              <w:sym w:font="Wingdings 2" w:char="0052"/>
            </w:r>
            <w:r>
              <w:rPr>
                <w:color w:val="000000"/>
                <w:sz w:val="24"/>
                <w:szCs w:val="21"/>
              </w:rPr>
              <w:t>新建（迁建）</w:t>
            </w:r>
          </w:p>
          <w:p>
            <w:pPr>
              <w:snapToGrid w:val="0"/>
              <w:jc w:val="left"/>
              <w:rPr>
                <w:color w:val="000000"/>
                <w:sz w:val="24"/>
                <w:szCs w:val="21"/>
              </w:rPr>
            </w:pPr>
            <w:r>
              <w:rPr>
                <w:color w:val="000000"/>
                <w:sz w:val="24"/>
                <w:szCs w:val="21"/>
              </w:rPr>
              <w:sym w:font="Wingdings 2" w:char="00A3"/>
            </w:r>
            <w:r>
              <w:rPr>
                <w:color w:val="000000"/>
                <w:sz w:val="24"/>
                <w:szCs w:val="21"/>
              </w:rPr>
              <w:t>改建</w:t>
            </w:r>
          </w:p>
          <w:p>
            <w:pPr>
              <w:snapToGrid w:val="0"/>
              <w:jc w:val="left"/>
              <w:rPr>
                <w:color w:val="000000"/>
                <w:sz w:val="24"/>
                <w:szCs w:val="21"/>
              </w:rPr>
            </w:pPr>
            <w:r>
              <w:rPr>
                <w:color w:val="000000"/>
                <w:sz w:val="24"/>
                <w:szCs w:val="21"/>
              </w:rPr>
              <w:sym w:font="Wingdings 2" w:char="00A3"/>
            </w:r>
            <w:r>
              <w:rPr>
                <w:color w:val="000000"/>
                <w:sz w:val="24"/>
                <w:szCs w:val="21"/>
              </w:rPr>
              <w:t>扩建</w:t>
            </w:r>
          </w:p>
          <w:p>
            <w:pPr>
              <w:snapToGrid w:val="0"/>
              <w:jc w:val="left"/>
              <w:rPr>
                <w:color w:val="000000"/>
                <w:sz w:val="24"/>
                <w:szCs w:val="21"/>
              </w:rPr>
            </w:pPr>
            <w:r>
              <w:rPr>
                <w:color w:val="000000"/>
                <w:sz w:val="24"/>
                <w:szCs w:val="21"/>
              </w:rPr>
              <w:sym w:font="Wingdings 2" w:char="00A3"/>
            </w:r>
            <w:r>
              <w:rPr>
                <w:color w:val="000000"/>
                <w:sz w:val="24"/>
                <w:szCs w:val="21"/>
              </w:rPr>
              <w:t>技术改造</w:t>
            </w:r>
          </w:p>
        </w:tc>
        <w:tc>
          <w:tcPr>
            <w:tcW w:w="666" w:type="pct"/>
            <w:vAlign w:val="center"/>
          </w:tcPr>
          <w:p>
            <w:pPr>
              <w:adjustRightInd w:val="0"/>
              <w:snapToGrid w:val="0"/>
              <w:jc w:val="center"/>
              <w:rPr>
                <w:color w:val="000000"/>
                <w:sz w:val="24"/>
                <w:szCs w:val="21"/>
              </w:rPr>
            </w:pPr>
            <w:r>
              <w:rPr>
                <w:color w:val="000000"/>
                <w:sz w:val="24"/>
                <w:szCs w:val="21"/>
              </w:rPr>
              <w:t>建设项目</w:t>
            </w:r>
          </w:p>
          <w:p>
            <w:pPr>
              <w:adjustRightInd w:val="0"/>
              <w:snapToGrid w:val="0"/>
              <w:jc w:val="center"/>
              <w:rPr>
                <w:color w:val="000000"/>
                <w:sz w:val="24"/>
                <w:szCs w:val="21"/>
              </w:rPr>
            </w:pPr>
            <w:r>
              <w:rPr>
                <w:color w:val="000000"/>
                <w:sz w:val="24"/>
                <w:szCs w:val="21"/>
              </w:rPr>
              <w:t>申报情形</w:t>
            </w:r>
          </w:p>
        </w:tc>
        <w:tc>
          <w:tcPr>
            <w:tcW w:w="2090" w:type="pct"/>
            <w:vAlign w:val="center"/>
          </w:tcPr>
          <w:p>
            <w:pPr>
              <w:snapToGrid w:val="0"/>
              <w:jc w:val="left"/>
              <w:rPr>
                <w:color w:val="000000"/>
                <w:sz w:val="24"/>
                <w:szCs w:val="21"/>
              </w:rPr>
            </w:pPr>
            <w:r>
              <w:rPr>
                <w:rFonts w:hint="eastAsia"/>
                <w:color w:val="000000"/>
                <w:sz w:val="24"/>
                <w:szCs w:val="21"/>
              </w:rPr>
              <w:sym w:font="Wingdings 2" w:char="0052"/>
            </w:r>
            <w:r>
              <w:rPr>
                <w:color w:val="000000"/>
                <w:sz w:val="24"/>
                <w:szCs w:val="21"/>
              </w:rPr>
              <w:t>首次申报项目</w:t>
            </w:r>
          </w:p>
          <w:p>
            <w:pPr>
              <w:snapToGrid w:val="0"/>
              <w:jc w:val="left"/>
              <w:rPr>
                <w:color w:val="000000"/>
                <w:sz w:val="24"/>
                <w:szCs w:val="21"/>
              </w:rPr>
            </w:pPr>
            <w:r>
              <w:rPr>
                <w:color w:val="000000"/>
                <w:sz w:val="24"/>
                <w:szCs w:val="21"/>
              </w:rPr>
              <w:sym w:font="Wingdings 2" w:char="00A3"/>
            </w:r>
            <w:r>
              <w:rPr>
                <w:color w:val="000000"/>
                <w:sz w:val="24"/>
                <w:szCs w:val="21"/>
              </w:rPr>
              <w:t>不予批准后再次申报项目</w:t>
            </w:r>
          </w:p>
          <w:p>
            <w:pPr>
              <w:snapToGrid w:val="0"/>
              <w:jc w:val="left"/>
              <w:rPr>
                <w:color w:val="000000"/>
                <w:sz w:val="24"/>
                <w:szCs w:val="21"/>
              </w:rPr>
            </w:pPr>
            <w:r>
              <w:rPr>
                <w:color w:val="000000"/>
                <w:sz w:val="24"/>
                <w:szCs w:val="21"/>
              </w:rPr>
              <w:sym w:font="Wingdings 2" w:char="00A3"/>
            </w:r>
            <w:r>
              <w:rPr>
                <w:color w:val="000000"/>
                <w:sz w:val="24"/>
                <w:szCs w:val="21"/>
              </w:rPr>
              <w:t>超五年重新审核项目</w:t>
            </w:r>
          </w:p>
          <w:p>
            <w:pPr>
              <w:snapToGrid w:val="0"/>
              <w:jc w:val="left"/>
              <w:rPr>
                <w:color w:val="000000"/>
                <w:sz w:val="24"/>
                <w:szCs w:val="21"/>
              </w:rPr>
            </w:pPr>
            <w:r>
              <w:rPr>
                <w:color w:val="000000"/>
                <w:sz w:val="24"/>
                <w:szCs w:val="21"/>
              </w:rPr>
              <w:sym w:font="Wingdings 2" w:char="00A3"/>
            </w:r>
            <w:r>
              <w:rPr>
                <w:color w:val="000000"/>
                <w:sz w:val="24"/>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项目审批（核准/备案）部门（选填）</w:t>
            </w:r>
          </w:p>
        </w:tc>
        <w:tc>
          <w:tcPr>
            <w:tcW w:w="1470" w:type="pct"/>
            <w:vAlign w:val="center"/>
          </w:tcPr>
          <w:p>
            <w:pPr>
              <w:adjustRightInd w:val="0"/>
              <w:snapToGrid w:val="0"/>
              <w:jc w:val="center"/>
              <w:rPr>
                <w:color w:val="000000"/>
                <w:sz w:val="24"/>
                <w:szCs w:val="21"/>
              </w:rPr>
            </w:pPr>
            <w:r>
              <w:rPr>
                <w:rFonts w:hint="eastAsia"/>
                <w:color w:val="000000"/>
                <w:sz w:val="24"/>
                <w:szCs w:val="21"/>
              </w:rPr>
              <w:t>东川区发展和改革局</w:t>
            </w:r>
          </w:p>
        </w:tc>
        <w:tc>
          <w:tcPr>
            <w:tcW w:w="666" w:type="pct"/>
            <w:vAlign w:val="center"/>
          </w:tcPr>
          <w:p>
            <w:pPr>
              <w:adjustRightInd w:val="0"/>
              <w:snapToGrid w:val="0"/>
              <w:jc w:val="center"/>
              <w:rPr>
                <w:color w:val="000000"/>
                <w:sz w:val="24"/>
                <w:szCs w:val="21"/>
              </w:rPr>
            </w:pPr>
            <w:r>
              <w:rPr>
                <w:color w:val="000000"/>
                <w:sz w:val="24"/>
                <w:szCs w:val="21"/>
              </w:rPr>
              <w:t>项目审批（核准/备案）文号（选填）</w:t>
            </w:r>
          </w:p>
        </w:tc>
        <w:tc>
          <w:tcPr>
            <w:tcW w:w="2090" w:type="pct"/>
            <w:vAlign w:val="center"/>
          </w:tcPr>
          <w:p>
            <w:pPr>
              <w:adjustRightInd w:val="0"/>
              <w:snapToGrid w:val="0"/>
              <w:jc w:val="center"/>
              <w:rPr>
                <w:rFonts w:hint="eastAsia" w:eastAsia="宋体"/>
                <w:color w:val="000000"/>
                <w:sz w:val="24"/>
                <w:szCs w:val="21"/>
                <w:lang w:eastAsia="zh-CN"/>
              </w:rPr>
            </w:pPr>
            <w:r>
              <w:rPr>
                <w:rFonts w:hint="eastAsia"/>
                <w:color w:val="000000"/>
                <w:sz w:val="24"/>
                <w:szCs w:val="21"/>
                <w:lang w:eastAsia="zh-CN"/>
              </w:rPr>
              <w:t>****</w:t>
            </w:r>
            <w:r>
              <w:rPr>
                <w:color w:val="000000"/>
                <w:sz w:val="24"/>
                <w:szCs w:val="21"/>
              </w:rPr>
              <w:t>-</w:t>
            </w:r>
            <w:r>
              <w:rPr>
                <w:rFonts w:hint="eastAsia"/>
                <w:color w:val="000000"/>
                <w:sz w:val="24"/>
                <w:szCs w:val="21"/>
                <w:lang w:eastAsia="zh-CN"/>
              </w:rPr>
              <w:t>******</w:t>
            </w:r>
            <w:r>
              <w:rPr>
                <w:color w:val="000000"/>
                <w:sz w:val="24"/>
                <w:szCs w:val="21"/>
              </w:rPr>
              <w:t>-04-01-</w:t>
            </w:r>
            <w:r>
              <w:rPr>
                <w:rFonts w:hint="eastAsia"/>
                <w:color w:val="000000"/>
                <w:sz w:val="24"/>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总投资（万元）</w:t>
            </w:r>
          </w:p>
        </w:tc>
        <w:tc>
          <w:tcPr>
            <w:tcW w:w="1470" w:type="pct"/>
            <w:vAlign w:val="center"/>
          </w:tcPr>
          <w:p>
            <w:pPr>
              <w:adjustRightInd w:val="0"/>
              <w:snapToGrid w:val="0"/>
              <w:jc w:val="center"/>
              <w:rPr>
                <w:color w:val="000000"/>
                <w:sz w:val="24"/>
                <w:szCs w:val="21"/>
              </w:rPr>
            </w:pPr>
            <w:r>
              <w:rPr>
                <w:rFonts w:hint="eastAsia"/>
                <w:color w:val="000000"/>
                <w:sz w:val="24"/>
                <w:szCs w:val="21"/>
              </w:rPr>
              <w:t>1</w:t>
            </w:r>
            <w:r>
              <w:rPr>
                <w:color w:val="000000"/>
                <w:sz w:val="24"/>
                <w:szCs w:val="21"/>
              </w:rPr>
              <w:t>89.55</w:t>
            </w:r>
          </w:p>
        </w:tc>
        <w:tc>
          <w:tcPr>
            <w:tcW w:w="666" w:type="pct"/>
            <w:tcMar>
              <w:top w:w="16" w:type="dxa"/>
              <w:left w:w="16" w:type="dxa"/>
              <w:right w:w="16" w:type="dxa"/>
            </w:tcMar>
            <w:vAlign w:val="center"/>
          </w:tcPr>
          <w:p>
            <w:pPr>
              <w:adjustRightInd w:val="0"/>
              <w:snapToGrid w:val="0"/>
              <w:jc w:val="center"/>
              <w:rPr>
                <w:color w:val="000000"/>
                <w:sz w:val="24"/>
                <w:szCs w:val="21"/>
              </w:rPr>
            </w:pPr>
            <w:r>
              <w:rPr>
                <w:color w:val="000000"/>
                <w:sz w:val="24"/>
                <w:szCs w:val="21"/>
              </w:rPr>
              <w:t>环保投资（万元）</w:t>
            </w:r>
          </w:p>
        </w:tc>
        <w:tc>
          <w:tcPr>
            <w:tcW w:w="2090" w:type="pct"/>
            <w:vAlign w:val="center"/>
          </w:tcPr>
          <w:p>
            <w:pPr>
              <w:adjustRightInd w:val="0"/>
              <w:snapToGrid w:val="0"/>
              <w:jc w:val="center"/>
              <w:rPr>
                <w:rFonts w:hint="default" w:eastAsia="宋体"/>
                <w:color w:val="000000"/>
                <w:sz w:val="24"/>
                <w:szCs w:val="21"/>
                <w:lang w:val="en-US" w:eastAsia="zh-CN"/>
              </w:rPr>
            </w:pPr>
            <w:r>
              <w:rPr>
                <w:rFonts w:hint="eastAsia"/>
                <w:color w:val="000000"/>
                <w:sz w:val="24"/>
                <w:szCs w:val="21"/>
                <w:lang w:val="en-US" w:eastAsia="zh-CN"/>
              </w:rPr>
              <w:t>12.2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环保投资占比（%）</w:t>
            </w:r>
          </w:p>
        </w:tc>
        <w:tc>
          <w:tcPr>
            <w:tcW w:w="1470" w:type="pct"/>
            <w:vAlign w:val="center"/>
          </w:tcPr>
          <w:p>
            <w:pPr>
              <w:adjustRightInd w:val="0"/>
              <w:snapToGrid w:val="0"/>
              <w:jc w:val="center"/>
              <w:rPr>
                <w:rFonts w:hint="default" w:eastAsia="宋体"/>
                <w:color w:val="000000"/>
                <w:sz w:val="24"/>
                <w:szCs w:val="21"/>
                <w:lang w:val="en-US" w:eastAsia="zh-CN"/>
              </w:rPr>
            </w:pPr>
            <w:r>
              <w:rPr>
                <w:rFonts w:hint="eastAsia"/>
                <w:color w:val="000000"/>
                <w:sz w:val="24"/>
                <w:szCs w:val="21"/>
                <w:lang w:val="en-US" w:eastAsia="zh-CN"/>
              </w:rPr>
              <w:t>6.44</w:t>
            </w:r>
          </w:p>
        </w:tc>
        <w:tc>
          <w:tcPr>
            <w:tcW w:w="666" w:type="pct"/>
            <w:tcMar>
              <w:top w:w="16" w:type="dxa"/>
              <w:left w:w="16" w:type="dxa"/>
              <w:right w:w="16" w:type="dxa"/>
            </w:tcMar>
            <w:vAlign w:val="center"/>
          </w:tcPr>
          <w:p>
            <w:pPr>
              <w:adjustRightInd w:val="0"/>
              <w:snapToGrid w:val="0"/>
              <w:jc w:val="center"/>
              <w:rPr>
                <w:color w:val="000000"/>
                <w:sz w:val="24"/>
                <w:szCs w:val="21"/>
              </w:rPr>
            </w:pPr>
            <w:r>
              <w:rPr>
                <w:color w:val="000000"/>
                <w:sz w:val="24"/>
                <w:szCs w:val="21"/>
              </w:rPr>
              <w:t>施工工期</w:t>
            </w:r>
          </w:p>
        </w:tc>
        <w:tc>
          <w:tcPr>
            <w:tcW w:w="2090" w:type="pct"/>
            <w:vAlign w:val="center"/>
          </w:tcPr>
          <w:p>
            <w:pPr>
              <w:adjustRightInd w:val="0"/>
              <w:snapToGrid w:val="0"/>
              <w:jc w:val="center"/>
              <w:rPr>
                <w:color w:val="000000"/>
                <w:sz w:val="24"/>
                <w:szCs w:val="21"/>
              </w:rPr>
            </w:pPr>
            <w:r>
              <w:rPr>
                <w:rFonts w:hint="eastAsia"/>
                <w:color w:val="000000"/>
                <w:sz w:val="24"/>
                <w:szCs w:val="21"/>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2" w:type="pct"/>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是否开工建设</w:t>
            </w:r>
          </w:p>
        </w:tc>
        <w:tc>
          <w:tcPr>
            <w:tcW w:w="1470" w:type="pct"/>
            <w:vAlign w:val="center"/>
          </w:tcPr>
          <w:p>
            <w:pPr>
              <w:adjustRightInd w:val="0"/>
              <w:snapToGrid w:val="0"/>
              <w:rPr>
                <w:color w:val="000000"/>
                <w:sz w:val="24"/>
                <w:szCs w:val="21"/>
              </w:rPr>
            </w:pPr>
            <w:r>
              <w:rPr>
                <w:color w:val="000000"/>
                <w:sz w:val="24"/>
                <w:szCs w:val="21"/>
              </w:rPr>
              <w:sym w:font="Wingdings 2" w:char="00A3"/>
            </w:r>
            <w:r>
              <w:rPr>
                <w:color w:val="000000"/>
                <w:sz w:val="24"/>
                <w:szCs w:val="21"/>
              </w:rPr>
              <w:t xml:space="preserve">  否</w:t>
            </w:r>
          </w:p>
          <w:p>
            <w:pPr>
              <w:adjustRightInd w:val="0"/>
              <w:snapToGrid w:val="0"/>
              <w:rPr>
                <w:color w:val="000000"/>
                <w:sz w:val="24"/>
                <w:szCs w:val="21"/>
              </w:rPr>
            </w:pPr>
            <w:r>
              <w:rPr>
                <w:rFonts w:hint="eastAsia"/>
                <w:color w:val="000000"/>
                <w:sz w:val="24"/>
                <w:szCs w:val="21"/>
              </w:rPr>
              <w:sym w:font="Wingdings 2" w:char="0052"/>
            </w:r>
            <w:r>
              <w:rPr>
                <w:color w:val="000000"/>
                <w:sz w:val="24"/>
                <w:szCs w:val="21"/>
              </w:rPr>
              <w:t>是：</w:t>
            </w:r>
            <w:r>
              <w:rPr>
                <w:rFonts w:hint="eastAsia"/>
                <w:color w:val="000000"/>
                <w:sz w:val="24"/>
                <w:szCs w:val="21"/>
              </w:rPr>
              <w:t>项目搅拌站于</w:t>
            </w:r>
            <w:r>
              <w:rPr>
                <w:color w:val="000000"/>
                <w:sz w:val="24"/>
                <w:szCs w:val="21"/>
              </w:rPr>
              <w:t>2021</w:t>
            </w:r>
            <w:r>
              <w:rPr>
                <w:rFonts w:hint="eastAsia"/>
                <w:color w:val="000000"/>
                <w:sz w:val="24"/>
                <w:szCs w:val="21"/>
              </w:rPr>
              <w:t>年4月建成并投产，已受到昆明市生态环境局责令改正，详见附件</w:t>
            </w:r>
            <w:r>
              <w:rPr>
                <w:rFonts w:hint="eastAsia"/>
                <w:color w:val="000000"/>
                <w:sz w:val="24"/>
                <w:szCs w:val="21"/>
                <w:lang w:val="en-US" w:eastAsia="zh-CN"/>
              </w:rPr>
              <w:t>7</w:t>
            </w:r>
            <w:r>
              <w:rPr>
                <w:rFonts w:hint="eastAsia"/>
                <w:color w:val="000000"/>
                <w:sz w:val="24"/>
                <w:szCs w:val="21"/>
              </w:rPr>
              <w:t>。</w:t>
            </w:r>
          </w:p>
        </w:tc>
        <w:tc>
          <w:tcPr>
            <w:tcW w:w="666" w:type="pct"/>
            <w:tcMar>
              <w:top w:w="16" w:type="dxa"/>
              <w:left w:w="16" w:type="dxa"/>
              <w:right w:w="16" w:type="dxa"/>
            </w:tcMar>
            <w:vAlign w:val="center"/>
          </w:tcPr>
          <w:p>
            <w:pPr>
              <w:adjustRightInd w:val="0"/>
              <w:snapToGrid w:val="0"/>
              <w:jc w:val="center"/>
              <w:rPr>
                <w:color w:val="000000"/>
                <w:sz w:val="24"/>
                <w:szCs w:val="21"/>
              </w:rPr>
            </w:pPr>
            <w:r>
              <w:rPr>
                <w:color w:val="000000"/>
                <w:sz w:val="24"/>
                <w:szCs w:val="21"/>
              </w:rPr>
              <w:t>用地（用海）面积（m</w:t>
            </w:r>
            <w:r>
              <w:rPr>
                <w:color w:val="000000"/>
                <w:sz w:val="24"/>
                <w:szCs w:val="21"/>
                <w:vertAlign w:val="superscript"/>
              </w:rPr>
              <w:t>2</w:t>
            </w:r>
            <w:r>
              <w:rPr>
                <w:color w:val="000000"/>
                <w:sz w:val="24"/>
                <w:szCs w:val="21"/>
              </w:rPr>
              <w:t>）</w:t>
            </w:r>
          </w:p>
        </w:tc>
        <w:tc>
          <w:tcPr>
            <w:tcW w:w="2090" w:type="pct"/>
            <w:vAlign w:val="center"/>
          </w:tcPr>
          <w:p>
            <w:pPr>
              <w:adjustRightInd w:val="0"/>
              <w:snapToGrid w:val="0"/>
              <w:jc w:val="center"/>
              <w:rPr>
                <w:color w:val="000000"/>
                <w:sz w:val="24"/>
                <w:szCs w:val="21"/>
              </w:rPr>
            </w:pPr>
            <w:r>
              <w:rPr>
                <w:rFonts w:hint="eastAsia"/>
                <w:color w:val="000000"/>
                <w:sz w:val="24"/>
                <w:szCs w:val="21"/>
              </w:rPr>
              <w:t>2</w:t>
            </w:r>
            <w:r>
              <w:rPr>
                <w:color w:val="000000"/>
                <w:sz w:val="24"/>
                <w:szCs w:val="21"/>
              </w:rPr>
              <w:t>8200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gridSpan w:val="2"/>
            <w:vAlign w:val="center"/>
          </w:tcPr>
          <w:p>
            <w:pPr>
              <w:adjustRightInd w:val="0"/>
              <w:snapToGrid w:val="0"/>
              <w:jc w:val="center"/>
              <w:rPr>
                <w:color w:val="000000"/>
                <w:sz w:val="24"/>
                <w:szCs w:val="21"/>
              </w:rPr>
            </w:pPr>
            <w:r>
              <w:rPr>
                <w:color w:val="000000"/>
                <w:sz w:val="24"/>
                <w:szCs w:val="21"/>
              </w:rPr>
              <w:t>专项评价设置情况</w:t>
            </w:r>
          </w:p>
        </w:tc>
        <w:tc>
          <w:tcPr>
            <w:tcW w:w="4227" w:type="pct"/>
            <w:gridSpan w:val="3"/>
            <w:vAlign w:val="center"/>
          </w:tcPr>
          <w:p>
            <w:pPr>
              <w:adjustRightInd w:val="0"/>
              <w:snapToGrid w:val="0"/>
              <w:spacing w:line="360" w:lineRule="auto"/>
              <w:ind w:firstLine="480" w:firstLineChars="200"/>
              <w:rPr>
                <w:color w:val="000000"/>
                <w:sz w:val="24"/>
                <w:szCs w:val="21"/>
              </w:rPr>
            </w:pPr>
            <w:r>
              <w:rPr>
                <w:rFonts w:hint="eastAsia"/>
                <w:color w:val="000000"/>
                <w:sz w:val="24"/>
                <w:szCs w:val="21"/>
              </w:rPr>
              <w:t>项目与专项环评设置原则对照情况见下表。</w:t>
            </w:r>
          </w:p>
          <w:p>
            <w:pPr>
              <w:adjustRightInd w:val="0"/>
              <w:snapToGrid w:val="0"/>
              <w:spacing w:line="360" w:lineRule="auto"/>
              <w:jc w:val="center"/>
              <w:rPr>
                <w:b/>
                <w:bCs/>
                <w:color w:val="000000"/>
                <w:szCs w:val="21"/>
              </w:rPr>
            </w:pPr>
            <w:r>
              <w:rPr>
                <w:rFonts w:hint="eastAsia"/>
                <w:b/>
                <w:bCs/>
                <w:color w:val="000000"/>
                <w:szCs w:val="21"/>
              </w:rPr>
              <w:t>表1-</w:t>
            </w:r>
            <w:r>
              <w:rPr>
                <w:b/>
                <w:bCs/>
                <w:color w:val="000000"/>
                <w:szCs w:val="21"/>
              </w:rPr>
              <w:t xml:space="preserve">1  </w:t>
            </w:r>
            <w:r>
              <w:rPr>
                <w:rFonts w:hint="eastAsia"/>
                <w:b/>
                <w:bCs/>
                <w:color w:val="000000"/>
                <w:szCs w:val="21"/>
              </w:rPr>
              <w:t>项目专项环评判定一览表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768"/>
              <w:gridCol w:w="2516"/>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b/>
                      <w:szCs w:val="21"/>
                    </w:rPr>
                  </w:pPr>
                  <w:r>
                    <w:rPr>
                      <w:rFonts w:eastAsiaTheme="minorEastAsia"/>
                      <w:b/>
                      <w:szCs w:val="21"/>
                    </w:rPr>
                    <w:t>类别</w:t>
                  </w:r>
                </w:p>
              </w:tc>
              <w:tc>
                <w:tcPr>
                  <w:tcW w:w="3543" w:type="dxa"/>
                  <w:vAlign w:val="center"/>
                </w:tcPr>
                <w:p>
                  <w:pPr>
                    <w:jc w:val="center"/>
                    <w:rPr>
                      <w:rFonts w:eastAsiaTheme="minorEastAsia"/>
                      <w:b/>
                      <w:szCs w:val="21"/>
                    </w:rPr>
                  </w:pPr>
                  <w:r>
                    <w:rPr>
                      <w:rFonts w:eastAsiaTheme="minorEastAsia"/>
                      <w:b/>
                      <w:szCs w:val="21"/>
                    </w:rPr>
                    <w:t>设置情况</w:t>
                  </w:r>
                </w:p>
              </w:tc>
              <w:tc>
                <w:tcPr>
                  <w:tcW w:w="3190" w:type="dxa"/>
                  <w:vAlign w:val="center"/>
                </w:tcPr>
                <w:p>
                  <w:pPr>
                    <w:jc w:val="center"/>
                    <w:rPr>
                      <w:rFonts w:eastAsiaTheme="minorEastAsia"/>
                      <w:b/>
                      <w:szCs w:val="21"/>
                    </w:rPr>
                  </w:pPr>
                  <w:r>
                    <w:rPr>
                      <w:rFonts w:eastAsiaTheme="minorEastAsia"/>
                      <w:b/>
                      <w:szCs w:val="21"/>
                    </w:rPr>
                    <w:t>本项目情况</w:t>
                  </w:r>
                </w:p>
              </w:tc>
              <w:tc>
                <w:tcPr>
                  <w:tcW w:w="816" w:type="dxa"/>
                  <w:vAlign w:val="center"/>
                </w:tcPr>
                <w:p>
                  <w:pPr>
                    <w:jc w:val="center"/>
                    <w:rPr>
                      <w:rFonts w:eastAsiaTheme="minorEastAsia"/>
                      <w:b/>
                      <w:szCs w:val="21"/>
                    </w:rPr>
                  </w:pPr>
                  <w:r>
                    <w:rPr>
                      <w:rFonts w:eastAsiaTheme="minorEastAsia"/>
                      <w:b/>
                      <w:szCs w:val="21"/>
                    </w:rPr>
                    <w:t>设置与否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大气</w:t>
                  </w:r>
                </w:p>
              </w:tc>
              <w:tc>
                <w:tcPr>
                  <w:tcW w:w="3543" w:type="dxa"/>
                  <w:vAlign w:val="center"/>
                </w:tcPr>
                <w:p>
                  <w:pPr>
                    <w:ind w:firstLine="420" w:firstLineChars="200"/>
                    <w:rPr>
                      <w:rFonts w:eastAsiaTheme="minorEastAsia"/>
                      <w:szCs w:val="21"/>
                    </w:rPr>
                  </w:pPr>
                  <w:r>
                    <w:rPr>
                      <w:rFonts w:eastAsiaTheme="minorEastAsia"/>
                      <w:szCs w:val="21"/>
                    </w:rPr>
                    <w:t>排放废气含有毒有害污染物、二噁英、苯并[a]芘、氰化物、氯气且厂界500m范围内有环境空气保护目标的建设项目。</w:t>
                  </w:r>
                </w:p>
              </w:tc>
              <w:tc>
                <w:tcPr>
                  <w:tcW w:w="3190" w:type="dxa"/>
                  <w:vAlign w:val="center"/>
                </w:tcPr>
                <w:p>
                  <w:pPr>
                    <w:ind w:firstLine="420" w:firstLineChars="200"/>
                    <w:rPr>
                      <w:rFonts w:eastAsiaTheme="minorEastAsia"/>
                      <w:szCs w:val="21"/>
                    </w:rPr>
                  </w:pPr>
                  <w:r>
                    <w:rPr>
                      <w:rFonts w:eastAsiaTheme="minorEastAsia"/>
                      <w:szCs w:val="21"/>
                    </w:rPr>
                    <w:t>项目排放的大气污染物为颗粒物，不涉及《有毒有害大气污染物名录》中规定的污染物。</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地表水</w:t>
                  </w:r>
                </w:p>
              </w:tc>
              <w:tc>
                <w:tcPr>
                  <w:tcW w:w="3543" w:type="dxa"/>
                  <w:vAlign w:val="center"/>
                </w:tcPr>
                <w:p>
                  <w:pPr>
                    <w:ind w:firstLine="420" w:firstLineChars="200"/>
                    <w:rPr>
                      <w:rFonts w:eastAsiaTheme="minorEastAsia"/>
                      <w:szCs w:val="21"/>
                    </w:rPr>
                  </w:pPr>
                  <w:r>
                    <w:rPr>
                      <w:rFonts w:eastAsiaTheme="minorEastAsia"/>
                      <w:szCs w:val="21"/>
                    </w:rPr>
                    <w:t>新增工业废水直排建设项目（槽罐车外送污水处理厂的除外）。</w:t>
                  </w:r>
                  <w:r>
                    <w:rPr>
                      <w:rFonts w:hint="eastAsia" w:eastAsiaTheme="minorEastAsia"/>
                      <w:szCs w:val="21"/>
                    </w:rPr>
                    <w:t>新增废水直排的污水集中处理厂。</w:t>
                  </w:r>
                </w:p>
              </w:tc>
              <w:tc>
                <w:tcPr>
                  <w:tcW w:w="3190" w:type="dxa"/>
                  <w:vAlign w:val="center"/>
                </w:tcPr>
                <w:p>
                  <w:pPr>
                    <w:ind w:firstLine="420" w:firstLineChars="200"/>
                    <w:rPr>
                      <w:rFonts w:eastAsiaTheme="minorEastAsia"/>
                      <w:szCs w:val="21"/>
                    </w:rPr>
                  </w:pPr>
                  <w:r>
                    <w:rPr>
                      <w:rFonts w:eastAsiaTheme="minorEastAsia"/>
                      <w:szCs w:val="21"/>
                    </w:rPr>
                    <w:t>本项目</w:t>
                  </w:r>
                  <w:r>
                    <w:rPr>
                      <w:rFonts w:hint="eastAsia" w:eastAsiaTheme="minorEastAsia"/>
                      <w:szCs w:val="21"/>
                    </w:rPr>
                    <w:t>生产废水</w:t>
                  </w:r>
                  <w:r>
                    <w:rPr>
                      <w:rFonts w:eastAsiaTheme="minorEastAsia"/>
                      <w:szCs w:val="21"/>
                    </w:rPr>
                    <w:t>综合利用不外排</w:t>
                  </w:r>
                  <w:r>
                    <w:rPr>
                      <w:rFonts w:hint="eastAsia" w:eastAsiaTheme="minorEastAsia"/>
                      <w:szCs w:val="21"/>
                    </w:rPr>
                    <w:t>；生活污水经化粪池处理后定期用槽罐车外送污水处理厂处理</w:t>
                  </w:r>
                  <w:r>
                    <w:rPr>
                      <w:rFonts w:eastAsiaTheme="minorEastAsia"/>
                      <w:szCs w:val="21"/>
                    </w:rPr>
                    <w:t>。</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环境</w:t>
                  </w:r>
                </w:p>
                <w:p>
                  <w:pPr>
                    <w:jc w:val="center"/>
                    <w:rPr>
                      <w:rFonts w:eastAsiaTheme="minorEastAsia"/>
                      <w:szCs w:val="21"/>
                    </w:rPr>
                  </w:pPr>
                  <w:r>
                    <w:rPr>
                      <w:rFonts w:eastAsiaTheme="minorEastAsia"/>
                      <w:szCs w:val="21"/>
                    </w:rPr>
                    <w:t>风险</w:t>
                  </w:r>
                </w:p>
              </w:tc>
              <w:tc>
                <w:tcPr>
                  <w:tcW w:w="3543" w:type="dxa"/>
                  <w:vAlign w:val="center"/>
                </w:tcPr>
                <w:p>
                  <w:pPr>
                    <w:ind w:firstLine="420" w:firstLineChars="200"/>
                    <w:rPr>
                      <w:rFonts w:eastAsiaTheme="minorEastAsia"/>
                      <w:szCs w:val="21"/>
                    </w:rPr>
                  </w:pPr>
                  <w:r>
                    <w:rPr>
                      <w:rFonts w:eastAsiaTheme="minorEastAsia"/>
                      <w:szCs w:val="21"/>
                    </w:rPr>
                    <w:t>有毒有害和易燃易爆危险物质存储量超过临界量的建设项目。</w:t>
                  </w:r>
                </w:p>
              </w:tc>
              <w:tc>
                <w:tcPr>
                  <w:tcW w:w="3190" w:type="dxa"/>
                  <w:vAlign w:val="center"/>
                </w:tcPr>
                <w:p>
                  <w:pPr>
                    <w:ind w:firstLine="420" w:firstLineChars="200"/>
                    <w:rPr>
                      <w:rFonts w:eastAsiaTheme="minorEastAsia"/>
                      <w:szCs w:val="21"/>
                    </w:rPr>
                  </w:pPr>
                  <w:r>
                    <w:rPr>
                      <w:rFonts w:eastAsiaTheme="minorEastAsia"/>
                      <w:szCs w:val="21"/>
                    </w:rPr>
                    <w:t>项目不涉及有毒有害物质，环境风险物质最大存储量未超过其临界量。</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生态</w:t>
                  </w:r>
                </w:p>
              </w:tc>
              <w:tc>
                <w:tcPr>
                  <w:tcW w:w="3543" w:type="dxa"/>
                  <w:vAlign w:val="center"/>
                </w:tcPr>
                <w:p>
                  <w:pPr>
                    <w:ind w:firstLine="420" w:firstLineChars="200"/>
                    <w:rPr>
                      <w:rFonts w:eastAsiaTheme="minorEastAsia"/>
                      <w:szCs w:val="21"/>
                    </w:rPr>
                  </w:pPr>
                  <w:r>
                    <w:rPr>
                      <w:rFonts w:eastAsiaTheme="minorEastAsia"/>
                      <w:szCs w:val="21"/>
                    </w:rPr>
                    <w:t>取水口下游500米范围内有重要水生生物的自然产卵场、索饵场、越冬场和洄游通道的新增河道取水的污染类建设项目。</w:t>
                  </w:r>
                </w:p>
              </w:tc>
              <w:tc>
                <w:tcPr>
                  <w:tcW w:w="3190" w:type="dxa"/>
                  <w:vAlign w:val="center"/>
                </w:tcPr>
                <w:p>
                  <w:pPr>
                    <w:ind w:firstLine="420" w:firstLineChars="200"/>
                    <w:rPr>
                      <w:rFonts w:eastAsiaTheme="minorEastAsia"/>
                      <w:szCs w:val="21"/>
                    </w:rPr>
                  </w:pPr>
                  <w:r>
                    <w:rPr>
                      <w:rFonts w:hint="eastAsia" w:eastAsiaTheme="minorEastAsia"/>
                      <w:szCs w:val="21"/>
                    </w:rPr>
                    <w:t>本</w:t>
                  </w:r>
                  <w:r>
                    <w:rPr>
                      <w:rFonts w:eastAsiaTheme="minorEastAsia"/>
                      <w:szCs w:val="21"/>
                    </w:rPr>
                    <w:t>项目</w:t>
                  </w:r>
                  <w:r>
                    <w:rPr>
                      <w:rFonts w:hint="eastAsia" w:eastAsiaTheme="minorEastAsia"/>
                      <w:szCs w:val="21"/>
                    </w:rPr>
                    <w:t>取水不涉及重要的水生生物的自然产卵场、索饵场、越冬场和洄游通道</w:t>
                  </w:r>
                  <w:r>
                    <w:rPr>
                      <w:rFonts w:eastAsiaTheme="minorEastAsia"/>
                      <w:szCs w:val="21"/>
                    </w:rPr>
                    <w:t>。</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地下水</w:t>
                  </w:r>
                </w:p>
              </w:tc>
              <w:tc>
                <w:tcPr>
                  <w:tcW w:w="3543" w:type="dxa"/>
                  <w:vAlign w:val="center"/>
                </w:tcPr>
                <w:p>
                  <w:pPr>
                    <w:ind w:firstLine="420" w:firstLineChars="200"/>
                    <w:rPr>
                      <w:rFonts w:eastAsiaTheme="minorEastAsia"/>
                      <w:szCs w:val="21"/>
                    </w:rPr>
                  </w:pPr>
                  <w:r>
                    <w:rPr>
                      <w:rFonts w:eastAsiaTheme="minorEastAsia"/>
                      <w:szCs w:val="21"/>
                    </w:rPr>
                    <w:t>涉及集中式饮用水水源和热水、矿泉水、温泉等特殊地下水资源保护区。</w:t>
                  </w:r>
                </w:p>
              </w:tc>
              <w:tc>
                <w:tcPr>
                  <w:tcW w:w="3190" w:type="dxa"/>
                  <w:vAlign w:val="center"/>
                </w:tcPr>
                <w:p>
                  <w:pPr>
                    <w:ind w:firstLine="420" w:firstLineChars="200"/>
                    <w:rPr>
                      <w:rFonts w:eastAsiaTheme="minorEastAsia"/>
                      <w:szCs w:val="21"/>
                    </w:rPr>
                  </w:pPr>
                  <w:r>
                    <w:rPr>
                      <w:rFonts w:eastAsiaTheme="minorEastAsia"/>
                      <w:szCs w:val="21"/>
                    </w:rPr>
                    <w:t>本项目不涉及集中式饮用水水源和热水、矿泉水、温泉等特殊地下水资源保护区。</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2" w:type="dxa"/>
                  <w:gridSpan w:val="4"/>
                  <w:vAlign w:val="center"/>
                </w:tcPr>
                <w:p>
                  <w:pPr>
                    <w:rPr>
                      <w:rFonts w:eastAsiaTheme="minorEastAsia"/>
                      <w:b/>
                      <w:szCs w:val="21"/>
                    </w:rPr>
                  </w:pPr>
                  <w:r>
                    <w:rPr>
                      <w:rFonts w:eastAsiaTheme="minorEastAsia"/>
                      <w:b/>
                      <w:szCs w:val="21"/>
                    </w:rPr>
                    <w:t>注：</w:t>
                  </w:r>
                </w:p>
                <w:p>
                  <w:pPr>
                    <w:ind w:firstLine="420" w:firstLineChars="200"/>
                    <w:rPr>
                      <w:rFonts w:eastAsiaTheme="minorEastAsia"/>
                      <w:szCs w:val="21"/>
                    </w:rPr>
                  </w:pPr>
                  <w:r>
                    <w:rPr>
                      <w:rFonts w:eastAsiaTheme="minorEastAsia"/>
                      <w:szCs w:val="21"/>
                    </w:rPr>
                    <w:t>1.废气中有毒有害污染物指纳入《有毒有害大气污染物名录》的污染物（不包括无排放标准的污染物）。</w:t>
                  </w:r>
                </w:p>
                <w:p>
                  <w:pPr>
                    <w:ind w:firstLine="420" w:firstLineChars="200"/>
                    <w:rPr>
                      <w:rFonts w:eastAsiaTheme="minorEastAsia"/>
                      <w:szCs w:val="21"/>
                    </w:rPr>
                  </w:pPr>
                  <w:r>
                    <w:rPr>
                      <w:rFonts w:eastAsiaTheme="minorEastAsia"/>
                      <w:szCs w:val="21"/>
                    </w:rPr>
                    <w:t>2.环境空气保护目标指自然保护区、风景名胜区、居住区、文化区和农村地区中人群较集中的区域。</w:t>
                  </w:r>
                </w:p>
                <w:p>
                  <w:pPr>
                    <w:ind w:firstLine="420" w:firstLineChars="200"/>
                    <w:rPr>
                      <w:rFonts w:eastAsiaTheme="minorEastAsia"/>
                      <w:szCs w:val="21"/>
                    </w:rPr>
                  </w:pPr>
                  <w:r>
                    <w:rPr>
                      <w:rFonts w:eastAsiaTheme="minorEastAsia"/>
                      <w:szCs w:val="21"/>
                    </w:rPr>
                    <w:t>3.临界量及其计算方法可参考《建设项目环境风险评价技术导则》（HJ169）附录B、附录C。</w:t>
                  </w:r>
                </w:p>
              </w:tc>
            </w:tr>
          </w:tbl>
          <w:p>
            <w:pPr>
              <w:adjustRightInd w:val="0"/>
              <w:snapToGrid w:val="0"/>
              <w:jc w:val="center"/>
              <w:rPr>
                <w:color w:val="000000"/>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gridSpan w:val="2"/>
            <w:vAlign w:val="center"/>
          </w:tcPr>
          <w:p>
            <w:pPr>
              <w:adjustRightInd w:val="0"/>
              <w:snapToGrid w:val="0"/>
              <w:jc w:val="center"/>
              <w:rPr>
                <w:color w:val="000000"/>
                <w:sz w:val="24"/>
                <w:szCs w:val="21"/>
              </w:rPr>
            </w:pPr>
            <w:r>
              <w:rPr>
                <w:color w:val="000000"/>
                <w:sz w:val="24"/>
                <w:szCs w:val="21"/>
              </w:rPr>
              <w:t>规划情况</w:t>
            </w:r>
          </w:p>
        </w:tc>
        <w:tc>
          <w:tcPr>
            <w:tcW w:w="4227" w:type="pct"/>
            <w:gridSpan w:val="3"/>
            <w:vAlign w:val="center"/>
          </w:tcPr>
          <w:p>
            <w:pPr>
              <w:snapToGrid w:val="0"/>
              <w:jc w:val="center"/>
              <w:rPr>
                <w:color w:val="000000"/>
                <w:sz w:val="24"/>
                <w:szCs w:val="21"/>
              </w:rPr>
            </w:pPr>
            <w:r>
              <w:rPr>
                <w:rFonts w:hint="eastAsia"/>
                <w:color w:val="000000"/>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gridSpan w:val="2"/>
            <w:vAlign w:val="center"/>
          </w:tcPr>
          <w:p>
            <w:pPr>
              <w:adjustRightInd w:val="0"/>
              <w:snapToGrid w:val="0"/>
              <w:jc w:val="center"/>
              <w:rPr>
                <w:color w:val="000000"/>
                <w:sz w:val="24"/>
                <w:szCs w:val="21"/>
              </w:rPr>
            </w:pPr>
            <w:r>
              <w:rPr>
                <w:color w:val="000000"/>
                <w:sz w:val="24"/>
                <w:szCs w:val="21"/>
              </w:rPr>
              <w:t>规划环境影响评价情况</w:t>
            </w:r>
          </w:p>
        </w:tc>
        <w:tc>
          <w:tcPr>
            <w:tcW w:w="4227" w:type="pct"/>
            <w:gridSpan w:val="3"/>
            <w:vAlign w:val="center"/>
          </w:tcPr>
          <w:p>
            <w:pPr>
              <w:adjustRightInd w:val="0"/>
              <w:snapToGrid w:val="0"/>
              <w:spacing w:line="360" w:lineRule="auto"/>
              <w:jc w:val="center"/>
              <w:rPr>
                <w:color w:val="000000"/>
                <w:sz w:val="24"/>
                <w:szCs w:val="21"/>
              </w:rPr>
            </w:pPr>
            <w:r>
              <w:rPr>
                <w:rFonts w:hint="eastAsia"/>
                <w:color w:val="000000"/>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gridSpan w:val="2"/>
            <w:vAlign w:val="center"/>
          </w:tcPr>
          <w:p>
            <w:pPr>
              <w:adjustRightInd w:val="0"/>
              <w:snapToGrid w:val="0"/>
              <w:jc w:val="center"/>
              <w:rPr>
                <w:color w:val="000000"/>
                <w:sz w:val="24"/>
                <w:szCs w:val="21"/>
              </w:rPr>
            </w:pPr>
            <w:r>
              <w:rPr>
                <w:color w:val="000000"/>
                <w:sz w:val="24"/>
                <w:szCs w:val="21"/>
              </w:rPr>
              <w:t>规划及规划环境影响评价符合性分析</w:t>
            </w:r>
          </w:p>
        </w:tc>
        <w:tc>
          <w:tcPr>
            <w:tcW w:w="4227" w:type="pct"/>
            <w:gridSpan w:val="3"/>
            <w:vAlign w:val="center"/>
          </w:tcPr>
          <w:p>
            <w:pPr>
              <w:adjustRightInd w:val="0"/>
              <w:snapToGrid w:val="0"/>
              <w:spacing w:line="360" w:lineRule="auto"/>
              <w:ind w:firstLine="480" w:firstLineChars="200"/>
              <w:rPr>
                <w:color w:val="000000"/>
                <w:sz w:val="24"/>
                <w:szCs w:val="21"/>
              </w:rPr>
            </w:pPr>
            <w:r>
              <w:rPr>
                <w:rFonts w:hint="eastAsia"/>
                <w:color w:val="000000"/>
                <w:sz w:val="24"/>
                <w:szCs w:val="21"/>
              </w:rPr>
              <w:t>项目为临时拌合站，为东川港格勒旅游客运中心施工生产提供混凝土，项目并未进行规划环境影响评价，不进行相关的符合性分析。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 w:type="pct"/>
            <w:vAlign w:val="center"/>
          </w:tcPr>
          <w:p>
            <w:pPr>
              <w:adjustRightInd w:val="0"/>
              <w:snapToGrid w:val="0"/>
              <w:jc w:val="center"/>
              <w:rPr>
                <w:color w:val="000000"/>
                <w:sz w:val="24"/>
                <w:szCs w:val="21"/>
              </w:rPr>
            </w:pPr>
            <w:r>
              <w:rPr>
                <w:color w:val="000000"/>
                <w:sz w:val="24"/>
                <w:szCs w:val="21"/>
              </w:rPr>
              <w:t>其他符合性分析</w:t>
            </w:r>
          </w:p>
        </w:tc>
        <w:tc>
          <w:tcPr>
            <w:tcW w:w="4628" w:type="pct"/>
            <w:gridSpan w:val="4"/>
            <w:vAlign w:val="center"/>
          </w:tcPr>
          <w:p>
            <w:pPr>
              <w:pStyle w:val="171"/>
              <w:rPr>
                <w:rFonts w:ascii="Times New Roman" w:hAnsi="Times New Roman" w:cs="Times New Roman"/>
                <w:color w:val="000000"/>
                <w:sz w:val="24"/>
                <w:szCs w:val="21"/>
              </w:rPr>
            </w:pPr>
            <w:bookmarkStart w:id="27" w:name="_Toc112774076"/>
            <w:r>
              <w:rPr>
                <w:rFonts w:ascii="Times New Roman" w:hAnsi="Times New Roman" w:eastAsia="宋体" w:cs="Times New Roman"/>
                <w:b w:val="0"/>
                <w:color w:val="000000"/>
                <w:sz w:val="24"/>
                <w:szCs w:val="21"/>
              </w:rPr>
              <w:t>1、</w:t>
            </w:r>
            <w:r>
              <w:rPr>
                <w:rFonts w:ascii="Times New Roman" w:hAnsi="Times New Roman" w:eastAsia="宋体" w:cs="Times New Roman"/>
                <w:color w:val="000000"/>
                <w:sz w:val="24"/>
                <w:szCs w:val="21"/>
              </w:rPr>
              <w:t>产业政策符合性分析</w:t>
            </w:r>
            <w:bookmarkEnd w:id="27"/>
          </w:p>
          <w:p>
            <w:pPr>
              <w:snapToGrid w:val="0"/>
              <w:spacing w:line="360" w:lineRule="auto"/>
              <w:ind w:firstLine="480" w:firstLineChars="200"/>
              <w:jc w:val="left"/>
              <w:rPr>
                <w:color w:val="000000"/>
                <w:sz w:val="24"/>
                <w:szCs w:val="21"/>
              </w:rPr>
            </w:pPr>
            <w:r>
              <w:rPr>
                <w:color w:val="000000"/>
                <w:sz w:val="24"/>
                <w:szCs w:val="21"/>
              </w:rPr>
              <w:t>本项目属于混凝土制造项目，根据《产业结构调整指导目录（2019年本）》项目不属于限制类和淘汰类项目，属于允许类项目。</w:t>
            </w:r>
          </w:p>
          <w:p>
            <w:pPr>
              <w:snapToGrid w:val="0"/>
              <w:spacing w:line="360" w:lineRule="auto"/>
              <w:ind w:firstLine="480" w:firstLineChars="200"/>
              <w:jc w:val="left"/>
              <w:rPr>
                <w:color w:val="000000"/>
                <w:sz w:val="24"/>
                <w:szCs w:val="21"/>
              </w:rPr>
            </w:pPr>
            <w:r>
              <w:rPr>
                <w:color w:val="000000"/>
                <w:sz w:val="24"/>
                <w:szCs w:val="21"/>
              </w:rPr>
              <w:t>经核查国家发展改革委、商务部印发《市场准入负面清单（2020年版）》（发改体改〔2020〕1880号），本项目也不在其列，项目所采用的工艺设备也不属于《产业结构调整指导目录（2019年本）》和工信部发布第一、二、三批《高耗能落后机电设备</w:t>
            </w:r>
            <w:r>
              <w:rPr>
                <w:rFonts w:hint="eastAsia"/>
                <w:color w:val="000000"/>
                <w:sz w:val="24"/>
                <w:szCs w:val="21"/>
              </w:rPr>
              <w:t>（</w:t>
            </w:r>
            <w:r>
              <w:rPr>
                <w:color w:val="000000"/>
                <w:sz w:val="24"/>
                <w:szCs w:val="21"/>
              </w:rPr>
              <w:t>产品</w:t>
            </w:r>
            <w:r>
              <w:rPr>
                <w:rFonts w:hint="eastAsia"/>
                <w:color w:val="000000"/>
                <w:sz w:val="24"/>
                <w:szCs w:val="21"/>
              </w:rPr>
              <w:t>）</w:t>
            </w:r>
            <w:r>
              <w:rPr>
                <w:color w:val="000000"/>
                <w:sz w:val="24"/>
                <w:szCs w:val="21"/>
              </w:rPr>
              <w:t>淘汰目录》中明示的淘汰、落后机电设备。</w:t>
            </w:r>
          </w:p>
          <w:p>
            <w:pPr>
              <w:snapToGrid w:val="0"/>
              <w:spacing w:line="360" w:lineRule="auto"/>
              <w:ind w:firstLine="480" w:firstLineChars="200"/>
              <w:jc w:val="left"/>
              <w:rPr>
                <w:color w:val="000000"/>
                <w:sz w:val="24"/>
                <w:szCs w:val="21"/>
              </w:rPr>
            </w:pPr>
            <w:r>
              <w:rPr>
                <w:rFonts w:hint="eastAsia"/>
                <w:color w:val="000000"/>
                <w:sz w:val="24"/>
                <w:szCs w:val="21"/>
              </w:rPr>
              <w:t>综上，本项目符合国家和地方相关产业政策。建设单位已取得东川区发展和改革局下发的项目代码。</w:t>
            </w:r>
          </w:p>
          <w:p>
            <w:pPr>
              <w:pStyle w:val="171"/>
              <w:rPr>
                <w:rFonts w:ascii="Times New Roman" w:hAnsi="Times New Roman" w:eastAsia="宋体" w:cs="Times New Roman"/>
                <w:color w:val="000000"/>
                <w:sz w:val="24"/>
                <w:szCs w:val="21"/>
              </w:rPr>
            </w:pPr>
            <w:bookmarkStart w:id="28" w:name="_Toc112774077"/>
            <w:r>
              <w:rPr>
                <w:rFonts w:hint="eastAsia" w:ascii="Times New Roman" w:hAnsi="Times New Roman" w:eastAsia="宋体" w:cs="Times New Roman"/>
                <w:color w:val="000000"/>
                <w:sz w:val="24"/>
                <w:szCs w:val="21"/>
              </w:rPr>
              <w:t>2、项目与《昆明市人民政府关于昆明市“三线一单”生态环境分区管控的实施意见》（昆政发〔2021〕21号）符合性分析</w:t>
            </w:r>
            <w:bookmarkEnd w:id="28"/>
          </w:p>
          <w:p>
            <w:pPr>
              <w:snapToGrid w:val="0"/>
              <w:spacing w:line="360" w:lineRule="auto"/>
              <w:ind w:firstLine="480" w:firstLineChars="200"/>
              <w:rPr>
                <w:color w:val="000000"/>
                <w:sz w:val="24"/>
                <w:szCs w:val="21"/>
              </w:rPr>
            </w:pPr>
            <w:r>
              <w:rPr>
                <w:rFonts w:hint="eastAsia"/>
                <w:color w:val="000000"/>
                <w:sz w:val="24"/>
                <w:szCs w:val="21"/>
              </w:rPr>
              <w:t>项目位于昆明市东川区拖布卡镇格勒村小坡组龙东格公路86公里处，根据《昆明市人民政府关于昆明市“三线一单”生态环境分区管控的实施意见》（昆政发〔2021〕21号），查阅“昆明市环境管控单元分类图”，项目位于昆明市环境重点管控单元，本项目符合性分析详见下表。</w:t>
            </w:r>
          </w:p>
          <w:p>
            <w:pPr>
              <w:snapToGrid w:val="0"/>
              <w:spacing w:line="360" w:lineRule="auto"/>
              <w:ind w:firstLine="422" w:firstLineChars="200"/>
              <w:jc w:val="center"/>
              <w:rPr>
                <w:b/>
                <w:bCs/>
                <w:color w:val="000000"/>
                <w:szCs w:val="21"/>
              </w:rPr>
            </w:pPr>
            <w:r>
              <w:rPr>
                <w:rFonts w:hint="eastAsia"/>
                <w:b/>
                <w:bCs/>
                <w:color w:val="000000"/>
                <w:szCs w:val="21"/>
              </w:rPr>
              <w:t>表1-</w:t>
            </w:r>
            <w:r>
              <w:rPr>
                <w:b/>
                <w:bCs/>
                <w:color w:val="000000"/>
                <w:szCs w:val="21"/>
              </w:rPr>
              <w:t xml:space="preserve">2  </w:t>
            </w:r>
            <w:r>
              <w:rPr>
                <w:rFonts w:hint="eastAsia"/>
                <w:b/>
                <w:bCs/>
                <w:color w:val="000000"/>
                <w:szCs w:val="21"/>
              </w:rPr>
              <w:t>项目与“三线一单”符合性</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426"/>
              <w:gridCol w:w="426"/>
              <w:gridCol w:w="3135"/>
              <w:gridCol w:w="2373"/>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4" w:type="dxa"/>
                  <w:gridSpan w:val="4"/>
                  <w:shd w:val="clear" w:color="auto" w:fill="auto"/>
                  <w:vAlign w:val="center"/>
                </w:tcPr>
                <w:p>
                  <w:pPr>
                    <w:snapToGrid w:val="0"/>
                    <w:jc w:val="center"/>
                    <w:rPr>
                      <w:color w:val="000000"/>
                      <w:szCs w:val="21"/>
                    </w:rPr>
                  </w:pPr>
                  <w:r>
                    <w:rPr>
                      <w:color w:val="000000"/>
                      <w:szCs w:val="21"/>
                    </w:rPr>
                    <w:t>内容</w:t>
                  </w:r>
                </w:p>
              </w:tc>
              <w:tc>
                <w:tcPr>
                  <w:tcW w:w="2373" w:type="dxa"/>
                  <w:shd w:val="clear" w:color="auto" w:fill="auto"/>
                  <w:vAlign w:val="center"/>
                </w:tcPr>
                <w:p>
                  <w:pPr>
                    <w:snapToGrid w:val="0"/>
                    <w:jc w:val="center"/>
                    <w:rPr>
                      <w:color w:val="000000"/>
                      <w:szCs w:val="21"/>
                    </w:rPr>
                  </w:pPr>
                  <w:r>
                    <w:rPr>
                      <w:color w:val="000000"/>
                      <w:szCs w:val="21"/>
                    </w:rPr>
                    <w:t>项目情况</w:t>
                  </w:r>
                </w:p>
              </w:tc>
              <w:tc>
                <w:tcPr>
                  <w:tcW w:w="0" w:type="auto"/>
                  <w:shd w:val="clear" w:color="auto" w:fill="auto"/>
                  <w:vAlign w:val="center"/>
                </w:tcPr>
                <w:p>
                  <w:pPr>
                    <w:snapToGrid w:val="0"/>
                    <w:jc w:val="center"/>
                    <w:rPr>
                      <w:color w:val="000000"/>
                      <w:szCs w:val="21"/>
                    </w:rPr>
                  </w:pPr>
                  <w:r>
                    <w:rPr>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napToGrid w:val="0"/>
                    <w:jc w:val="center"/>
                    <w:rPr>
                      <w:color w:val="000000"/>
                      <w:szCs w:val="21"/>
                    </w:rPr>
                  </w:pPr>
                  <w:r>
                    <w:rPr>
                      <w:color w:val="000000"/>
                      <w:szCs w:val="21"/>
                    </w:rPr>
                    <w:t>生态保护红线</w:t>
                  </w:r>
                </w:p>
              </w:tc>
              <w:tc>
                <w:tcPr>
                  <w:tcW w:w="3971" w:type="dxa"/>
                  <w:gridSpan w:val="3"/>
                  <w:shd w:val="clear" w:color="auto" w:fill="auto"/>
                  <w:vAlign w:val="center"/>
                </w:tcPr>
                <w:p>
                  <w:pPr>
                    <w:snapToGrid w:val="0"/>
                    <w:ind w:firstLine="420" w:firstLineChars="200"/>
                    <w:rPr>
                      <w:color w:val="000000"/>
                      <w:szCs w:val="21"/>
                    </w:rPr>
                  </w:pPr>
                  <w:r>
                    <w:rPr>
                      <w:rFonts w:hint="eastAsia"/>
                      <w:color w:val="000000"/>
                      <w:szCs w:val="21"/>
                    </w:rPr>
                    <w:t>生态保护红线区严格执行《云南省人民政府关于发布云南省生态保护红线的通知》（云政发〔2018〕32号）。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snapToGrid w:val="0"/>
                    <w:ind w:firstLine="420" w:firstLineChars="200"/>
                    <w:rPr>
                      <w:color w:val="000000"/>
                      <w:szCs w:val="21"/>
                    </w:rPr>
                  </w:pPr>
                  <w:r>
                    <w:rPr>
                      <w:rFonts w:hint="eastAsia"/>
                      <w:color w:val="000000"/>
                      <w:szCs w:val="21"/>
                    </w:rPr>
                    <w:t>立足已形成的生态保护红线划定工作成果，遵循生态优先原则，将未划入生态保护红线的自然保护地、饮用水水源保护区、重要湿地、基本草原、生态公益林、天然林等生态功能重要、生态环境敏感区域划为一般生态空间。</w:t>
                  </w:r>
                </w:p>
              </w:tc>
              <w:tc>
                <w:tcPr>
                  <w:tcW w:w="2373" w:type="dxa"/>
                  <w:shd w:val="clear" w:color="auto" w:fill="auto"/>
                  <w:vAlign w:val="center"/>
                </w:tcPr>
                <w:p>
                  <w:pPr>
                    <w:snapToGrid w:val="0"/>
                    <w:ind w:firstLine="420" w:firstLineChars="200"/>
                    <w:rPr>
                      <w:color w:val="000000"/>
                      <w:szCs w:val="21"/>
                    </w:rPr>
                  </w:pPr>
                  <w:r>
                    <w:rPr>
                      <w:color w:val="000000"/>
                      <w:szCs w:val="21"/>
                    </w:rPr>
                    <w:t>项目位于昆明市东川区拖布卡镇格勒村，不在生态红线范围内，项目符合生态保护红线的相关要求。</w:t>
                  </w:r>
                </w:p>
              </w:tc>
              <w:tc>
                <w:tcPr>
                  <w:tcW w:w="0" w:type="auto"/>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napToGrid w:val="0"/>
                    <w:jc w:val="center"/>
                    <w:rPr>
                      <w:color w:val="000000"/>
                      <w:szCs w:val="21"/>
                    </w:rPr>
                  </w:pPr>
                  <w:r>
                    <w:rPr>
                      <w:color w:val="000000"/>
                      <w:szCs w:val="21"/>
                    </w:rPr>
                    <w:t>环境质量底线</w:t>
                  </w:r>
                </w:p>
              </w:tc>
              <w:tc>
                <w:tcPr>
                  <w:tcW w:w="3971" w:type="dxa"/>
                  <w:gridSpan w:val="3"/>
                  <w:shd w:val="clear" w:color="auto" w:fill="auto"/>
                  <w:vAlign w:val="center"/>
                </w:tcPr>
                <w:p>
                  <w:pPr>
                    <w:snapToGrid w:val="0"/>
                    <w:ind w:firstLine="420" w:firstLineChars="200"/>
                    <w:jc w:val="left"/>
                    <w:rPr>
                      <w:color w:val="000000"/>
                      <w:szCs w:val="21"/>
                    </w:rPr>
                  </w:pPr>
                  <w:r>
                    <w:rPr>
                      <w:rFonts w:hint="eastAsia"/>
                      <w:color w:val="000000"/>
                      <w:szCs w:val="21"/>
                    </w:rPr>
                    <w:t>到2025年，全市生态环境质量持续改善，生态空间得到优化和有效保护，区域生态安全屏障更加牢固。全市环境空气质量总体保持优良，主城建成区空气质量优良天数占比达99%以上，二氧化硫（SO</w:t>
                  </w:r>
                  <w:r>
                    <w:rPr>
                      <w:rFonts w:hint="eastAsia"/>
                      <w:color w:val="000000"/>
                      <w:szCs w:val="21"/>
                      <w:vertAlign w:val="subscript"/>
                    </w:rPr>
                    <w:t>2</w:t>
                  </w:r>
                  <w:r>
                    <w:rPr>
                      <w:rFonts w:hint="eastAsia"/>
                      <w:color w:val="000000"/>
                      <w:szCs w:val="21"/>
                    </w:rPr>
                    <w:t>）和氮氧化物（NO</w:t>
                  </w:r>
                  <w:r>
                    <w:rPr>
                      <w:rFonts w:hint="eastAsia"/>
                      <w:color w:val="000000"/>
                      <w:szCs w:val="21"/>
                      <w:vertAlign w:val="subscript"/>
                    </w:rPr>
                    <w:t>x</w:t>
                  </w:r>
                  <w:r>
                    <w:rPr>
                      <w:rFonts w:hint="eastAsia"/>
                      <w:color w:val="000000"/>
                      <w:szCs w:val="21"/>
                    </w:rPr>
                    <w:t>）排放总量控制在省下达的目标以内，主城区空气中颗粒物（PM10、PM2.5）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 市土壤环境质量，遏制土壤污染恶化趋势，土壤环境风险得到基本管控。污染地块安全利用率、耕地土壤环境质量达到国家和云南省考核要求。</w:t>
                  </w:r>
                </w:p>
                <w:p>
                  <w:pPr>
                    <w:snapToGrid w:val="0"/>
                    <w:ind w:firstLine="420" w:firstLineChars="200"/>
                    <w:jc w:val="left"/>
                    <w:rPr>
                      <w:color w:val="000000"/>
                      <w:szCs w:val="21"/>
                    </w:rPr>
                  </w:pPr>
                  <w:r>
                    <w:rPr>
                      <w:rFonts w:hint="eastAsia"/>
                      <w:color w:val="000000"/>
                      <w:szCs w:val="21"/>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 标。土壤环境质量稳中向好，农用地和建设用地土壤环境安全得到有效保障，土壤环境风险得到全面管控。</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无工艺废水产生，产生的清洗废水有搅拌楼清洗废水和混凝土罐车清洗废水排入沉淀池沉淀后回用，食堂设置油水分离池经油水分离后同其他生活废水一起排入化粪池，所有生活污水经化粪池处理后用槽罐车外送污水处理厂</w:t>
                  </w:r>
                  <w:r>
                    <w:rPr>
                      <w:rFonts w:hint="eastAsia"/>
                      <w:color w:val="000000" w:themeColor="text1"/>
                      <w:szCs w:val="21"/>
                      <w14:textFill>
                        <w14:solidFill>
                          <w14:schemeClr w14:val="tx1"/>
                        </w14:solidFill>
                      </w14:textFill>
                    </w:rPr>
                    <w:t>处理，详情见附件</w:t>
                  </w: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w:t>
                  </w:r>
                  <w:r>
                    <w:rPr>
                      <w:rFonts w:hint="eastAsia"/>
                      <w:color w:val="000000"/>
                      <w:szCs w:val="21"/>
                    </w:rPr>
                    <w:t>项目废水不外排，对周围环境影响较小。</w:t>
                  </w:r>
                </w:p>
                <w:p>
                  <w:pPr>
                    <w:snapToGrid w:val="0"/>
                    <w:ind w:firstLine="420" w:firstLineChars="200"/>
                    <w:rPr>
                      <w:color w:val="000000"/>
                      <w:szCs w:val="21"/>
                    </w:rPr>
                  </w:pPr>
                  <w:r>
                    <w:rPr>
                      <w:rFonts w:hint="eastAsia"/>
                      <w:color w:val="000000"/>
                      <w:szCs w:val="21"/>
                    </w:rPr>
                    <w:t>本项目区域所在地大气环境能够满足《环境空气项标准》（GB</w:t>
                  </w:r>
                  <w:r>
                    <w:rPr>
                      <w:rFonts w:hint="eastAsia"/>
                      <w:color w:val="000000"/>
                      <w:szCs w:val="21"/>
                      <w:lang w:eastAsia="zh-CN"/>
                    </w:rPr>
                    <w:t>****</w:t>
                  </w:r>
                  <w:r>
                    <w:rPr>
                      <w:rFonts w:hint="eastAsia"/>
                      <w:color w:val="000000"/>
                      <w:szCs w:val="21"/>
                    </w:rPr>
                    <w:t>-2012）二级标准要求，本项目大气污染物颗粒物（TSP），经有效处理，能达标排放。</w:t>
                  </w:r>
                </w:p>
                <w:p>
                  <w:pPr>
                    <w:snapToGrid w:val="0"/>
                    <w:ind w:firstLine="420" w:firstLineChars="200"/>
                    <w:rPr>
                      <w:color w:val="000000"/>
                      <w:szCs w:val="21"/>
                    </w:rPr>
                  </w:pPr>
                  <w:r>
                    <w:rPr>
                      <w:rFonts w:hint="eastAsia"/>
                      <w:color w:val="000000"/>
                      <w:szCs w:val="21"/>
                    </w:rPr>
                    <w:t>本项目危险废物为生产设备维修过程产生的废机油，设危废暂存间，做好防渗措施。项目沉淀池底为混凝土结构，化粪池设置防渗措施，不会对土壤环境质量造成影响。</w:t>
                  </w:r>
                </w:p>
              </w:tc>
              <w:tc>
                <w:tcPr>
                  <w:tcW w:w="0" w:type="auto"/>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napToGrid w:val="0"/>
                    <w:jc w:val="center"/>
                    <w:rPr>
                      <w:color w:val="000000"/>
                      <w:szCs w:val="21"/>
                    </w:rPr>
                  </w:pPr>
                  <w:r>
                    <w:rPr>
                      <w:color w:val="000000"/>
                      <w:szCs w:val="21"/>
                    </w:rPr>
                    <w:t>资源利用上线</w:t>
                  </w:r>
                </w:p>
              </w:tc>
              <w:tc>
                <w:tcPr>
                  <w:tcW w:w="3971" w:type="dxa"/>
                  <w:gridSpan w:val="3"/>
                  <w:shd w:val="clear" w:color="auto" w:fill="auto"/>
                  <w:vAlign w:val="center"/>
                </w:tcPr>
                <w:p>
                  <w:pPr>
                    <w:snapToGrid w:val="0"/>
                    <w:ind w:firstLine="420" w:firstLineChars="200"/>
                    <w:jc w:val="left"/>
                    <w:rPr>
                      <w:color w:val="000000"/>
                      <w:szCs w:val="21"/>
                    </w:rPr>
                  </w:pPr>
                  <w:r>
                    <w:rPr>
                      <w:rFonts w:hint="eastAsia"/>
                      <w:color w:val="000000"/>
                      <w:szCs w:val="21"/>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项目用生产用水全部进入生产产品，其他生产废水经过处理后回用，并不造成水资源浪费，且总体用水量不大。</w:t>
                  </w:r>
                </w:p>
                <w:p>
                  <w:pPr>
                    <w:snapToGrid w:val="0"/>
                    <w:ind w:firstLine="420" w:firstLineChars="200"/>
                    <w:rPr>
                      <w:color w:val="000000"/>
                      <w:szCs w:val="21"/>
                    </w:rPr>
                  </w:pPr>
                  <w:r>
                    <w:rPr>
                      <w:rFonts w:hint="eastAsia"/>
                      <w:color w:val="000000"/>
                      <w:szCs w:val="21"/>
                    </w:rPr>
                    <w:t>项目生产过程主要使用电能，不属于高耗能项目。</w:t>
                  </w:r>
                </w:p>
                <w:p>
                  <w:pPr>
                    <w:snapToGrid w:val="0"/>
                    <w:ind w:firstLine="420" w:firstLineChars="200"/>
                    <w:rPr>
                      <w:color w:val="000000"/>
                      <w:szCs w:val="21"/>
                    </w:rPr>
                  </w:pPr>
                  <w:r>
                    <w:rPr>
                      <w:rFonts w:hint="eastAsia"/>
                      <w:color w:val="000000"/>
                      <w:szCs w:val="21"/>
                    </w:rPr>
                    <w:t>项目不占用基本农田，且项目为临时用地，不会突破当地土地资源利用上线。</w:t>
                  </w:r>
                </w:p>
              </w:tc>
              <w:tc>
                <w:tcPr>
                  <w:tcW w:w="0" w:type="auto"/>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vMerge w:val="restart"/>
                  <w:shd w:val="clear" w:color="auto" w:fill="auto"/>
                  <w:vAlign w:val="center"/>
                </w:tcPr>
                <w:p>
                  <w:pPr>
                    <w:snapToGrid w:val="0"/>
                    <w:jc w:val="center"/>
                    <w:rPr>
                      <w:color w:val="000000"/>
                      <w:szCs w:val="21"/>
                    </w:rPr>
                  </w:pPr>
                  <w:r>
                    <w:rPr>
                      <w:color w:val="000000"/>
                      <w:szCs w:val="21"/>
                    </w:rPr>
                    <w:t>生态环境准入清单</w:t>
                  </w:r>
                </w:p>
              </w:tc>
              <w:tc>
                <w:tcPr>
                  <w:tcW w:w="426" w:type="dxa"/>
                  <w:vMerge w:val="restart"/>
                  <w:shd w:val="clear" w:color="auto" w:fill="auto"/>
                  <w:vAlign w:val="center"/>
                </w:tcPr>
                <w:p>
                  <w:pPr>
                    <w:snapToGrid w:val="0"/>
                    <w:rPr>
                      <w:color w:val="000000"/>
                      <w:szCs w:val="21"/>
                    </w:rPr>
                  </w:pPr>
                  <w:r>
                    <w:rPr>
                      <w:rFonts w:hint="eastAsia"/>
                      <w:color w:val="000000"/>
                      <w:szCs w:val="21"/>
                    </w:rPr>
                    <w:t>东川区土壤污染重点管控单元</w:t>
                  </w:r>
                </w:p>
              </w:tc>
              <w:tc>
                <w:tcPr>
                  <w:tcW w:w="410" w:type="dxa"/>
                  <w:shd w:val="clear" w:color="auto" w:fill="auto"/>
                  <w:vAlign w:val="center"/>
                </w:tcPr>
                <w:p>
                  <w:pPr>
                    <w:snapToGrid w:val="0"/>
                    <w:rPr>
                      <w:color w:val="000000"/>
                      <w:szCs w:val="21"/>
                    </w:rPr>
                  </w:pPr>
                  <w:r>
                    <w:rPr>
                      <w:rFonts w:hint="eastAsia"/>
                      <w:color w:val="000000"/>
                      <w:szCs w:val="21"/>
                    </w:rPr>
                    <w:t>空间布局约束</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1.禁止在崩塌、滑坡危险区和泥石流易发区从事取土、挖砂、采石等可能造成水土流失的活动。</w:t>
                  </w:r>
                </w:p>
                <w:p>
                  <w:pPr>
                    <w:snapToGrid w:val="0"/>
                    <w:ind w:firstLine="420" w:firstLineChars="200"/>
                    <w:rPr>
                      <w:color w:val="000000"/>
                      <w:szCs w:val="21"/>
                    </w:rPr>
                  </w:pPr>
                  <w:r>
                    <w:rPr>
                      <w:rFonts w:hint="eastAsia"/>
                      <w:color w:val="000000"/>
                      <w:szCs w:val="21"/>
                    </w:rPr>
                    <w:t>2.限制新建、改扩建各类畜禽养殖场，已建的应配套建设粪便污水贮存、处理、利用设施实现粪污综合利用。</w:t>
                  </w:r>
                </w:p>
                <w:p>
                  <w:pPr>
                    <w:snapToGrid w:val="0"/>
                    <w:ind w:firstLine="420" w:firstLineChars="200"/>
                    <w:rPr>
                      <w:color w:val="000000"/>
                      <w:szCs w:val="21"/>
                    </w:rPr>
                  </w:pPr>
                  <w:r>
                    <w:rPr>
                      <w:rFonts w:hint="eastAsia"/>
                      <w:color w:val="000000"/>
                      <w:szCs w:val="21"/>
                    </w:rPr>
                    <w:t>3.现有散、小规模养殖场（户）应限期实现退养或标准化改造。</w:t>
                  </w:r>
                </w:p>
                <w:p>
                  <w:pPr>
                    <w:snapToGrid w:val="0"/>
                    <w:ind w:firstLine="420" w:firstLineChars="200"/>
                    <w:rPr>
                      <w:color w:val="000000"/>
                      <w:szCs w:val="21"/>
                    </w:rPr>
                  </w:pPr>
                  <w:r>
                    <w:rPr>
                      <w:rFonts w:hint="eastAsia"/>
                      <w:color w:val="000000"/>
                      <w:szCs w:val="21"/>
                    </w:rPr>
                    <w:t>4.禁止超标排放，污水收集管网范围内除相关法律法规和标准规定必须设置排污口的情况外，应全部纳入污水管网集中处理，现有的入河排污口应限期纳入污水管网。</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项目属于水泥制品制造，并没有开展可能造成水土流失的活动；产生的项目废水不外排，生活污水用槽罐车外送污水处理厂处理。</w:t>
                  </w:r>
                </w:p>
              </w:tc>
              <w:tc>
                <w:tcPr>
                  <w:tcW w:w="0" w:type="auto"/>
                  <w:vMerge w:val="restart"/>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shd w:val="clear" w:color="auto" w:fill="auto"/>
                  <w:vAlign w:val="center"/>
                </w:tcPr>
                <w:p>
                  <w:pPr>
                    <w:snapToGrid w:val="0"/>
                    <w:jc w:val="center"/>
                    <w:rPr>
                      <w:color w:val="000000"/>
                      <w:szCs w:val="21"/>
                    </w:rPr>
                  </w:pPr>
                </w:p>
              </w:tc>
              <w:tc>
                <w:tcPr>
                  <w:tcW w:w="426" w:type="dxa"/>
                  <w:vMerge w:val="continue"/>
                  <w:shd w:val="clear" w:color="auto" w:fill="auto"/>
                  <w:vAlign w:val="center"/>
                </w:tcPr>
                <w:p>
                  <w:pPr>
                    <w:snapToGrid w:val="0"/>
                    <w:rPr>
                      <w:color w:val="000000"/>
                      <w:szCs w:val="21"/>
                    </w:rPr>
                  </w:pPr>
                </w:p>
              </w:tc>
              <w:tc>
                <w:tcPr>
                  <w:tcW w:w="410" w:type="dxa"/>
                  <w:shd w:val="clear" w:color="auto" w:fill="auto"/>
                  <w:vAlign w:val="center"/>
                </w:tcPr>
                <w:p>
                  <w:pPr>
                    <w:snapToGrid w:val="0"/>
                    <w:rPr>
                      <w:color w:val="000000"/>
                      <w:szCs w:val="21"/>
                    </w:rPr>
                  </w:pPr>
                  <w:r>
                    <w:rPr>
                      <w:rFonts w:hint="eastAsia"/>
                      <w:color w:val="000000"/>
                      <w:szCs w:val="21"/>
                    </w:rPr>
                    <w:t>污染物排放管控</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1.按《云南省地表水水环境功能区划（2010~2020年）》要求，保持水质类别为饮用水一级A，水质Ⅲ类及以上。该区域属于大气气体敏感区，现有排放大气污染物的工业企业持续开展节能减排，大气污染严重的工业企业应责令关停或逐步迁出。</w:t>
                  </w:r>
                </w:p>
                <w:p>
                  <w:pPr>
                    <w:snapToGrid w:val="0"/>
                    <w:ind w:firstLine="420" w:firstLineChars="200"/>
                    <w:rPr>
                      <w:color w:val="000000"/>
                      <w:szCs w:val="21"/>
                    </w:rPr>
                  </w:pPr>
                  <w:r>
                    <w:rPr>
                      <w:rFonts w:hint="eastAsia"/>
                      <w:color w:val="000000"/>
                      <w:szCs w:val="21"/>
                    </w:rPr>
                    <w:t>2.禁止焚烧生活垃圾、建筑垃圾等废弃物。禁止使用国务院环境保护行政主管部门规定的高污染燃料，加强餐饮业燃料烟气及餐饮油烟防治，鼓励餐饮业及居民生活能源使用清洁能源。</w:t>
                  </w:r>
                </w:p>
                <w:p>
                  <w:pPr>
                    <w:snapToGrid w:val="0"/>
                    <w:ind w:firstLine="420" w:firstLineChars="200"/>
                    <w:rPr>
                      <w:color w:val="000000"/>
                      <w:szCs w:val="21"/>
                    </w:rPr>
                  </w:pPr>
                  <w:r>
                    <w:rPr>
                      <w:rFonts w:hint="eastAsia"/>
                      <w:color w:val="000000"/>
                      <w:szCs w:val="21"/>
                    </w:rPr>
                    <w:t>3</w:t>
                  </w:r>
                  <w:r>
                    <w:rPr>
                      <w:color w:val="000000"/>
                      <w:szCs w:val="21"/>
                    </w:rPr>
                    <w:t>.</w:t>
                  </w:r>
                  <w:r>
                    <w:rPr>
                      <w:rFonts w:hint="eastAsia"/>
                      <w:color w:val="000000"/>
                      <w:szCs w:val="21"/>
                    </w:rPr>
                    <w:t>加强农业面源污染治理。控制城镇扩张速度，节约用水，减少污水产生。</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1</w:t>
                  </w:r>
                  <w:r>
                    <w:rPr>
                      <w:color w:val="000000"/>
                      <w:szCs w:val="21"/>
                    </w:rPr>
                    <w:t>.</w:t>
                  </w:r>
                  <w:r>
                    <w:rPr>
                      <w:rFonts w:hint="eastAsia"/>
                      <w:color w:val="000000"/>
                      <w:szCs w:val="21"/>
                    </w:rPr>
                    <w:t>项目无废水外排，对附近地表水环境无影响；产生的粉尘污染经有效措施处理后能达标排放，对大气环境影响较小。</w:t>
                  </w:r>
                </w:p>
                <w:p>
                  <w:pPr>
                    <w:snapToGrid w:val="0"/>
                    <w:ind w:firstLine="420" w:firstLineChars="200"/>
                    <w:rPr>
                      <w:color w:val="000000"/>
                      <w:szCs w:val="21"/>
                    </w:rPr>
                  </w:pPr>
                  <w:r>
                    <w:rPr>
                      <w:rFonts w:hint="eastAsia"/>
                      <w:color w:val="000000"/>
                      <w:szCs w:val="21"/>
                    </w:rPr>
                    <w:t>2</w:t>
                  </w:r>
                  <w:r>
                    <w:rPr>
                      <w:color w:val="000000"/>
                      <w:szCs w:val="21"/>
                    </w:rPr>
                    <w:t>.</w:t>
                  </w:r>
                  <w:r>
                    <w:rPr>
                      <w:rFonts w:hint="eastAsia"/>
                      <w:color w:val="000000"/>
                    </w:rPr>
                    <w:t>项目未</w:t>
                  </w:r>
                  <w:r>
                    <w:rPr>
                      <w:rFonts w:hint="eastAsia"/>
                      <w:color w:val="000000"/>
                      <w:szCs w:val="21"/>
                    </w:rPr>
                    <w:t>焚烧生活垃圾、建筑垃圾等废弃物。未使用国务院环境保护行政主管部门规定的高污染燃料。</w:t>
                  </w:r>
                </w:p>
                <w:p>
                  <w:pPr>
                    <w:snapToGrid w:val="0"/>
                    <w:ind w:firstLine="420" w:firstLineChars="200"/>
                    <w:rPr>
                      <w:color w:val="000000"/>
                      <w:szCs w:val="21"/>
                    </w:rPr>
                  </w:pPr>
                  <w:r>
                    <w:rPr>
                      <w:rFonts w:hint="eastAsia"/>
                      <w:color w:val="000000"/>
                      <w:szCs w:val="21"/>
                    </w:rPr>
                    <w:t>3</w:t>
                  </w:r>
                  <w:r>
                    <w:rPr>
                      <w:color w:val="000000"/>
                      <w:szCs w:val="21"/>
                    </w:rPr>
                    <w:t>.</w:t>
                  </w:r>
                  <w:r>
                    <w:rPr>
                      <w:rFonts w:hint="eastAsia"/>
                      <w:color w:val="000000"/>
                      <w:szCs w:val="21"/>
                    </w:rPr>
                    <w:t>项目不存在农业面源污染；项目污水产生量不大。</w:t>
                  </w:r>
                </w:p>
              </w:tc>
              <w:tc>
                <w:tcPr>
                  <w:tcW w:w="0" w:type="auto"/>
                  <w:vMerge w:val="continue"/>
                  <w:shd w:val="clear" w:color="auto" w:fill="auto"/>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shd w:val="clear" w:color="auto" w:fill="auto"/>
                  <w:vAlign w:val="center"/>
                </w:tcPr>
                <w:p>
                  <w:pPr>
                    <w:snapToGrid w:val="0"/>
                    <w:jc w:val="center"/>
                    <w:rPr>
                      <w:color w:val="000000"/>
                      <w:szCs w:val="21"/>
                    </w:rPr>
                  </w:pPr>
                </w:p>
              </w:tc>
              <w:tc>
                <w:tcPr>
                  <w:tcW w:w="426" w:type="dxa"/>
                  <w:vMerge w:val="continue"/>
                  <w:shd w:val="clear" w:color="auto" w:fill="auto"/>
                  <w:vAlign w:val="center"/>
                </w:tcPr>
                <w:p>
                  <w:pPr>
                    <w:snapToGrid w:val="0"/>
                    <w:rPr>
                      <w:color w:val="000000"/>
                      <w:szCs w:val="21"/>
                    </w:rPr>
                  </w:pPr>
                </w:p>
              </w:tc>
              <w:tc>
                <w:tcPr>
                  <w:tcW w:w="410" w:type="dxa"/>
                  <w:shd w:val="clear" w:color="auto" w:fill="auto"/>
                  <w:vAlign w:val="center"/>
                </w:tcPr>
                <w:p>
                  <w:pPr>
                    <w:snapToGrid w:val="0"/>
                    <w:rPr>
                      <w:color w:val="000000"/>
                      <w:szCs w:val="21"/>
                    </w:rPr>
                  </w:pPr>
                  <w:r>
                    <w:rPr>
                      <w:rFonts w:hint="eastAsia"/>
                      <w:color w:val="000000"/>
                      <w:szCs w:val="21"/>
                    </w:rPr>
                    <w:t>环境风险防控</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1.禁止生活污水未经处理排放。严禁在水库岸线建设餐饮、娱乐、酒店等旅游设施。</w:t>
                  </w:r>
                </w:p>
                <w:p>
                  <w:pPr>
                    <w:snapToGrid w:val="0"/>
                    <w:ind w:firstLine="420" w:firstLineChars="200"/>
                    <w:rPr>
                      <w:color w:val="000000"/>
                      <w:szCs w:val="21"/>
                    </w:rPr>
                  </w:pPr>
                  <w:r>
                    <w:rPr>
                      <w:rFonts w:hint="eastAsia"/>
                      <w:color w:val="000000"/>
                      <w:szCs w:val="21"/>
                    </w:rPr>
                    <w:t>2.禁止在河流附近修建餐饮等娱乐设施。建立环境风险预测预警体系，完善突发环境事件应急预案，提高预警能力。</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项目生活污水用槽罐车外送污水处理厂处理，对附近河流我影响。</w:t>
                  </w:r>
                </w:p>
              </w:tc>
              <w:tc>
                <w:tcPr>
                  <w:tcW w:w="0" w:type="auto"/>
                  <w:vMerge w:val="continue"/>
                  <w:shd w:val="clear" w:color="auto" w:fill="auto"/>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vMerge w:val="continue"/>
                  <w:shd w:val="clear" w:color="auto" w:fill="auto"/>
                  <w:vAlign w:val="center"/>
                </w:tcPr>
                <w:p>
                  <w:pPr>
                    <w:snapToGrid w:val="0"/>
                    <w:jc w:val="center"/>
                    <w:rPr>
                      <w:color w:val="000000"/>
                      <w:szCs w:val="21"/>
                    </w:rPr>
                  </w:pPr>
                </w:p>
              </w:tc>
              <w:tc>
                <w:tcPr>
                  <w:tcW w:w="426" w:type="dxa"/>
                  <w:vMerge w:val="continue"/>
                  <w:shd w:val="clear" w:color="auto" w:fill="auto"/>
                  <w:vAlign w:val="center"/>
                </w:tcPr>
                <w:p>
                  <w:pPr>
                    <w:snapToGrid w:val="0"/>
                    <w:rPr>
                      <w:color w:val="000000"/>
                      <w:szCs w:val="21"/>
                    </w:rPr>
                  </w:pPr>
                </w:p>
              </w:tc>
              <w:tc>
                <w:tcPr>
                  <w:tcW w:w="410" w:type="dxa"/>
                  <w:shd w:val="clear" w:color="auto" w:fill="auto"/>
                  <w:vAlign w:val="center"/>
                </w:tcPr>
                <w:p>
                  <w:pPr>
                    <w:snapToGrid w:val="0"/>
                    <w:rPr>
                      <w:color w:val="000000"/>
                      <w:szCs w:val="21"/>
                    </w:rPr>
                  </w:pPr>
                  <w:r>
                    <w:rPr>
                      <w:rFonts w:hint="eastAsia"/>
                      <w:color w:val="000000"/>
                      <w:szCs w:val="21"/>
                    </w:rPr>
                    <w:t>资源开发效率要求</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工业污水处理达标率达到100%。</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项目生产过程中产生的废水，经沉淀池沉淀后回用于生产，处理率达到1</w:t>
                  </w:r>
                  <w:r>
                    <w:rPr>
                      <w:color w:val="000000"/>
                      <w:szCs w:val="21"/>
                    </w:rPr>
                    <w:t>00</w:t>
                  </w:r>
                  <w:r>
                    <w:rPr>
                      <w:rFonts w:hint="eastAsia"/>
                      <w:color w:val="000000"/>
                      <w:szCs w:val="21"/>
                    </w:rPr>
                    <w:t>%。</w:t>
                  </w:r>
                </w:p>
              </w:tc>
              <w:tc>
                <w:tcPr>
                  <w:tcW w:w="0" w:type="auto"/>
                  <w:vMerge w:val="continue"/>
                  <w:shd w:val="clear" w:color="auto" w:fill="auto"/>
                  <w:vAlign w:val="center"/>
                </w:tcPr>
                <w:p>
                  <w:pPr>
                    <w:snapToGrid w:val="0"/>
                    <w:jc w:val="center"/>
                    <w:rPr>
                      <w:color w:val="000000"/>
                      <w:szCs w:val="21"/>
                    </w:rPr>
                  </w:pPr>
                </w:p>
              </w:tc>
            </w:tr>
          </w:tbl>
          <w:p>
            <w:pPr>
              <w:snapToGrid w:val="0"/>
              <w:spacing w:line="360" w:lineRule="auto"/>
              <w:ind w:firstLine="480" w:firstLineChars="200"/>
              <w:rPr>
                <w:color w:val="000000"/>
                <w:sz w:val="24"/>
                <w:szCs w:val="21"/>
              </w:rPr>
            </w:pPr>
            <w:r>
              <w:rPr>
                <w:rFonts w:hint="eastAsia"/>
                <w:color w:val="000000"/>
                <w:sz w:val="24"/>
                <w:szCs w:val="21"/>
              </w:rPr>
              <w:t>综上所述，项目不涉及生态保护红线，项目不会突破环境质量底线，符合资源利用上线，本项目与“三线一单”基本相符。</w:t>
            </w:r>
          </w:p>
          <w:p>
            <w:pPr>
              <w:pStyle w:val="171"/>
              <w:rPr>
                <w:rFonts w:hint="eastAsia" w:ascii="Times New Roman" w:hAnsi="Times New Roman" w:eastAsia="宋体" w:cs="Times New Roman"/>
                <w:color w:val="000000"/>
                <w:sz w:val="24"/>
                <w:szCs w:val="21"/>
              </w:rPr>
            </w:pPr>
            <w:r>
              <w:rPr>
                <w:rFonts w:hint="eastAsia" w:ascii="Times New Roman" w:hAnsi="Times New Roman" w:eastAsia="宋体" w:cs="Times New Roman"/>
                <w:color w:val="000000"/>
                <w:sz w:val="24"/>
                <w:szCs w:val="21"/>
              </w:rPr>
              <w:t>3、与</w:t>
            </w:r>
            <w:r>
              <w:rPr>
                <w:rFonts w:hint="eastAsia" w:ascii="Times New Roman" w:hAnsi="Times New Roman" w:eastAsia="宋体" w:cs="Times New Roman"/>
                <w:color w:val="000000"/>
                <w:sz w:val="24"/>
                <w:szCs w:val="21"/>
                <w:lang w:eastAsia="zh-CN"/>
              </w:rPr>
              <w:t>《云南省长江经济带发展负面清单指南实施细则（试行，2022年版）》</w:t>
            </w:r>
            <w:r>
              <w:rPr>
                <w:rFonts w:hint="eastAsia" w:ascii="Times New Roman" w:hAnsi="Times New Roman" w:eastAsia="宋体" w:cs="Times New Roman"/>
                <w:color w:val="000000"/>
                <w:sz w:val="24"/>
                <w:szCs w:val="21"/>
              </w:rPr>
              <w:t>符合性分析</w:t>
            </w:r>
          </w:p>
          <w:p>
            <w:pPr>
              <w:widowControl/>
              <w:spacing w:line="360" w:lineRule="auto"/>
              <w:jc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表1-</w:t>
            </w:r>
            <w:r>
              <w:rPr>
                <w:rFonts w:hint="eastAsia" w:ascii="宋体" w:hAnsi="宋体" w:eastAsia="宋体" w:cs="宋体"/>
                <w:b/>
                <w:bCs/>
                <w:kern w:val="0"/>
                <w:sz w:val="21"/>
                <w:szCs w:val="21"/>
                <w:lang w:val="en-US" w:eastAsia="zh-CN" w:bidi="ar"/>
              </w:rPr>
              <w:t xml:space="preserve">3 </w:t>
            </w:r>
            <w:r>
              <w:rPr>
                <w:rFonts w:hint="eastAsia" w:ascii="宋体" w:hAnsi="宋体" w:eastAsia="宋体" w:cs="宋体"/>
                <w:b/>
                <w:bCs/>
                <w:kern w:val="0"/>
                <w:sz w:val="21"/>
                <w:szCs w:val="21"/>
                <w:lang w:bidi="ar"/>
              </w:rPr>
              <w:t>与</w:t>
            </w:r>
            <w:r>
              <w:rPr>
                <w:rFonts w:hint="eastAsia" w:ascii="宋体" w:hAnsi="宋体" w:eastAsia="宋体" w:cs="宋体"/>
                <w:b/>
                <w:bCs/>
                <w:kern w:val="0"/>
                <w:sz w:val="21"/>
                <w:szCs w:val="21"/>
                <w:lang w:eastAsia="zh-CN" w:bidi="ar"/>
              </w:rPr>
              <w:t>《云南省长江经济带发展负面清单指南实施细则》</w:t>
            </w:r>
            <w:r>
              <w:rPr>
                <w:rFonts w:hint="eastAsia" w:ascii="宋体" w:hAnsi="宋体" w:eastAsia="宋体" w:cs="宋体"/>
                <w:b/>
                <w:bCs/>
                <w:kern w:val="0"/>
                <w:sz w:val="21"/>
                <w:szCs w:val="21"/>
                <w:lang w:bidi="ar"/>
              </w:rPr>
              <w:t>符合性分析</w:t>
            </w:r>
          </w:p>
          <w:tbl>
            <w:tblPr>
              <w:tblStyle w:val="9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3921"/>
              <w:gridCol w:w="2252"/>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noWrap w:val="0"/>
                  <w:vAlign w:val="center"/>
                </w:tcPr>
                <w:p>
                  <w:pPr>
                    <w:widowControl/>
                    <w:adjustRightInd w:val="0"/>
                    <w:spacing w:line="312" w:lineRule="atLeast"/>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序号</w:t>
                  </w:r>
                </w:p>
              </w:tc>
              <w:tc>
                <w:tcPr>
                  <w:tcW w:w="2620"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负面清单指南要求</w:t>
                  </w:r>
                </w:p>
              </w:tc>
              <w:tc>
                <w:tcPr>
                  <w:tcW w:w="1505"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本项目情况</w:t>
                  </w:r>
                </w:p>
              </w:tc>
              <w:tc>
                <w:tcPr>
                  <w:tcW w:w="557" w:type="pct"/>
                  <w:noWrap w:val="0"/>
                  <w:vAlign w:val="center"/>
                </w:tcPr>
                <w:p>
                  <w:pPr>
                    <w:widowControl/>
                    <w:adjustRightInd w:val="0"/>
                    <w:spacing w:line="312" w:lineRule="atLeast"/>
                    <w:textAlignment w:val="baseline"/>
                    <w:rPr>
                      <w:rFonts w:hint="default" w:ascii="Times New Roman" w:hAnsi="Times New Roman" w:eastAsia="宋体" w:cs="Times New Roman"/>
                      <w:b/>
                      <w:bCs/>
                      <w:kern w:val="0"/>
                      <w:sz w:val="21"/>
                      <w:szCs w:val="21"/>
                      <w:lang w:bidi="ar"/>
                    </w:rPr>
                  </w:pPr>
                  <w:r>
                    <w:rPr>
                      <w:rFonts w:hint="default" w:ascii="Times New Roman" w:hAnsi="Times New Roman" w:eastAsia="宋体" w:cs="Times New Roman"/>
                      <w:b/>
                      <w:bCs/>
                      <w:kern w:val="0"/>
                      <w:sz w:val="21"/>
                      <w:szCs w:val="21"/>
                      <w:lang w:bidi="ar"/>
                    </w:rPr>
                    <w:t>符合</w:t>
                  </w:r>
                </w:p>
                <w:p>
                  <w:pPr>
                    <w:widowControl/>
                    <w:adjustRightInd w:val="0"/>
                    <w:spacing w:line="312" w:lineRule="atLeast"/>
                    <w:textAlignment w:val="baseline"/>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kern w:val="0"/>
                      <w:sz w:val="21"/>
                      <w:szCs w:val="21"/>
                      <w:lang w:val="en-US" w:eastAsia="zh-CN"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620" w:type="pct"/>
                  <w:noWrap w:val="0"/>
                  <w:vAlign w:val="center"/>
                </w:tcPr>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一、各类功能区</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（一）禁止一切不符合主体功能定位的投资建设项目，严禁任意改变用途，因国家重大战略资源勘查需要，在不影响主体功能定位的前提下，经法批准后予以安排勘查项目。</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（三）禁止在永久基本农田范围内投资建设除国家重大战略资源勘查项目、生态保护修复和环境治理项目、重大基础设施项目、军事国防项目以</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闲置、荒芜永久基本农田。禁止以设施农用地为名违规占用永久基本农田建设休闲旅游、仓储厂房等设施，坚决防止永久基本农田“非农化”。</w:t>
                  </w:r>
                </w:p>
              </w:tc>
              <w:tc>
                <w:tcPr>
                  <w:tcW w:w="1505" w:type="pct"/>
                  <w:noWrap w:val="0"/>
                  <w:vAlign w:val="center"/>
                </w:tcPr>
                <w:p>
                  <w:pPr>
                    <w:spacing w:beforeLines="0" w:afterLines="0"/>
                    <w:jc w:val="left"/>
                    <w:rPr>
                      <w:rFonts w:hint="default" w:ascii="Times New Roman" w:hAnsi="Times New Roman" w:eastAsia="宋体" w:cs="Times New Roman"/>
                      <w:sz w:val="21"/>
                      <w:szCs w:val="21"/>
                      <w:lang w:eastAsia="zh-CN"/>
                    </w:rPr>
                  </w:pPr>
                  <w:r>
                    <w:rPr>
                      <w:color w:val="000000"/>
                      <w:szCs w:val="21"/>
                    </w:rPr>
                    <w:t>项目位于昆明市东川区拖布卡镇格勒村，用地范围土地性质均为</w:t>
                  </w:r>
                  <w:r>
                    <w:rPr>
                      <w:rFonts w:hint="eastAsia"/>
                      <w:color w:val="000000"/>
                      <w:szCs w:val="21"/>
                    </w:rPr>
                    <w:t>临时性用地</w:t>
                  </w:r>
                  <w:r>
                    <w:rPr>
                      <w:color w:val="000000"/>
                      <w:szCs w:val="21"/>
                    </w:rPr>
                    <w:t>，不在生态红线范围内，项目符合生态保护红线的相关要求</w:t>
                  </w:r>
                  <w:r>
                    <w:rPr>
                      <w:rFonts w:hint="eastAsia"/>
                      <w:color w:val="000000"/>
                      <w:szCs w:val="21"/>
                      <w:lang w:eastAsia="zh-CN"/>
                    </w:rPr>
                    <w:t>，</w:t>
                  </w:r>
                  <w:r>
                    <w:rPr>
                      <w:rFonts w:hint="eastAsia"/>
                      <w:color w:val="000000"/>
                      <w:szCs w:val="21"/>
                      <w:lang w:val="en-US" w:eastAsia="zh-CN"/>
                    </w:rPr>
                    <w:t>且项目不占用基本农田</w:t>
                  </w:r>
                  <w:r>
                    <w:rPr>
                      <w:color w:val="000000"/>
                      <w:szCs w:val="21"/>
                    </w:rPr>
                    <w:t>。</w:t>
                  </w:r>
                </w:p>
              </w:tc>
              <w:tc>
                <w:tcPr>
                  <w:tcW w:w="557" w:type="pct"/>
                  <w:noWrap w:val="0"/>
                  <w:vAlign w:val="center"/>
                </w:tcPr>
                <w:p>
                  <w:pPr>
                    <w:widowControl/>
                    <w:adjustRightInd/>
                    <w:spacing w:line="312" w:lineRule="atLeas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620" w:type="pct"/>
                  <w:noWrap w:val="0"/>
                  <w:vAlign w:val="center"/>
                </w:tcPr>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二、各类保护区</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七）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八）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九）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p>
              </w:tc>
              <w:tc>
                <w:tcPr>
                  <w:tcW w:w="1505" w:type="pct"/>
                  <w:noWrap w:val="0"/>
                  <w:vAlign w:val="center"/>
                </w:tcPr>
                <w:p>
                  <w:pPr>
                    <w:spacing w:beforeLines="0" w:afterLines="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项目位于昆明市东川区拖布卡镇格勒村，不在生态红线范围内，</w:t>
                  </w:r>
                  <w:r>
                    <w:rPr>
                      <w:rFonts w:hint="eastAsia" w:cs="Times New Roman"/>
                      <w:sz w:val="21"/>
                      <w:szCs w:val="21"/>
                      <w:lang w:val="en-US" w:eastAsia="zh-CN"/>
                    </w:rPr>
                    <w:t>不占用永久基本农田</w:t>
                  </w:r>
                  <w:r>
                    <w:rPr>
                      <w:rFonts w:hint="default" w:ascii="Times New Roman" w:hAnsi="Times New Roman" w:eastAsia="宋体" w:cs="Times New Roman"/>
                      <w:sz w:val="21"/>
                      <w:szCs w:val="21"/>
                    </w:rPr>
                    <w:t>。</w:t>
                  </w:r>
                  <w:r>
                    <w:rPr>
                      <w:rFonts w:hint="eastAsia" w:cs="Times New Roman"/>
                      <w:sz w:val="21"/>
                      <w:szCs w:val="21"/>
                      <w:lang w:val="en-US" w:eastAsia="zh-CN"/>
                    </w:rPr>
                    <w:t>项目不涉及饮用水水源区域。</w:t>
                  </w:r>
                </w:p>
              </w:tc>
              <w:tc>
                <w:tcPr>
                  <w:tcW w:w="557" w:type="pct"/>
                  <w:noWrap w:val="0"/>
                  <w:vAlign w:val="center"/>
                </w:tcPr>
                <w:p>
                  <w:pPr>
                    <w:widowControl/>
                    <w:adjustRightInd/>
                    <w:spacing w:line="312" w:lineRule="atLeas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620" w:type="pct"/>
                  <w:noWrap w:val="0"/>
                  <w:vAlign w:val="center"/>
                </w:tcPr>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三、工业布局</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（十一）禁止在金沙江、长江一级支流岸线边界</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（十三）禁止在合规园区外新建、扩建钢铁、石化、化工、焦化、建材、有色等高污染项目。禁止新增钢铁、水泥、平板玻璃等行业建设产能，确有必要建设的，应按规定实施产能等量或减量置换。</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五）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七）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505" w:type="pct"/>
                  <w:noWrap w:val="0"/>
                  <w:vAlign w:val="center"/>
                </w:tcPr>
                <w:p>
                  <w:pPr>
                    <w:spacing w:beforeLines="0" w:afterLine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项目位于昆明市东川区拖布卡镇格勒村，</w:t>
                  </w:r>
                  <w:r>
                    <w:rPr>
                      <w:rFonts w:hint="default" w:ascii="Times New Roman" w:hAnsi="Times New Roman" w:eastAsia="宋体" w:cs="Times New Roman"/>
                      <w:sz w:val="21"/>
                      <w:szCs w:val="21"/>
                      <w:lang w:val="en-US" w:eastAsia="zh-CN"/>
                    </w:rPr>
                    <w:t>本项目属于混凝土</w:t>
                  </w:r>
                  <w:r>
                    <w:rPr>
                      <w:rFonts w:hint="eastAsia" w:cs="Times New Roman"/>
                      <w:sz w:val="21"/>
                      <w:szCs w:val="21"/>
                      <w:lang w:val="en-US" w:eastAsia="zh-CN"/>
                    </w:rPr>
                    <w:t>制品</w:t>
                  </w:r>
                  <w:r>
                    <w:rPr>
                      <w:rFonts w:hint="default" w:ascii="Times New Roman" w:hAnsi="Times New Roman" w:eastAsia="宋体" w:cs="Times New Roman"/>
                      <w:sz w:val="21"/>
                      <w:szCs w:val="21"/>
                      <w:lang w:val="en-US" w:eastAsia="zh-CN"/>
                    </w:rPr>
                    <w:t>制造项目，</w:t>
                  </w:r>
                  <w:r>
                    <w:rPr>
                      <w:rFonts w:hint="default" w:ascii="Times New Roman" w:hAnsi="Times New Roman" w:eastAsia="宋体" w:cs="Times New Roman"/>
                      <w:sz w:val="21"/>
                      <w:szCs w:val="21"/>
                    </w:rPr>
                    <w:t>不属于化工类项目和钢铁、石化、化工、焦化、建材、有色等高污染项目，</w:t>
                  </w:r>
                  <w:r>
                    <w:rPr>
                      <w:rFonts w:hint="default" w:ascii="Times New Roman" w:hAnsi="Times New Roman" w:eastAsia="宋体" w:cs="Times New Roman"/>
                      <w:sz w:val="21"/>
                      <w:szCs w:val="21"/>
                      <w:lang w:val="en-US" w:eastAsia="zh-CN"/>
                    </w:rPr>
                    <w:t>本项目属于混凝土</w:t>
                  </w:r>
                  <w:r>
                    <w:rPr>
                      <w:rFonts w:hint="eastAsia" w:cs="Times New Roman"/>
                      <w:sz w:val="21"/>
                      <w:szCs w:val="21"/>
                      <w:lang w:val="en-US" w:eastAsia="zh-CN"/>
                    </w:rPr>
                    <w:t>制品</w:t>
                  </w:r>
                  <w:r>
                    <w:rPr>
                      <w:rFonts w:hint="default" w:ascii="Times New Roman" w:hAnsi="Times New Roman" w:eastAsia="宋体" w:cs="Times New Roman"/>
                      <w:sz w:val="21"/>
                      <w:szCs w:val="21"/>
                      <w:lang w:val="en-US" w:eastAsia="zh-CN"/>
                    </w:rPr>
                    <w:t>制造项目</w:t>
                  </w:r>
                  <w:r>
                    <w:rPr>
                      <w:rFonts w:hint="default" w:ascii="Times New Roman" w:hAnsi="Times New Roman" w:eastAsia="宋体" w:cs="Times New Roman"/>
                      <w:sz w:val="21"/>
                      <w:szCs w:val="21"/>
                    </w:rPr>
                    <w:t>，不属于新增钢铁、水泥、平板玻璃等行业建设产能，也不属于法律法规和相关政策明令禁止的落后产能项目不属于《云南省城镇人口密集区危险化学品生产企业搬迁改造名单》。</w:t>
                  </w:r>
                </w:p>
              </w:tc>
              <w:tc>
                <w:tcPr>
                  <w:tcW w:w="557" w:type="pct"/>
                  <w:noWrap w:val="0"/>
                  <w:vAlign w:val="center"/>
                </w:tcPr>
                <w:p>
                  <w:pPr>
                    <w:widowControl/>
                    <w:adjustRightInd/>
                    <w:spacing w:line="312" w:lineRule="atLeas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snapToGrid w:val="0"/>
              <w:spacing w:line="360" w:lineRule="auto"/>
              <w:rPr>
                <w:rFonts w:hint="eastAsia" w:ascii="宋体" w:hAnsi="宋体" w:cs="宋体"/>
                <w:kern w:val="0"/>
                <w:sz w:val="24"/>
                <w:lang w:bidi="ar"/>
              </w:rPr>
            </w:pPr>
          </w:p>
          <w:p>
            <w:pPr>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kern w:val="0"/>
                <w:sz w:val="24"/>
                <w:lang w:bidi="ar"/>
              </w:rPr>
              <w:t>项目不属于</w:t>
            </w:r>
            <w:r>
              <w:rPr>
                <w:rFonts w:hint="default" w:ascii="Times New Roman" w:hAnsi="Times New Roman" w:eastAsia="宋体" w:cs="Times New Roman"/>
                <w:kern w:val="0"/>
                <w:sz w:val="24"/>
                <w:lang w:eastAsia="zh-CN" w:bidi="ar"/>
              </w:rPr>
              <w:t>《云南省长江经济带发展负面清单指南实施细则（试行，2022年版）》</w:t>
            </w:r>
            <w:r>
              <w:rPr>
                <w:rFonts w:hint="default" w:ascii="Times New Roman" w:hAnsi="Times New Roman" w:eastAsia="宋体" w:cs="Times New Roman"/>
                <w:kern w:val="0"/>
                <w:sz w:val="24"/>
                <w:lang w:bidi="ar"/>
              </w:rPr>
              <w:t>禁止建设项目，该项目实施符合</w:t>
            </w:r>
            <w:r>
              <w:rPr>
                <w:rFonts w:hint="default" w:ascii="Times New Roman" w:hAnsi="Times New Roman" w:eastAsia="宋体" w:cs="Times New Roman"/>
                <w:kern w:val="0"/>
                <w:sz w:val="24"/>
                <w:lang w:eastAsia="zh-CN" w:bidi="ar"/>
              </w:rPr>
              <w:t>《云南省长江经济带发展负面清单指南实施细则（试行，2022年版）》</w:t>
            </w:r>
            <w:r>
              <w:rPr>
                <w:rFonts w:hint="default" w:ascii="Times New Roman" w:hAnsi="Times New Roman" w:eastAsia="宋体" w:cs="Times New Roman"/>
                <w:kern w:val="0"/>
                <w:sz w:val="24"/>
                <w:lang w:bidi="ar"/>
              </w:rPr>
              <w:t>要求。</w:t>
            </w:r>
          </w:p>
          <w:p>
            <w:pPr>
              <w:pStyle w:val="1383"/>
              <w:ind w:firstLine="480"/>
              <w:rPr>
                <w:rFonts w:hint="default" w:ascii="Times New Roman" w:hAnsi="Times New Roman" w:eastAsia="宋体" w:cs="Times New Roman"/>
              </w:rPr>
            </w:pPr>
            <w:r>
              <w:rPr>
                <w:rFonts w:hint="default" w:ascii="Times New Roman" w:hAnsi="Times New Roman" w:eastAsia="宋体" w:cs="Times New Roman"/>
                <w:szCs w:val="24"/>
                <w:lang w:val="en-US" w:bidi="ar"/>
              </w:rPr>
              <w:t>本项目不属于《产业结构调</w:t>
            </w:r>
            <w:r>
              <w:rPr>
                <w:rFonts w:hint="default" w:ascii="Times New Roman" w:hAnsi="Times New Roman" w:eastAsia="宋体" w:cs="Times New Roman"/>
                <w:color w:val="auto"/>
                <w:szCs w:val="24"/>
                <w:lang w:val="en-US" w:bidi="ar"/>
              </w:rPr>
              <w:t>整指导目录（</w:t>
            </w:r>
            <w:r>
              <w:rPr>
                <w:rFonts w:hint="default" w:ascii="Times New Roman" w:hAnsi="Times New Roman" w:eastAsia="宋体" w:cs="Times New Roman"/>
                <w:color w:val="auto"/>
                <w:szCs w:val="24"/>
                <w:lang w:val="en-US" w:eastAsia="zh-CN" w:bidi="ar"/>
              </w:rPr>
              <w:t>2019</w:t>
            </w:r>
            <w:r>
              <w:rPr>
                <w:rFonts w:hint="default" w:ascii="Times New Roman" w:hAnsi="Times New Roman" w:eastAsia="宋体" w:cs="Times New Roman"/>
                <w:color w:val="auto"/>
                <w:szCs w:val="24"/>
                <w:lang w:val="en-US" w:bidi="ar"/>
              </w:rPr>
              <w:t>年本）》中</w:t>
            </w:r>
            <w:r>
              <w:rPr>
                <w:rFonts w:hint="default" w:ascii="Times New Roman" w:hAnsi="Times New Roman" w:eastAsia="宋体" w:cs="Times New Roman"/>
                <w:color w:val="auto"/>
              </w:rPr>
              <w:t>规定的</w:t>
            </w:r>
            <w:r>
              <w:rPr>
                <w:rFonts w:hint="eastAsia" w:cs="Times New Roman"/>
                <w:color w:val="auto"/>
                <w:lang w:eastAsia="zh-CN"/>
              </w:rPr>
              <w:t>“</w:t>
            </w:r>
            <w:r>
              <w:rPr>
                <w:rFonts w:hint="default" w:ascii="Times New Roman" w:hAnsi="Times New Roman" w:eastAsia="宋体" w:cs="Times New Roman"/>
                <w:color w:val="auto"/>
              </w:rPr>
              <w:t>鼓励类</w:t>
            </w:r>
            <w:r>
              <w:rPr>
                <w:rFonts w:hint="eastAsia" w:cs="Times New Roman"/>
                <w:color w:val="auto"/>
                <w:lang w:eastAsia="zh-CN"/>
              </w:rPr>
              <w:t>”</w:t>
            </w:r>
            <w:r>
              <w:rPr>
                <w:rFonts w:hint="default" w:ascii="Times New Roman" w:hAnsi="Times New Roman" w:eastAsia="宋体" w:cs="Times New Roman"/>
                <w:color w:val="auto"/>
              </w:rPr>
              <w:t>、</w:t>
            </w:r>
            <w:r>
              <w:rPr>
                <w:rFonts w:hint="eastAsia" w:cs="Times New Roman"/>
                <w:color w:val="auto"/>
                <w:lang w:eastAsia="zh-CN"/>
              </w:rPr>
              <w:t>“</w:t>
            </w:r>
            <w:r>
              <w:rPr>
                <w:rFonts w:hint="default" w:ascii="Times New Roman" w:hAnsi="Times New Roman" w:eastAsia="宋体" w:cs="Times New Roman"/>
                <w:color w:val="auto"/>
              </w:rPr>
              <w:t>限制类</w:t>
            </w:r>
            <w:r>
              <w:rPr>
                <w:rFonts w:hint="eastAsia" w:cs="Times New Roman"/>
                <w:color w:val="auto"/>
                <w:lang w:eastAsia="zh-CN"/>
              </w:rPr>
              <w:t>”</w:t>
            </w:r>
            <w:r>
              <w:rPr>
                <w:rFonts w:hint="default" w:ascii="Times New Roman" w:hAnsi="Times New Roman" w:eastAsia="宋体" w:cs="Times New Roman"/>
                <w:color w:val="auto"/>
              </w:rPr>
              <w:t>和</w:t>
            </w:r>
            <w:r>
              <w:rPr>
                <w:rFonts w:hint="eastAsia" w:cs="Times New Roman"/>
                <w:color w:val="auto"/>
                <w:lang w:eastAsia="zh-CN"/>
              </w:rPr>
              <w:t>“</w:t>
            </w:r>
            <w:r>
              <w:rPr>
                <w:rFonts w:hint="default" w:ascii="Times New Roman" w:hAnsi="Times New Roman" w:eastAsia="宋体" w:cs="Times New Roman"/>
                <w:color w:val="auto"/>
              </w:rPr>
              <w:t>淘汰类</w:t>
            </w:r>
            <w:r>
              <w:rPr>
                <w:rFonts w:hint="eastAsia" w:cs="Times New Roman"/>
                <w:color w:val="auto"/>
                <w:lang w:eastAsia="zh-CN"/>
              </w:rPr>
              <w:t>”</w:t>
            </w:r>
            <w:r>
              <w:rPr>
                <w:rFonts w:hint="default" w:ascii="Times New Roman" w:hAnsi="Times New Roman" w:eastAsia="宋体" w:cs="Times New Roman"/>
                <w:color w:val="auto"/>
              </w:rPr>
              <w:t>，应属于允许</w:t>
            </w:r>
            <w:r>
              <w:rPr>
                <w:rFonts w:hint="default" w:ascii="Times New Roman" w:hAnsi="Times New Roman" w:eastAsia="宋体" w:cs="Times New Roman"/>
              </w:rPr>
              <w:t>类项目</w:t>
            </w:r>
            <w:r>
              <w:rPr>
                <w:rFonts w:hint="default" w:ascii="Times New Roman" w:hAnsi="Times New Roman" w:eastAsia="宋体" w:cs="Times New Roman"/>
                <w:szCs w:val="24"/>
                <w:lang w:val="en-US" w:bidi="ar"/>
              </w:rPr>
              <w:t>，符合国家产业政策。对照</w:t>
            </w:r>
            <w:r>
              <w:rPr>
                <w:rFonts w:hint="default" w:ascii="Times New Roman" w:hAnsi="Times New Roman" w:eastAsia="宋体" w:cs="Times New Roman"/>
                <w:szCs w:val="24"/>
                <w:lang w:val="en-US" w:eastAsia="zh-CN" w:bidi="ar"/>
              </w:rPr>
              <w:t>《长江经济带发展负面清单指南（试行，2022年版）》（长江办[2022]7号）</w:t>
            </w:r>
            <w:r>
              <w:rPr>
                <w:rFonts w:hint="default" w:ascii="Times New Roman" w:hAnsi="Times New Roman" w:eastAsia="宋体" w:cs="Times New Roman"/>
                <w:szCs w:val="24"/>
                <w:lang w:val="en-US" w:bidi="ar"/>
              </w:rPr>
              <w:t>、</w:t>
            </w:r>
            <w:r>
              <w:rPr>
                <w:rFonts w:hint="default" w:ascii="Times New Roman" w:hAnsi="Times New Roman" w:eastAsia="宋体" w:cs="Times New Roman"/>
                <w:szCs w:val="24"/>
                <w:lang w:val="en-US" w:eastAsia="zh-CN" w:bidi="ar"/>
              </w:rPr>
              <w:t>《云南省长江经济带发展负面清单指南实施细则（试行，2022年版）》</w:t>
            </w:r>
            <w:r>
              <w:rPr>
                <w:rFonts w:hint="default" w:ascii="Times New Roman" w:hAnsi="Times New Roman" w:eastAsia="宋体" w:cs="Times New Roman"/>
                <w:szCs w:val="24"/>
                <w:lang w:val="en-US" w:bidi="ar"/>
              </w:rPr>
              <w:t>，项目均不在产业准入负面清单范围类别。</w:t>
            </w:r>
          </w:p>
          <w:p>
            <w:pPr>
              <w:snapToGrid w:val="0"/>
              <w:spacing w:line="360" w:lineRule="auto"/>
              <w:rPr>
                <w:rFonts w:hint="eastAsia" w:ascii="Times New Roman" w:hAnsi="Times New Roman" w:eastAsia="宋体" w:cs="Times New Roman"/>
                <w:b/>
                <w:bCs/>
                <w:color w:val="000000"/>
                <w:sz w:val="24"/>
                <w:szCs w:val="21"/>
              </w:rPr>
            </w:pPr>
            <w:r>
              <w:rPr>
                <w:rFonts w:hint="eastAsia" w:ascii="Times New Roman" w:hAnsi="Times New Roman" w:eastAsia="宋体" w:cs="Times New Roman"/>
                <w:b/>
                <w:bCs/>
                <w:color w:val="000000"/>
                <w:sz w:val="24"/>
                <w:szCs w:val="21"/>
                <w:lang w:val="en-US" w:eastAsia="zh-CN"/>
              </w:rPr>
              <w:t>4、</w:t>
            </w:r>
            <w:r>
              <w:rPr>
                <w:rFonts w:hint="eastAsia" w:ascii="Times New Roman" w:hAnsi="Times New Roman" w:eastAsia="宋体" w:cs="Times New Roman"/>
                <w:b/>
                <w:bCs/>
                <w:color w:val="000000"/>
                <w:sz w:val="24"/>
                <w:szCs w:val="21"/>
              </w:rPr>
              <w:t>与《昆明市大气污染防治条例》的相符性分析</w:t>
            </w:r>
          </w:p>
          <w:p>
            <w:pPr>
              <w:spacing w:before="182" w:line="220" w:lineRule="auto"/>
              <w:ind w:firstLine="476" w:firstLineChars="200"/>
              <w:rPr>
                <w:rFonts w:ascii="宋体" w:hAnsi="宋体" w:eastAsia="宋体" w:cs="宋体"/>
                <w:sz w:val="24"/>
                <w:szCs w:val="24"/>
              </w:rPr>
            </w:pPr>
            <w:r>
              <w:rPr>
                <w:rFonts w:ascii="宋体" w:hAnsi="宋体" w:eastAsia="宋体" w:cs="宋体"/>
                <w:spacing w:val="-1"/>
                <w:sz w:val="24"/>
                <w:szCs w:val="24"/>
              </w:rPr>
              <w:t>项目与《昆明市大气污染物防治条例》的相符性分析详见下表。</w:t>
            </w:r>
          </w:p>
          <w:p>
            <w:pPr>
              <w:widowControl/>
              <w:spacing w:line="360" w:lineRule="auto"/>
              <w:jc w:val="center"/>
              <w:rPr>
                <w:rFonts w:hint="default" w:ascii="宋体" w:hAnsi="宋体" w:eastAsia="宋体" w:cs="宋体"/>
                <w:b/>
                <w:bCs/>
                <w:kern w:val="0"/>
                <w:sz w:val="21"/>
                <w:szCs w:val="21"/>
                <w:lang w:eastAsia="zh-CN" w:bidi="ar"/>
              </w:rPr>
            </w:pPr>
            <w:r>
              <w:rPr>
                <w:rFonts w:hint="default" w:ascii="宋体" w:hAnsi="宋体" w:eastAsia="宋体" w:cs="宋体"/>
                <w:b/>
                <w:bCs/>
                <w:kern w:val="0"/>
                <w:sz w:val="21"/>
                <w:szCs w:val="21"/>
                <w:lang w:eastAsia="zh-CN" w:bidi="ar"/>
              </w:rPr>
              <w:t>表1-</w:t>
            </w:r>
            <w:r>
              <w:rPr>
                <w:rFonts w:hint="eastAsia" w:ascii="宋体" w:hAnsi="宋体" w:eastAsia="宋体" w:cs="宋体"/>
                <w:b/>
                <w:bCs/>
                <w:kern w:val="0"/>
                <w:sz w:val="21"/>
                <w:szCs w:val="21"/>
                <w:lang w:val="en-US" w:eastAsia="zh-CN" w:bidi="ar"/>
              </w:rPr>
              <w:t>4</w:t>
            </w:r>
            <w:r>
              <w:rPr>
                <w:rFonts w:hint="default" w:ascii="宋体" w:hAnsi="宋体" w:eastAsia="宋体" w:cs="宋体"/>
                <w:b/>
                <w:bCs/>
                <w:kern w:val="0"/>
                <w:sz w:val="21"/>
                <w:szCs w:val="21"/>
                <w:lang w:eastAsia="zh-CN" w:bidi="ar"/>
              </w:rPr>
              <w:t xml:space="preserve"> 与昆明市大气污染防治条例的相符性分析一览表</w:t>
            </w:r>
          </w:p>
          <w:tbl>
            <w:tblPr>
              <w:tblStyle w:val="9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3503"/>
              <w:gridCol w:w="3067"/>
              <w:gridCol w:w="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noWrap w:val="0"/>
                  <w:vAlign w:val="center"/>
                </w:tcPr>
                <w:p>
                  <w:pPr>
                    <w:widowControl/>
                    <w:adjustRightInd w:val="0"/>
                    <w:spacing w:line="312" w:lineRule="atLeast"/>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序号</w:t>
                  </w:r>
                </w:p>
              </w:tc>
              <w:tc>
                <w:tcPr>
                  <w:tcW w:w="2340"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kern w:val="0"/>
                      <w:sz w:val="21"/>
                      <w:szCs w:val="21"/>
                      <w:lang w:val="en-US" w:eastAsia="zh-CN" w:bidi="ar"/>
                    </w:rPr>
                    <w:t>条例</w:t>
                  </w:r>
                  <w:r>
                    <w:rPr>
                      <w:rFonts w:hint="default" w:ascii="Times New Roman" w:hAnsi="Times New Roman" w:eastAsia="宋体" w:cs="Times New Roman"/>
                      <w:b/>
                      <w:bCs/>
                      <w:kern w:val="0"/>
                      <w:sz w:val="21"/>
                      <w:szCs w:val="21"/>
                      <w:lang w:bidi="ar"/>
                    </w:rPr>
                    <w:t>要求</w:t>
                  </w:r>
                </w:p>
              </w:tc>
              <w:tc>
                <w:tcPr>
                  <w:tcW w:w="2049"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bidi="ar"/>
                    </w:rPr>
                    <w:t>本项目情况</w:t>
                  </w:r>
                </w:p>
              </w:tc>
              <w:tc>
                <w:tcPr>
                  <w:tcW w:w="293" w:type="pct"/>
                  <w:noWrap w:val="0"/>
                  <w:vAlign w:val="center"/>
                </w:tcPr>
                <w:p>
                  <w:pPr>
                    <w:widowControl/>
                    <w:adjustRightInd w:val="0"/>
                    <w:spacing w:line="312" w:lineRule="atLeast"/>
                    <w:textAlignment w:val="baseline"/>
                    <w:rPr>
                      <w:rFonts w:hint="default" w:ascii="Times New Roman" w:hAnsi="Times New Roman" w:eastAsia="宋体" w:cs="Times New Roman"/>
                      <w:b/>
                      <w:bCs/>
                      <w:kern w:val="0"/>
                      <w:sz w:val="21"/>
                      <w:szCs w:val="21"/>
                      <w:lang w:bidi="ar"/>
                    </w:rPr>
                  </w:pPr>
                  <w:r>
                    <w:rPr>
                      <w:rFonts w:hint="default" w:ascii="Times New Roman" w:hAnsi="Times New Roman" w:eastAsia="宋体" w:cs="Times New Roman"/>
                      <w:b/>
                      <w:bCs/>
                      <w:kern w:val="0"/>
                      <w:sz w:val="21"/>
                      <w:szCs w:val="21"/>
                      <w:lang w:bidi="ar"/>
                    </w:rPr>
                    <w:t>符合</w:t>
                  </w:r>
                </w:p>
                <w:p>
                  <w:pPr>
                    <w:widowControl/>
                    <w:adjustRightInd w:val="0"/>
                    <w:spacing w:line="312" w:lineRule="atLeast"/>
                    <w:textAlignment w:val="baseline"/>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kern w:val="0"/>
                      <w:sz w:val="21"/>
                      <w:szCs w:val="21"/>
                      <w:lang w:val="en-US" w:eastAsia="zh-CN" w:bidi="ar"/>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340" w:type="pct"/>
                  <w:noWrap w:val="0"/>
                  <w:vAlign w:val="center"/>
                </w:tcPr>
                <w:p>
                  <w:pPr>
                    <w:spacing w:beforeLines="0" w:afterLines="0"/>
                    <w:jc w:val="left"/>
                    <w:rPr>
                      <w:rFonts w:hint="default" w:ascii="Times New Roman" w:hAnsi="Times New Roman" w:eastAsia="宋体" w:cs="Times New Roman"/>
                      <w:sz w:val="21"/>
                      <w:szCs w:val="21"/>
                    </w:rPr>
                  </w:pPr>
                  <w:r>
                    <w:rPr>
                      <w:rFonts w:ascii="Times New Roman" w:hAnsi="Times New Roman" w:eastAsia="宋体" w:cs="Times New Roman"/>
                      <w:color w:val="000000"/>
                      <w:szCs w:val="21"/>
                    </w:rPr>
                    <w:t>第九条：企业事业单位和其他生产经营者应当采取有效措施，防治</w:t>
                  </w:r>
                  <w:r>
                    <w:rPr>
                      <w:rFonts w:hint="eastAsia" w:ascii="Times New Roman" w:hAnsi="Times New Roman" w:eastAsia="宋体" w:cs="Times New Roman"/>
                      <w:color w:val="000000"/>
                      <w:szCs w:val="21"/>
                      <w:lang w:eastAsia="zh-CN"/>
                    </w:rPr>
                    <w:t>、</w:t>
                  </w:r>
                  <w:r>
                    <w:rPr>
                      <w:rFonts w:ascii="Times New Roman" w:hAnsi="Times New Roman" w:eastAsia="宋体" w:cs="Times New Roman"/>
                      <w:color w:val="000000"/>
                      <w:szCs w:val="21"/>
                    </w:rPr>
                    <w:t>减少大气污染，对所造成的的损害依法承担责任。</w:t>
                  </w:r>
                </w:p>
              </w:tc>
              <w:tc>
                <w:tcPr>
                  <w:tcW w:w="2049" w:type="pct"/>
                  <w:noWrap w:val="0"/>
                  <w:vAlign w:val="center"/>
                </w:tcPr>
                <w:p>
                  <w:pPr>
                    <w:spacing w:beforeLines="0" w:afterLines="0"/>
                    <w:jc w:val="left"/>
                    <w:rPr>
                      <w:rFonts w:hint="default" w:ascii="Times New Roman" w:hAnsi="Times New Roman" w:eastAsia="宋体" w:cs="Times New Roman"/>
                      <w:sz w:val="21"/>
                      <w:szCs w:val="21"/>
                      <w:lang w:eastAsia="zh-CN"/>
                    </w:rPr>
                  </w:pPr>
                  <w:r>
                    <w:rPr>
                      <w:rFonts w:ascii="宋体" w:hAnsi="宋体" w:eastAsia="宋体" w:cs="宋体"/>
                      <w:spacing w:val="22"/>
                      <w:sz w:val="21"/>
                      <w:szCs w:val="21"/>
                    </w:rPr>
                    <w:t>本项目运营期间主要大气污染物来自于原料筒仓产生的粉尘</w:t>
                  </w:r>
                  <w:r>
                    <w:rPr>
                      <w:rFonts w:ascii="宋体" w:hAnsi="宋体" w:eastAsia="宋体" w:cs="宋体"/>
                      <w:spacing w:val="7"/>
                      <w:sz w:val="21"/>
                      <w:szCs w:val="21"/>
                    </w:rPr>
                    <w:t>以及原料仓库产生的粉尘，原料</w:t>
                  </w:r>
                  <w:r>
                    <w:rPr>
                      <w:rFonts w:ascii="宋体" w:hAnsi="宋体" w:eastAsia="宋体" w:cs="宋体"/>
                      <w:spacing w:val="22"/>
                      <w:sz w:val="21"/>
                      <w:szCs w:val="21"/>
                    </w:rPr>
                    <w:t>筒仓产生粉尘通过项目设置的</w:t>
                  </w:r>
                  <w:r>
                    <w:rPr>
                      <w:rFonts w:ascii="宋体" w:hAnsi="宋体" w:eastAsia="宋体" w:cs="宋体"/>
                      <w:spacing w:val="7"/>
                      <w:sz w:val="21"/>
                      <w:szCs w:val="21"/>
                    </w:rPr>
                    <w:t>脉冲</w:t>
                  </w:r>
                  <w:r>
                    <w:rPr>
                      <w:rFonts w:hint="eastAsia" w:ascii="宋体" w:hAnsi="宋体" w:cs="宋体"/>
                      <w:spacing w:val="7"/>
                      <w:sz w:val="21"/>
                      <w:szCs w:val="21"/>
                      <w:lang w:val="en-US" w:eastAsia="zh-CN"/>
                    </w:rPr>
                    <w:t>布袋</w:t>
                  </w:r>
                  <w:r>
                    <w:rPr>
                      <w:rFonts w:ascii="宋体" w:hAnsi="宋体" w:eastAsia="宋体" w:cs="宋体"/>
                      <w:spacing w:val="7"/>
                      <w:sz w:val="21"/>
                      <w:szCs w:val="21"/>
                    </w:rPr>
                    <w:t>除尘器进行净化，</w:t>
                  </w:r>
                  <w:r>
                    <w:rPr>
                      <w:rFonts w:hint="eastAsia" w:ascii="宋体" w:hAnsi="宋体" w:cs="宋体"/>
                      <w:spacing w:val="7"/>
                      <w:sz w:val="21"/>
                      <w:szCs w:val="21"/>
                      <w:lang w:val="en-US" w:eastAsia="zh-CN"/>
                    </w:rPr>
                    <w:t>大部分经除尘器收集后回用于生产，少量粉尘从除尘器排气口排出。</w:t>
                  </w:r>
                  <w:r>
                    <w:rPr>
                      <w:rFonts w:ascii="宋体" w:hAnsi="宋体" w:eastAsia="宋体" w:cs="宋体"/>
                      <w:spacing w:val="7"/>
                      <w:sz w:val="21"/>
                      <w:szCs w:val="21"/>
                    </w:rPr>
                    <w:t>原</w:t>
                  </w:r>
                  <w:r>
                    <w:rPr>
                      <w:rFonts w:ascii="宋体" w:hAnsi="宋体" w:eastAsia="宋体" w:cs="宋体"/>
                      <w:spacing w:val="29"/>
                      <w:sz w:val="21"/>
                      <w:szCs w:val="21"/>
                    </w:rPr>
                    <w:t>料仓库采用彩钢瓦三面封闭</w:t>
                  </w:r>
                  <w:r>
                    <w:rPr>
                      <w:rFonts w:hint="eastAsia" w:ascii="宋体" w:hAnsi="宋体" w:cs="宋体"/>
                      <w:spacing w:val="29"/>
                      <w:sz w:val="21"/>
                      <w:szCs w:val="21"/>
                      <w:lang w:val="en-US" w:eastAsia="zh-CN"/>
                    </w:rPr>
                    <w:t>+</w:t>
                  </w:r>
                  <w:r>
                    <w:rPr>
                      <w:rFonts w:ascii="宋体" w:hAnsi="宋体" w:eastAsia="宋体" w:cs="宋体"/>
                      <w:spacing w:val="7"/>
                      <w:sz w:val="21"/>
                      <w:szCs w:val="21"/>
                    </w:rPr>
                    <w:t>顶棚封闭，并且在</w:t>
                  </w:r>
                  <w:r>
                    <w:rPr>
                      <w:rFonts w:hint="eastAsia" w:ascii="宋体" w:hAnsi="宋体" w:cs="宋体"/>
                      <w:spacing w:val="7"/>
                      <w:sz w:val="21"/>
                      <w:szCs w:val="21"/>
                      <w:lang w:val="en-US" w:eastAsia="zh-CN"/>
                    </w:rPr>
                    <w:t>原料仓库</w:t>
                  </w:r>
                  <w:r>
                    <w:rPr>
                      <w:rFonts w:ascii="宋体" w:hAnsi="宋体" w:eastAsia="宋体" w:cs="宋体"/>
                      <w:spacing w:val="7"/>
                      <w:sz w:val="21"/>
                      <w:szCs w:val="21"/>
                    </w:rPr>
                    <w:t>设置了雾化喷淋抑尘系统洒水抑尘，产生</w:t>
                  </w:r>
                  <w:r>
                    <w:rPr>
                      <w:rFonts w:ascii="宋体" w:hAnsi="宋体" w:eastAsia="宋体" w:cs="宋体"/>
                      <w:spacing w:val="22"/>
                      <w:sz w:val="21"/>
                      <w:szCs w:val="21"/>
                    </w:rPr>
                    <w:t>的粉尘经仓库</w:t>
                  </w:r>
                  <w:r>
                    <w:rPr>
                      <w:rFonts w:ascii="宋体" w:hAnsi="宋体" w:eastAsia="宋体" w:cs="宋体"/>
                      <w:spacing w:val="7"/>
                      <w:sz w:val="21"/>
                      <w:szCs w:val="21"/>
                    </w:rPr>
                    <w:t>喷淋抑尘系统洒水抑尘，再经厂房阻隔后以无组织形式外排，</w:t>
                  </w:r>
                  <w:r>
                    <w:rPr>
                      <w:rFonts w:hint="eastAsia" w:ascii="宋体" w:hAnsi="宋体" w:cs="宋体"/>
                      <w:spacing w:val="7"/>
                      <w:sz w:val="21"/>
                      <w:szCs w:val="21"/>
                      <w:lang w:val="en-US" w:eastAsia="zh-CN"/>
                    </w:rPr>
                    <w:t>厂界总悬浮颗粒物经检测</w:t>
                  </w:r>
                  <w:r>
                    <w:rPr>
                      <w:rFonts w:ascii="宋体" w:hAnsi="宋体" w:eastAsia="宋体" w:cs="宋体"/>
                      <w:spacing w:val="7"/>
                      <w:sz w:val="21"/>
                      <w:szCs w:val="21"/>
                    </w:rPr>
                    <w:t>可达到《水泥工业大气污染物排放标准》（</w:t>
                  </w:r>
                  <w:r>
                    <w:rPr>
                      <w:rFonts w:ascii="Times New Roman" w:hAnsi="Times New Roman" w:eastAsia="Times New Roman" w:cs="Times New Roman"/>
                      <w:sz w:val="21"/>
                      <w:szCs w:val="21"/>
                    </w:rPr>
                    <w:t>GB</w:t>
                  </w:r>
                  <w:r>
                    <w:rPr>
                      <w:rFonts w:hint="eastAsia" w:eastAsia="宋体" w:cs="Times New Roman"/>
                      <w:spacing w:val="7"/>
                      <w:sz w:val="21"/>
                      <w:szCs w:val="21"/>
                      <w:lang w:eastAsia="zh-CN"/>
                    </w:rPr>
                    <w:t>****</w:t>
                  </w:r>
                  <w:r>
                    <w:rPr>
                      <w:rFonts w:ascii="Times New Roman" w:hAnsi="Times New Roman" w:eastAsia="Times New Roman" w:cs="Times New Roman"/>
                      <w:spacing w:val="7"/>
                      <w:sz w:val="21"/>
                      <w:szCs w:val="21"/>
                    </w:rPr>
                    <w:t>-2013</w:t>
                  </w:r>
                  <w:r>
                    <w:rPr>
                      <w:rFonts w:ascii="宋体" w:hAnsi="宋体" w:eastAsia="宋体" w:cs="宋体"/>
                      <w:spacing w:val="7"/>
                      <w:sz w:val="21"/>
                      <w:szCs w:val="21"/>
                    </w:rPr>
                    <w:t>）表</w:t>
                  </w:r>
                  <w:r>
                    <w:rPr>
                      <w:rFonts w:ascii="Times New Roman" w:hAnsi="Times New Roman" w:eastAsia="Times New Roman" w:cs="Times New Roman"/>
                      <w:spacing w:val="7"/>
                      <w:sz w:val="21"/>
                      <w:szCs w:val="21"/>
                    </w:rPr>
                    <w:t>3</w:t>
                  </w:r>
                  <w:r>
                    <w:rPr>
                      <w:rFonts w:ascii="宋体" w:hAnsi="宋体" w:eastAsia="宋体" w:cs="宋体"/>
                      <w:spacing w:val="7"/>
                      <w:sz w:val="21"/>
                      <w:szCs w:val="21"/>
                    </w:rPr>
                    <w:t>大气污染物无组织排放限值。</w:t>
                  </w:r>
                </w:p>
              </w:tc>
              <w:tc>
                <w:tcPr>
                  <w:tcW w:w="293" w:type="pct"/>
                  <w:noWrap w:val="0"/>
                  <w:vAlign w:val="center"/>
                </w:tcPr>
                <w:p>
                  <w:pPr>
                    <w:widowControl/>
                    <w:adjustRightInd/>
                    <w:spacing w:line="312" w:lineRule="atLeas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340" w:type="pct"/>
                  <w:noWrap w:val="0"/>
                  <w:vAlign w:val="center"/>
                </w:tcPr>
                <w:p>
                  <w:pPr>
                    <w:spacing w:beforeLines="0" w:afterLines="0"/>
                    <w:jc w:val="left"/>
                    <w:rPr>
                      <w:rFonts w:hint="default" w:ascii="Times New Roman" w:hAnsi="Times New Roman" w:eastAsia="宋体" w:cs="Times New Roman"/>
                      <w:sz w:val="21"/>
                      <w:szCs w:val="21"/>
                    </w:rPr>
                  </w:pPr>
                  <w:r>
                    <w:rPr>
                      <w:rFonts w:ascii="宋体" w:hAnsi="宋体" w:eastAsia="宋体" w:cs="宋体"/>
                      <w:spacing w:val="7"/>
                      <w:sz w:val="20"/>
                      <w:szCs w:val="20"/>
                    </w:rPr>
                    <w:t>第十一条：按照国家有关规定依法实行排污许可管理的单位，应当依法取得排污许可证，并按照排污许可证的规定排放大气污染物，禁止无排污许可证或者不按照排</w:t>
                  </w:r>
                  <w:r>
                    <w:rPr>
                      <w:rFonts w:ascii="宋体" w:hAnsi="宋体" w:eastAsia="宋体" w:cs="宋体"/>
                      <w:spacing w:val="8"/>
                      <w:sz w:val="20"/>
                      <w:szCs w:val="20"/>
                    </w:rPr>
                    <w:t>污许可证的规定排放大气污染物。</w:t>
                  </w:r>
                </w:p>
              </w:tc>
              <w:tc>
                <w:tcPr>
                  <w:tcW w:w="2049" w:type="pct"/>
                  <w:noWrap w:val="0"/>
                  <w:vAlign w:val="center"/>
                </w:tcPr>
                <w:p>
                  <w:pPr>
                    <w:spacing w:beforeLines="0" w:afterLines="0"/>
                    <w:jc w:val="left"/>
                    <w:rPr>
                      <w:rFonts w:hint="default" w:ascii="Times New Roman" w:hAnsi="Times New Roman" w:eastAsia="宋体" w:cs="Times New Roman"/>
                      <w:sz w:val="21"/>
                      <w:szCs w:val="21"/>
                      <w:lang w:val="en-US" w:eastAsia="zh-CN"/>
                    </w:rPr>
                  </w:pPr>
                  <w:r>
                    <w:rPr>
                      <w:rFonts w:ascii="宋体" w:hAnsi="宋体" w:eastAsia="宋体" w:cs="宋体"/>
                      <w:spacing w:val="7"/>
                      <w:sz w:val="21"/>
                      <w:szCs w:val="21"/>
                    </w:rPr>
                    <w:t>根据《固定污染源排污许可分类</w:t>
                  </w:r>
                  <w:r>
                    <w:rPr>
                      <w:rFonts w:ascii="宋体" w:hAnsi="宋体" w:eastAsia="宋体" w:cs="宋体"/>
                      <w:spacing w:val="3"/>
                      <w:sz w:val="21"/>
                      <w:szCs w:val="21"/>
                    </w:rPr>
                    <w:t>管理名录（</w:t>
                  </w:r>
                  <w:r>
                    <w:rPr>
                      <w:rFonts w:ascii="Times New Roman" w:hAnsi="Times New Roman" w:eastAsia="Times New Roman" w:cs="Times New Roman"/>
                      <w:spacing w:val="3"/>
                      <w:sz w:val="21"/>
                      <w:szCs w:val="21"/>
                    </w:rPr>
                    <w:t xml:space="preserve">2019 </w:t>
                  </w:r>
                  <w:r>
                    <w:rPr>
                      <w:rFonts w:ascii="宋体" w:hAnsi="宋体" w:eastAsia="宋体" w:cs="宋体"/>
                      <w:spacing w:val="3"/>
                      <w:sz w:val="21"/>
                      <w:szCs w:val="21"/>
                    </w:rPr>
                    <w:t>年版）》，本项</w:t>
                  </w:r>
                  <w:r>
                    <w:rPr>
                      <w:rFonts w:ascii="宋体" w:hAnsi="宋体" w:eastAsia="宋体" w:cs="宋体"/>
                      <w:spacing w:val="14"/>
                      <w:sz w:val="21"/>
                      <w:szCs w:val="21"/>
                    </w:rPr>
                    <w:t>目属于</w:t>
                  </w:r>
                  <w:r>
                    <w:rPr>
                      <w:rFonts w:hint="eastAsia" w:ascii="宋体" w:hAnsi="宋体" w:cs="宋体"/>
                      <w:spacing w:val="14"/>
                      <w:sz w:val="21"/>
                      <w:szCs w:val="21"/>
                      <w:lang w:eastAsia="zh-CN"/>
                    </w:rPr>
                    <w:t>“</w:t>
                  </w:r>
                  <w:r>
                    <w:rPr>
                      <w:rFonts w:hint="eastAsia" w:ascii="宋体" w:hAnsi="宋体" w:cs="宋体"/>
                      <w:spacing w:val="14"/>
                      <w:sz w:val="21"/>
                      <w:szCs w:val="21"/>
                      <w:lang w:val="en-US" w:eastAsia="zh-CN"/>
                    </w:rPr>
                    <w:t>3021</w:t>
                  </w:r>
                  <w:r>
                    <w:rPr>
                      <w:rFonts w:ascii="宋体" w:hAnsi="宋体" w:eastAsia="宋体" w:cs="宋体"/>
                      <w:spacing w:val="14"/>
                      <w:sz w:val="21"/>
                      <w:szCs w:val="21"/>
                    </w:rPr>
                    <w:t>水泥制品制造</w:t>
                  </w:r>
                  <w:r>
                    <w:rPr>
                      <w:rFonts w:hint="eastAsia" w:ascii="宋体" w:hAnsi="宋体" w:cs="宋体"/>
                      <w:spacing w:val="14"/>
                      <w:sz w:val="21"/>
                      <w:szCs w:val="21"/>
                      <w:lang w:eastAsia="zh-CN"/>
                    </w:rPr>
                    <w:t>”</w:t>
                  </w:r>
                  <w:r>
                    <w:rPr>
                      <w:rFonts w:ascii="宋体" w:hAnsi="宋体" w:eastAsia="宋体" w:cs="宋体"/>
                      <w:spacing w:val="7"/>
                      <w:sz w:val="21"/>
                      <w:szCs w:val="21"/>
                    </w:rPr>
                    <w:t>行业，属于登记管理，建设单位正在积极办理排污许可证，做到</w:t>
                  </w:r>
                  <w:r>
                    <w:rPr>
                      <w:rFonts w:ascii="宋体" w:hAnsi="宋体" w:eastAsia="宋体" w:cs="宋体"/>
                      <w:spacing w:val="5"/>
                      <w:sz w:val="21"/>
                      <w:szCs w:val="21"/>
                    </w:rPr>
                    <w:t>持证排污。</w:t>
                  </w:r>
                </w:p>
              </w:tc>
              <w:tc>
                <w:tcPr>
                  <w:tcW w:w="293" w:type="pct"/>
                  <w:noWrap w:val="0"/>
                  <w:vAlign w:val="center"/>
                </w:tcPr>
                <w:p>
                  <w:pPr>
                    <w:widowControl/>
                    <w:adjustRightInd/>
                    <w:spacing w:line="312" w:lineRule="atLeas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6"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340" w:type="pct"/>
                  <w:noWrap w:val="0"/>
                  <w:vAlign w:val="center"/>
                </w:tcPr>
                <w:p>
                  <w:pPr>
                    <w:spacing w:beforeLines="0" w:afterLines="0"/>
                    <w:jc w:val="left"/>
                    <w:rPr>
                      <w:rFonts w:hint="default" w:ascii="Times New Roman" w:hAnsi="Times New Roman" w:eastAsia="宋体" w:cs="Times New Roman"/>
                      <w:sz w:val="21"/>
                      <w:szCs w:val="21"/>
                    </w:rPr>
                  </w:pPr>
                  <w:r>
                    <w:rPr>
                      <w:rFonts w:ascii="宋体" w:hAnsi="宋体" w:eastAsia="宋体" w:cs="宋体"/>
                      <w:spacing w:val="7"/>
                      <w:sz w:val="20"/>
                      <w:szCs w:val="20"/>
                    </w:rPr>
                    <w:t>第十二条：禁止排放超过排放标准或者超</w:t>
                  </w:r>
                  <w:r>
                    <w:rPr>
                      <w:rFonts w:ascii="宋体" w:hAnsi="宋体" w:eastAsia="宋体" w:cs="宋体"/>
                      <w:spacing w:val="8"/>
                      <w:sz w:val="20"/>
                      <w:szCs w:val="20"/>
                    </w:rPr>
                    <w:t>过重点大气污染物排放总量控制指标的</w:t>
                  </w:r>
                  <w:r>
                    <w:rPr>
                      <w:rFonts w:ascii="宋体" w:hAnsi="宋体" w:eastAsia="宋体" w:cs="宋体"/>
                      <w:spacing w:val="6"/>
                      <w:sz w:val="20"/>
                      <w:szCs w:val="20"/>
                    </w:rPr>
                    <w:t>大气污染物。</w:t>
                  </w:r>
                </w:p>
              </w:tc>
              <w:tc>
                <w:tcPr>
                  <w:tcW w:w="2049" w:type="pct"/>
                  <w:noWrap w:val="0"/>
                  <w:vAlign w:val="center"/>
                </w:tcPr>
                <w:p>
                  <w:pPr>
                    <w:spacing w:beforeLines="0" w:afterLines="0"/>
                    <w:jc w:val="left"/>
                    <w:rPr>
                      <w:rFonts w:hint="default" w:ascii="Times New Roman" w:hAnsi="Times New Roman" w:eastAsia="宋体" w:cs="Times New Roman"/>
                      <w:kern w:val="2"/>
                      <w:sz w:val="21"/>
                      <w:szCs w:val="21"/>
                      <w:lang w:val="en-US" w:eastAsia="zh-CN" w:bidi="ar-SA"/>
                    </w:rPr>
                  </w:pPr>
                  <w:r>
                    <w:rPr>
                      <w:rFonts w:ascii="宋体" w:hAnsi="宋体" w:eastAsia="宋体" w:cs="宋体"/>
                      <w:spacing w:val="22"/>
                      <w:sz w:val="21"/>
                      <w:szCs w:val="21"/>
                    </w:rPr>
                    <w:t>本项目运营期间主要大气污染物来自于原料筒仓产生的粉尘</w:t>
                  </w:r>
                  <w:r>
                    <w:rPr>
                      <w:rFonts w:ascii="宋体" w:hAnsi="宋体" w:eastAsia="宋体" w:cs="宋体"/>
                      <w:spacing w:val="7"/>
                      <w:sz w:val="21"/>
                      <w:szCs w:val="21"/>
                    </w:rPr>
                    <w:t>以及原料仓库产生的粉尘，原料</w:t>
                  </w:r>
                  <w:r>
                    <w:rPr>
                      <w:rFonts w:ascii="宋体" w:hAnsi="宋体" w:eastAsia="宋体" w:cs="宋体"/>
                      <w:spacing w:val="22"/>
                      <w:sz w:val="21"/>
                      <w:szCs w:val="21"/>
                    </w:rPr>
                    <w:t>筒仓产生粉尘通过项目设置的</w:t>
                  </w:r>
                  <w:r>
                    <w:rPr>
                      <w:rFonts w:ascii="宋体" w:hAnsi="宋体" w:eastAsia="宋体" w:cs="宋体"/>
                      <w:spacing w:val="7"/>
                      <w:sz w:val="21"/>
                      <w:szCs w:val="21"/>
                    </w:rPr>
                    <w:t>脉冲</w:t>
                  </w:r>
                  <w:r>
                    <w:rPr>
                      <w:rFonts w:hint="eastAsia" w:ascii="宋体" w:hAnsi="宋体" w:cs="宋体"/>
                      <w:spacing w:val="7"/>
                      <w:sz w:val="21"/>
                      <w:szCs w:val="21"/>
                      <w:lang w:val="en-US" w:eastAsia="zh-CN"/>
                    </w:rPr>
                    <w:t>布袋</w:t>
                  </w:r>
                  <w:r>
                    <w:rPr>
                      <w:rFonts w:ascii="宋体" w:hAnsi="宋体" w:eastAsia="宋体" w:cs="宋体"/>
                      <w:spacing w:val="7"/>
                      <w:sz w:val="21"/>
                      <w:szCs w:val="21"/>
                    </w:rPr>
                    <w:t>除尘器进行净化，</w:t>
                  </w:r>
                  <w:r>
                    <w:rPr>
                      <w:rFonts w:hint="eastAsia" w:ascii="宋体" w:hAnsi="宋体" w:cs="宋体"/>
                      <w:spacing w:val="7"/>
                      <w:sz w:val="21"/>
                      <w:szCs w:val="21"/>
                      <w:lang w:val="en-US" w:eastAsia="zh-CN"/>
                    </w:rPr>
                    <w:t>大部分经除尘器收集后回用于生产，少量粉尘从除尘器排气口排出。</w:t>
                  </w:r>
                  <w:r>
                    <w:rPr>
                      <w:rFonts w:ascii="宋体" w:hAnsi="宋体" w:eastAsia="宋体" w:cs="宋体"/>
                      <w:spacing w:val="7"/>
                      <w:sz w:val="21"/>
                      <w:szCs w:val="21"/>
                    </w:rPr>
                    <w:t>原</w:t>
                  </w:r>
                  <w:r>
                    <w:rPr>
                      <w:rFonts w:ascii="宋体" w:hAnsi="宋体" w:eastAsia="宋体" w:cs="宋体"/>
                      <w:spacing w:val="29"/>
                      <w:sz w:val="21"/>
                      <w:szCs w:val="21"/>
                    </w:rPr>
                    <w:t>料仓库采用彩钢瓦三面封闭</w:t>
                  </w:r>
                  <w:r>
                    <w:rPr>
                      <w:rFonts w:hint="eastAsia" w:ascii="宋体" w:hAnsi="宋体" w:cs="宋体"/>
                      <w:spacing w:val="29"/>
                      <w:sz w:val="21"/>
                      <w:szCs w:val="21"/>
                      <w:lang w:val="en-US" w:eastAsia="zh-CN"/>
                    </w:rPr>
                    <w:t>+</w:t>
                  </w:r>
                  <w:r>
                    <w:rPr>
                      <w:rFonts w:ascii="宋体" w:hAnsi="宋体" w:eastAsia="宋体" w:cs="宋体"/>
                      <w:spacing w:val="7"/>
                      <w:sz w:val="21"/>
                      <w:szCs w:val="21"/>
                    </w:rPr>
                    <w:t>顶棚封闭，并且在</w:t>
                  </w:r>
                  <w:r>
                    <w:rPr>
                      <w:rFonts w:hint="eastAsia" w:ascii="宋体" w:hAnsi="宋体" w:cs="宋体"/>
                      <w:spacing w:val="7"/>
                      <w:sz w:val="21"/>
                      <w:szCs w:val="21"/>
                      <w:lang w:val="en-US" w:eastAsia="zh-CN"/>
                    </w:rPr>
                    <w:t>原料仓库</w:t>
                  </w:r>
                  <w:r>
                    <w:rPr>
                      <w:rFonts w:ascii="宋体" w:hAnsi="宋体" w:eastAsia="宋体" w:cs="宋体"/>
                      <w:spacing w:val="7"/>
                      <w:sz w:val="21"/>
                      <w:szCs w:val="21"/>
                    </w:rPr>
                    <w:t>设置了雾化喷淋抑尘系统洒水抑尘，产生</w:t>
                  </w:r>
                  <w:r>
                    <w:rPr>
                      <w:rFonts w:ascii="宋体" w:hAnsi="宋体" w:eastAsia="宋体" w:cs="宋体"/>
                      <w:spacing w:val="22"/>
                      <w:sz w:val="21"/>
                      <w:szCs w:val="21"/>
                    </w:rPr>
                    <w:t>的粉尘经仓库</w:t>
                  </w:r>
                  <w:r>
                    <w:rPr>
                      <w:rFonts w:ascii="宋体" w:hAnsi="宋体" w:eastAsia="宋体" w:cs="宋体"/>
                      <w:spacing w:val="7"/>
                      <w:sz w:val="21"/>
                      <w:szCs w:val="21"/>
                    </w:rPr>
                    <w:t>喷淋抑尘系统洒水抑尘，再经厂房阻隔后以无组织形式外排，</w:t>
                  </w:r>
                  <w:r>
                    <w:rPr>
                      <w:rFonts w:hint="eastAsia" w:ascii="宋体" w:hAnsi="宋体" w:cs="宋体"/>
                      <w:spacing w:val="7"/>
                      <w:sz w:val="21"/>
                      <w:szCs w:val="21"/>
                      <w:lang w:val="en-US" w:eastAsia="zh-CN"/>
                    </w:rPr>
                    <w:t>厂界总悬浮颗粒物经检测</w:t>
                  </w:r>
                  <w:r>
                    <w:rPr>
                      <w:rFonts w:ascii="宋体" w:hAnsi="宋体" w:eastAsia="宋体" w:cs="宋体"/>
                      <w:spacing w:val="7"/>
                      <w:sz w:val="21"/>
                      <w:szCs w:val="21"/>
                    </w:rPr>
                    <w:t>可达到《水泥工业大气污染物排放标准》（</w:t>
                  </w:r>
                  <w:r>
                    <w:rPr>
                      <w:rFonts w:ascii="Times New Roman" w:hAnsi="Times New Roman" w:eastAsia="Times New Roman" w:cs="Times New Roman"/>
                      <w:sz w:val="21"/>
                      <w:szCs w:val="21"/>
                    </w:rPr>
                    <w:t>GB</w:t>
                  </w:r>
                  <w:r>
                    <w:rPr>
                      <w:rFonts w:hint="eastAsia" w:eastAsia="宋体" w:cs="Times New Roman"/>
                      <w:spacing w:val="7"/>
                      <w:sz w:val="21"/>
                      <w:szCs w:val="21"/>
                      <w:lang w:eastAsia="zh-CN"/>
                    </w:rPr>
                    <w:t>****</w:t>
                  </w:r>
                  <w:r>
                    <w:rPr>
                      <w:rFonts w:ascii="Times New Roman" w:hAnsi="Times New Roman" w:eastAsia="Times New Roman" w:cs="Times New Roman"/>
                      <w:spacing w:val="7"/>
                      <w:sz w:val="21"/>
                      <w:szCs w:val="21"/>
                    </w:rPr>
                    <w:t>-2013</w:t>
                  </w:r>
                  <w:r>
                    <w:rPr>
                      <w:rFonts w:ascii="宋体" w:hAnsi="宋体" w:eastAsia="宋体" w:cs="宋体"/>
                      <w:spacing w:val="7"/>
                      <w:sz w:val="21"/>
                      <w:szCs w:val="21"/>
                    </w:rPr>
                    <w:t>）表</w:t>
                  </w:r>
                  <w:r>
                    <w:rPr>
                      <w:rFonts w:ascii="Times New Roman" w:hAnsi="Times New Roman" w:eastAsia="Times New Roman" w:cs="Times New Roman"/>
                      <w:spacing w:val="7"/>
                      <w:sz w:val="21"/>
                      <w:szCs w:val="21"/>
                    </w:rPr>
                    <w:t>3</w:t>
                  </w:r>
                  <w:r>
                    <w:rPr>
                      <w:rFonts w:ascii="宋体" w:hAnsi="宋体" w:eastAsia="宋体" w:cs="宋体"/>
                      <w:spacing w:val="7"/>
                      <w:sz w:val="21"/>
                      <w:szCs w:val="21"/>
                    </w:rPr>
                    <w:t>大气污染物无组织排放限值。</w:t>
                  </w:r>
                </w:p>
              </w:tc>
              <w:tc>
                <w:tcPr>
                  <w:tcW w:w="293" w:type="pct"/>
                  <w:noWrap w:val="0"/>
                  <w:vAlign w:val="center"/>
                </w:tcPr>
                <w:p>
                  <w:pPr>
                    <w:widowControl/>
                    <w:adjustRightInd/>
                    <w:spacing w:line="312" w:lineRule="atLeas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340" w:type="pct"/>
                  <w:noWrap w:val="0"/>
                  <w:vAlign w:val="center"/>
                </w:tcPr>
                <w:p>
                  <w:pPr>
                    <w:spacing w:beforeLines="0" w:afterLines="0"/>
                    <w:jc w:val="left"/>
                    <w:rPr>
                      <w:rFonts w:ascii="宋体" w:hAnsi="宋体" w:eastAsia="宋体" w:cs="宋体"/>
                      <w:spacing w:val="7"/>
                      <w:sz w:val="20"/>
                      <w:szCs w:val="20"/>
                    </w:rPr>
                  </w:pPr>
                  <w:r>
                    <w:rPr>
                      <w:rFonts w:ascii="宋体" w:hAnsi="宋体" w:eastAsia="宋体" w:cs="宋体"/>
                      <w:spacing w:val="7"/>
                      <w:sz w:val="20"/>
                      <w:szCs w:val="20"/>
                    </w:rPr>
                    <w:t>第十五条：排放大气污染物的企业事业单</w:t>
                  </w:r>
                  <w:r>
                    <w:rPr>
                      <w:rFonts w:ascii="宋体" w:hAnsi="宋体" w:eastAsia="宋体" w:cs="宋体"/>
                      <w:spacing w:val="8"/>
                      <w:sz w:val="20"/>
                      <w:szCs w:val="20"/>
                    </w:rPr>
                    <w:t>位和其他生产经营者应当加强精细化管</w:t>
                  </w:r>
                  <w:r>
                    <w:rPr>
                      <w:rFonts w:ascii="宋体" w:hAnsi="宋体" w:eastAsia="宋体" w:cs="宋体"/>
                      <w:spacing w:val="7"/>
                      <w:sz w:val="20"/>
                      <w:szCs w:val="20"/>
                    </w:rPr>
                    <w:t>理，严格按照有关规定，配套建设、使用</w:t>
                  </w:r>
                  <w:r>
                    <w:rPr>
                      <w:rFonts w:ascii="宋体" w:hAnsi="宋体" w:eastAsia="宋体" w:cs="宋体"/>
                      <w:spacing w:val="8"/>
                      <w:sz w:val="20"/>
                      <w:szCs w:val="20"/>
                    </w:rPr>
                    <w:t>和维护大气污染防治装备</w:t>
                  </w:r>
                </w:p>
              </w:tc>
              <w:tc>
                <w:tcPr>
                  <w:tcW w:w="2049" w:type="pct"/>
                  <w:noWrap w:val="0"/>
                  <w:vAlign w:val="center"/>
                </w:tcPr>
                <w:p>
                  <w:pPr>
                    <w:spacing w:before="65" w:line="247" w:lineRule="auto"/>
                    <w:ind w:right="220"/>
                    <w:jc w:val="both"/>
                    <w:rPr>
                      <w:rFonts w:ascii="宋体" w:hAnsi="宋体" w:eastAsia="宋体" w:cs="宋体"/>
                      <w:sz w:val="21"/>
                      <w:szCs w:val="21"/>
                    </w:rPr>
                  </w:pPr>
                  <w:r>
                    <w:rPr>
                      <w:rFonts w:ascii="宋体" w:hAnsi="宋体" w:eastAsia="宋体" w:cs="宋体"/>
                      <w:spacing w:val="9"/>
                      <w:sz w:val="21"/>
                      <w:szCs w:val="21"/>
                    </w:rPr>
                    <w:t>本项目各产污设备已严格按照</w:t>
                  </w:r>
                  <w:r>
                    <w:rPr>
                      <w:rFonts w:ascii="宋体" w:hAnsi="宋体" w:eastAsia="宋体" w:cs="宋体"/>
                      <w:spacing w:val="7"/>
                      <w:sz w:val="21"/>
                      <w:szCs w:val="21"/>
                    </w:rPr>
                    <w:t>有关规定，配套建设的脉冲</w:t>
                  </w:r>
                  <w:r>
                    <w:rPr>
                      <w:rFonts w:hint="eastAsia" w:ascii="宋体" w:hAnsi="宋体" w:eastAsia="宋体" w:cs="宋体"/>
                      <w:spacing w:val="7"/>
                      <w:sz w:val="21"/>
                      <w:szCs w:val="21"/>
                      <w:lang w:val="en-US" w:eastAsia="zh-CN"/>
                    </w:rPr>
                    <w:t>布袋</w:t>
                  </w:r>
                  <w:r>
                    <w:rPr>
                      <w:rFonts w:ascii="宋体" w:hAnsi="宋体" w:eastAsia="宋体" w:cs="宋体"/>
                      <w:spacing w:val="7"/>
                      <w:sz w:val="21"/>
                      <w:szCs w:val="21"/>
                    </w:rPr>
                    <w:t>除尘器、雾化喷淋抑尘系统等大气污染防治设施，运营期间将合理安排人员进行日常检修，保证</w:t>
                  </w:r>
                </w:p>
                <w:p>
                  <w:pPr>
                    <w:spacing w:beforeLines="0" w:afterLines="0"/>
                    <w:jc w:val="left"/>
                    <w:rPr>
                      <w:rFonts w:hint="default" w:ascii="Times New Roman" w:hAnsi="Times New Roman" w:eastAsia="宋体" w:cs="Times New Roman"/>
                      <w:sz w:val="21"/>
                      <w:szCs w:val="21"/>
                    </w:rPr>
                  </w:pPr>
                  <w:r>
                    <w:rPr>
                      <w:rFonts w:ascii="宋体" w:hAnsi="宋体" w:eastAsia="宋体" w:cs="宋体"/>
                      <w:spacing w:val="7"/>
                      <w:sz w:val="21"/>
                      <w:szCs w:val="21"/>
                    </w:rPr>
                    <w:t>污染防治措施正常运行。</w:t>
                  </w:r>
                </w:p>
              </w:tc>
              <w:tc>
                <w:tcPr>
                  <w:tcW w:w="293" w:type="pct"/>
                  <w:noWrap w:val="0"/>
                  <w:vAlign w:val="center"/>
                </w:tcPr>
                <w:p>
                  <w:pPr>
                    <w:widowControl/>
                    <w:adjustRightInd/>
                    <w:spacing w:line="312" w:lineRule="atLeas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noWrap w:val="0"/>
                  <w:vAlign w:val="center"/>
                </w:tcPr>
                <w:p>
                  <w:pPr>
                    <w:pStyle w:val="47"/>
                    <w:adjustRightInd/>
                    <w:spacing w:before="0" w:beforeAutospacing="0" w:after="0" w:afterAutospacing="0" w:line="312" w:lineRule="atLeast"/>
                    <w:ind w:left="0" w:lef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340" w:type="pct"/>
                  <w:noWrap w:val="0"/>
                  <w:vAlign w:val="center"/>
                </w:tcPr>
                <w:p>
                  <w:pPr>
                    <w:spacing w:before="65" w:line="244" w:lineRule="auto"/>
                    <w:ind w:right="106"/>
                    <w:jc w:val="both"/>
                    <w:rPr>
                      <w:rFonts w:ascii="宋体" w:hAnsi="宋体" w:eastAsia="宋体" w:cs="宋体"/>
                      <w:sz w:val="20"/>
                      <w:szCs w:val="20"/>
                    </w:rPr>
                  </w:pPr>
                  <w:r>
                    <w:rPr>
                      <w:rFonts w:ascii="宋体" w:hAnsi="宋体" w:eastAsia="宋体" w:cs="宋体"/>
                      <w:spacing w:val="7"/>
                      <w:sz w:val="20"/>
                      <w:szCs w:val="20"/>
                    </w:rPr>
                    <w:t xml:space="preserve">第十六条：向大气排放污染物的企业事业单位和其他生产经营者，应当按照有关规 </w:t>
                  </w:r>
                  <w:r>
                    <w:rPr>
                      <w:rFonts w:ascii="宋体" w:hAnsi="宋体" w:eastAsia="宋体" w:cs="宋体"/>
                      <w:spacing w:val="8"/>
                      <w:sz w:val="20"/>
                      <w:szCs w:val="20"/>
                    </w:rPr>
                    <w:t>定设置大气污染物排放口。</w:t>
                  </w:r>
                </w:p>
                <w:p>
                  <w:pPr>
                    <w:spacing w:beforeLines="0" w:afterLines="0"/>
                    <w:jc w:val="left"/>
                    <w:rPr>
                      <w:rFonts w:ascii="宋体" w:hAnsi="宋体" w:eastAsia="宋体" w:cs="宋体"/>
                      <w:spacing w:val="7"/>
                      <w:sz w:val="20"/>
                      <w:szCs w:val="20"/>
                    </w:rPr>
                  </w:pPr>
                  <w:r>
                    <w:rPr>
                      <w:rFonts w:ascii="宋体" w:hAnsi="宋体" w:eastAsia="宋体" w:cs="宋体"/>
                      <w:spacing w:val="7"/>
                      <w:sz w:val="20"/>
                      <w:szCs w:val="20"/>
                    </w:rPr>
                    <w:t>禁止通过偷排、篡改或者伪造监测数据、以逃避现场检查为目的的临时停产、非紧急情况下开启应急排放通道、擅自拆除或</w:t>
                  </w:r>
                  <w:r>
                    <w:rPr>
                      <w:rFonts w:ascii="宋体" w:hAnsi="宋体" w:eastAsia="宋体" w:cs="宋体"/>
                      <w:spacing w:val="8"/>
                      <w:sz w:val="20"/>
                      <w:szCs w:val="20"/>
                    </w:rPr>
                    <w:t>者不正常运行大气污染防治设施等逃避监管的方式排放大气污染物。</w:t>
                  </w:r>
                </w:p>
              </w:tc>
              <w:tc>
                <w:tcPr>
                  <w:tcW w:w="2049" w:type="pct"/>
                  <w:noWrap w:val="0"/>
                  <w:vAlign w:val="center"/>
                </w:tcPr>
                <w:p>
                  <w:pPr>
                    <w:spacing w:before="65" w:line="246" w:lineRule="auto"/>
                    <w:ind w:right="109"/>
                    <w:jc w:val="both"/>
                    <w:rPr>
                      <w:rFonts w:hint="default" w:ascii="Times New Roman" w:hAnsi="Times New Roman" w:eastAsia="宋体" w:cs="Times New Roman"/>
                      <w:sz w:val="21"/>
                      <w:szCs w:val="21"/>
                    </w:rPr>
                  </w:pPr>
                  <w:r>
                    <w:rPr>
                      <w:rFonts w:ascii="宋体" w:hAnsi="宋体" w:eastAsia="宋体" w:cs="宋体"/>
                      <w:spacing w:val="9"/>
                      <w:sz w:val="21"/>
                      <w:szCs w:val="21"/>
                    </w:rPr>
                    <w:t>本次评价已制定相应的监测计</w:t>
                  </w:r>
                  <w:r>
                    <w:rPr>
                      <w:rFonts w:ascii="宋体" w:hAnsi="宋体" w:eastAsia="宋体" w:cs="宋体"/>
                      <w:spacing w:val="7"/>
                      <w:sz w:val="21"/>
                      <w:szCs w:val="21"/>
                    </w:rPr>
                    <w:t>划，运营期间，建设单位将委托</w:t>
                  </w:r>
                  <w:r>
                    <w:rPr>
                      <w:rFonts w:ascii="宋体" w:hAnsi="宋体" w:eastAsia="宋体" w:cs="宋体"/>
                      <w:spacing w:val="2"/>
                      <w:sz w:val="21"/>
                      <w:szCs w:val="21"/>
                    </w:rPr>
                    <w:t xml:space="preserve"> </w:t>
                  </w:r>
                  <w:r>
                    <w:rPr>
                      <w:rFonts w:ascii="宋体" w:hAnsi="宋体" w:eastAsia="宋体" w:cs="宋体"/>
                      <w:spacing w:val="16"/>
                      <w:sz w:val="21"/>
                      <w:szCs w:val="21"/>
                    </w:rPr>
                    <w:t>有资质的环境检测公司进行废</w:t>
                  </w:r>
                  <w:r>
                    <w:rPr>
                      <w:rFonts w:ascii="宋体" w:hAnsi="宋体" w:eastAsia="宋体" w:cs="宋体"/>
                      <w:spacing w:val="7"/>
                      <w:sz w:val="21"/>
                      <w:szCs w:val="21"/>
                    </w:rPr>
                    <w:t>气监测，并保证监测数据真实有效，做到不偷排、不伪造、不逃</w:t>
                  </w:r>
                  <w:r>
                    <w:rPr>
                      <w:rFonts w:ascii="宋体" w:hAnsi="宋体" w:eastAsia="宋体" w:cs="宋体"/>
                      <w:spacing w:val="1"/>
                      <w:sz w:val="21"/>
                      <w:szCs w:val="21"/>
                    </w:rPr>
                    <w:t>避。</w:t>
                  </w:r>
                </w:p>
              </w:tc>
              <w:tc>
                <w:tcPr>
                  <w:tcW w:w="293" w:type="pct"/>
                  <w:noWrap w:val="0"/>
                  <w:vAlign w:val="center"/>
                </w:tcPr>
                <w:p>
                  <w:pPr>
                    <w:widowControl/>
                    <w:adjustRightInd/>
                    <w:spacing w:line="312" w:lineRule="atLeas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bl>
          <w:p>
            <w:pPr>
              <w:snapToGrid w:val="0"/>
              <w:spacing w:line="360" w:lineRule="auto"/>
              <w:rPr>
                <w:rFonts w:hint="eastAsia" w:eastAsia="宋体"/>
                <w:b/>
                <w:bCs/>
                <w:color w:val="000000"/>
                <w:sz w:val="24"/>
                <w:szCs w:val="21"/>
                <w:lang w:val="en-US" w:eastAsia="zh-CN"/>
              </w:rPr>
            </w:pPr>
          </w:p>
          <w:p>
            <w:pPr>
              <w:autoSpaceDE w:val="0"/>
              <w:autoSpaceDN w:val="0"/>
              <w:adjustRightInd w:val="0"/>
              <w:spacing w:line="360" w:lineRule="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color w:val="000000"/>
                <w:sz w:val="24"/>
                <w:szCs w:val="24"/>
                <w:lang w:val="en-US" w:eastAsia="zh-CN"/>
              </w:rPr>
              <w:t>5、</w:t>
            </w:r>
            <w:r>
              <w:rPr>
                <w:rFonts w:hint="default" w:ascii="Times New Roman" w:hAnsi="Times New Roman" w:eastAsia="宋体" w:cs="Times New Roman"/>
                <w:b/>
                <w:bCs/>
                <w:kern w:val="0"/>
                <w:sz w:val="24"/>
                <w:szCs w:val="24"/>
              </w:rPr>
              <w:t>项目与《昆明市河道管理条例》相符性分析</w:t>
            </w:r>
          </w:p>
          <w:p>
            <w:pPr>
              <w:autoSpaceDE w:val="0"/>
              <w:autoSpaceDN w:val="0"/>
              <w:adjustRightInd w:val="0"/>
              <w:spacing w:line="360" w:lineRule="auto"/>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《昆明市河道管理条例》（2016年修订版），自2017年3月1日起施行。项目与《昆明市河道管理条例》相符性分析见下表。</w:t>
            </w:r>
          </w:p>
          <w:p>
            <w:pPr>
              <w:autoSpaceDE w:val="0"/>
              <w:autoSpaceDN w:val="0"/>
              <w:adjustRightInd w:val="0"/>
              <w:spacing w:line="360" w:lineRule="auto"/>
              <w:ind w:firstLine="422" w:firstLineChars="20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表1-</w:t>
            </w:r>
            <w:r>
              <w:rPr>
                <w:rFonts w:hint="eastAsia" w:cs="Times New Roman"/>
                <w:b/>
                <w:bCs/>
                <w:kern w:val="0"/>
                <w:sz w:val="21"/>
                <w:szCs w:val="21"/>
                <w:lang w:val="en-US" w:eastAsia="zh-CN"/>
              </w:rPr>
              <w:t>5</w:t>
            </w:r>
            <w:r>
              <w:rPr>
                <w:rFonts w:hint="default" w:ascii="Times New Roman" w:hAnsi="Times New Roman" w:eastAsia="宋体" w:cs="Times New Roman"/>
                <w:b/>
                <w:bCs/>
                <w:kern w:val="0"/>
                <w:sz w:val="21"/>
                <w:szCs w:val="21"/>
              </w:rPr>
              <w:t xml:space="preserve">  项目与《昆明市河道管理条例》相符性分析</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254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9" w:type="pct"/>
                  <w:vAlign w:val="center"/>
                </w:tcPr>
                <w:p>
                  <w:pPr>
                    <w:autoSpaceDE w:val="0"/>
                    <w:autoSpaceDN w:val="0"/>
                    <w:adjustRightIn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内容</w:t>
                  </w:r>
                </w:p>
              </w:tc>
              <w:tc>
                <w:tcPr>
                  <w:tcW w:w="1696" w:type="pct"/>
                  <w:vAlign w:val="center"/>
                </w:tcPr>
                <w:p>
                  <w:pPr>
                    <w:autoSpaceDE w:val="0"/>
                    <w:autoSpaceDN w:val="0"/>
                    <w:adjustRightIn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项目情况</w:t>
                  </w:r>
                </w:p>
              </w:tc>
              <w:tc>
                <w:tcPr>
                  <w:tcW w:w="514" w:type="pct"/>
                  <w:vAlign w:val="center"/>
                </w:tcPr>
                <w:p>
                  <w:pPr>
                    <w:autoSpaceDE w:val="0"/>
                    <w:autoSpaceDN w:val="0"/>
                    <w:adjustRightIn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2" w:hRule="atLeast"/>
              </w:trPr>
              <w:tc>
                <w:tcPr>
                  <w:tcW w:w="2789" w:type="pct"/>
                  <w:vAlign w:val="center"/>
                </w:tcPr>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第二十条 河道的管理范围为：已划定规划控制线的为河道绿化带外缘以内的范围；尚未划定河道规划控制线的为两岸堤防之间的水域、湿地、滩涂（含可耕地）、两岸堤防及护堤地。护堤地的宽度为堤防背水坡脚线水平外延不少于2米的区域，无背水坡脚线的为堤防上口线水平外延不少于5米的区域。其中，主要出入滇池河道的管理范围为河道两岸堤防上口外侧边缘线沿地表向外水平延伸50米以内的区域。</w:t>
                  </w:r>
                </w:p>
                <w:p>
                  <w:pPr>
                    <w:autoSpaceDE w:val="0"/>
                    <w:autoSpaceDN w:val="0"/>
                    <w:adjustRightInd w:val="0"/>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河道的保护范围为河道管理范围以外100米以内的区域。</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第二十一条 河道的具体管理和保护范围，由水行政主管部门或者滇池行政管理部门根据河道管理的需要，会同同级城乡规划、国土资源、环境保护等行政管理部门划定，经同级人民政府批准并公布。</w:t>
                  </w:r>
                </w:p>
                <w:p>
                  <w:pPr>
                    <w:autoSpaceDE w:val="0"/>
                    <w:autoSpaceDN w:val="0"/>
                    <w:adjustRightInd w:val="0"/>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河道管理和保护范围划定后，由水行政主管部门或者滇池行政管理部</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门设立标志。</w:t>
                  </w:r>
                </w:p>
              </w:tc>
              <w:tc>
                <w:tcPr>
                  <w:tcW w:w="1696" w:type="pct"/>
                  <w:vAlign w:val="center"/>
                </w:tcPr>
                <w:p>
                  <w:pPr>
                    <w:autoSpaceDE w:val="0"/>
                    <w:autoSpaceDN w:val="0"/>
                    <w:adjustRightInd w:val="0"/>
                    <w:ind w:firstLine="420" w:firstLineChars="200"/>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项目距离项目区最近的地表水体主要为厂区东侧的小江，小江为金沙江一级支流。</w:t>
                  </w:r>
                  <w:r>
                    <w:rPr>
                      <w:rFonts w:hint="eastAsia" w:cs="Times New Roman"/>
                      <w:kern w:val="0"/>
                      <w:sz w:val="21"/>
                      <w:szCs w:val="21"/>
                      <w:lang w:val="en-US" w:eastAsia="zh-CN"/>
                    </w:rPr>
                    <w:t>项目与小江距离超过200m，不在河道管理范围内。项目运营期无工艺废水产生；项目区设食宿，设一个厕所，生活污水排入化粪池，食堂废水经隔油池处理后同其他污水排入化粪池，所有生活污水经化粪池处理后用槽罐车外送污水处理厂进行处理。项目无废水外排放，项目的建设对区域地表水环境影响较小。</w:t>
                  </w:r>
                </w:p>
              </w:tc>
              <w:tc>
                <w:tcPr>
                  <w:tcW w:w="514" w:type="pct"/>
                  <w:vMerge w:val="restart"/>
                  <w:vAlign w:val="center"/>
                </w:tcPr>
                <w:p>
                  <w:pPr>
                    <w:autoSpaceDE w:val="0"/>
                    <w:autoSpaceDN w:val="0"/>
                    <w:adjustRightIn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7" w:hRule="atLeast"/>
              </w:trPr>
              <w:tc>
                <w:tcPr>
                  <w:tcW w:w="2789" w:type="pct"/>
                  <w:vAlign w:val="center"/>
                </w:tcPr>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第二十二条 在河道保护范围内禁止下列行为：</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（一）建设排放氮、磷等污染物的工业项目以及污染环境、破坏生态平衡和自然景观的其他项目；</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（二）倾倒、扔弃、堆放、储存、掩埋废弃物和其他污染物；</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（三）向河道排放污水；</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（四）毁林开垦或者违法占用林地资源，盗伐、滥伐护堤林、护岸林；</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（五）爆破、打井、采石、取土等影响河势稳定、危害河岸堤防安全和妨碍行洪的活动。</w:t>
                  </w:r>
                </w:p>
              </w:tc>
              <w:tc>
                <w:tcPr>
                  <w:tcW w:w="1696" w:type="pct"/>
                  <w:vAlign w:val="center"/>
                </w:tcPr>
                <w:p>
                  <w:pPr>
                    <w:autoSpaceDE w:val="0"/>
                    <w:autoSpaceDN w:val="0"/>
                    <w:adjustRightInd w:val="0"/>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本项目不涉及</w:t>
                  </w:r>
                  <w:r>
                    <w:rPr>
                      <w:rFonts w:hint="eastAsia" w:cs="Times New Roman"/>
                      <w:kern w:val="0"/>
                      <w:sz w:val="21"/>
                      <w:szCs w:val="21"/>
                      <w:lang w:val="en-US" w:eastAsia="zh-CN"/>
                    </w:rPr>
                    <w:t>该</w:t>
                  </w:r>
                  <w:r>
                    <w:rPr>
                      <w:rFonts w:hint="default" w:ascii="Times New Roman" w:hAnsi="Times New Roman" w:eastAsia="宋体" w:cs="Times New Roman"/>
                      <w:kern w:val="0"/>
                      <w:sz w:val="21"/>
                      <w:szCs w:val="21"/>
                    </w:rPr>
                    <w:t>条例行为。</w:t>
                  </w:r>
                </w:p>
              </w:tc>
              <w:tc>
                <w:tcPr>
                  <w:tcW w:w="514" w:type="pct"/>
                  <w:vMerge w:val="continue"/>
                  <w:vAlign w:val="center"/>
                </w:tcPr>
                <w:p>
                  <w:pPr>
                    <w:autoSpaceDE w:val="0"/>
                    <w:autoSpaceDN w:val="0"/>
                    <w:adjustRightInd w:val="0"/>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7" w:hRule="atLeast"/>
              </w:trPr>
              <w:tc>
                <w:tcPr>
                  <w:tcW w:w="2789" w:type="pct"/>
                  <w:vAlign w:val="center"/>
                </w:tcPr>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第二十三条 在河道管理范围内，除遵守第二十二条规定外，还禁止下列行为：</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（一）清洗装贮过油类、有毒污染物的车辆、容器及包装物品；</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（二）设置拦河渔具，或者炸鱼、电鱼、毒鱼等活动；</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（三）围垦河道，或者建设阻碍行洪的建筑物、构筑物；</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（四）擅自填堵、覆盖河道，侵占河床、河堤，改变河道流向。</w:t>
                  </w:r>
                </w:p>
              </w:tc>
              <w:tc>
                <w:tcPr>
                  <w:tcW w:w="1696" w:type="pct"/>
                  <w:vAlign w:val="center"/>
                </w:tcPr>
                <w:p>
                  <w:pPr>
                    <w:autoSpaceDE w:val="0"/>
                    <w:autoSpaceDN w:val="0"/>
                    <w:adjustRightInd w:val="0"/>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本项目不涉及。</w:t>
                  </w:r>
                </w:p>
              </w:tc>
              <w:tc>
                <w:tcPr>
                  <w:tcW w:w="514" w:type="pct"/>
                  <w:vMerge w:val="continue"/>
                  <w:vAlign w:val="center"/>
                </w:tcPr>
                <w:p>
                  <w:pPr>
                    <w:autoSpaceDE w:val="0"/>
                    <w:autoSpaceDN w:val="0"/>
                    <w:adjustRightInd w:val="0"/>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789" w:type="pct"/>
                  <w:vAlign w:val="center"/>
                </w:tcPr>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第二十四条 在出入滇池河道管理范围内，除遵守第二十三条规定外，还禁止下列行为：</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（一）洗浴，清洗车辆、衣物、卫生器具、容器以及其他污染水体的</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物品；</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（二）在非指定区域游泳；</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（三）设置排污口；</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（四）倾倒污水、污物；</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（五）堆放、抛洒、焚烧物品；</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（六）擅自捕捞水生动植物和猎捕野生水禽；</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（七）利用船舶、船坞等水上设施从事餐饮、娱乐、住宿等活动；</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（八）悬挂、晾晒有碍景观的物品。</w:t>
                  </w:r>
                </w:p>
              </w:tc>
              <w:tc>
                <w:tcPr>
                  <w:tcW w:w="1696" w:type="pct"/>
                  <w:vAlign w:val="center"/>
                </w:tcPr>
                <w:p>
                  <w:pPr>
                    <w:autoSpaceDE w:val="0"/>
                    <w:autoSpaceDN w:val="0"/>
                    <w:adjustRightInd w:val="0"/>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本项目不涉及。</w:t>
                  </w:r>
                </w:p>
              </w:tc>
              <w:tc>
                <w:tcPr>
                  <w:tcW w:w="514" w:type="pct"/>
                  <w:vMerge w:val="continue"/>
                  <w:vAlign w:val="center"/>
                </w:tcPr>
                <w:p>
                  <w:pPr>
                    <w:autoSpaceDE w:val="0"/>
                    <w:autoSpaceDN w:val="0"/>
                    <w:adjustRightInd w:val="0"/>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7" w:hRule="atLeast"/>
              </w:trPr>
              <w:tc>
                <w:tcPr>
                  <w:tcW w:w="2789" w:type="pct"/>
                  <w:vAlign w:val="center"/>
                </w:tcPr>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第二十七条 建设单位确需在河道管理范围内建设以下工程项目的，工程建设项目应当符合河道规划，其建设方案应当经水行政主管部门或者滇池行政管理部门审查同意并按照基本建设程序办理审批手续：</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（一）水利开发、水害防治、河道治理的各类工程；</w:t>
                  </w:r>
                </w:p>
                <w:p>
                  <w:pPr>
                    <w:autoSpaceDE w:val="0"/>
                    <w:autoSpaceDN w:val="0"/>
                    <w:adjustRightInd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（二）修建跨河、穿河、穿堤、临河的桥梁、码头、道路、渡口、管道、缆线、取水口、排水口等工程设施。</w:t>
                  </w:r>
                </w:p>
              </w:tc>
              <w:tc>
                <w:tcPr>
                  <w:tcW w:w="1696" w:type="pct"/>
                  <w:vAlign w:val="center"/>
                </w:tcPr>
                <w:p>
                  <w:pPr>
                    <w:autoSpaceDE w:val="0"/>
                    <w:autoSpaceDN w:val="0"/>
                    <w:adjustRightInd w:val="0"/>
                    <w:ind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本项目不涉及。</w:t>
                  </w:r>
                </w:p>
              </w:tc>
              <w:tc>
                <w:tcPr>
                  <w:tcW w:w="514" w:type="pct"/>
                  <w:vMerge w:val="continue"/>
                  <w:vAlign w:val="center"/>
                </w:tcPr>
                <w:p>
                  <w:pPr>
                    <w:autoSpaceDE w:val="0"/>
                    <w:autoSpaceDN w:val="0"/>
                    <w:adjustRightInd w:val="0"/>
                    <w:jc w:val="center"/>
                    <w:rPr>
                      <w:rFonts w:hint="default" w:ascii="Times New Roman" w:hAnsi="Times New Roman" w:eastAsia="宋体" w:cs="Times New Roman"/>
                      <w:kern w:val="0"/>
                      <w:sz w:val="21"/>
                      <w:szCs w:val="21"/>
                    </w:rPr>
                  </w:pPr>
                </w:p>
              </w:tc>
            </w:tr>
          </w:tbl>
          <w:p>
            <w:pPr>
              <w:snapToGrid w:val="0"/>
              <w:spacing w:line="360" w:lineRule="auto"/>
              <w:rPr>
                <w:rFonts w:hint="eastAsia"/>
                <w:b/>
                <w:bCs/>
                <w:color w:val="000000"/>
                <w:sz w:val="24"/>
                <w:szCs w:val="21"/>
                <w:lang w:val="en-US" w:eastAsia="zh-CN"/>
              </w:rPr>
            </w:pPr>
          </w:p>
          <w:p>
            <w:pPr>
              <w:snapToGrid w:val="0"/>
              <w:spacing w:line="360" w:lineRule="auto"/>
              <w:rPr>
                <w:rFonts w:hint="default"/>
                <w:b/>
                <w:bCs/>
                <w:color w:val="000000"/>
                <w:sz w:val="24"/>
                <w:szCs w:val="21"/>
                <w:lang w:val="en-US" w:eastAsia="zh-CN"/>
              </w:rPr>
            </w:pPr>
            <w:r>
              <w:rPr>
                <w:rFonts w:hint="eastAsia"/>
                <w:b/>
                <w:bCs/>
                <w:color w:val="000000"/>
                <w:sz w:val="24"/>
                <w:szCs w:val="21"/>
                <w:lang w:val="en-US" w:eastAsia="zh-CN"/>
              </w:rPr>
              <w:t>6、项目与“栗喉蜂虎自然保护小区”相符性分析</w:t>
            </w:r>
          </w:p>
          <w:p>
            <w:pPr>
              <w:adjustRightInd w:val="0"/>
              <w:snapToGrid w:val="0"/>
              <w:spacing w:line="360" w:lineRule="auto"/>
              <w:ind w:firstLine="480" w:firstLineChars="200"/>
              <w:jc w:val="left"/>
              <w:rPr>
                <w:rFonts w:hint="eastAsia" w:ascii="Times New Roman" w:hAnsi="Times New Roman" w:eastAsia="宋体" w:cs="Times New Roman"/>
                <w:color w:val="000000"/>
                <w:sz w:val="24"/>
                <w:szCs w:val="21"/>
                <w:lang w:val="en-US" w:eastAsia="zh-CN"/>
              </w:rPr>
            </w:pPr>
            <w:r>
              <w:rPr>
                <w:rFonts w:hint="eastAsia" w:ascii="Times New Roman" w:hAnsi="Times New Roman" w:eastAsia="宋体" w:cs="Times New Roman"/>
                <w:color w:val="000000"/>
                <w:sz w:val="24"/>
                <w:szCs w:val="21"/>
                <w:lang w:val="en-US" w:eastAsia="zh-CN"/>
              </w:rPr>
              <w:t>2017年11月28日昆明市东川人民政府通过了昆明市东川区林业局关于申请“东川区栗喉蜂虎自然保护小区”的请示，把东川阿旺、铜都街道、乌龙、汤丹、拖布卡等小江流域一带划为“栗喉蜂虎自然保护小区”进行有效的保护，面积为3352公顷。严禁在自然保护小区内进行采石、采砂、取土等人为干扰的活动，对非法狩猎、收购、毒杀、破坏栗喉蜂虎栖息地等违法行为进行制止和报告，尽量减小人为影响。</w:t>
            </w:r>
          </w:p>
          <w:p>
            <w:pPr>
              <w:adjustRightInd w:val="0"/>
              <w:snapToGrid w:val="0"/>
              <w:spacing w:line="360" w:lineRule="auto"/>
              <w:ind w:firstLine="480" w:firstLineChars="200"/>
              <w:jc w:val="left"/>
              <w:rPr>
                <w:rFonts w:hint="eastAsia" w:ascii="Times New Roman" w:hAnsi="Times New Roman" w:eastAsia="宋体" w:cs="Times New Roman"/>
                <w:color w:val="000000"/>
                <w:sz w:val="24"/>
                <w:szCs w:val="21"/>
                <w:lang w:val="en-US" w:eastAsia="zh-CN"/>
              </w:rPr>
            </w:pPr>
            <w:r>
              <w:rPr>
                <w:rFonts w:hint="eastAsia" w:ascii="Times New Roman" w:hAnsi="Times New Roman" w:eastAsia="宋体" w:cs="Times New Roman"/>
                <w:color w:val="000000"/>
                <w:sz w:val="24"/>
                <w:szCs w:val="21"/>
                <w:lang w:val="en-US" w:eastAsia="zh-CN"/>
              </w:rPr>
              <w:t>本项目为水泥制品项目，位于东川区拖布卡镇东北侧与会泽交界处，不属于栗喉蜂虎的集中生活区，且项目为临时性项目，暂时为格勒旅游客运中心提供混凝土，灌木乔木等植被较少，不属于栗喉蜂虎的栖息和捕食区域，日常运营不会对“东川区栗喉蜂虎自然保护小区”造成干扰，据现场调查，项目周围并未发现</w:t>
            </w:r>
            <w:r>
              <w:rPr>
                <w:rFonts w:hint="default" w:ascii="Times New Roman" w:hAnsi="Times New Roman" w:eastAsia="宋体" w:cs="Times New Roman"/>
                <w:color w:val="000000"/>
                <w:sz w:val="24"/>
                <w:szCs w:val="21"/>
                <w:lang w:val="en-US" w:eastAsia="zh-CN"/>
              </w:rPr>
              <w:t>栗喉蜂虎栖息或觅食的踪迹</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000000"/>
                <w:sz w:val="24"/>
                <w:szCs w:val="21"/>
                <w:lang w:val="en-US" w:eastAsia="zh-CN"/>
              </w:rPr>
              <w:t>本项目在生产过程中严格执行相应生态保护措施，可将对栗喉蜂虎生境的影响降至最小，本项目符合“东川区栗喉蜂虎自然保护小区”的各项要求。</w:t>
            </w:r>
          </w:p>
          <w:p>
            <w:pPr>
              <w:snapToGrid w:val="0"/>
              <w:spacing w:line="360" w:lineRule="auto"/>
              <w:rPr>
                <w:rFonts w:hint="default"/>
                <w:b/>
                <w:bCs/>
                <w:color w:val="000000"/>
                <w:sz w:val="24"/>
                <w:szCs w:val="21"/>
                <w:lang w:val="en-US" w:eastAsia="zh-CN"/>
              </w:rPr>
            </w:pPr>
          </w:p>
          <w:p>
            <w:pPr>
              <w:snapToGrid w:val="0"/>
              <w:spacing w:line="360" w:lineRule="auto"/>
              <w:rPr>
                <w:b/>
                <w:bCs/>
                <w:color w:val="000000"/>
                <w:sz w:val="24"/>
                <w:szCs w:val="21"/>
              </w:rPr>
            </w:pPr>
            <w:r>
              <w:rPr>
                <w:rFonts w:hint="eastAsia"/>
                <w:b/>
                <w:bCs/>
                <w:color w:val="000000"/>
                <w:sz w:val="24"/>
                <w:szCs w:val="21"/>
                <w:lang w:val="en-US" w:eastAsia="zh-CN"/>
              </w:rPr>
              <w:t>7、</w:t>
            </w:r>
            <w:r>
              <w:rPr>
                <w:rFonts w:hint="eastAsia"/>
                <w:b/>
                <w:bCs/>
                <w:color w:val="000000"/>
                <w:sz w:val="24"/>
                <w:szCs w:val="21"/>
              </w:rPr>
              <w:t>项目与《昆明市预拌混凝土管理办法》符合性分析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根据《昆明市预拌混凝土管理办法》（</w:t>
            </w:r>
            <w:r>
              <w:rPr>
                <w:color w:val="000000"/>
                <w:sz w:val="24"/>
                <w:szCs w:val="21"/>
              </w:rPr>
              <w:t>2010</w:t>
            </w:r>
            <w:r>
              <w:rPr>
                <w:rFonts w:hint="eastAsia"/>
                <w:color w:val="000000"/>
                <w:sz w:val="24"/>
                <w:szCs w:val="21"/>
              </w:rPr>
              <w:t>年</w:t>
            </w:r>
            <w:r>
              <w:rPr>
                <w:color w:val="000000"/>
                <w:sz w:val="24"/>
                <w:szCs w:val="21"/>
              </w:rPr>
              <w:t>3</w:t>
            </w:r>
            <w:r>
              <w:rPr>
                <w:rFonts w:hint="eastAsia"/>
                <w:color w:val="000000"/>
                <w:sz w:val="24"/>
                <w:szCs w:val="21"/>
              </w:rPr>
              <w:t>月</w:t>
            </w:r>
            <w:r>
              <w:rPr>
                <w:color w:val="000000"/>
                <w:sz w:val="24"/>
                <w:szCs w:val="21"/>
              </w:rPr>
              <w:t>1</w:t>
            </w:r>
            <w:r>
              <w:rPr>
                <w:rFonts w:hint="eastAsia"/>
                <w:color w:val="000000"/>
                <w:sz w:val="24"/>
                <w:szCs w:val="21"/>
              </w:rPr>
              <w:t>日起施行），本项目与《昆明市预拌混凝土管理办法》相符性分析见表</w:t>
            </w:r>
            <w:r>
              <w:rPr>
                <w:color w:val="000000"/>
                <w:sz w:val="24"/>
                <w:szCs w:val="21"/>
              </w:rPr>
              <w:t>1-3</w:t>
            </w:r>
            <w:r>
              <w:rPr>
                <w:rFonts w:hint="eastAsia"/>
                <w:color w:val="000000"/>
                <w:sz w:val="24"/>
                <w:szCs w:val="21"/>
              </w:rPr>
              <w:t>。</w:t>
            </w:r>
          </w:p>
          <w:p>
            <w:pPr>
              <w:adjustRightInd w:val="0"/>
              <w:snapToGrid w:val="0"/>
              <w:spacing w:line="360" w:lineRule="auto"/>
              <w:jc w:val="center"/>
              <w:rPr>
                <w:color w:val="000000"/>
                <w:sz w:val="24"/>
                <w:szCs w:val="21"/>
              </w:rPr>
            </w:pPr>
            <w:r>
              <w:rPr>
                <w:rFonts w:hint="eastAsia"/>
                <w:b/>
                <w:bCs/>
                <w:color w:val="000000"/>
                <w:szCs w:val="21"/>
              </w:rPr>
              <w:t>表</w:t>
            </w:r>
            <w:r>
              <w:rPr>
                <w:b/>
                <w:bCs/>
                <w:color w:val="000000"/>
                <w:szCs w:val="21"/>
              </w:rPr>
              <w:t>1-</w:t>
            </w:r>
            <w:r>
              <w:rPr>
                <w:rFonts w:hint="eastAsia"/>
                <w:b/>
                <w:bCs/>
                <w:color w:val="000000"/>
                <w:szCs w:val="21"/>
                <w:lang w:val="en-US" w:eastAsia="zh-CN"/>
              </w:rPr>
              <w:t>6</w:t>
            </w:r>
            <w:r>
              <w:rPr>
                <w:b/>
                <w:bCs/>
                <w:color w:val="000000"/>
                <w:szCs w:val="21"/>
              </w:rPr>
              <w:t xml:space="preserve">  </w:t>
            </w:r>
            <w:r>
              <w:rPr>
                <w:rFonts w:hint="eastAsia"/>
                <w:b/>
                <w:bCs/>
                <w:color w:val="000000"/>
                <w:szCs w:val="21"/>
              </w:rPr>
              <w:t>项目与《昆明市预拌混凝土管理办法》相符性分</w:t>
            </w:r>
            <w:r>
              <w:rPr>
                <w:rFonts w:hint="eastAsia"/>
                <w:color w:val="000000"/>
                <w:sz w:val="24"/>
                <w:szCs w:val="21"/>
              </w:rPr>
              <w:t>析</w:t>
            </w:r>
          </w:p>
          <w:tbl>
            <w:tblPr>
              <w:tblStyle w:val="8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3"/>
              <w:gridCol w:w="2401"/>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blHeader/>
                <w:jc w:val="right"/>
              </w:trPr>
              <w:tc>
                <w:tcPr>
                  <w:tcW w:w="0" w:type="auto"/>
                  <w:vAlign w:val="center"/>
                </w:tcPr>
                <w:p>
                  <w:pPr>
                    <w:adjustRightInd w:val="0"/>
                    <w:jc w:val="center"/>
                    <w:rPr>
                      <w:color w:val="000000"/>
                      <w:szCs w:val="21"/>
                    </w:rPr>
                  </w:pPr>
                  <w:r>
                    <w:rPr>
                      <w:color w:val="000000"/>
                      <w:szCs w:val="21"/>
                    </w:rPr>
                    <w:t>《昆明市预拌混凝土管理办法》要求</w:t>
                  </w:r>
                </w:p>
              </w:tc>
              <w:tc>
                <w:tcPr>
                  <w:tcW w:w="2401" w:type="dxa"/>
                  <w:vAlign w:val="center"/>
                </w:tcPr>
                <w:p>
                  <w:pPr>
                    <w:adjustRightInd w:val="0"/>
                    <w:snapToGrid w:val="0"/>
                    <w:jc w:val="center"/>
                    <w:rPr>
                      <w:color w:val="000000"/>
                      <w:szCs w:val="21"/>
                    </w:rPr>
                  </w:pPr>
                  <w:r>
                    <w:rPr>
                      <w:color w:val="000000"/>
                      <w:szCs w:val="21"/>
                    </w:rPr>
                    <w:t>本项目情况</w:t>
                  </w:r>
                </w:p>
              </w:tc>
              <w:tc>
                <w:tcPr>
                  <w:tcW w:w="722" w:type="dxa"/>
                  <w:vAlign w:val="center"/>
                </w:tcPr>
                <w:p>
                  <w:pPr>
                    <w:adjustRightInd w:val="0"/>
                    <w:snapToGrid w:val="0"/>
                    <w:jc w:val="center"/>
                    <w:rPr>
                      <w:color w:val="000000"/>
                      <w:szCs w:val="21"/>
                    </w:rPr>
                  </w:pPr>
                  <w:r>
                    <w:rPr>
                      <w:color w:val="000000"/>
                      <w:szCs w:val="21"/>
                    </w:rPr>
                    <w:t>是否</w:t>
                  </w:r>
                </w:p>
                <w:p>
                  <w:pPr>
                    <w:adjustRightInd w:val="0"/>
                    <w:snapToGrid w:val="0"/>
                    <w:jc w:val="center"/>
                    <w:rPr>
                      <w:color w:val="000000"/>
                      <w:szCs w:val="21"/>
                    </w:rPr>
                  </w:pPr>
                  <w:r>
                    <w:rPr>
                      <w:color w:val="00000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blHeader/>
                <w:jc w:val="right"/>
              </w:trPr>
              <w:tc>
                <w:tcPr>
                  <w:tcW w:w="0" w:type="auto"/>
                  <w:vAlign w:val="center"/>
                </w:tcPr>
                <w:p>
                  <w:pPr>
                    <w:adjustRightInd w:val="0"/>
                    <w:ind w:firstLine="420" w:firstLineChars="200"/>
                    <w:rPr>
                      <w:color w:val="000000"/>
                      <w:szCs w:val="21"/>
                    </w:rPr>
                  </w:pPr>
                  <w:r>
                    <w:rPr>
                      <w:rFonts w:hint="eastAsia"/>
                      <w:color w:val="000000"/>
                      <w:szCs w:val="21"/>
                    </w:rPr>
                    <w:t>第九条预拌混凝土生产企业应当按照有关规定取得建设行政主管部门颁发的资质证书，并在资质范围内组织生产和销售预拌混凝土。未取得资质证书的预拌混凝土生产企业不得生产和销售预拌混凝土。</w:t>
                  </w:r>
                </w:p>
              </w:tc>
              <w:tc>
                <w:tcPr>
                  <w:tcW w:w="2401" w:type="dxa"/>
                  <w:vAlign w:val="center"/>
                </w:tcPr>
                <w:p>
                  <w:pPr>
                    <w:adjustRightInd w:val="0"/>
                    <w:snapToGrid w:val="0"/>
                    <w:ind w:firstLine="420" w:firstLineChars="200"/>
                    <w:rPr>
                      <w:color w:val="000000"/>
                      <w:szCs w:val="21"/>
                    </w:rPr>
                  </w:pPr>
                  <w:r>
                    <w:rPr>
                      <w:rFonts w:hint="eastAsia"/>
                      <w:color w:val="000000"/>
                      <w:szCs w:val="21"/>
                    </w:rPr>
                    <w:t>本项目建设单位已取得营业执照，营业执照中预拌混凝土属于项目的经营范围，详见附件2。</w:t>
                  </w:r>
                </w:p>
              </w:tc>
              <w:tc>
                <w:tcPr>
                  <w:tcW w:w="722" w:type="dxa"/>
                  <w:vAlign w:val="center"/>
                </w:tcPr>
                <w:p>
                  <w:pPr>
                    <w:adjustRightInd w:val="0"/>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tcPr>
                <w:p>
                  <w:pPr>
                    <w:adjustRightInd w:val="0"/>
                    <w:snapToGrid w:val="0"/>
                    <w:ind w:firstLine="420" w:firstLineChars="200"/>
                    <w:jc w:val="left"/>
                    <w:rPr>
                      <w:color w:val="000000"/>
                      <w:szCs w:val="21"/>
                    </w:rPr>
                  </w:pPr>
                  <w:r>
                    <w:rPr>
                      <w:color w:val="000000"/>
                      <w:szCs w:val="21"/>
                    </w:rPr>
                    <w:t>第十条预拌混凝土生产企业设立搅拌站，应当符合国家和省、市有关资源节约、清洁生产、安全文明生产的规定，做到搅拌站场地全硬化，绿化达标，配置相应的污水处理、除尘、降噪、砂石料分离等设施，并报市建设行政主管部门备案。</w:t>
                  </w:r>
                </w:p>
              </w:tc>
              <w:tc>
                <w:tcPr>
                  <w:tcW w:w="2401" w:type="dxa"/>
                  <w:vAlign w:val="center"/>
                </w:tcPr>
                <w:p>
                  <w:pPr>
                    <w:adjustRightInd w:val="0"/>
                    <w:snapToGrid w:val="0"/>
                    <w:ind w:firstLine="420" w:firstLineChars="200"/>
                    <w:rPr>
                      <w:color w:val="000000"/>
                      <w:szCs w:val="21"/>
                    </w:rPr>
                  </w:pPr>
                  <w:r>
                    <w:rPr>
                      <w:color w:val="000000"/>
                      <w:szCs w:val="21"/>
                    </w:rPr>
                    <w:t>本项目符合</w:t>
                  </w:r>
                  <w:r>
                    <w:rPr>
                      <w:rFonts w:hint="eastAsia"/>
                      <w:color w:val="000000"/>
                      <w:szCs w:val="21"/>
                    </w:rPr>
                    <w:t>国家和省、市有关资源节约、清洁生产、安全文明生产的规定，搅拌站场地已全部硬化，设有三级沉淀池处理生产废水、设置化粪池等，设置有效的除尘设施，</w:t>
                  </w:r>
                  <w:r>
                    <w:rPr>
                      <w:color w:val="000000"/>
                      <w:szCs w:val="21"/>
                    </w:rPr>
                    <w:t>项目符合</w:t>
                  </w:r>
                  <w:r>
                    <w:rPr>
                      <w:rFonts w:hint="eastAsia"/>
                      <w:color w:val="000000"/>
                      <w:szCs w:val="21"/>
                    </w:rPr>
                    <w:t>第十条相关规定。</w:t>
                  </w:r>
                </w:p>
              </w:tc>
              <w:tc>
                <w:tcPr>
                  <w:tcW w:w="722" w:type="dxa"/>
                  <w:vAlign w:val="center"/>
                </w:tcPr>
                <w:p>
                  <w:pPr>
                    <w:adjustRightInd w:val="0"/>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tcPr>
                <w:p>
                  <w:pPr>
                    <w:adjustRightInd w:val="0"/>
                    <w:snapToGrid w:val="0"/>
                    <w:ind w:firstLine="420" w:firstLineChars="200"/>
                    <w:rPr>
                      <w:color w:val="000000"/>
                      <w:szCs w:val="21"/>
                    </w:rPr>
                  </w:pPr>
                  <w:r>
                    <w:rPr>
                      <w:color w:val="000000"/>
                      <w:szCs w:val="21"/>
                    </w:rPr>
                    <w:t>第十一条预拌混凝土生产企业在生产过程中应当遵守下列规定：</w:t>
                  </w:r>
                </w:p>
                <w:p>
                  <w:pPr>
                    <w:adjustRightInd w:val="0"/>
                    <w:snapToGrid w:val="0"/>
                    <w:ind w:firstLine="420" w:firstLineChars="200"/>
                    <w:rPr>
                      <w:color w:val="000000"/>
                      <w:szCs w:val="21"/>
                    </w:rPr>
                  </w:pPr>
                  <w:r>
                    <w:rPr>
                      <w:color w:val="000000"/>
                      <w:szCs w:val="21"/>
                    </w:rPr>
                    <w:t>（一）严格执行国家、省有关标准、规范和规程，建立完善的质量安全保证体系和运行机制；</w:t>
                  </w:r>
                </w:p>
                <w:p>
                  <w:pPr>
                    <w:adjustRightInd w:val="0"/>
                    <w:snapToGrid w:val="0"/>
                    <w:ind w:firstLine="420" w:firstLineChars="200"/>
                    <w:rPr>
                      <w:color w:val="000000"/>
                      <w:szCs w:val="21"/>
                    </w:rPr>
                  </w:pPr>
                  <w:r>
                    <w:rPr>
                      <w:color w:val="000000"/>
                      <w:szCs w:val="21"/>
                    </w:rPr>
                    <w:t>（二）使用合格的建筑材料，按照有关技术标准的要求对进厂原材料进行取样、存样、检验和验收，并对检验和验收资料存档备查；</w:t>
                  </w:r>
                </w:p>
                <w:p>
                  <w:pPr>
                    <w:adjustRightInd w:val="0"/>
                    <w:snapToGrid w:val="0"/>
                    <w:ind w:firstLine="420" w:firstLineChars="200"/>
                    <w:rPr>
                      <w:color w:val="000000"/>
                      <w:szCs w:val="21"/>
                    </w:rPr>
                  </w:pPr>
                  <w:r>
                    <w:rPr>
                      <w:color w:val="000000"/>
                      <w:szCs w:val="21"/>
                    </w:rPr>
                    <w:t>（三）禁止使用在滇池流域和其他重点区域采挖的砂石料；</w:t>
                  </w:r>
                </w:p>
                <w:p>
                  <w:pPr>
                    <w:adjustRightInd w:val="0"/>
                    <w:snapToGrid w:val="0"/>
                    <w:ind w:firstLine="420" w:firstLineChars="200"/>
                    <w:rPr>
                      <w:color w:val="000000"/>
                      <w:szCs w:val="21"/>
                    </w:rPr>
                  </w:pPr>
                  <w:r>
                    <w:rPr>
                      <w:color w:val="000000"/>
                      <w:szCs w:val="21"/>
                    </w:rPr>
                    <w:t>（四）法律、法规、规章及相关技术标准的其他规定。</w:t>
                  </w:r>
                </w:p>
              </w:tc>
              <w:tc>
                <w:tcPr>
                  <w:tcW w:w="2401" w:type="dxa"/>
                  <w:vAlign w:val="center"/>
                </w:tcPr>
                <w:p>
                  <w:pPr>
                    <w:adjustRightInd w:val="0"/>
                    <w:snapToGrid w:val="0"/>
                    <w:ind w:firstLine="420" w:firstLineChars="200"/>
                    <w:rPr>
                      <w:color w:val="000000"/>
                      <w:szCs w:val="21"/>
                    </w:rPr>
                  </w:pPr>
                  <w:r>
                    <w:rPr>
                      <w:color w:val="000000"/>
                      <w:szCs w:val="21"/>
                    </w:rPr>
                    <w:t>本项目所使用原材料均从合法厂家购买，为厂家检验合格的产品</w:t>
                  </w:r>
                  <w:r>
                    <w:rPr>
                      <w:rFonts w:hint="eastAsia"/>
                      <w:color w:val="000000"/>
                      <w:szCs w:val="21"/>
                    </w:rPr>
                    <w:t>，</w:t>
                  </w:r>
                  <w:r>
                    <w:rPr>
                      <w:color w:val="000000"/>
                      <w:szCs w:val="21"/>
                    </w:rPr>
                    <w:t>按照有关技术标准的要求对进厂原材料进行取样、存样、检验和验收，并对检验和验收资料存档备查。</w:t>
                  </w:r>
                  <w:r>
                    <w:rPr>
                      <w:rFonts w:hint="eastAsia"/>
                      <w:color w:val="000000"/>
                      <w:szCs w:val="21"/>
                    </w:rPr>
                    <w:t>本项目未使用在滇池流域和其他重点区域采挖的砂石料。</w:t>
                  </w:r>
                  <w:r>
                    <w:rPr>
                      <w:color w:val="000000"/>
                      <w:szCs w:val="21"/>
                    </w:rPr>
                    <w:t>本项目符合管理办法中的第十一条所列规定。</w:t>
                  </w:r>
                </w:p>
              </w:tc>
              <w:tc>
                <w:tcPr>
                  <w:tcW w:w="722" w:type="dxa"/>
                  <w:vAlign w:val="center"/>
                </w:tcPr>
                <w:p>
                  <w:pPr>
                    <w:adjustRightInd w:val="0"/>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tcPr>
                <w:p>
                  <w:pPr>
                    <w:adjustRightInd w:val="0"/>
                    <w:snapToGrid w:val="0"/>
                    <w:ind w:firstLine="420" w:firstLineChars="200"/>
                    <w:jc w:val="left"/>
                    <w:rPr>
                      <w:color w:val="000000"/>
                      <w:szCs w:val="21"/>
                    </w:rPr>
                  </w:pPr>
                  <w:r>
                    <w:rPr>
                      <w:color w:val="000000"/>
                      <w:szCs w:val="21"/>
                    </w:rPr>
                    <w:t>第十三条预拌混凝土生产企业应当保证运输车辆车况良好、安全运输和车容整洁，并在运输过程中采取相应的防漏措施。预拌混凝土专用车辆应当在集中搅拌站、施工场地内冲洗，不得将冲洗的污水直接排入城市排水管网和河道内。本项目保证运输车辆车况良好、安全运输和车容整洁，并在运输过程中采取相应的防漏措施。</w:t>
                  </w:r>
                </w:p>
              </w:tc>
              <w:tc>
                <w:tcPr>
                  <w:tcW w:w="2401" w:type="dxa"/>
                  <w:vAlign w:val="center"/>
                </w:tcPr>
                <w:p>
                  <w:pPr>
                    <w:adjustRightInd w:val="0"/>
                    <w:snapToGrid w:val="0"/>
                    <w:ind w:firstLine="420" w:firstLineChars="200"/>
                    <w:jc w:val="left"/>
                    <w:rPr>
                      <w:color w:val="000000"/>
                      <w:szCs w:val="21"/>
                    </w:rPr>
                  </w:pPr>
                  <w:r>
                    <w:rPr>
                      <w:color w:val="000000"/>
                      <w:szCs w:val="21"/>
                    </w:rPr>
                    <w:t>项目</w:t>
                  </w:r>
                  <w:r>
                    <w:rPr>
                      <w:rFonts w:hint="eastAsia"/>
                      <w:color w:val="000000"/>
                      <w:szCs w:val="21"/>
                    </w:rPr>
                    <w:t>运输车辆车况良好、安全运输和车容整洁，项目使用混凝土专用的运输车，且在搅拌站内设有洗车区域，清洗</w:t>
                  </w:r>
                  <w:r>
                    <w:rPr>
                      <w:color w:val="000000"/>
                      <w:szCs w:val="21"/>
                    </w:rPr>
                    <w:t>废水通过沉淀池处理后回用于生产</w:t>
                  </w:r>
                  <w:r>
                    <w:rPr>
                      <w:rFonts w:hint="eastAsia"/>
                      <w:color w:val="000000"/>
                      <w:szCs w:val="21"/>
                    </w:rPr>
                    <w:t>，不外排</w:t>
                  </w:r>
                  <w:r>
                    <w:rPr>
                      <w:color w:val="000000"/>
                      <w:szCs w:val="21"/>
                    </w:rPr>
                    <w:t>。</w:t>
                  </w:r>
                </w:p>
              </w:tc>
              <w:tc>
                <w:tcPr>
                  <w:tcW w:w="722" w:type="dxa"/>
                  <w:vAlign w:val="center"/>
                </w:tcPr>
                <w:p>
                  <w:pPr>
                    <w:adjustRightInd w:val="0"/>
                    <w:jc w:val="center"/>
                    <w:rPr>
                      <w:color w:val="000000"/>
                      <w:szCs w:val="21"/>
                    </w:rPr>
                  </w:pPr>
                  <w:r>
                    <w:rPr>
                      <w:color w:val="000000"/>
                      <w:szCs w:val="21"/>
                    </w:rPr>
                    <w:t>符合</w:t>
                  </w:r>
                </w:p>
              </w:tc>
            </w:tr>
          </w:tbl>
          <w:p>
            <w:pPr>
              <w:adjustRightInd w:val="0"/>
              <w:snapToGrid w:val="0"/>
              <w:spacing w:line="360" w:lineRule="auto"/>
              <w:ind w:firstLine="480" w:firstLineChars="200"/>
              <w:jc w:val="left"/>
              <w:rPr>
                <w:color w:val="000000"/>
                <w:sz w:val="24"/>
                <w:szCs w:val="21"/>
              </w:rPr>
            </w:pPr>
            <w:r>
              <w:rPr>
                <w:rFonts w:hint="eastAsia"/>
                <w:color w:val="000000"/>
                <w:sz w:val="24"/>
                <w:szCs w:val="21"/>
              </w:rPr>
              <w:t>在严格执行上述规定及要求的情况下，本项目的建设符合《昆明市预拌混凝土管理办法》（昆明市人民政府令第</w:t>
            </w:r>
            <w:r>
              <w:rPr>
                <w:color w:val="000000"/>
                <w:sz w:val="24"/>
                <w:szCs w:val="21"/>
              </w:rPr>
              <w:t>94</w:t>
            </w:r>
            <w:r>
              <w:rPr>
                <w:rFonts w:hint="eastAsia"/>
                <w:color w:val="000000"/>
                <w:sz w:val="24"/>
                <w:szCs w:val="21"/>
              </w:rPr>
              <w:t>号）的规定。</w:t>
            </w:r>
          </w:p>
          <w:p>
            <w:pPr>
              <w:adjustRightInd w:val="0"/>
              <w:snapToGrid w:val="0"/>
              <w:spacing w:line="360" w:lineRule="auto"/>
              <w:jc w:val="left"/>
              <w:rPr>
                <w:b/>
                <w:bCs/>
                <w:color w:val="000000"/>
                <w:sz w:val="24"/>
                <w:szCs w:val="21"/>
              </w:rPr>
            </w:pPr>
            <w:r>
              <w:rPr>
                <w:rFonts w:hint="eastAsia"/>
                <w:b/>
                <w:bCs/>
                <w:color w:val="000000"/>
                <w:sz w:val="24"/>
                <w:szCs w:val="21"/>
                <w:lang w:val="en-US" w:eastAsia="zh-CN"/>
              </w:rPr>
              <w:t>8</w:t>
            </w:r>
            <w:r>
              <w:rPr>
                <w:b/>
                <w:bCs/>
                <w:color w:val="000000"/>
                <w:sz w:val="24"/>
                <w:szCs w:val="21"/>
              </w:rPr>
              <w:t>、选址合理性分析</w:t>
            </w:r>
          </w:p>
          <w:p>
            <w:pPr>
              <w:adjustRightInd w:val="0"/>
              <w:snapToGrid w:val="0"/>
              <w:spacing w:line="360" w:lineRule="auto"/>
              <w:ind w:firstLine="480" w:firstLineChars="200"/>
              <w:jc w:val="left"/>
              <w:rPr>
                <w:rFonts w:hint="default" w:eastAsia="宋体"/>
                <w:color w:val="000000"/>
                <w:sz w:val="24"/>
                <w:szCs w:val="21"/>
                <w:lang w:val="en-US" w:eastAsia="zh-CN"/>
              </w:rPr>
            </w:pPr>
            <w:r>
              <w:rPr>
                <w:rFonts w:hint="eastAsia"/>
                <w:color w:val="000000"/>
                <w:sz w:val="24"/>
                <w:szCs w:val="21"/>
              </w:rPr>
              <w:t>项目位于云南省昆明市东川区拖布卡镇格勒村，地处农村区域，附近只有8户格勒村散户（项目东侧），远离居民聚居区，对当地居民生活无干扰。项目评价范围内不涉及自然保护区、风景名胜区等需特殊保护的环境敏感区，也不涉及学校、医院、特殊文物保护单位等环境敏感点。</w:t>
            </w:r>
            <w:r>
              <w:rPr>
                <w:rFonts w:hint="eastAsia"/>
                <w:color w:val="000000"/>
                <w:sz w:val="24"/>
                <w:szCs w:val="21"/>
                <w:lang w:val="en-US" w:eastAsia="zh-CN"/>
              </w:rPr>
              <w:t>本环评评价过程中通过昆明市东川区自然资源局查询“三区三线”，本项目不占用生态保护红线；不占用永久基本农田；不在城镇开发边界内；项目只涉及占用耕地保护目标面积约564.33平方米。且项目为临时性项目，在项目拆除后会对所占区域进行恢复。</w:t>
            </w:r>
            <w:r>
              <w:rPr>
                <w:rFonts w:hint="eastAsia"/>
                <w:color w:val="000000"/>
                <w:sz w:val="24"/>
                <w:szCs w:val="21"/>
              </w:rPr>
              <w:t>项目临时用地合同见附件5</w:t>
            </w:r>
            <w:r>
              <w:rPr>
                <w:rFonts w:hint="eastAsia"/>
                <w:color w:val="000000"/>
                <w:sz w:val="24"/>
                <w:szCs w:val="21"/>
                <w:lang w:eastAsia="zh-CN"/>
              </w:rPr>
              <w:t>，“</w:t>
            </w:r>
            <w:r>
              <w:rPr>
                <w:rFonts w:hint="eastAsia"/>
                <w:color w:val="000000"/>
                <w:sz w:val="24"/>
                <w:szCs w:val="21"/>
                <w:lang w:val="en-US" w:eastAsia="zh-CN"/>
              </w:rPr>
              <w:t>三区三线</w:t>
            </w:r>
            <w:r>
              <w:rPr>
                <w:rFonts w:hint="eastAsia"/>
                <w:color w:val="000000"/>
                <w:sz w:val="24"/>
                <w:szCs w:val="21"/>
                <w:lang w:eastAsia="zh-CN"/>
              </w:rPr>
              <w:t>”</w:t>
            </w:r>
            <w:r>
              <w:rPr>
                <w:rFonts w:hint="eastAsia"/>
                <w:color w:val="000000"/>
                <w:sz w:val="24"/>
                <w:szCs w:val="21"/>
                <w:lang w:val="en-US" w:eastAsia="zh-CN"/>
              </w:rPr>
              <w:t>查询详情见附件6。</w:t>
            </w:r>
          </w:p>
          <w:p>
            <w:pPr>
              <w:adjustRightInd w:val="0"/>
              <w:snapToGrid w:val="0"/>
              <w:spacing w:line="360" w:lineRule="auto"/>
              <w:ind w:firstLine="480" w:firstLineChars="200"/>
              <w:jc w:val="left"/>
              <w:rPr>
                <w:color w:val="000000"/>
                <w:sz w:val="24"/>
                <w:szCs w:val="21"/>
              </w:rPr>
            </w:pPr>
            <w:r>
              <w:rPr>
                <w:rFonts w:hint="eastAsia"/>
                <w:color w:val="000000"/>
                <w:sz w:val="24"/>
                <w:szCs w:val="21"/>
              </w:rPr>
              <w:t>评价范围内有“栗喉蜂虎自然保护小区”，为本项目的主要环境保护目标，本项目位于东川区拖布卡镇</w:t>
            </w:r>
            <w:r>
              <w:rPr>
                <w:rFonts w:hint="eastAsia"/>
                <w:color w:val="000000"/>
                <w:sz w:val="24"/>
                <w:szCs w:val="21"/>
                <w:lang w:val="en-US" w:eastAsia="zh-CN"/>
              </w:rPr>
              <w:t>东</w:t>
            </w:r>
            <w:r>
              <w:rPr>
                <w:rFonts w:hint="eastAsia"/>
                <w:color w:val="000000"/>
                <w:sz w:val="24"/>
                <w:szCs w:val="21"/>
              </w:rPr>
              <w:t>北侧与会泽交界处，</w:t>
            </w:r>
            <w:r>
              <w:rPr>
                <w:rFonts w:hint="eastAsia"/>
                <w:color w:val="000000"/>
                <w:sz w:val="24"/>
                <w:szCs w:val="21"/>
                <w:lang w:val="en-US" w:eastAsia="zh-CN"/>
              </w:rPr>
              <w:t>临近</w:t>
            </w:r>
            <w:r>
              <w:rPr>
                <w:rFonts w:hint="eastAsia"/>
                <w:color w:val="000000"/>
                <w:sz w:val="24"/>
                <w:szCs w:val="21"/>
              </w:rPr>
              <w:t>白鹤滩水库的淹没区，无灌木乔木等植被，不属于栗喉蜂虎的栖息和捕食区域，日常运营不会对“东川区栗喉蜂虎自然保护小区”造成干扰，且本项目为</w:t>
            </w:r>
            <w:r>
              <w:rPr>
                <w:rFonts w:hint="eastAsia"/>
                <w:color w:val="000000"/>
                <w:sz w:val="24"/>
                <w:szCs w:val="21"/>
                <w:lang w:val="en-US" w:eastAsia="zh-CN"/>
              </w:rPr>
              <w:t>水泥制品</w:t>
            </w:r>
            <w:r>
              <w:rPr>
                <w:rFonts w:hint="eastAsia"/>
                <w:color w:val="000000"/>
                <w:sz w:val="24"/>
                <w:szCs w:val="21"/>
              </w:rPr>
              <w:t>项目，</w:t>
            </w:r>
            <w:r>
              <w:rPr>
                <w:rFonts w:hint="eastAsia"/>
                <w:color w:val="000000"/>
                <w:sz w:val="24"/>
                <w:szCs w:val="21"/>
                <w:lang w:val="en-US" w:eastAsia="zh-CN"/>
              </w:rPr>
              <w:t>原辅材料均外购，</w:t>
            </w:r>
            <w:r>
              <w:rPr>
                <w:rFonts w:hint="eastAsia"/>
                <w:color w:val="000000"/>
                <w:sz w:val="24"/>
                <w:szCs w:val="21"/>
              </w:rPr>
              <w:t>不会在自然保护小区内进行采石、采砂、取土等人为干扰的活动，对非法狩猎、收购、毒杀、破坏栗喉蜂虎栖息地等违法行为进行制止和报告，对栗喉蜂虎生境的影响较小，符合“东川区栗喉蜂虎自然保护小区”的各项要求，</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运营期在采取相应环保措施后，产生的大气污染颗粒物可达标排放，对周围环境影响不大；废水可做到不外排，对周围地表水环境影响不大；噪声厂界可达标，不会造成扰民现象；固体废物均能得到合理处置。目前项目周边环境质量良好，外环境较简单，无重大环境制约因素存在。</w:t>
            </w:r>
          </w:p>
          <w:p>
            <w:pPr>
              <w:adjustRightInd w:val="0"/>
              <w:snapToGrid w:val="0"/>
              <w:spacing w:line="360" w:lineRule="auto"/>
              <w:ind w:firstLine="480" w:firstLineChars="200"/>
              <w:jc w:val="left"/>
              <w:rPr>
                <w:color w:val="000000"/>
                <w:sz w:val="24"/>
                <w:szCs w:val="21"/>
              </w:rPr>
            </w:pPr>
            <w:r>
              <w:rPr>
                <w:rFonts w:hint="eastAsia"/>
                <w:color w:val="000000"/>
                <w:sz w:val="24"/>
                <w:szCs w:val="21"/>
              </w:rPr>
              <w:t>综上，</w:t>
            </w:r>
            <w:r>
              <w:rPr>
                <w:rFonts w:hint="eastAsia"/>
                <w:color w:val="000000"/>
                <w:sz w:val="24"/>
                <w:szCs w:val="21"/>
                <w:lang w:val="en-US" w:eastAsia="zh-CN"/>
              </w:rPr>
              <w:t>本次评价认为</w:t>
            </w:r>
            <w:r>
              <w:rPr>
                <w:rFonts w:hint="eastAsia"/>
                <w:color w:val="000000"/>
                <w:sz w:val="24"/>
                <w:szCs w:val="21"/>
              </w:rPr>
              <w:t>项目选址合理。</w:t>
            </w:r>
          </w:p>
          <w:p>
            <w:pPr>
              <w:adjustRightInd w:val="0"/>
              <w:snapToGrid w:val="0"/>
              <w:spacing w:line="360" w:lineRule="auto"/>
              <w:jc w:val="left"/>
              <w:rPr>
                <w:b/>
                <w:bCs/>
                <w:color w:val="000000"/>
                <w:sz w:val="24"/>
              </w:rPr>
            </w:pPr>
            <w:r>
              <w:rPr>
                <w:rFonts w:hint="eastAsia"/>
                <w:b/>
                <w:bCs/>
                <w:color w:val="000000"/>
                <w:sz w:val="24"/>
                <w:lang w:val="en-US" w:eastAsia="zh-CN"/>
              </w:rPr>
              <w:t>9</w:t>
            </w:r>
            <w:r>
              <w:rPr>
                <w:b/>
                <w:bCs/>
                <w:color w:val="000000"/>
                <w:sz w:val="24"/>
              </w:rPr>
              <w:t>、平面布置合理性分析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厂区呈南北走向，项目南部为储料仓及拌合楼，试验室及生活区位于项目西北部，项目中部区域为停车区及进出运输道路，项目进口道路设置在项目北部，项目进口处设有一间物资仓库，再往里是过磅房。项目建、构筑物的布置紧凑合理，人货流通畅顺捷，减少交叉，可满足生产系统的加工和储、装、运等主要生产环节的要求。总体布置分区明确，布置合理。项目平面布置详见附图3。</w:t>
            </w:r>
          </w:p>
          <w:p>
            <w:pPr>
              <w:adjustRightInd w:val="0"/>
              <w:snapToGrid w:val="0"/>
              <w:spacing w:line="360" w:lineRule="auto"/>
              <w:ind w:firstLine="480" w:firstLineChars="200"/>
              <w:jc w:val="left"/>
              <w:rPr>
                <w:color w:val="000000"/>
                <w:sz w:val="24"/>
                <w:szCs w:val="21"/>
              </w:rPr>
            </w:pPr>
            <w:r>
              <w:rPr>
                <w:rFonts w:hint="eastAsia"/>
                <w:color w:val="000000"/>
                <w:sz w:val="24"/>
                <w:szCs w:val="21"/>
              </w:rPr>
              <w:t>综上所述，项目平面布置合理。</w:t>
            </w:r>
          </w:p>
          <w:p>
            <w:pPr>
              <w:adjustRightInd w:val="0"/>
              <w:snapToGrid w:val="0"/>
              <w:spacing w:line="360" w:lineRule="auto"/>
              <w:jc w:val="left"/>
              <w:rPr>
                <w:b/>
                <w:bCs/>
                <w:color w:val="000000"/>
                <w:sz w:val="24"/>
              </w:rPr>
            </w:pPr>
            <w:r>
              <w:rPr>
                <w:rFonts w:hint="eastAsia"/>
                <w:b/>
                <w:bCs/>
                <w:color w:val="000000"/>
                <w:sz w:val="24"/>
                <w:lang w:val="en-US" w:eastAsia="zh-CN"/>
              </w:rPr>
              <w:t>10</w:t>
            </w:r>
            <w:r>
              <w:rPr>
                <w:rFonts w:hint="eastAsia"/>
                <w:b/>
                <w:bCs/>
                <w:color w:val="000000"/>
                <w:sz w:val="24"/>
              </w:rPr>
              <w:t>、环境相容性分析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项目位于云南省昆明市东川区拖布卡镇格勒村，建设单位临时租用。项目评价范围内无其它企业，于项目不存在制约因素。</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无工艺废水产生，产生的清洗废水排入沉淀池沉淀后回用，食堂设置油水分离池，食堂废水经分离后排入化粪池，项目所有生活污水经化粪池处理后用槽罐车外送污水处理厂进行处理。项目废水不外排，对周围环境影响较小。项目大气污染颗粒物经处理后达标排放，噪声厂界能够达标排放，固废处置率为1</w:t>
            </w:r>
            <w:r>
              <w:rPr>
                <w:color w:val="000000"/>
                <w:sz w:val="24"/>
                <w:szCs w:val="21"/>
              </w:rPr>
              <w:t>00</w:t>
            </w:r>
            <w:r>
              <w:rPr>
                <w:rFonts w:hint="eastAsia"/>
                <w:color w:val="000000"/>
                <w:sz w:val="24"/>
                <w:szCs w:val="21"/>
              </w:rPr>
              <w:t>%，项目的建设对周边环境影响小，不会改变区域的大气环境、水环境及声环境质量功能区划。项目与周边环境关系情况详见附图4。</w:t>
            </w:r>
          </w:p>
          <w:p>
            <w:pPr>
              <w:adjustRightInd w:val="0"/>
              <w:snapToGrid w:val="0"/>
              <w:spacing w:line="360" w:lineRule="auto"/>
              <w:ind w:firstLine="480" w:firstLineChars="200"/>
              <w:jc w:val="left"/>
              <w:rPr>
                <w:color w:val="000000"/>
                <w:sz w:val="24"/>
                <w:szCs w:val="21"/>
              </w:rPr>
            </w:pPr>
            <w:r>
              <w:rPr>
                <w:rFonts w:hint="eastAsia"/>
                <w:color w:val="000000"/>
                <w:sz w:val="24"/>
                <w:szCs w:val="21"/>
              </w:rPr>
              <w:t>综上所述，项目的建设与周边环境的相容性较好。</w:t>
            </w:r>
          </w:p>
        </w:tc>
      </w:tr>
    </w:tbl>
    <w:p>
      <w:pPr>
        <w:rPr>
          <w:b/>
          <w:bCs/>
          <w:sz w:val="30"/>
          <w:szCs w:val="30"/>
        </w:rPr>
      </w:pPr>
    </w:p>
    <w:p>
      <w:pPr>
        <w:jc w:val="center"/>
        <w:rPr>
          <w:b/>
          <w:bCs/>
          <w:sz w:val="30"/>
          <w:szCs w:val="30"/>
        </w:rPr>
        <w:sectPr>
          <w:pgSz w:w="11906" w:h="16838"/>
          <w:pgMar w:top="1440" w:right="1800" w:bottom="1440" w:left="1800" w:header="851" w:footer="992" w:gutter="0"/>
          <w:pgNumType w:start="1"/>
          <w:cols w:space="425" w:num="1"/>
          <w:docGrid w:type="lines" w:linePitch="312" w:charSpace="0"/>
        </w:sectPr>
      </w:pPr>
    </w:p>
    <w:p>
      <w:pPr>
        <w:jc w:val="center"/>
        <w:outlineLvl w:val="0"/>
        <w:rPr>
          <w:b/>
          <w:bCs/>
          <w:sz w:val="30"/>
          <w:szCs w:val="30"/>
        </w:rPr>
      </w:pPr>
      <w:bookmarkStart w:id="29" w:name="_Toc31856"/>
      <w:r>
        <w:rPr>
          <w:rFonts w:hint="eastAsia"/>
          <w:b/>
          <w:bCs/>
          <w:sz w:val="30"/>
          <w:szCs w:val="30"/>
        </w:rPr>
        <w:t>二、建设项目工程分析</w:t>
      </w:r>
      <w:bookmarkEnd w:id="29"/>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spacing w:line="360" w:lineRule="auto"/>
              <w:jc w:val="center"/>
              <w:rPr>
                <w:sz w:val="24"/>
              </w:rPr>
            </w:pPr>
            <w:r>
              <w:rPr>
                <w:rFonts w:hint="eastAsia"/>
                <w:sz w:val="24"/>
              </w:rPr>
              <w:t>建设内容</w:t>
            </w:r>
          </w:p>
        </w:tc>
        <w:tc>
          <w:tcPr>
            <w:tcW w:w="0" w:type="auto"/>
          </w:tcPr>
          <w:p>
            <w:pPr>
              <w:spacing w:line="360" w:lineRule="auto"/>
              <w:rPr>
                <w:b/>
                <w:bCs/>
                <w:sz w:val="24"/>
              </w:rPr>
            </w:pPr>
            <w:r>
              <w:rPr>
                <w:b/>
                <w:bCs/>
                <w:sz w:val="24"/>
              </w:rPr>
              <w:t>1</w:t>
            </w:r>
            <w:r>
              <w:rPr>
                <w:rFonts w:hint="eastAsia"/>
                <w:b/>
                <w:bCs/>
                <w:sz w:val="24"/>
              </w:rPr>
              <w:t>、项目概况</w:t>
            </w:r>
          </w:p>
          <w:p>
            <w:pPr>
              <w:spacing w:line="360" w:lineRule="auto"/>
              <w:ind w:left="1620" w:leftChars="200" w:hanging="1200" w:hangingChars="500"/>
              <w:rPr>
                <w:sz w:val="24"/>
              </w:rPr>
            </w:pPr>
            <w:r>
              <w:rPr>
                <w:rFonts w:hint="eastAsia"/>
                <w:sz w:val="24"/>
              </w:rPr>
              <w:t>项目名称：中铁十八局集团第二工程有限公司云南省东川港一期建设自用混凝土搅拌站项目</w:t>
            </w:r>
          </w:p>
          <w:p>
            <w:pPr>
              <w:spacing w:line="360" w:lineRule="auto"/>
              <w:ind w:firstLine="480" w:firstLineChars="200"/>
              <w:rPr>
                <w:sz w:val="24"/>
              </w:rPr>
            </w:pPr>
            <w:r>
              <w:rPr>
                <w:rFonts w:hint="eastAsia"/>
                <w:sz w:val="24"/>
              </w:rPr>
              <w:t>建设性质：新建</w:t>
            </w:r>
          </w:p>
          <w:p>
            <w:pPr>
              <w:spacing w:line="360" w:lineRule="auto"/>
              <w:ind w:firstLine="480" w:firstLineChars="200"/>
              <w:rPr>
                <w:sz w:val="24"/>
              </w:rPr>
            </w:pPr>
            <w:r>
              <w:rPr>
                <w:rFonts w:hint="eastAsia"/>
                <w:sz w:val="24"/>
              </w:rPr>
              <w:t>建设地点：云南省昆明市东川区拖布卡镇格勒村</w:t>
            </w:r>
          </w:p>
          <w:p>
            <w:pPr>
              <w:spacing w:line="360" w:lineRule="auto"/>
              <w:ind w:firstLine="480" w:firstLineChars="200"/>
              <w:rPr>
                <w:sz w:val="24"/>
              </w:rPr>
            </w:pPr>
            <w:r>
              <w:rPr>
                <w:rFonts w:hint="eastAsia"/>
                <w:sz w:val="24"/>
              </w:rPr>
              <w:t>建设规模：一条混凝土生产线，设计产能为生产混凝土6万m³/年</w:t>
            </w:r>
          </w:p>
          <w:p>
            <w:pPr>
              <w:spacing w:line="360" w:lineRule="auto"/>
              <w:ind w:firstLine="480" w:firstLineChars="200"/>
              <w:rPr>
                <w:sz w:val="24"/>
              </w:rPr>
            </w:pPr>
            <w:r>
              <w:rPr>
                <w:rFonts w:hint="eastAsia"/>
                <w:sz w:val="24"/>
              </w:rPr>
              <w:t>生产规模：根据东川港项目需求提供混凝土，年产6万m³混凝土</w:t>
            </w:r>
          </w:p>
          <w:p>
            <w:pPr>
              <w:spacing w:line="360" w:lineRule="auto"/>
              <w:ind w:firstLine="480" w:firstLineChars="200"/>
              <w:rPr>
                <w:sz w:val="24"/>
              </w:rPr>
            </w:pPr>
            <w:r>
              <w:rPr>
                <w:rFonts w:hint="eastAsia"/>
                <w:sz w:val="24"/>
              </w:rPr>
              <w:t>项目总投资：1</w:t>
            </w:r>
            <w:r>
              <w:rPr>
                <w:sz w:val="24"/>
              </w:rPr>
              <w:t>89.55</w:t>
            </w:r>
            <w:r>
              <w:rPr>
                <w:rFonts w:hint="eastAsia"/>
                <w:sz w:val="24"/>
              </w:rPr>
              <w:t>万元。</w:t>
            </w:r>
          </w:p>
          <w:p>
            <w:pPr>
              <w:spacing w:line="360" w:lineRule="auto"/>
              <w:ind w:firstLine="482" w:firstLineChars="200"/>
              <w:rPr>
                <w:rFonts w:hint="eastAsia"/>
                <w:b/>
                <w:bCs/>
                <w:sz w:val="24"/>
                <w:lang w:val="en-US" w:eastAsia="zh-CN"/>
              </w:rPr>
            </w:pPr>
            <w:r>
              <w:rPr>
                <w:rFonts w:hint="eastAsia"/>
                <w:b/>
                <w:bCs/>
                <w:sz w:val="24"/>
                <w:lang w:val="en-US" w:eastAsia="zh-CN"/>
              </w:rPr>
              <w:t>项目由来：</w:t>
            </w:r>
          </w:p>
          <w:p>
            <w:pPr>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rPr>
              <w:t>为建设</w:t>
            </w:r>
            <w:r>
              <w:rPr>
                <w:rFonts w:hint="eastAsia" w:ascii="Times New Roman" w:hAnsi="Times New Roman" w:eastAsia="宋体" w:cs="Times New Roman"/>
                <w:sz w:val="24"/>
                <w:lang w:val="en-US" w:eastAsia="zh-CN"/>
              </w:rPr>
              <w:t>云南省</w:t>
            </w:r>
            <w:r>
              <w:rPr>
                <w:rFonts w:hint="eastAsia" w:ascii="Times New Roman" w:hAnsi="Times New Roman" w:eastAsia="宋体" w:cs="Times New Roman"/>
                <w:sz w:val="24"/>
              </w:rPr>
              <w:t>东川港</w:t>
            </w:r>
            <w:r>
              <w:rPr>
                <w:rFonts w:hint="eastAsia" w:ascii="Times New Roman" w:hAnsi="Times New Roman" w:eastAsia="宋体" w:cs="Times New Roman"/>
                <w:sz w:val="24"/>
                <w:lang w:val="en-US" w:eastAsia="zh-CN"/>
              </w:rPr>
              <w:t>建设</w:t>
            </w:r>
            <w:r>
              <w:rPr>
                <w:rFonts w:hint="eastAsia" w:ascii="Times New Roman" w:hAnsi="Times New Roman" w:eastAsia="宋体" w:cs="Times New Roman"/>
                <w:sz w:val="24"/>
              </w:rPr>
              <w:t>项目</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一期</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的格勒旅游客运中心</w:t>
            </w:r>
            <w:r>
              <w:rPr>
                <w:rFonts w:hint="eastAsia" w:ascii="Times New Roman" w:hAnsi="Times New Roman" w:eastAsia="宋体" w:cs="Times New Roman"/>
                <w:sz w:val="24"/>
              </w:rPr>
              <w:t>需</w:t>
            </w:r>
            <w:r>
              <w:rPr>
                <w:rFonts w:hint="eastAsia" w:ascii="Times New Roman" w:hAnsi="Times New Roman" w:eastAsia="宋体" w:cs="Times New Roman"/>
                <w:sz w:val="24"/>
                <w:lang w:val="en-US" w:eastAsia="zh-CN"/>
              </w:rPr>
              <w:t>求</w:t>
            </w:r>
            <w:r>
              <w:rPr>
                <w:rFonts w:hint="eastAsia" w:ascii="Times New Roman" w:hAnsi="Times New Roman" w:eastAsia="宋体" w:cs="Times New Roman"/>
                <w:sz w:val="24"/>
              </w:rPr>
              <w:t>，中铁十八局集团第二工程有限公司于2021年2月开工，在云南省昆明市东川区拖布卡镇格勒村（大石蓬沟大桥旁）建设一座拌合站，2021年4月建成并投产，未办理相关环保手续，2022年7月13日昆明市生态环境局对项目进行调查并责令改正</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要求补齐相关环保手续。项目为临时性质，建设单位计划在2023年年底，完成现阶段工程混凝土供应后，拆除本项目搅拌站。</w:t>
            </w:r>
          </w:p>
          <w:p>
            <w:pPr>
              <w:widowControl/>
              <w:adjustRightInd w:val="0"/>
              <w:snapToGrid w:val="0"/>
              <w:spacing w:line="360" w:lineRule="auto"/>
              <w:ind w:firstLine="480" w:firstLineChars="200"/>
              <w:jc w:val="left"/>
              <w:rPr>
                <w:color w:val="000000"/>
                <w:sz w:val="24"/>
              </w:rPr>
            </w:pPr>
            <w:r>
              <w:rPr>
                <w:color w:val="000000"/>
                <w:sz w:val="24"/>
              </w:rPr>
              <w:t>根据</w:t>
            </w:r>
            <w:r>
              <w:rPr>
                <w:color w:val="000000"/>
                <w:kern w:val="0"/>
                <w:sz w:val="24"/>
              </w:rPr>
              <w:t>《建设项目环境影响评价分类管理名录》（2021年1月1日）</w:t>
            </w:r>
            <w:r>
              <w:rPr>
                <w:color w:val="000000"/>
                <w:sz w:val="24"/>
              </w:rPr>
              <w:t>，第</w:t>
            </w:r>
            <w:r>
              <w:rPr>
                <w:rFonts w:hint="eastAsia"/>
                <w:color w:val="000000"/>
                <w:sz w:val="24"/>
                <w:lang w:val="en-US" w:eastAsia="zh-CN"/>
              </w:rPr>
              <w:t>二十七</w:t>
            </w:r>
            <w:r>
              <w:rPr>
                <w:color w:val="000000"/>
                <w:sz w:val="24"/>
              </w:rPr>
              <w:t>项</w:t>
            </w:r>
            <w:r>
              <w:rPr>
                <w:rFonts w:hint="eastAsia"/>
                <w:color w:val="000000"/>
                <w:sz w:val="24"/>
              </w:rPr>
              <w:t>“非金属矿物制品业”中55“石膏、水泥制品及类似制品制造”中“水泥制品制造”。</w:t>
            </w:r>
            <w:r>
              <w:rPr>
                <w:color w:val="000000"/>
                <w:sz w:val="24"/>
              </w:rPr>
              <w:t>确定本项目需编制环境影响报告表。</w:t>
            </w:r>
          </w:p>
          <w:p>
            <w:pPr>
              <w:spacing w:line="360" w:lineRule="auto"/>
              <w:ind w:firstLine="480" w:firstLineChars="200"/>
              <w:rPr>
                <w:rFonts w:hint="default"/>
                <w:b/>
                <w:bCs/>
                <w:sz w:val="24"/>
                <w:lang w:val="en-US" w:eastAsia="zh-CN"/>
              </w:rPr>
            </w:pPr>
            <w:r>
              <w:rPr>
                <w:color w:val="000000"/>
                <w:sz w:val="24"/>
              </w:rPr>
              <w:t>受</w:t>
            </w:r>
            <w:r>
              <w:rPr>
                <w:rFonts w:hint="eastAsia"/>
                <w:color w:val="000000"/>
                <w:sz w:val="24"/>
                <w:szCs w:val="21"/>
              </w:rPr>
              <w:t>中铁十八局集团第二工程有限公司</w:t>
            </w:r>
            <w:r>
              <w:rPr>
                <w:color w:val="000000"/>
                <w:sz w:val="24"/>
              </w:rPr>
              <w:t>委托，我单位承担该项目环境影响评价工作。我单位接受委托后，收集调查核实了相关材料，并组织专业人员对项目区域进行现场踏勘，按照环保法及有关技术导则要求，编制了《</w:t>
            </w:r>
            <w:r>
              <w:rPr>
                <w:rFonts w:hint="eastAsia"/>
                <w:color w:val="000000"/>
                <w:sz w:val="24"/>
              </w:rPr>
              <w:t>中铁十八局集团第二工程有限公司云南省东川港一期建设自用混凝土搅拌站项目</w:t>
            </w:r>
            <w:r>
              <w:rPr>
                <w:color w:val="000000"/>
                <w:sz w:val="24"/>
              </w:rPr>
              <w:t>》，上报审批。</w:t>
            </w:r>
          </w:p>
          <w:p>
            <w:pPr>
              <w:spacing w:line="360" w:lineRule="auto"/>
              <w:rPr>
                <w:b/>
                <w:bCs/>
                <w:sz w:val="24"/>
              </w:rPr>
            </w:pPr>
            <w:r>
              <w:rPr>
                <w:rFonts w:hint="eastAsia"/>
                <w:b/>
                <w:bCs/>
                <w:sz w:val="24"/>
              </w:rPr>
              <w:t>2、项目建设内容</w:t>
            </w:r>
          </w:p>
          <w:p>
            <w:pPr>
              <w:spacing w:line="360" w:lineRule="auto"/>
              <w:ind w:firstLine="480" w:firstLineChars="200"/>
              <w:rPr>
                <w:sz w:val="24"/>
              </w:rPr>
            </w:pPr>
            <w:r>
              <w:rPr>
                <w:rFonts w:hint="eastAsia"/>
                <w:sz w:val="24"/>
              </w:rPr>
              <w:t>项目建设1条生产线及其配套设施，年产混凝土6万m³/a，项目总占地面积4</w:t>
            </w:r>
            <w:r>
              <w:rPr>
                <w:sz w:val="24"/>
              </w:rPr>
              <w:t>2.3</w:t>
            </w:r>
            <w:r>
              <w:rPr>
                <w:rFonts w:hint="eastAsia"/>
                <w:sz w:val="24"/>
              </w:rPr>
              <w:t>亩。</w:t>
            </w:r>
          </w:p>
          <w:p>
            <w:pPr>
              <w:spacing w:line="360" w:lineRule="auto"/>
              <w:ind w:firstLine="480" w:firstLineChars="200"/>
              <w:rPr>
                <w:sz w:val="24"/>
              </w:rPr>
            </w:pPr>
            <w:r>
              <w:rPr>
                <w:rFonts w:hint="eastAsia"/>
                <w:sz w:val="24"/>
              </w:rPr>
              <w:t>主要建设有搅拌楼、配料区、储料库、储罐、办公楼、食堂、宿舍楼、过磅房等设施。项目由主体工程、辅助工程、公用工程和环保工程组成，项目工程组成一览表见表2-1。</w:t>
            </w:r>
          </w:p>
          <w:p>
            <w:pPr>
              <w:spacing w:line="360" w:lineRule="auto"/>
              <w:ind w:firstLine="422" w:firstLineChars="200"/>
              <w:jc w:val="center"/>
              <w:rPr>
                <w:b/>
                <w:bCs/>
                <w:szCs w:val="21"/>
              </w:rPr>
            </w:pPr>
            <w:r>
              <w:rPr>
                <w:rFonts w:hint="eastAsia"/>
                <w:b/>
                <w:bCs/>
                <w:szCs w:val="21"/>
              </w:rPr>
              <w:t>表2-</w:t>
            </w:r>
            <w:r>
              <w:rPr>
                <w:b/>
                <w:bCs/>
                <w:szCs w:val="21"/>
              </w:rPr>
              <w:t xml:space="preserve">1  </w:t>
            </w:r>
            <w:r>
              <w:rPr>
                <w:rFonts w:hint="eastAsia"/>
                <w:b/>
                <w:bCs/>
                <w:szCs w:val="21"/>
              </w:rPr>
              <w:t>项目组成及工程内容一览表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428"/>
              <w:gridCol w:w="881"/>
              <w:gridCol w:w="5304"/>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8" w:type="pct"/>
                  <w:gridSpan w:val="2"/>
                  <w:vAlign w:val="center"/>
                </w:tcPr>
                <w:p>
                  <w:pPr>
                    <w:spacing w:line="360" w:lineRule="auto"/>
                    <w:jc w:val="center"/>
                    <w:rPr>
                      <w:szCs w:val="21"/>
                    </w:rPr>
                  </w:pPr>
                  <w:r>
                    <w:rPr>
                      <w:szCs w:val="21"/>
                    </w:rPr>
                    <w:t>项目</w:t>
                  </w:r>
                </w:p>
              </w:tc>
              <w:tc>
                <w:tcPr>
                  <w:tcW w:w="564" w:type="pct"/>
                  <w:vAlign w:val="center"/>
                </w:tcPr>
                <w:p>
                  <w:pPr>
                    <w:spacing w:line="360" w:lineRule="auto"/>
                    <w:jc w:val="center"/>
                    <w:rPr>
                      <w:szCs w:val="21"/>
                    </w:rPr>
                  </w:pPr>
                  <w:r>
                    <w:rPr>
                      <w:rFonts w:hint="eastAsia"/>
                      <w:szCs w:val="21"/>
                    </w:rPr>
                    <w:t>建设内容</w:t>
                  </w:r>
                </w:p>
              </w:tc>
              <w:tc>
                <w:tcPr>
                  <w:tcW w:w="3394" w:type="pct"/>
                  <w:vAlign w:val="center"/>
                </w:tcPr>
                <w:p>
                  <w:pPr>
                    <w:spacing w:line="360" w:lineRule="auto"/>
                    <w:jc w:val="center"/>
                    <w:rPr>
                      <w:szCs w:val="21"/>
                    </w:rPr>
                  </w:pPr>
                  <w:r>
                    <w:rPr>
                      <w:rFonts w:hint="eastAsia"/>
                      <w:szCs w:val="21"/>
                    </w:rPr>
                    <w:t>规模</w:t>
                  </w:r>
                </w:p>
              </w:tc>
              <w:tc>
                <w:tcPr>
                  <w:tcW w:w="404" w:type="pct"/>
                  <w:vAlign w:val="center"/>
                </w:tcPr>
                <w:p>
                  <w:pPr>
                    <w:spacing w:line="360" w:lineRule="auto"/>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restart"/>
                  <w:vAlign w:val="center"/>
                </w:tcPr>
                <w:p>
                  <w:pPr>
                    <w:spacing w:line="360" w:lineRule="auto"/>
                    <w:jc w:val="center"/>
                    <w:rPr>
                      <w:szCs w:val="21"/>
                    </w:rPr>
                  </w:pPr>
                  <w:r>
                    <w:rPr>
                      <w:szCs w:val="21"/>
                    </w:rPr>
                    <w:t>主体工程</w:t>
                  </w:r>
                </w:p>
              </w:tc>
              <w:tc>
                <w:tcPr>
                  <w:tcW w:w="274" w:type="pct"/>
                  <w:vMerge w:val="restart"/>
                  <w:vAlign w:val="center"/>
                </w:tcPr>
                <w:p>
                  <w:pPr>
                    <w:spacing w:line="360" w:lineRule="auto"/>
                    <w:jc w:val="center"/>
                    <w:rPr>
                      <w:szCs w:val="21"/>
                    </w:rPr>
                  </w:pPr>
                  <w:r>
                    <w:rPr>
                      <w:szCs w:val="21"/>
                    </w:rPr>
                    <w:t>混凝土生产线</w:t>
                  </w:r>
                </w:p>
              </w:tc>
              <w:tc>
                <w:tcPr>
                  <w:tcW w:w="564" w:type="pct"/>
                  <w:vAlign w:val="center"/>
                </w:tcPr>
                <w:p>
                  <w:pPr>
                    <w:spacing w:line="360" w:lineRule="auto"/>
                    <w:jc w:val="center"/>
                    <w:rPr>
                      <w:szCs w:val="21"/>
                    </w:rPr>
                  </w:pPr>
                  <w:r>
                    <w:rPr>
                      <w:szCs w:val="21"/>
                    </w:rPr>
                    <w:t>搅拌楼</w:t>
                  </w:r>
                </w:p>
              </w:tc>
              <w:tc>
                <w:tcPr>
                  <w:tcW w:w="3394" w:type="pct"/>
                  <w:vAlign w:val="center"/>
                </w:tcPr>
                <w:p>
                  <w:pPr>
                    <w:spacing w:line="360" w:lineRule="auto"/>
                    <w:jc w:val="center"/>
                    <w:rPr>
                      <w:szCs w:val="21"/>
                    </w:rPr>
                  </w:pPr>
                  <w:r>
                    <w:rPr>
                      <w:szCs w:val="21"/>
                    </w:rPr>
                    <w:t>总占地面积320m</w:t>
                  </w:r>
                  <w:r>
                    <w:rPr>
                      <w:szCs w:val="21"/>
                      <w:vertAlign w:val="superscript"/>
                    </w:rPr>
                    <w:t>2</w:t>
                  </w:r>
                  <w:r>
                    <w:rPr>
                      <w:szCs w:val="21"/>
                    </w:rPr>
                    <w:t>，设置2座拌合楼，为</w:t>
                  </w:r>
                  <w:r>
                    <w:rPr>
                      <w:rFonts w:hint="eastAsia"/>
                      <w:szCs w:val="21"/>
                    </w:rPr>
                    <w:t>钢</w:t>
                  </w:r>
                  <w:r>
                    <w:rPr>
                      <w:szCs w:val="21"/>
                    </w:rPr>
                    <w:t>架结构，主要建设搅拌平台、计量平台、顶房平台三部分，封闭钢架结构，主要进行混凝土计量以及搅拌，</w:t>
                  </w:r>
                  <w:r>
                    <w:rPr>
                      <w:rFonts w:hint="eastAsia"/>
                      <w:szCs w:val="21"/>
                    </w:rPr>
                    <w:t>1</w:t>
                  </w:r>
                  <w:r>
                    <w:rPr>
                      <w:szCs w:val="21"/>
                    </w:rPr>
                    <w:t>座搅拌楼</w:t>
                  </w:r>
                  <w:r>
                    <w:rPr>
                      <w:rFonts w:hint="eastAsia"/>
                      <w:szCs w:val="21"/>
                    </w:rPr>
                    <w:t>型号</w:t>
                  </w:r>
                  <w:r>
                    <w:rPr>
                      <w:szCs w:val="21"/>
                    </w:rPr>
                    <w:t>为HZS180。</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储罐</w:t>
                  </w:r>
                </w:p>
              </w:tc>
              <w:tc>
                <w:tcPr>
                  <w:tcW w:w="3394" w:type="pct"/>
                  <w:vAlign w:val="center"/>
                </w:tcPr>
                <w:p>
                  <w:pPr>
                    <w:spacing w:line="360" w:lineRule="auto"/>
                    <w:rPr>
                      <w:szCs w:val="21"/>
                    </w:rPr>
                  </w:pPr>
                  <w:r>
                    <w:rPr>
                      <w:szCs w:val="21"/>
                    </w:rPr>
                    <w:t>设置</w:t>
                  </w:r>
                  <w:r>
                    <w:rPr>
                      <w:rFonts w:hint="eastAsia"/>
                      <w:szCs w:val="21"/>
                    </w:rPr>
                    <w:t>4</w:t>
                  </w:r>
                  <w:r>
                    <w:rPr>
                      <w:szCs w:val="21"/>
                    </w:rPr>
                    <w:t>个容积为150t/个的储罐储存水泥，</w:t>
                  </w:r>
                  <w:r>
                    <w:rPr>
                      <w:rFonts w:hint="eastAsia"/>
                      <w:szCs w:val="21"/>
                    </w:rPr>
                    <w:t>2</w:t>
                  </w:r>
                  <w:r>
                    <w:rPr>
                      <w:szCs w:val="21"/>
                    </w:rPr>
                    <w:t>个容积为150t/个的储罐储存粉煤灰，</w:t>
                  </w:r>
                  <w:r>
                    <w:rPr>
                      <w:rFonts w:hint="eastAsia"/>
                      <w:szCs w:val="21"/>
                    </w:rPr>
                    <w:t>储罐高度为1</w:t>
                  </w:r>
                  <w:r>
                    <w:rPr>
                      <w:szCs w:val="21"/>
                    </w:rPr>
                    <w:t>2m</w:t>
                  </w:r>
                  <w:r>
                    <w:rPr>
                      <w:rFonts w:hint="eastAsia"/>
                      <w:szCs w:val="21"/>
                    </w:rPr>
                    <w:t>，</w:t>
                  </w:r>
                  <w:r>
                    <w:rPr>
                      <w:szCs w:val="21"/>
                    </w:rPr>
                    <w:t>储罐顶部设置脉冲布袋除尘器。</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减水剂罐</w:t>
                  </w:r>
                </w:p>
              </w:tc>
              <w:tc>
                <w:tcPr>
                  <w:tcW w:w="3394" w:type="pct"/>
                  <w:vAlign w:val="center"/>
                </w:tcPr>
                <w:p>
                  <w:pPr>
                    <w:spacing w:line="360" w:lineRule="auto"/>
                    <w:jc w:val="center"/>
                    <w:rPr>
                      <w:szCs w:val="21"/>
                    </w:rPr>
                  </w:pPr>
                  <w:r>
                    <w:rPr>
                      <w:szCs w:val="21"/>
                    </w:rPr>
                    <w:t>设置</w:t>
                  </w:r>
                  <w:r>
                    <w:rPr>
                      <w:rFonts w:hint="eastAsia"/>
                      <w:szCs w:val="21"/>
                    </w:rPr>
                    <w:t>1</w:t>
                  </w:r>
                  <w:r>
                    <w:rPr>
                      <w:szCs w:val="21"/>
                    </w:rPr>
                    <w:t>个5t/个的储罐，</w:t>
                  </w:r>
                  <w:r>
                    <w:rPr>
                      <w:rFonts w:hint="eastAsia"/>
                      <w:szCs w:val="21"/>
                    </w:rPr>
                    <w:t>用于储存减水剂</w:t>
                  </w:r>
                  <w:r>
                    <w:rPr>
                      <w:szCs w:val="21"/>
                    </w:rPr>
                    <w:t>。</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骨料仓库</w:t>
                  </w:r>
                </w:p>
              </w:tc>
              <w:tc>
                <w:tcPr>
                  <w:tcW w:w="3394" w:type="pct"/>
                  <w:vAlign w:val="center"/>
                </w:tcPr>
                <w:p>
                  <w:pPr>
                    <w:spacing w:line="360" w:lineRule="auto"/>
                    <w:rPr>
                      <w:szCs w:val="21"/>
                    </w:rPr>
                  </w:pPr>
                  <w:r>
                    <w:rPr>
                      <w:szCs w:val="21"/>
                    </w:rPr>
                    <w:t>位于项目区域南部，</w:t>
                  </w:r>
                  <w:r>
                    <w:rPr>
                      <w:rFonts w:hint="eastAsia"/>
                      <w:szCs w:val="21"/>
                    </w:rPr>
                    <w:t>钢结构彩钢棚面积207</w:t>
                  </w:r>
                  <w:r>
                    <w:rPr>
                      <w:szCs w:val="21"/>
                    </w:rPr>
                    <w:t>0</w:t>
                  </w:r>
                  <w:r>
                    <w:rPr>
                      <w:rFonts w:hint="eastAsia"/>
                      <w:szCs w:val="21"/>
                    </w:rPr>
                    <w:t>m</w:t>
                  </w:r>
                  <w:r>
                    <w:rPr>
                      <w:szCs w:val="21"/>
                      <w:vertAlign w:val="superscript"/>
                    </w:rPr>
                    <w:t>2</w:t>
                  </w:r>
                  <w:r>
                    <w:rPr>
                      <w:szCs w:val="21"/>
                    </w:rPr>
                    <w:t>，三面封闭，共7个砂石料仓，单个料仓尺寸为12*20m，顶部采用钢结构彩钢棚，料仓之间用2.5m</w:t>
                  </w:r>
                  <w:r>
                    <w:rPr>
                      <w:rFonts w:hint="eastAsia"/>
                      <w:szCs w:val="21"/>
                    </w:rPr>
                    <w:t>高的</w:t>
                  </w:r>
                  <w:r>
                    <w:rPr>
                      <w:szCs w:val="21"/>
                    </w:rPr>
                    <w:t>砖砌墙隔开。底部、背部及侧面用砼构筑。</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配料区</w:t>
                  </w:r>
                </w:p>
              </w:tc>
              <w:tc>
                <w:tcPr>
                  <w:tcW w:w="3394" w:type="pct"/>
                  <w:vAlign w:val="center"/>
                </w:tcPr>
                <w:p>
                  <w:pPr>
                    <w:spacing w:line="360" w:lineRule="auto"/>
                    <w:rPr>
                      <w:szCs w:val="21"/>
                    </w:rPr>
                  </w:pPr>
                  <w:r>
                    <w:rPr>
                      <w:szCs w:val="21"/>
                    </w:rPr>
                    <w:t>总占地面积252m</w:t>
                  </w:r>
                  <w:r>
                    <w:rPr>
                      <w:szCs w:val="21"/>
                      <w:vertAlign w:val="superscript"/>
                    </w:rPr>
                    <w:t>2</w:t>
                  </w:r>
                  <w:r>
                    <w:rPr>
                      <w:szCs w:val="21"/>
                    </w:rPr>
                    <w:t>，位于骨料仓库前，设有</w:t>
                  </w:r>
                  <w:r>
                    <w:rPr>
                      <w:rFonts w:hint="eastAsia"/>
                      <w:szCs w:val="21"/>
                    </w:rPr>
                    <w:t>4</w:t>
                  </w:r>
                  <w:r>
                    <w:rPr>
                      <w:szCs w:val="21"/>
                    </w:rPr>
                    <w:t>个配料斗，便于砂料和公分石进料，每个容积约</w:t>
                  </w:r>
                  <w:r>
                    <w:rPr>
                      <w:rFonts w:hint="eastAsia"/>
                      <w:szCs w:val="21"/>
                    </w:rPr>
                    <w:t>8</w:t>
                  </w:r>
                  <w:r>
                    <w:rPr>
                      <w:szCs w:val="21"/>
                    </w:rPr>
                    <w:t>m</w:t>
                  </w:r>
                  <w:r>
                    <w:rPr>
                      <w:szCs w:val="21"/>
                      <w:vertAlign w:val="superscript"/>
                    </w:rPr>
                    <w:t>3</w:t>
                  </w:r>
                  <w:r>
                    <w:rPr>
                      <w:szCs w:val="21"/>
                    </w:rPr>
                    <w:t>，</w:t>
                  </w:r>
                  <w:r>
                    <w:rPr>
                      <w:rFonts w:hint="eastAsia"/>
                      <w:szCs w:val="21"/>
                    </w:rPr>
                    <w:t>整个配料区采用彩钢棚进行</w:t>
                  </w:r>
                  <w:r>
                    <w:rPr>
                      <w:szCs w:val="21"/>
                    </w:rPr>
                    <w:t>半封闭。</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物料输送装置</w:t>
                  </w:r>
                </w:p>
              </w:tc>
              <w:tc>
                <w:tcPr>
                  <w:tcW w:w="3394" w:type="pct"/>
                  <w:vAlign w:val="center"/>
                </w:tcPr>
                <w:p>
                  <w:pPr>
                    <w:spacing w:line="360" w:lineRule="auto"/>
                    <w:jc w:val="center"/>
                    <w:rPr>
                      <w:szCs w:val="21"/>
                    </w:rPr>
                  </w:pPr>
                  <w:r>
                    <w:rPr>
                      <w:rFonts w:hint="eastAsia"/>
                      <w:szCs w:val="21"/>
                    </w:rPr>
                    <w:t>1</w:t>
                  </w:r>
                  <w:r>
                    <w:rPr>
                      <w:szCs w:val="21"/>
                    </w:rPr>
                    <w:t>套，皮带输送机输送骨料至搅拌机，粉料由螺旋输送机输送至搅拌机；水、减水剂由水泵输送至搅拌机。</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生产用水蓄水池</w:t>
                  </w:r>
                </w:p>
              </w:tc>
              <w:tc>
                <w:tcPr>
                  <w:tcW w:w="3394" w:type="pct"/>
                  <w:vAlign w:val="center"/>
                </w:tcPr>
                <w:p>
                  <w:pPr>
                    <w:spacing w:line="360" w:lineRule="auto"/>
                    <w:jc w:val="center"/>
                    <w:rPr>
                      <w:szCs w:val="21"/>
                    </w:rPr>
                  </w:pPr>
                  <w:r>
                    <w:rPr>
                      <w:szCs w:val="21"/>
                    </w:rPr>
                    <w:t>共一个，位于配料区前，容积为</w:t>
                  </w:r>
                  <w:r>
                    <w:rPr>
                      <w:color w:val="000000" w:themeColor="text1"/>
                      <w:szCs w:val="21"/>
                      <w14:textFill>
                        <w14:solidFill>
                          <w14:schemeClr w14:val="tx1"/>
                        </w14:solidFill>
                      </w14:textFill>
                    </w:rPr>
                    <w:t>180m³。</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restart"/>
                  <w:vAlign w:val="center"/>
                </w:tcPr>
                <w:p>
                  <w:pPr>
                    <w:spacing w:line="360" w:lineRule="auto"/>
                    <w:jc w:val="center"/>
                    <w:rPr>
                      <w:szCs w:val="21"/>
                    </w:rPr>
                  </w:pPr>
                  <w:r>
                    <w:rPr>
                      <w:szCs w:val="21"/>
                    </w:rPr>
                    <w:t>辅助工程</w:t>
                  </w:r>
                </w:p>
              </w:tc>
              <w:tc>
                <w:tcPr>
                  <w:tcW w:w="838" w:type="pct"/>
                  <w:gridSpan w:val="2"/>
                  <w:vAlign w:val="center"/>
                </w:tcPr>
                <w:p>
                  <w:pPr>
                    <w:spacing w:line="360" w:lineRule="auto"/>
                    <w:jc w:val="center"/>
                    <w:rPr>
                      <w:szCs w:val="21"/>
                    </w:rPr>
                  </w:pPr>
                  <w:r>
                    <w:rPr>
                      <w:szCs w:val="21"/>
                    </w:rPr>
                    <w:t>办公</w:t>
                  </w:r>
                  <w:r>
                    <w:rPr>
                      <w:rFonts w:hint="eastAsia"/>
                      <w:szCs w:val="21"/>
                    </w:rPr>
                    <w:t>区</w:t>
                  </w:r>
                </w:p>
              </w:tc>
              <w:tc>
                <w:tcPr>
                  <w:tcW w:w="3394" w:type="pct"/>
                  <w:vAlign w:val="center"/>
                </w:tcPr>
                <w:p>
                  <w:pPr>
                    <w:spacing w:line="360" w:lineRule="auto"/>
                    <w:jc w:val="center"/>
                    <w:rPr>
                      <w:szCs w:val="21"/>
                    </w:rPr>
                  </w:pPr>
                  <w:r>
                    <w:rPr>
                      <w:rFonts w:hint="eastAsia"/>
                      <w:szCs w:val="21"/>
                    </w:rPr>
                    <w:t>位于项目西北部，占地面积2</w:t>
                  </w:r>
                  <w:r>
                    <w:rPr>
                      <w:szCs w:val="21"/>
                    </w:rPr>
                    <w:t>56</w:t>
                  </w:r>
                  <w:r>
                    <w:rPr>
                      <w:rFonts w:hint="eastAsia"/>
                      <w:szCs w:val="21"/>
                    </w:rPr>
                    <w:t>m</w:t>
                  </w:r>
                  <w:r>
                    <w:rPr>
                      <w:szCs w:val="21"/>
                      <w:vertAlign w:val="superscript"/>
                    </w:rPr>
                    <w:t>2</w:t>
                  </w:r>
                  <w:r>
                    <w:rPr>
                      <w:rFonts w:hint="eastAsia"/>
                      <w:szCs w:val="21"/>
                    </w:rPr>
                    <w:t>，主要有办公室、会议室，为单层坡顶活动板房。</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试验室</w:t>
                  </w:r>
                </w:p>
              </w:tc>
              <w:tc>
                <w:tcPr>
                  <w:tcW w:w="3394" w:type="pct"/>
                  <w:vAlign w:val="center"/>
                </w:tcPr>
                <w:p>
                  <w:pPr>
                    <w:spacing w:line="360" w:lineRule="auto"/>
                    <w:jc w:val="center"/>
                    <w:rPr>
                      <w:szCs w:val="21"/>
                    </w:rPr>
                  </w:pPr>
                  <w:r>
                    <w:rPr>
                      <w:szCs w:val="21"/>
                    </w:rPr>
                    <w:t>位于拌合楼左前方，试验室主要包括土工室、标养室、力学室、水泥混凝土室、集料室、样品室、留样室、外检室、储藏室、资料室等，占地面积756m</w:t>
                  </w:r>
                  <w:r>
                    <w:rPr>
                      <w:szCs w:val="21"/>
                      <w:vertAlign w:val="superscript"/>
                    </w:rPr>
                    <w:t>2</w:t>
                  </w:r>
                  <w:r>
                    <w:rPr>
                      <w:rFonts w:hint="eastAsia"/>
                      <w:szCs w:val="21"/>
                    </w:rPr>
                    <w:t>，为单层坡顶活动板房</w:t>
                  </w:r>
                  <w:r>
                    <w:rPr>
                      <w:szCs w:val="21"/>
                    </w:rPr>
                    <w:t>。</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食堂</w:t>
                  </w:r>
                </w:p>
              </w:tc>
              <w:tc>
                <w:tcPr>
                  <w:tcW w:w="3394" w:type="pct"/>
                  <w:vAlign w:val="center"/>
                </w:tcPr>
                <w:p>
                  <w:pPr>
                    <w:spacing w:line="360" w:lineRule="auto"/>
                    <w:jc w:val="center"/>
                    <w:rPr>
                      <w:szCs w:val="21"/>
                    </w:rPr>
                  </w:pPr>
                  <w:r>
                    <w:rPr>
                      <w:rFonts w:hint="eastAsia"/>
                      <w:szCs w:val="21"/>
                    </w:rPr>
                    <w:t>设有一个食堂，位于停车区左侧，占地面积6</w:t>
                  </w:r>
                  <w:r>
                    <w:rPr>
                      <w:szCs w:val="21"/>
                    </w:rPr>
                    <w:t>3m</w:t>
                  </w:r>
                  <w:r>
                    <w:rPr>
                      <w:szCs w:val="21"/>
                      <w:vertAlign w:val="superscript"/>
                    </w:rPr>
                    <w:t>2</w:t>
                  </w:r>
                  <w:r>
                    <w:rPr>
                      <w:rFonts w:hint="eastAsia"/>
                      <w:szCs w:val="21"/>
                    </w:rPr>
                    <w:t>设有餐厅及厨房，设一个灶头。</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宿舍</w:t>
                  </w:r>
                </w:p>
              </w:tc>
              <w:tc>
                <w:tcPr>
                  <w:tcW w:w="3394" w:type="pct"/>
                  <w:vAlign w:val="center"/>
                </w:tcPr>
                <w:p>
                  <w:pPr>
                    <w:spacing w:line="360" w:lineRule="auto"/>
                    <w:jc w:val="center"/>
                    <w:rPr>
                      <w:szCs w:val="21"/>
                    </w:rPr>
                  </w:pPr>
                  <w:r>
                    <w:rPr>
                      <w:rFonts w:hint="eastAsia"/>
                      <w:szCs w:val="21"/>
                    </w:rPr>
                    <w:t>与办公区在同一位置，设置宿舍3</w:t>
                  </w:r>
                  <w:r>
                    <w:rPr>
                      <w:szCs w:val="21"/>
                    </w:rPr>
                    <w:t>2</w:t>
                  </w:r>
                  <w:r>
                    <w:rPr>
                      <w:rFonts w:hint="eastAsia"/>
                      <w:szCs w:val="21"/>
                    </w:rPr>
                    <w:t>间，占地面积6</w:t>
                  </w:r>
                  <w:r>
                    <w:rPr>
                      <w:szCs w:val="21"/>
                    </w:rPr>
                    <w:t>72m</w:t>
                  </w:r>
                  <w:r>
                    <w:rPr>
                      <w:szCs w:val="21"/>
                      <w:vertAlign w:val="superscript"/>
                    </w:rPr>
                    <w:t>2</w:t>
                  </w:r>
                  <w:r>
                    <w:rPr>
                      <w:rFonts w:hint="eastAsia"/>
                      <w:szCs w:val="21"/>
                    </w:rPr>
                    <w:t>，供员工休息，为单层坡顶活动板房。</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rFonts w:hint="eastAsia"/>
                      <w:szCs w:val="21"/>
                    </w:rPr>
                    <w:t>其他生活区建筑</w:t>
                  </w:r>
                </w:p>
              </w:tc>
              <w:tc>
                <w:tcPr>
                  <w:tcW w:w="3394" w:type="pct"/>
                  <w:vAlign w:val="center"/>
                </w:tcPr>
                <w:p>
                  <w:pPr>
                    <w:spacing w:line="360" w:lineRule="auto"/>
                    <w:jc w:val="center"/>
                    <w:rPr>
                      <w:szCs w:val="21"/>
                    </w:rPr>
                  </w:pPr>
                  <w:r>
                    <w:rPr>
                      <w:rFonts w:hint="eastAsia"/>
                      <w:szCs w:val="21"/>
                    </w:rPr>
                    <w:t>生活区还包括厕所，男女厕各一个，占地5</w:t>
                  </w:r>
                  <w:r>
                    <w:rPr>
                      <w:szCs w:val="21"/>
                    </w:rPr>
                    <w:t>6</w:t>
                  </w:r>
                  <w:r>
                    <w:rPr>
                      <w:rFonts w:hint="eastAsia"/>
                      <w:szCs w:val="21"/>
                    </w:rPr>
                    <w:t>m</w:t>
                  </w:r>
                  <w:r>
                    <w:rPr>
                      <w:szCs w:val="21"/>
                      <w:vertAlign w:val="superscript"/>
                    </w:rPr>
                    <w:t>2</w:t>
                  </w:r>
                  <w:r>
                    <w:rPr>
                      <w:rFonts w:hint="eastAsia"/>
                      <w:szCs w:val="21"/>
                    </w:rPr>
                    <w:t>；晾衣间一间，占地3</w:t>
                  </w:r>
                  <w:r>
                    <w:rPr>
                      <w:szCs w:val="21"/>
                    </w:rPr>
                    <w:t>2</w:t>
                  </w:r>
                  <w:r>
                    <w:rPr>
                      <w:rFonts w:hint="eastAsia"/>
                      <w:szCs w:val="21"/>
                    </w:rPr>
                    <w:t>m</w:t>
                  </w:r>
                  <w:r>
                    <w:rPr>
                      <w:szCs w:val="21"/>
                      <w:vertAlign w:val="superscript"/>
                    </w:rPr>
                    <w:t>2</w:t>
                  </w:r>
                  <w:r>
                    <w:rPr>
                      <w:rFonts w:hint="eastAsia"/>
                      <w:szCs w:val="21"/>
                    </w:rPr>
                    <w:t>；洗漱间男女各一个，占地</w:t>
                  </w:r>
                  <w:r>
                    <w:rPr>
                      <w:szCs w:val="21"/>
                    </w:rPr>
                    <w:t>59.6m</w:t>
                  </w:r>
                  <w:r>
                    <w:rPr>
                      <w:szCs w:val="21"/>
                      <w:vertAlign w:val="superscript"/>
                    </w:rPr>
                    <w:t>2</w:t>
                  </w:r>
                  <w:r>
                    <w:rPr>
                      <w:rFonts w:hint="eastAsia"/>
                      <w:szCs w:val="21"/>
                    </w:rPr>
                    <w:t>，供员工洗漱洗澡。</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磅房及</w:t>
                  </w:r>
                  <w:r>
                    <w:rPr>
                      <w:rFonts w:hint="eastAsia"/>
                      <w:szCs w:val="21"/>
                    </w:rPr>
                    <w:t>值班</w:t>
                  </w:r>
                  <w:r>
                    <w:rPr>
                      <w:szCs w:val="21"/>
                    </w:rPr>
                    <w:t>室</w:t>
                  </w:r>
                </w:p>
              </w:tc>
              <w:tc>
                <w:tcPr>
                  <w:tcW w:w="3394" w:type="pct"/>
                  <w:vAlign w:val="center"/>
                </w:tcPr>
                <w:p>
                  <w:pPr>
                    <w:spacing w:line="360" w:lineRule="auto"/>
                    <w:jc w:val="center"/>
                    <w:rPr>
                      <w:szCs w:val="21"/>
                    </w:rPr>
                  </w:pPr>
                  <w:r>
                    <w:rPr>
                      <w:rFonts w:hint="eastAsia"/>
                      <w:szCs w:val="21"/>
                    </w:rPr>
                    <w:t>位于项目进出口处，占地3</w:t>
                  </w:r>
                  <w:r>
                    <w:rPr>
                      <w:szCs w:val="21"/>
                    </w:rPr>
                    <w:t>0m</w:t>
                  </w:r>
                  <w:r>
                    <w:rPr>
                      <w:szCs w:val="21"/>
                      <w:vertAlign w:val="superscript"/>
                    </w:rPr>
                    <w:t>2</w:t>
                  </w:r>
                  <w:r>
                    <w:rPr>
                      <w:rFonts w:hint="eastAsia"/>
                      <w:szCs w:val="21"/>
                    </w:rPr>
                    <w:t>，设一磅房及一值班室，设一1</w:t>
                  </w:r>
                  <w:r>
                    <w:rPr>
                      <w:szCs w:val="21"/>
                    </w:rPr>
                    <w:t>00t</w:t>
                  </w:r>
                  <w:r>
                    <w:rPr>
                      <w:rFonts w:hint="eastAsia"/>
                      <w:szCs w:val="21"/>
                    </w:rPr>
                    <w:t>的地磅一台。</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物资仓库</w:t>
                  </w:r>
                </w:p>
              </w:tc>
              <w:tc>
                <w:tcPr>
                  <w:tcW w:w="3394" w:type="pct"/>
                  <w:vAlign w:val="center"/>
                </w:tcPr>
                <w:p>
                  <w:pPr>
                    <w:spacing w:line="360" w:lineRule="auto"/>
                    <w:jc w:val="center"/>
                    <w:rPr>
                      <w:szCs w:val="21"/>
                    </w:rPr>
                  </w:pPr>
                  <w:r>
                    <w:rPr>
                      <w:rFonts w:hint="eastAsia"/>
                      <w:szCs w:val="21"/>
                    </w:rPr>
                    <w:t>位于磅房旁设一个物资仓库，占地1</w:t>
                  </w:r>
                  <w:r>
                    <w:rPr>
                      <w:szCs w:val="21"/>
                    </w:rPr>
                    <w:t>5m</w:t>
                  </w:r>
                  <w:r>
                    <w:rPr>
                      <w:szCs w:val="21"/>
                      <w:vertAlign w:val="superscript"/>
                    </w:rPr>
                    <w:t>2</w:t>
                  </w:r>
                  <w:r>
                    <w:rPr>
                      <w:rFonts w:hint="eastAsia"/>
                      <w:szCs w:val="21"/>
                    </w:rPr>
                    <w:t>，用于储存物资，为单层坡顶活动板房。</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停车区</w:t>
                  </w:r>
                </w:p>
              </w:tc>
              <w:tc>
                <w:tcPr>
                  <w:tcW w:w="3394" w:type="pct"/>
                  <w:vAlign w:val="center"/>
                </w:tcPr>
                <w:p>
                  <w:pPr>
                    <w:spacing w:line="360" w:lineRule="auto"/>
                    <w:jc w:val="center"/>
                    <w:rPr>
                      <w:szCs w:val="21"/>
                    </w:rPr>
                  </w:pPr>
                  <w:r>
                    <w:rPr>
                      <w:rFonts w:hint="eastAsia"/>
                      <w:szCs w:val="21"/>
                    </w:rPr>
                    <w:t>位于项目中部，拌合楼前面，占地1</w:t>
                  </w:r>
                  <w:r>
                    <w:rPr>
                      <w:szCs w:val="21"/>
                    </w:rPr>
                    <w:t>00m</w:t>
                  </w:r>
                  <w:r>
                    <w:rPr>
                      <w:szCs w:val="21"/>
                      <w:vertAlign w:val="superscript"/>
                    </w:rPr>
                    <w:t>2</w:t>
                  </w:r>
                  <w:r>
                    <w:rPr>
                      <w:rFonts w:hint="eastAsia"/>
                      <w:szCs w:val="21"/>
                    </w:rPr>
                    <w:t>，用于停放搅拌车辆。</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restart"/>
                  <w:vAlign w:val="center"/>
                </w:tcPr>
                <w:p>
                  <w:pPr>
                    <w:spacing w:line="360" w:lineRule="auto"/>
                    <w:jc w:val="center"/>
                    <w:rPr>
                      <w:szCs w:val="21"/>
                    </w:rPr>
                  </w:pPr>
                  <w:r>
                    <w:rPr>
                      <w:szCs w:val="21"/>
                    </w:rPr>
                    <w:t>公用工程</w:t>
                  </w:r>
                </w:p>
              </w:tc>
              <w:tc>
                <w:tcPr>
                  <w:tcW w:w="838" w:type="pct"/>
                  <w:gridSpan w:val="2"/>
                  <w:vAlign w:val="center"/>
                </w:tcPr>
                <w:p>
                  <w:pPr>
                    <w:spacing w:line="360" w:lineRule="auto"/>
                    <w:jc w:val="center"/>
                    <w:rPr>
                      <w:szCs w:val="21"/>
                    </w:rPr>
                  </w:pPr>
                  <w:r>
                    <w:rPr>
                      <w:rFonts w:hint="eastAsia"/>
                      <w:szCs w:val="21"/>
                    </w:rPr>
                    <w:t>道路交通</w:t>
                  </w:r>
                </w:p>
              </w:tc>
              <w:tc>
                <w:tcPr>
                  <w:tcW w:w="3394" w:type="pct"/>
                  <w:vAlign w:val="center"/>
                </w:tcPr>
                <w:p>
                  <w:pPr>
                    <w:spacing w:line="360" w:lineRule="auto"/>
                    <w:rPr>
                      <w:szCs w:val="21"/>
                    </w:rPr>
                  </w:pPr>
                  <w:r>
                    <w:rPr>
                      <w:rFonts w:hint="eastAsia"/>
                      <w:szCs w:val="21"/>
                    </w:rPr>
                    <w:t>站内场地全部用C</w:t>
                  </w:r>
                  <w:r>
                    <w:rPr>
                      <w:szCs w:val="21"/>
                    </w:rPr>
                    <w:t>20</w:t>
                  </w:r>
                  <w:r>
                    <w:rPr>
                      <w:rFonts w:hint="eastAsia"/>
                      <w:szCs w:val="21"/>
                    </w:rPr>
                    <w:t>砼硬化，项目内部设置环形通道，将原料库、配料仓、生活办公区、搅拌楼进行连接。外部交通，项目出口道路直接与龙东格公路连接。</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供电</w:t>
                  </w:r>
                </w:p>
              </w:tc>
              <w:tc>
                <w:tcPr>
                  <w:tcW w:w="3394" w:type="pct"/>
                  <w:vAlign w:val="center"/>
                </w:tcPr>
                <w:p>
                  <w:pPr>
                    <w:spacing w:line="360" w:lineRule="auto"/>
                    <w:rPr>
                      <w:szCs w:val="21"/>
                    </w:rPr>
                  </w:pPr>
                  <w:r>
                    <w:rPr>
                      <w:rFonts w:hint="eastAsia"/>
                      <w:szCs w:val="21"/>
                    </w:rPr>
                    <w:t>在项目西部，设一台功率为500KVA的变压器，项目用电由当地电网接入，同时备一台柴油发电机，作为临时备用电源。</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szCs w:val="21"/>
                    </w:rPr>
                    <w:t>供水</w:t>
                  </w:r>
                </w:p>
              </w:tc>
              <w:tc>
                <w:tcPr>
                  <w:tcW w:w="3394" w:type="pct"/>
                  <w:vAlign w:val="center"/>
                </w:tcPr>
                <w:p>
                  <w:pPr>
                    <w:spacing w:line="360" w:lineRule="auto"/>
                    <w:rPr>
                      <w:szCs w:val="21"/>
                    </w:rPr>
                  </w:pPr>
                  <w:r>
                    <w:rPr>
                      <w:rFonts w:hint="eastAsia"/>
                      <w:szCs w:val="21"/>
                    </w:rPr>
                    <w:t>生产用水直接采用附近小江江水供应，用潜水泵直接抽取至项目储料仓后高位水池（容积5</w:t>
                  </w:r>
                  <w:r>
                    <w:rPr>
                      <w:szCs w:val="21"/>
                    </w:rPr>
                    <w:t>0</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szCs w:val="21"/>
                    </w:rPr>
                    <w:t>），然后在将水引入传送带下方的蓄水池，蓄水池直接供水至设备。生活用水接入当地村民自来水管网。</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6"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排水</w:t>
                  </w:r>
                </w:p>
              </w:tc>
              <w:tc>
                <w:tcPr>
                  <w:tcW w:w="3394" w:type="pct"/>
                  <w:vAlign w:val="center"/>
                </w:tcPr>
                <w:p>
                  <w:pPr>
                    <w:spacing w:line="360" w:lineRule="auto"/>
                    <w:rPr>
                      <w:szCs w:val="21"/>
                    </w:rPr>
                  </w:pPr>
                  <w:r>
                    <w:rPr>
                      <w:rFonts w:hint="eastAsia"/>
                      <w:szCs w:val="21"/>
                    </w:rPr>
                    <w:t>生产区域场平砼面放坡排水，该区域内共设置横向3道、竖向2道排水水沟，水沟净截面30cm*30cm；在水沟会集处设置一处三级沉淀池，生产区域废水及初期雨水分级沉淀后回用于生产及洒水降尘。</w:t>
                  </w:r>
                </w:p>
                <w:p>
                  <w:pPr>
                    <w:spacing w:line="360" w:lineRule="auto"/>
                    <w:rPr>
                      <w:szCs w:val="21"/>
                    </w:rPr>
                  </w:pPr>
                  <w:r>
                    <w:rPr>
                      <w:rFonts w:hint="eastAsia"/>
                      <w:szCs w:val="21"/>
                    </w:rPr>
                    <w:t>生活区雨水采用屋檐下排水沟直接排水；生活污水采用暗埋波纹管，排至化粪池进行预处理后用槽罐车外送污水处理厂处理。</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6"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消防</w:t>
                  </w:r>
                </w:p>
              </w:tc>
              <w:tc>
                <w:tcPr>
                  <w:tcW w:w="3394" w:type="pct"/>
                  <w:vAlign w:val="center"/>
                </w:tcPr>
                <w:p>
                  <w:pPr>
                    <w:spacing w:line="360" w:lineRule="auto"/>
                    <w:rPr>
                      <w:szCs w:val="21"/>
                    </w:rPr>
                  </w:pPr>
                  <w:r>
                    <w:rPr>
                      <w:rFonts w:hint="eastAsia"/>
                      <w:szCs w:val="21"/>
                    </w:rPr>
                    <w:t>场区内部及外部道路兼用消防道路，项目区域共设置12套消防器材，每套消防器材包含消防砂箱1个、消防桶1个、消防铲2把、消防斧1把、灭火器4个。生产区设置7套消防器材，生活区设置5套消防器材。配消防软管200m及潜水泵。</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restart"/>
                  <w:vAlign w:val="center"/>
                </w:tcPr>
                <w:p>
                  <w:pPr>
                    <w:spacing w:line="360" w:lineRule="auto"/>
                    <w:rPr>
                      <w:szCs w:val="21"/>
                    </w:rPr>
                  </w:pPr>
                  <w:r>
                    <w:rPr>
                      <w:szCs w:val="21"/>
                    </w:rPr>
                    <w:t>环保工程</w:t>
                  </w:r>
                </w:p>
              </w:tc>
              <w:tc>
                <w:tcPr>
                  <w:tcW w:w="838" w:type="pct"/>
                  <w:gridSpan w:val="2"/>
                  <w:vMerge w:val="restart"/>
                  <w:vAlign w:val="center"/>
                </w:tcPr>
                <w:p>
                  <w:pPr>
                    <w:spacing w:line="360" w:lineRule="auto"/>
                    <w:jc w:val="center"/>
                    <w:rPr>
                      <w:szCs w:val="21"/>
                    </w:rPr>
                  </w:pPr>
                  <w:r>
                    <w:rPr>
                      <w:rFonts w:hint="eastAsia"/>
                      <w:szCs w:val="21"/>
                    </w:rPr>
                    <w:t>废气</w:t>
                  </w:r>
                </w:p>
              </w:tc>
              <w:tc>
                <w:tcPr>
                  <w:tcW w:w="3394" w:type="pct"/>
                  <w:vAlign w:val="center"/>
                </w:tcPr>
                <w:p>
                  <w:pPr>
                    <w:spacing w:line="360" w:lineRule="auto"/>
                    <w:rPr>
                      <w:szCs w:val="21"/>
                    </w:rPr>
                  </w:pPr>
                  <w:r>
                    <w:rPr>
                      <w:rFonts w:hint="eastAsia"/>
                      <w:szCs w:val="21"/>
                    </w:rPr>
                    <w:t>水泥、粉煤灰每个储罐顶自带安装有1台风量为2500m</w:t>
                  </w:r>
                  <w:r>
                    <w:rPr>
                      <w:rFonts w:hint="eastAsia"/>
                      <w:szCs w:val="21"/>
                      <w:vertAlign w:val="superscript"/>
                    </w:rPr>
                    <w:t>3</w:t>
                  </w:r>
                  <w:r>
                    <w:rPr>
                      <w:rFonts w:hint="eastAsia"/>
                      <w:szCs w:val="21"/>
                    </w:rPr>
                    <w:t>/h的脉冲布袋除尘器，除尘效率为99%，储罐高度为12m，粉料储罐粉尘经除尘后由储罐顶</w:t>
                  </w:r>
                  <w:r>
                    <w:rPr>
                      <w:rFonts w:hint="eastAsia"/>
                      <w:szCs w:val="21"/>
                      <w:lang w:val="en-US" w:eastAsia="zh-CN"/>
                    </w:rPr>
                    <w:t>除尘器的</w:t>
                  </w:r>
                  <w:r>
                    <w:rPr>
                      <w:rFonts w:hint="eastAsia"/>
                      <w:szCs w:val="21"/>
                    </w:rPr>
                    <w:t>排气口排出。</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tcPr>
                <w:p>
                  <w:r>
                    <w:t>原料库设置顶棚+三面围栏半封闭彩钢瓦大棚，并配套设置喷淋降尘系统，地面进行硬化，定期对砂石料堆场进行降尘。</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tcPr>
                <w:p>
                  <w:r>
                    <w:t>皮带输送机廊道上部加盖侧面密封，下部设收料盘，对皮带输送机进行封闭处理</w:t>
                  </w:r>
                  <w:r>
                    <w:rPr>
                      <w:rFonts w:hint="eastAsia"/>
                    </w:rPr>
                    <w:t>。</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vAlign w:val="center"/>
                </w:tcPr>
                <w:p>
                  <w:r>
                    <w:rPr>
                      <w:rFonts w:hint="eastAsia"/>
                    </w:rPr>
                    <w:t>配备一辆洒水车，不定时进行洒水，同时项目区域内在扬尘较多的地方设置炮雾机进行降尘。</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restart"/>
                  <w:vAlign w:val="center"/>
                </w:tcPr>
                <w:p>
                  <w:pPr>
                    <w:spacing w:line="360" w:lineRule="auto"/>
                    <w:jc w:val="center"/>
                    <w:rPr>
                      <w:szCs w:val="21"/>
                    </w:rPr>
                  </w:pPr>
                  <w:r>
                    <w:rPr>
                      <w:rFonts w:hint="eastAsia"/>
                      <w:szCs w:val="21"/>
                    </w:rPr>
                    <w:t>废水</w:t>
                  </w:r>
                </w:p>
              </w:tc>
              <w:tc>
                <w:tcPr>
                  <w:tcW w:w="3394" w:type="pct"/>
                  <w:vAlign w:val="center"/>
                </w:tcPr>
                <w:p>
                  <w:pPr>
                    <w:spacing w:line="360" w:lineRule="auto"/>
                    <w:jc w:val="center"/>
                    <w:rPr>
                      <w:szCs w:val="21"/>
                    </w:rPr>
                  </w:pPr>
                  <w:r>
                    <w:rPr>
                      <w:rFonts w:hint="eastAsia"/>
                      <w:szCs w:val="21"/>
                    </w:rPr>
                    <w:t>设置洗车区域，设置1个三级沉淀池（1</w:t>
                  </w:r>
                  <w:r>
                    <w:rPr>
                      <w:szCs w:val="21"/>
                    </w:rPr>
                    <w:t>05</w:t>
                  </w:r>
                  <w:r>
                    <w:rPr>
                      <w:rFonts w:hint="eastAsia"/>
                      <w:szCs w:val="21"/>
                    </w:rPr>
                    <w:t>m</w:t>
                  </w:r>
                  <w:r>
                    <w:rPr>
                      <w:rFonts w:hint="eastAsia"/>
                      <w:szCs w:val="21"/>
                      <w:vertAlign w:val="superscript"/>
                    </w:rPr>
                    <w:t>3</w:t>
                  </w:r>
                  <w:r>
                    <w:rPr>
                      <w:rFonts w:hint="eastAsia"/>
                      <w:szCs w:val="21"/>
                    </w:rPr>
                    <w:t>），处理车辆清洗废水、搅拌机清洗废水以及收集生产区域雨水。</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vAlign w:val="center"/>
                </w:tcPr>
                <w:p>
                  <w:pPr>
                    <w:spacing w:line="360" w:lineRule="auto"/>
                    <w:jc w:val="center"/>
                    <w:rPr>
                      <w:szCs w:val="21"/>
                    </w:rPr>
                  </w:pPr>
                  <w:r>
                    <w:rPr>
                      <w:color w:val="000000" w:themeColor="text1"/>
                      <w:szCs w:val="21"/>
                      <w14:textFill>
                        <w14:solidFill>
                          <w14:schemeClr w14:val="tx1"/>
                        </w14:solidFill>
                      </w14:textFill>
                    </w:rPr>
                    <w:t>设置隔油池一个，容积1m³，化粪池2个，总容积为100m³。</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噪声</w:t>
                  </w:r>
                </w:p>
              </w:tc>
              <w:tc>
                <w:tcPr>
                  <w:tcW w:w="3394" w:type="pct"/>
                  <w:vAlign w:val="center"/>
                </w:tcPr>
                <w:p>
                  <w:pPr>
                    <w:spacing w:line="360" w:lineRule="auto"/>
                    <w:jc w:val="center"/>
                    <w:rPr>
                      <w:szCs w:val="21"/>
                    </w:rPr>
                  </w:pPr>
                  <w:r>
                    <w:rPr>
                      <w:rFonts w:hint="eastAsia"/>
                      <w:szCs w:val="21"/>
                    </w:rPr>
                    <w:t>搅拌机采用彩钢夹芯板进行密闭，搅拌机设减震基础。</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固废</w:t>
                  </w:r>
                </w:p>
              </w:tc>
              <w:tc>
                <w:tcPr>
                  <w:tcW w:w="3394" w:type="pct"/>
                  <w:vAlign w:val="center"/>
                </w:tcPr>
                <w:p>
                  <w:pPr>
                    <w:spacing w:line="360" w:lineRule="auto"/>
                    <w:rPr>
                      <w:szCs w:val="21"/>
                    </w:rPr>
                  </w:pPr>
                  <w:r>
                    <w:rPr>
                      <w:rFonts w:hint="eastAsia"/>
                      <w:szCs w:val="21"/>
                    </w:rPr>
                    <w:t>办公生活区设置封闭式垃圾箱，设置</w:t>
                  </w:r>
                  <w:r>
                    <w:rPr>
                      <w:szCs w:val="21"/>
                    </w:rPr>
                    <w:t>1</w:t>
                  </w:r>
                  <w:r>
                    <w:rPr>
                      <w:rFonts w:hint="eastAsia"/>
                      <w:szCs w:val="21"/>
                    </w:rPr>
                    <w:t>间4m</w:t>
                  </w:r>
                  <w:r>
                    <w:rPr>
                      <w:szCs w:val="21"/>
                      <w:vertAlign w:val="superscript"/>
                    </w:rPr>
                    <w:t>2</w:t>
                  </w:r>
                  <w:r>
                    <w:rPr>
                      <w:rFonts w:hint="eastAsia"/>
                      <w:szCs w:val="21"/>
                    </w:rPr>
                    <w:t>危废间，</w:t>
                  </w:r>
                  <w:r>
                    <w:rPr>
                      <w:color w:val="000000"/>
                      <w:kern w:val="24"/>
                      <w:szCs w:val="28"/>
                    </w:rPr>
                    <w:t>危险废物暂存间地面采用2mm厚的高密度聚乙烯或其他人工材料进行防渗处理，渗透系数≤10</w:t>
                  </w:r>
                  <w:r>
                    <w:rPr>
                      <w:color w:val="000000"/>
                      <w:kern w:val="24"/>
                      <w:szCs w:val="28"/>
                      <w:vertAlign w:val="superscript"/>
                    </w:rPr>
                    <w:t>-10</w:t>
                  </w:r>
                  <w:r>
                    <w:rPr>
                      <w:color w:val="000000"/>
                      <w:kern w:val="24"/>
                      <w:szCs w:val="28"/>
                    </w:rPr>
                    <w:t>cm/s</w:t>
                  </w:r>
                  <w:r>
                    <w:rPr>
                      <w:rFonts w:hint="eastAsia"/>
                      <w:color w:val="000000"/>
                      <w:kern w:val="24"/>
                      <w:szCs w:val="28"/>
                    </w:rPr>
                    <w:t>，危废暂存间内设高密度的聚丙烯桶对废机油进行收集，并将收集容器贴上标签，</w:t>
                  </w:r>
                  <w:r>
                    <w:rPr>
                      <w:rFonts w:hint="eastAsia"/>
                      <w:szCs w:val="21"/>
                    </w:rPr>
                    <w:t>危废间粘贴标识标牌，并建立危废管理台账。</w:t>
                  </w:r>
                </w:p>
              </w:tc>
              <w:tc>
                <w:tcPr>
                  <w:tcW w:w="404" w:type="pct"/>
                  <w:vAlign w:val="center"/>
                </w:tcPr>
                <w:p>
                  <w:pPr>
                    <w:spacing w:line="360" w:lineRule="auto"/>
                    <w:jc w:val="center"/>
                    <w:rPr>
                      <w:szCs w:val="21"/>
                    </w:rPr>
                  </w:pPr>
                  <w:r>
                    <w:rPr>
                      <w:rFonts w:hint="eastAsia"/>
                      <w:szCs w:val="21"/>
                    </w:rPr>
                    <w:t>新建</w:t>
                  </w:r>
                </w:p>
              </w:tc>
            </w:tr>
          </w:tbl>
          <w:p>
            <w:pPr>
              <w:spacing w:line="360" w:lineRule="auto"/>
              <w:rPr>
                <w:b/>
                <w:bCs/>
                <w:sz w:val="24"/>
              </w:rPr>
            </w:pPr>
            <w:r>
              <w:rPr>
                <w:rFonts w:hint="eastAsia"/>
                <w:b/>
                <w:bCs/>
                <w:sz w:val="24"/>
              </w:rPr>
              <w:t>3、主要生产设备</w:t>
            </w:r>
          </w:p>
          <w:p>
            <w:pPr>
              <w:spacing w:line="360" w:lineRule="auto"/>
              <w:ind w:firstLine="420" w:firstLineChars="200"/>
              <w:rPr>
                <w:szCs w:val="21"/>
              </w:rPr>
            </w:pPr>
            <w:r>
              <w:rPr>
                <w:rFonts w:hint="eastAsia"/>
                <w:szCs w:val="21"/>
              </w:rPr>
              <w:t>根据建设单位提供的资料，项目主要设备见表2-</w:t>
            </w:r>
            <w:r>
              <w:rPr>
                <w:szCs w:val="21"/>
              </w:rPr>
              <w:t>2</w:t>
            </w:r>
            <w:r>
              <w:rPr>
                <w:rFonts w:hint="eastAsia"/>
                <w:szCs w:val="21"/>
              </w:rPr>
              <w:t>。</w:t>
            </w:r>
          </w:p>
          <w:p>
            <w:pPr>
              <w:spacing w:line="360" w:lineRule="auto"/>
              <w:ind w:firstLine="422" w:firstLineChars="200"/>
              <w:jc w:val="center"/>
              <w:rPr>
                <w:b/>
                <w:bCs/>
                <w:szCs w:val="21"/>
              </w:rPr>
            </w:pPr>
            <w:r>
              <w:rPr>
                <w:rFonts w:hint="eastAsia"/>
                <w:b/>
                <w:bCs/>
                <w:szCs w:val="21"/>
              </w:rPr>
              <w:t>表2-</w:t>
            </w:r>
            <w:r>
              <w:rPr>
                <w:b/>
                <w:bCs/>
                <w:szCs w:val="21"/>
              </w:rPr>
              <w:t>2</w:t>
            </w:r>
            <w:r>
              <w:rPr>
                <w:rFonts w:hint="eastAsia"/>
                <w:b/>
                <w:bCs/>
                <w:szCs w:val="21"/>
              </w:rPr>
              <w:t>项目主要生产设备</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363"/>
              <w:gridCol w:w="1475"/>
              <w:gridCol w:w="1089"/>
              <w:gridCol w:w="1089"/>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序号</w:t>
                  </w:r>
                </w:p>
              </w:tc>
              <w:tc>
                <w:tcPr>
                  <w:tcW w:w="1843" w:type="dxa"/>
                  <w:vAlign w:val="center"/>
                </w:tcPr>
                <w:p>
                  <w:pPr>
                    <w:spacing w:line="360" w:lineRule="auto"/>
                    <w:jc w:val="center"/>
                    <w:rPr>
                      <w:szCs w:val="21"/>
                    </w:rPr>
                  </w:pPr>
                  <w:r>
                    <w:rPr>
                      <w:szCs w:val="21"/>
                    </w:rPr>
                    <w:t>设备名称</w:t>
                  </w:r>
                </w:p>
              </w:tc>
              <w:tc>
                <w:tcPr>
                  <w:tcW w:w="1755" w:type="dxa"/>
                  <w:vAlign w:val="center"/>
                </w:tcPr>
                <w:p>
                  <w:pPr>
                    <w:spacing w:line="360" w:lineRule="auto"/>
                    <w:jc w:val="center"/>
                    <w:rPr>
                      <w:szCs w:val="21"/>
                    </w:rPr>
                  </w:pPr>
                  <w:r>
                    <w:rPr>
                      <w:szCs w:val="21"/>
                    </w:rPr>
                    <w:t>型号规格</w:t>
                  </w:r>
                </w:p>
              </w:tc>
              <w:tc>
                <w:tcPr>
                  <w:tcW w:w="1428" w:type="dxa"/>
                  <w:vAlign w:val="center"/>
                </w:tcPr>
                <w:p>
                  <w:pPr>
                    <w:spacing w:line="360" w:lineRule="auto"/>
                    <w:jc w:val="center"/>
                    <w:rPr>
                      <w:szCs w:val="21"/>
                    </w:rPr>
                  </w:pPr>
                  <w:r>
                    <w:rPr>
                      <w:szCs w:val="21"/>
                    </w:rPr>
                    <w:t>单位</w:t>
                  </w:r>
                </w:p>
              </w:tc>
              <w:tc>
                <w:tcPr>
                  <w:tcW w:w="1428" w:type="dxa"/>
                  <w:vAlign w:val="center"/>
                </w:tcPr>
                <w:p>
                  <w:pPr>
                    <w:spacing w:line="360" w:lineRule="auto"/>
                    <w:jc w:val="center"/>
                    <w:rPr>
                      <w:szCs w:val="21"/>
                    </w:rPr>
                  </w:pPr>
                  <w:r>
                    <w:rPr>
                      <w:szCs w:val="21"/>
                    </w:rPr>
                    <w:t>数量</w:t>
                  </w:r>
                </w:p>
              </w:tc>
              <w:tc>
                <w:tcPr>
                  <w:tcW w:w="2856" w:type="dxa"/>
                  <w:vAlign w:val="center"/>
                </w:tcPr>
                <w:p>
                  <w:pPr>
                    <w:spacing w:line="360" w:lineRule="auto"/>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1</w:t>
                  </w:r>
                </w:p>
              </w:tc>
              <w:tc>
                <w:tcPr>
                  <w:tcW w:w="1843" w:type="dxa"/>
                  <w:vAlign w:val="center"/>
                </w:tcPr>
                <w:p>
                  <w:pPr>
                    <w:spacing w:line="360" w:lineRule="auto"/>
                    <w:jc w:val="center"/>
                    <w:rPr>
                      <w:szCs w:val="21"/>
                    </w:rPr>
                  </w:pPr>
                  <w:r>
                    <w:rPr>
                      <w:szCs w:val="21"/>
                    </w:rPr>
                    <w:t>搅拌楼</w:t>
                  </w:r>
                </w:p>
              </w:tc>
              <w:tc>
                <w:tcPr>
                  <w:tcW w:w="1755" w:type="dxa"/>
                  <w:vAlign w:val="center"/>
                </w:tcPr>
                <w:p>
                  <w:pPr>
                    <w:spacing w:line="360" w:lineRule="auto"/>
                    <w:jc w:val="center"/>
                    <w:rPr>
                      <w:szCs w:val="21"/>
                    </w:rPr>
                  </w:pPr>
                  <w:r>
                    <w:rPr>
                      <w:szCs w:val="21"/>
                    </w:rPr>
                    <w:t>HZS180</w:t>
                  </w:r>
                </w:p>
              </w:tc>
              <w:tc>
                <w:tcPr>
                  <w:tcW w:w="1428" w:type="dxa"/>
                  <w:vAlign w:val="center"/>
                </w:tcPr>
                <w:p>
                  <w:pPr>
                    <w:spacing w:line="360" w:lineRule="auto"/>
                    <w:jc w:val="center"/>
                    <w:rPr>
                      <w:szCs w:val="21"/>
                    </w:rPr>
                  </w:pPr>
                  <w:r>
                    <w:rPr>
                      <w:rFonts w:hint="eastAsia"/>
                      <w:szCs w:val="21"/>
                    </w:rPr>
                    <w:t>座</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szCs w:val="21"/>
                    </w:rPr>
                    <w:t>生产率180m³/h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2</w:t>
                  </w:r>
                </w:p>
              </w:tc>
              <w:tc>
                <w:tcPr>
                  <w:tcW w:w="1843" w:type="dxa"/>
                  <w:vAlign w:val="center"/>
                </w:tcPr>
                <w:p>
                  <w:pPr>
                    <w:spacing w:line="360" w:lineRule="auto"/>
                    <w:jc w:val="center"/>
                    <w:rPr>
                      <w:szCs w:val="21"/>
                    </w:rPr>
                  </w:pPr>
                  <w:r>
                    <w:rPr>
                      <w:szCs w:val="21"/>
                    </w:rPr>
                    <w:t>水泥储罐</w:t>
                  </w:r>
                </w:p>
              </w:tc>
              <w:tc>
                <w:tcPr>
                  <w:tcW w:w="1755" w:type="dxa"/>
                  <w:vAlign w:val="center"/>
                </w:tcPr>
                <w:p>
                  <w:pPr>
                    <w:spacing w:line="360" w:lineRule="auto"/>
                    <w:jc w:val="center"/>
                    <w:rPr>
                      <w:szCs w:val="21"/>
                    </w:rPr>
                  </w:pPr>
                  <w:r>
                    <w:rPr>
                      <w:szCs w:val="21"/>
                    </w:rPr>
                    <w:t>单个容量为150t</w:t>
                  </w:r>
                </w:p>
              </w:tc>
              <w:tc>
                <w:tcPr>
                  <w:tcW w:w="1428" w:type="dxa"/>
                  <w:vAlign w:val="center"/>
                </w:tcPr>
                <w:p>
                  <w:pPr>
                    <w:spacing w:line="360" w:lineRule="auto"/>
                    <w:jc w:val="center"/>
                    <w:rPr>
                      <w:szCs w:val="21"/>
                    </w:rPr>
                  </w:pPr>
                  <w:r>
                    <w:rPr>
                      <w:szCs w:val="21"/>
                    </w:rPr>
                    <w:t>个</w:t>
                  </w:r>
                </w:p>
              </w:tc>
              <w:tc>
                <w:tcPr>
                  <w:tcW w:w="1428" w:type="dxa"/>
                  <w:vAlign w:val="center"/>
                </w:tcPr>
                <w:p>
                  <w:pPr>
                    <w:spacing w:line="360" w:lineRule="auto"/>
                    <w:jc w:val="center"/>
                    <w:rPr>
                      <w:szCs w:val="21"/>
                    </w:rPr>
                  </w:pPr>
                  <w:r>
                    <w:rPr>
                      <w:rFonts w:hint="eastAsia"/>
                      <w:szCs w:val="21"/>
                    </w:rPr>
                    <w:t>4</w:t>
                  </w:r>
                </w:p>
              </w:tc>
              <w:tc>
                <w:tcPr>
                  <w:tcW w:w="2856" w:type="dxa"/>
                  <w:vAlign w:val="center"/>
                </w:tcPr>
                <w:p>
                  <w:pPr>
                    <w:widowControl/>
                    <w:jc w:val="center"/>
                    <w:textAlignment w:val="top"/>
                    <w:rPr>
                      <w:szCs w:val="21"/>
                    </w:rPr>
                  </w:pPr>
                  <w:r>
                    <w:rPr>
                      <w:kern w:val="0"/>
                      <w:szCs w:val="21"/>
                      <w:lang w:bidi="ar"/>
                    </w:rPr>
                    <w:t>储存散装水泥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3</w:t>
                  </w:r>
                </w:p>
              </w:tc>
              <w:tc>
                <w:tcPr>
                  <w:tcW w:w="1843" w:type="dxa"/>
                  <w:vAlign w:val="center"/>
                </w:tcPr>
                <w:p>
                  <w:pPr>
                    <w:spacing w:line="360" w:lineRule="auto"/>
                    <w:jc w:val="center"/>
                    <w:rPr>
                      <w:szCs w:val="21"/>
                    </w:rPr>
                  </w:pPr>
                  <w:r>
                    <w:rPr>
                      <w:szCs w:val="21"/>
                    </w:rPr>
                    <w:t>粉煤灰储罐</w:t>
                  </w:r>
                </w:p>
              </w:tc>
              <w:tc>
                <w:tcPr>
                  <w:tcW w:w="1755" w:type="dxa"/>
                  <w:vAlign w:val="center"/>
                </w:tcPr>
                <w:p>
                  <w:pPr>
                    <w:spacing w:line="360" w:lineRule="auto"/>
                    <w:jc w:val="center"/>
                    <w:rPr>
                      <w:szCs w:val="21"/>
                    </w:rPr>
                  </w:pPr>
                  <w:r>
                    <w:rPr>
                      <w:szCs w:val="21"/>
                    </w:rPr>
                    <w:t>单个容量为150t</w:t>
                  </w:r>
                </w:p>
              </w:tc>
              <w:tc>
                <w:tcPr>
                  <w:tcW w:w="1428" w:type="dxa"/>
                  <w:vAlign w:val="center"/>
                </w:tcPr>
                <w:p>
                  <w:pPr>
                    <w:spacing w:line="360" w:lineRule="auto"/>
                    <w:jc w:val="center"/>
                    <w:rPr>
                      <w:szCs w:val="21"/>
                    </w:rPr>
                  </w:pPr>
                  <w:r>
                    <w:rPr>
                      <w:szCs w:val="21"/>
                    </w:rPr>
                    <w:t>个</w:t>
                  </w:r>
                </w:p>
              </w:tc>
              <w:tc>
                <w:tcPr>
                  <w:tcW w:w="1428" w:type="dxa"/>
                  <w:vAlign w:val="center"/>
                </w:tcPr>
                <w:p>
                  <w:pPr>
                    <w:spacing w:line="360" w:lineRule="auto"/>
                    <w:jc w:val="center"/>
                    <w:rPr>
                      <w:szCs w:val="21"/>
                    </w:rPr>
                  </w:pPr>
                  <w:r>
                    <w:rPr>
                      <w:rFonts w:hint="eastAsia"/>
                      <w:szCs w:val="21"/>
                    </w:rPr>
                    <w:t>2</w:t>
                  </w:r>
                </w:p>
              </w:tc>
              <w:tc>
                <w:tcPr>
                  <w:tcW w:w="2856" w:type="dxa"/>
                  <w:vAlign w:val="center"/>
                </w:tcPr>
                <w:p>
                  <w:pPr>
                    <w:jc w:val="center"/>
                    <w:rPr>
                      <w:szCs w:val="21"/>
                    </w:rPr>
                  </w:pPr>
                  <w:r>
                    <w:rPr>
                      <w:szCs w:val="21"/>
                    </w:rPr>
                    <w:t>储存粉煤灰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4</w:t>
                  </w:r>
                </w:p>
              </w:tc>
              <w:tc>
                <w:tcPr>
                  <w:tcW w:w="1843" w:type="dxa"/>
                  <w:vAlign w:val="center"/>
                </w:tcPr>
                <w:p>
                  <w:pPr>
                    <w:spacing w:line="360" w:lineRule="auto"/>
                    <w:jc w:val="center"/>
                    <w:rPr>
                      <w:szCs w:val="21"/>
                    </w:rPr>
                  </w:pPr>
                  <w:r>
                    <w:rPr>
                      <w:szCs w:val="21"/>
                    </w:rPr>
                    <w:t>减水剂储罐</w:t>
                  </w:r>
                </w:p>
              </w:tc>
              <w:tc>
                <w:tcPr>
                  <w:tcW w:w="1755" w:type="dxa"/>
                  <w:vAlign w:val="center"/>
                </w:tcPr>
                <w:p>
                  <w:pPr>
                    <w:spacing w:line="360" w:lineRule="auto"/>
                    <w:jc w:val="center"/>
                    <w:rPr>
                      <w:szCs w:val="21"/>
                    </w:rPr>
                  </w:pPr>
                  <w:r>
                    <w:rPr>
                      <w:szCs w:val="21"/>
                    </w:rPr>
                    <w:t>单个容量5t</w:t>
                  </w:r>
                </w:p>
              </w:tc>
              <w:tc>
                <w:tcPr>
                  <w:tcW w:w="1428" w:type="dxa"/>
                  <w:vAlign w:val="center"/>
                </w:tcPr>
                <w:p>
                  <w:pPr>
                    <w:spacing w:line="360" w:lineRule="auto"/>
                    <w:jc w:val="center"/>
                    <w:rPr>
                      <w:szCs w:val="21"/>
                    </w:rPr>
                  </w:pPr>
                  <w:r>
                    <w:rPr>
                      <w:szCs w:val="21"/>
                    </w:rPr>
                    <w:t>个</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szCs w:val="21"/>
                    </w:rPr>
                    <w:t>聚羧酸高性能减水剂采用塑料储罐进行存储并做好防渗措施。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5</w:t>
                  </w:r>
                </w:p>
              </w:tc>
              <w:tc>
                <w:tcPr>
                  <w:tcW w:w="1843" w:type="dxa"/>
                  <w:vAlign w:val="center"/>
                </w:tcPr>
                <w:p>
                  <w:pPr>
                    <w:spacing w:line="360" w:lineRule="auto"/>
                    <w:jc w:val="center"/>
                    <w:rPr>
                      <w:szCs w:val="21"/>
                    </w:rPr>
                  </w:pPr>
                  <w:r>
                    <w:rPr>
                      <w:rFonts w:hint="eastAsia"/>
                      <w:szCs w:val="21"/>
                    </w:rPr>
                    <w:t>搅拌机</w:t>
                  </w:r>
                </w:p>
              </w:tc>
              <w:tc>
                <w:tcPr>
                  <w:tcW w:w="1755" w:type="dxa"/>
                  <w:vAlign w:val="center"/>
                </w:tcPr>
                <w:p>
                  <w:pPr>
                    <w:spacing w:line="360" w:lineRule="auto"/>
                    <w:jc w:val="center"/>
                    <w:rPr>
                      <w:szCs w:val="21"/>
                    </w:rPr>
                  </w:pPr>
                  <w:r>
                    <w:rPr>
                      <w:rFonts w:hint="eastAsia"/>
                      <w:szCs w:val="21"/>
                    </w:rPr>
                    <w:t>仕高玛J</w:t>
                  </w:r>
                  <w:r>
                    <w:rPr>
                      <w:szCs w:val="21"/>
                    </w:rPr>
                    <w:t>S3000</w:t>
                  </w:r>
                  <w:r>
                    <w:rPr>
                      <w:rFonts w:hint="eastAsia"/>
                      <w:szCs w:val="21"/>
                    </w:rPr>
                    <w:t>搅拌机</w:t>
                  </w:r>
                </w:p>
              </w:tc>
              <w:tc>
                <w:tcPr>
                  <w:tcW w:w="1428" w:type="dxa"/>
                  <w:vAlign w:val="center"/>
                </w:tcPr>
                <w:p>
                  <w:pPr>
                    <w:spacing w:line="360" w:lineRule="auto"/>
                    <w:jc w:val="center"/>
                    <w:rPr>
                      <w:szCs w:val="21"/>
                    </w:rPr>
                  </w:pPr>
                  <w:r>
                    <w:rPr>
                      <w:rFonts w:hint="eastAsia"/>
                      <w:szCs w:val="21"/>
                    </w:rPr>
                    <w:t>台</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6</w:t>
                  </w:r>
                </w:p>
              </w:tc>
              <w:tc>
                <w:tcPr>
                  <w:tcW w:w="1843" w:type="dxa"/>
                  <w:vAlign w:val="center"/>
                </w:tcPr>
                <w:p>
                  <w:pPr>
                    <w:spacing w:line="360" w:lineRule="auto"/>
                    <w:jc w:val="center"/>
                    <w:rPr>
                      <w:szCs w:val="21"/>
                    </w:rPr>
                  </w:pPr>
                  <w:r>
                    <w:rPr>
                      <w:rFonts w:hint="eastAsia"/>
                      <w:szCs w:val="21"/>
                    </w:rPr>
                    <w:t>皮带输送机</w:t>
                  </w:r>
                </w:p>
              </w:tc>
              <w:tc>
                <w:tcPr>
                  <w:tcW w:w="1755" w:type="dxa"/>
                  <w:vAlign w:val="center"/>
                </w:tcPr>
                <w:p>
                  <w:pPr>
                    <w:spacing w:line="360" w:lineRule="auto"/>
                    <w:jc w:val="center"/>
                    <w:rPr>
                      <w:szCs w:val="21"/>
                    </w:rPr>
                  </w:pPr>
                  <w:r>
                    <w:rPr>
                      <w:rFonts w:hint="eastAsia"/>
                      <w:szCs w:val="21"/>
                    </w:rPr>
                    <w:t>B</w:t>
                  </w:r>
                  <w:r>
                    <w:rPr>
                      <w:szCs w:val="21"/>
                    </w:rPr>
                    <w:t>1000</w:t>
                  </w:r>
                </w:p>
              </w:tc>
              <w:tc>
                <w:tcPr>
                  <w:tcW w:w="1428" w:type="dxa"/>
                  <w:vAlign w:val="center"/>
                </w:tcPr>
                <w:p>
                  <w:pPr>
                    <w:spacing w:line="360" w:lineRule="auto"/>
                    <w:jc w:val="center"/>
                    <w:rPr>
                      <w:szCs w:val="21"/>
                    </w:rPr>
                  </w:pPr>
                  <w:r>
                    <w:rPr>
                      <w:rFonts w:hint="eastAsia"/>
                      <w:szCs w:val="21"/>
                    </w:rPr>
                    <w:t>台</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7</w:t>
                  </w:r>
                </w:p>
              </w:tc>
              <w:tc>
                <w:tcPr>
                  <w:tcW w:w="1843" w:type="dxa"/>
                  <w:vAlign w:val="center"/>
                </w:tcPr>
                <w:p>
                  <w:pPr>
                    <w:spacing w:line="360" w:lineRule="auto"/>
                    <w:jc w:val="center"/>
                    <w:rPr>
                      <w:szCs w:val="21"/>
                    </w:rPr>
                  </w:pPr>
                  <w:r>
                    <w:rPr>
                      <w:rFonts w:hint="eastAsia"/>
                      <w:szCs w:val="21"/>
                    </w:rPr>
                    <w:t>粉料储送系统</w:t>
                  </w:r>
                </w:p>
              </w:tc>
              <w:tc>
                <w:tcPr>
                  <w:tcW w:w="1755" w:type="dxa"/>
                  <w:vAlign w:val="center"/>
                </w:tcPr>
                <w:p>
                  <w:pPr>
                    <w:spacing w:line="360" w:lineRule="auto"/>
                    <w:jc w:val="center"/>
                    <w:rPr>
                      <w:szCs w:val="21"/>
                    </w:rPr>
                  </w:pPr>
                  <w:r>
                    <w:rPr>
                      <w:rFonts w:hint="eastAsia"/>
                      <w:szCs w:val="21"/>
                    </w:rPr>
                    <w:t>/</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6</w:t>
                  </w:r>
                </w:p>
              </w:tc>
              <w:tc>
                <w:tcPr>
                  <w:tcW w:w="2856" w:type="dxa"/>
                  <w:vAlign w:val="center"/>
                </w:tcPr>
                <w:p>
                  <w:pPr>
                    <w:spacing w:line="360" w:lineRule="auto"/>
                    <w:jc w:val="center"/>
                    <w:rPr>
                      <w:szCs w:val="21"/>
                    </w:rPr>
                  </w:pPr>
                  <w:r>
                    <w:rPr>
                      <w:rFonts w:hint="eastAsia"/>
                      <w:szCs w:val="21"/>
                    </w:rPr>
                    <w:t>装机容量1</w:t>
                  </w:r>
                  <w:r>
                    <w:rPr>
                      <w:szCs w:val="21"/>
                    </w:rPr>
                    <w:t>8.5</w:t>
                  </w:r>
                  <w:r>
                    <w:rPr>
                      <w:rFonts w:hint="eastAsia"/>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8</w:t>
                  </w:r>
                </w:p>
              </w:tc>
              <w:tc>
                <w:tcPr>
                  <w:tcW w:w="1843" w:type="dxa"/>
                  <w:vAlign w:val="center"/>
                </w:tcPr>
                <w:p>
                  <w:pPr>
                    <w:spacing w:line="360" w:lineRule="auto"/>
                    <w:jc w:val="center"/>
                    <w:rPr>
                      <w:szCs w:val="21"/>
                    </w:rPr>
                  </w:pPr>
                  <w:r>
                    <w:rPr>
                      <w:rFonts w:hint="eastAsia"/>
                      <w:szCs w:val="21"/>
                    </w:rPr>
                    <w:t>空压机</w:t>
                  </w:r>
                </w:p>
              </w:tc>
              <w:tc>
                <w:tcPr>
                  <w:tcW w:w="1755" w:type="dxa"/>
                  <w:vAlign w:val="center"/>
                </w:tcPr>
                <w:p>
                  <w:pPr>
                    <w:spacing w:line="360" w:lineRule="auto"/>
                    <w:jc w:val="center"/>
                    <w:rPr>
                      <w:szCs w:val="21"/>
                    </w:rPr>
                  </w:pPr>
                  <w:r>
                    <w:rPr>
                      <w:rFonts w:hint="eastAsia"/>
                      <w:szCs w:val="21"/>
                    </w:rPr>
                    <w:t>螺杆空压机</w:t>
                  </w:r>
                </w:p>
              </w:tc>
              <w:tc>
                <w:tcPr>
                  <w:tcW w:w="1428" w:type="dxa"/>
                  <w:vAlign w:val="center"/>
                </w:tcPr>
                <w:p>
                  <w:pPr>
                    <w:spacing w:line="360" w:lineRule="auto"/>
                    <w:jc w:val="center"/>
                    <w:rPr>
                      <w:szCs w:val="21"/>
                    </w:rPr>
                  </w:pPr>
                  <w:r>
                    <w:rPr>
                      <w:rFonts w:hint="eastAsia"/>
                      <w:szCs w:val="21"/>
                    </w:rPr>
                    <w:t>台</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9</w:t>
                  </w:r>
                </w:p>
              </w:tc>
              <w:tc>
                <w:tcPr>
                  <w:tcW w:w="1843" w:type="dxa"/>
                  <w:vAlign w:val="center"/>
                </w:tcPr>
                <w:p>
                  <w:pPr>
                    <w:spacing w:line="360" w:lineRule="auto"/>
                    <w:jc w:val="center"/>
                    <w:rPr>
                      <w:szCs w:val="21"/>
                    </w:rPr>
                  </w:pPr>
                  <w:r>
                    <w:rPr>
                      <w:rFonts w:hint="eastAsia"/>
                      <w:szCs w:val="21"/>
                    </w:rPr>
                    <w:t>控制室与监控系统</w:t>
                  </w:r>
                </w:p>
              </w:tc>
              <w:tc>
                <w:tcPr>
                  <w:tcW w:w="1755" w:type="dxa"/>
                  <w:vAlign w:val="center"/>
                </w:tcPr>
                <w:p>
                  <w:pPr>
                    <w:spacing w:line="360" w:lineRule="auto"/>
                    <w:jc w:val="center"/>
                    <w:rPr>
                      <w:szCs w:val="21"/>
                    </w:rPr>
                  </w:pPr>
                  <w:r>
                    <w:rPr>
                      <w:rFonts w:hint="eastAsia"/>
                      <w:szCs w:val="21"/>
                    </w:rPr>
                    <w:t>/</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2套控制系统，控制室安装在主楼侧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0</w:t>
                  </w:r>
                </w:p>
              </w:tc>
              <w:tc>
                <w:tcPr>
                  <w:tcW w:w="1843" w:type="dxa"/>
                  <w:vAlign w:val="center"/>
                </w:tcPr>
                <w:p>
                  <w:pPr>
                    <w:spacing w:line="360" w:lineRule="auto"/>
                    <w:jc w:val="center"/>
                    <w:rPr>
                      <w:szCs w:val="21"/>
                    </w:rPr>
                  </w:pPr>
                  <w:r>
                    <w:rPr>
                      <w:rFonts w:hint="eastAsia"/>
                      <w:szCs w:val="21"/>
                    </w:rPr>
                    <w:t>控制系统</w:t>
                  </w:r>
                </w:p>
              </w:tc>
              <w:tc>
                <w:tcPr>
                  <w:tcW w:w="1755" w:type="dxa"/>
                  <w:vAlign w:val="center"/>
                </w:tcPr>
                <w:p>
                  <w:pPr>
                    <w:spacing w:line="360" w:lineRule="auto"/>
                    <w:jc w:val="center"/>
                    <w:rPr>
                      <w:szCs w:val="21"/>
                    </w:rPr>
                  </w:pPr>
                  <w:r>
                    <w:rPr>
                      <w:rFonts w:hint="eastAsia"/>
                      <w:szCs w:val="21"/>
                    </w:rPr>
                    <w:t>P</w:t>
                  </w:r>
                  <w:r>
                    <w:rPr>
                      <w:szCs w:val="21"/>
                    </w:rPr>
                    <w:t>LC+</w:t>
                  </w:r>
                  <w:r>
                    <w:rPr>
                      <w:rFonts w:hint="eastAsia"/>
                      <w:szCs w:val="21"/>
                    </w:rPr>
                    <w:t>人工控机</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山东博硕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1</w:t>
                  </w:r>
                </w:p>
              </w:tc>
              <w:tc>
                <w:tcPr>
                  <w:tcW w:w="1843" w:type="dxa"/>
                  <w:vAlign w:val="center"/>
                </w:tcPr>
                <w:p>
                  <w:pPr>
                    <w:spacing w:line="360" w:lineRule="auto"/>
                    <w:jc w:val="center"/>
                    <w:rPr>
                      <w:szCs w:val="21"/>
                    </w:rPr>
                  </w:pPr>
                  <w:r>
                    <w:rPr>
                      <w:rFonts w:hint="eastAsia"/>
                      <w:szCs w:val="21"/>
                    </w:rPr>
                    <w:t>轮式装载机</w:t>
                  </w:r>
                </w:p>
              </w:tc>
              <w:tc>
                <w:tcPr>
                  <w:tcW w:w="1755" w:type="dxa"/>
                  <w:vAlign w:val="center"/>
                </w:tcPr>
                <w:p>
                  <w:pPr>
                    <w:spacing w:line="360" w:lineRule="auto"/>
                    <w:jc w:val="center"/>
                    <w:rPr>
                      <w:szCs w:val="21"/>
                    </w:rPr>
                  </w:pPr>
                  <w:r>
                    <w:rPr>
                      <w:rFonts w:hint="eastAsia"/>
                      <w:szCs w:val="21"/>
                    </w:rPr>
                    <w:t>龙工8</w:t>
                  </w:r>
                  <w:r>
                    <w:rPr>
                      <w:szCs w:val="21"/>
                    </w:rPr>
                    <w:t>55</w:t>
                  </w:r>
                </w:p>
              </w:tc>
              <w:tc>
                <w:tcPr>
                  <w:tcW w:w="1428" w:type="dxa"/>
                  <w:vAlign w:val="center"/>
                </w:tcPr>
                <w:p>
                  <w:pPr>
                    <w:spacing w:line="360" w:lineRule="auto"/>
                    <w:jc w:val="center"/>
                    <w:rPr>
                      <w:szCs w:val="21"/>
                    </w:rPr>
                  </w:pPr>
                  <w:r>
                    <w:rPr>
                      <w:rFonts w:hint="eastAsia"/>
                      <w:szCs w:val="21"/>
                    </w:rPr>
                    <w:t>辆</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配料区上料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2</w:t>
                  </w:r>
                </w:p>
              </w:tc>
              <w:tc>
                <w:tcPr>
                  <w:tcW w:w="1843" w:type="dxa"/>
                  <w:vAlign w:val="center"/>
                </w:tcPr>
                <w:p>
                  <w:pPr>
                    <w:spacing w:line="360" w:lineRule="auto"/>
                    <w:jc w:val="center"/>
                    <w:rPr>
                      <w:szCs w:val="21"/>
                    </w:rPr>
                  </w:pPr>
                  <w:r>
                    <w:rPr>
                      <w:rFonts w:hint="eastAsia"/>
                      <w:szCs w:val="21"/>
                    </w:rPr>
                    <w:t>混凝土罐车</w:t>
                  </w:r>
                </w:p>
              </w:tc>
              <w:tc>
                <w:tcPr>
                  <w:tcW w:w="1755" w:type="dxa"/>
                  <w:vAlign w:val="center"/>
                </w:tcPr>
                <w:p>
                  <w:pPr>
                    <w:spacing w:line="360" w:lineRule="auto"/>
                    <w:jc w:val="center"/>
                    <w:rPr>
                      <w:szCs w:val="21"/>
                    </w:rPr>
                  </w:pPr>
                  <w:r>
                    <w:rPr>
                      <w:rFonts w:hint="eastAsia"/>
                      <w:szCs w:val="21"/>
                    </w:rPr>
                    <w:t>容积为1</w:t>
                  </w:r>
                  <w:r>
                    <w:rPr>
                      <w:szCs w:val="21"/>
                    </w:rPr>
                    <w:t>0</w:t>
                  </w:r>
                  <w:r>
                    <w:rPr>
                      <w:rFonts w:hint="eastAsia"/>
                      <w:szCs w:val="21"/>
                    </w:rPr>
                    <w:t>m³</w:t>
                  </w:r>
                </w:p>
              </w:tc>
              <w:tc>
                <w:tcPr>
                  <w:tcW w:w="1428" w:type="dxa"/>
                  <w:vAlign w:val="center"/>
                </w:tcPr>
                <w:p>
                  <w:pPr>
                    <w:spacing w:line="360" w:lineRule="auto"/>
                    <w:jc w:val="center"/>
                    <w:rPr>
                      <w:szCs w:val="21"/>
                    </w:rPr>
                  </w:pPr>
                  <w:r>
                    <w:rPr>
                      <w:rFonts w:hint="eastAsia"/>
                      <w:szCs w:val="21"/>
                    </w:rPr>
                    <w:t>辆</w:t>
                  </w:r>
                </w:p>
              </w:tc>
              <w:tc>
                <w:tcPr>
                  <w:tcW w:w="1428" w:type="dxa"/>
                  <w:vAlign w:val="center"/>
                </w:tcPr>
                <w:p>
                  <w:pPr>
                    <w:spacing w:line="360" w:lineRule="auto"/>
                    <w:jc w:val="center"/>
                    <w:rPr>
                      <w:szCs w:val="21"/>
                    </w:rPr>
                  </w:pPr>
                  <w:r>
                    <w:rPr>
                      <w:rFonts w:hint="eastAsia"/>
                      <w:szCs w:val="21"/>
                    </w:rPr>
                    <w:t>1</w:t>
                  </w:r>
                  <w:r>
                    <w:rPr>
                      <w:szCs w:val="21"/>
                    </w:rPr>
                    <w:t>5</w:t>
                  </w:r>
                </w:p>
              </w:tc>
              <w:tc>
                <w:tcPr>
                  <w:tcW w:w="2856" w:type="dxa"/>
                  <w:vAlign w:val="center"/>
                </w:tcPr>
                <w:p>
                  <w:pPr>
                    <w:spacing w:line="360" w:lineRule="auto"/>
                    <w:jc w:val="center"/>
                    <w:rPr>
                      <w:szCs w:val="21"/>
                    </w:rPr>
                  </w:pPr>
                  <w:r>
                    <w:rPr>
                      <w:rFonts w:hint="eastAsia"/>
                      <w:szCs w:val="21"/>
                    </w:rPr>
                    <w:t>用于运输混凝土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3</w:t>
                  </w:r>
                </w:p>
              </w:tc>
              <w:tc>
                <w:tcPr>
                  <w:tcW w:w="1843" w:type="dxa"/>
                  <w:vAlign w:val="center"/>
                </w:tcPr>
                <w:p>
                  <w:pPr>
                    <w:spacing w:line="360" w:lineRule="auto"/>
                    <w:jc w:val="center"/>
                    <w:rPr>
                      <w:szCs w:val="21"/>
                    </w:rPr>
                  </w:pPr>
                  <w:r>
                    <w:rPr>
                      <w:rFonts w:hint="eastAsia"/>
                      <w:szCs w:val="21"/>
                    </w:rPr>
                    <w:t>实验设备</w:t>
                  </w:r>
                </w:p>
              </w:tc>
              <w:tc>
                <w:tcPr>
                  <w:tcW w:w="1755" w:type="dxa"/>
                  <w:vAlign w:val="center"/>
                </w:tcPr>
                <w:p>
                  <w:pPr>
                    <w:spacing w:line="360" w:lineRule="auto"/>
                    <w:jc w:val="center"/>
                    <w:rPr>
                      <w:szCs w:val="21"/>
                    </w:rPr>
                  </w:pPr>
                  <w:r>
                    <w:rPr>
                      <w:rFonts w:hint="eastAsia"/>
                      <w:szCs w:val="21"/>
                    </w:rPr>
                    <w:t>/</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用于混凝土试验（无化学试验）</w:t>
                  </w:r>
                </w:p>
              </w:tc>
            </w:tr>
          </w:tbl>
          <w:p>
            <w:pPr>
              <w:spacing w:line="360" w:lineRule="auto"/>
              <w:rPr>
                <w:b/>
                <w:bCs/>
                <w:sz w:val="24"/>
              </w:rPr>
            </w:pPr>
            <w:r>
              <w:rPr>
                <w:b/>
                <w:bCs/>
                <w:sz w:val="24"/>
              </w:rPr>
              <w:t>4、</w:t>
            </w:r>
            <w:r>
              <w:rPr>
                <w:rFonts w:hint="eastAsia"/>
                <w:b/>
                <w:bCs/>
                <w:sz w:val="24"/>
              </w:rPr>
              <w:t>项目主要原辅材料及能源消耗</w:t>
            </w:r>
          </w:p>
          <w:p>
            <w:pPr>
              <w:spacing w:line="360" w:lineRule="auto"/>
              <w:ind w:firstLine="480" w:firstLineChars="200"/>
              <w:rPr>
                <w:sz w:val="24"/>
              </w:rPr>
            </w:pPr>
            <w:r>
              <w:rPr>
                <w:rFonts w:hint="eastAsia"/>
                <w:sz w:val="24"/>
              </w:rPr>
              <w:t>（1）主要原辅材料</w:t>
            </w:r>
          </w:p>
          <w:p>
            <w:pPr>
              <w:spacing w:line="360" w:lineRule="auto"/>
              <w:ind w:firstLine="480" w:firstLineChars="200"/>
              <w:rPr>
                <w:sz w:val="24"/>
              </w:rPr>
            </w:pPr>
            <w:r>
              <w:rPr>
                <w:rFonts w:hint="eastAsia"/>
                <w:sz w:val="24"/>
              </w:rPr>
              <w:t>根据建设单位提供资料，项目运营期主要原辅材料及能源消耗情况详见下表。</w:t>
            </w:r>
          </w:p>
          <w:p>
            <w:pPr>
              <w:spacing w:line="360" w:lineRule="auto"/>
              <w:jc w:val="center"/>
              <w:rPr>
                <w:b/>
                <w:bCs/>
                <w:szCs w:val="21"/>
              </w:rPr>
            </w:pPr>
            <w:r>
              <w:rPr>
                <w:rFonts w:hint="eastAsia"/>
                <w:b/>
                <w:bCs/>
                <w:szCs w:val="21"/>
              </w:rPr>
              <w:t>表2-3  主要原辅材料及能源消耗情况一览表</w:t>
            </w:r>
          </w:p>
          <w:tbl>
            <w:tblPr>
              <w:tblStyle w:val="89"/>
              <w:tblW w:w="4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465"/>
              <w:gridCol w:w="314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Align w:val="center"/>
                </w:tcPr>
                <w:p>
                  <w:pPr>
                    <w:pStyle w:val="133"/>
                    <w:spacing w:before="31" w:after="31"/>
                    <w:rPr>
                      <w:rFonts w:ascii="仿宋" w:hAnsi="仿宋"/>
                      <w:b/>
                      <w:szCs w:val="21"/>
                    </w:rPr>
                  </w:pPr>
                  <w:r>
                    <w:rPr>
                      <w:rFonts w:hint="eastAsia" w:ascii="仿宋" w:hAnsi="仿宋"/>
                      <w:b/>
                      <w:szCs w:val="21"/>
                    </w:rPr>
                    <w:t>类别</w:t>
                  </w:r>
                </w:p>
              </w:tc>
              <w:tc>
                <w:tcPr>
                  <w:tcW w:w="980" w:type="pct"/>
                  <w:vAlign w:val="center"/>
                </w:tcPr>
                <w:p>
                  <w:pPr>
                    <w:pStyle w:val="133"/>
                    <w:spacing w:before="31" w:after="31"/>
                    <w:rPr>
                      <w:rFonts w:ascii="仿宋" w:hAnsi="仿宋"/>
                      <w:b/>
                      <w:szCs w:val="21"/>
                    </w:rPr>
                  </w:pPr>
                  <w:r>
                    <w:rPr>
                      <w:rFonts w:hint="eastAsia" w:ascii="仿宋" w:hAnsi="仿宋"/>
                      <w:b/>
                      <w:szCs w:val="21"/>
                    </w:rPr>
                    <w:t>名称</w:t>
                  </w:r>
                </w:p>
              </w:tc>
              <w:tc>
                <w:tcPr>
                  <w:tcW w:w="2100" w:type="pct"/>
                  <w:vAlign w:val="center"/>
                </w:tcPr>
                <w:p>
                  <w:pPr>
                    <w:pStyle w:val="133"/>
                    <w:spacing w:before="31" w:after="31"/>
                    <w:rPr>
                      <w:rFonts w:ascii="仿宋" w:hAnsi="仿宋"/>
                      <w:b/>
                      <w:szCs w:val="21"/>
                    </w:rPr>
                  </w:pPr>
                  <w:r>
                    <w:rPr>
                      <w:rFonts w:hint="eastAsia" w:ascii="仿宋" w:hAnsi="仿宋"/>
                      <w:b/>
                      <w:szCs w:val="21"/>
                    </w:rPr>
                    <w:t>年消耗量</w:t>
                  </w:r>
                </w:p>
              </w:tc>
              <w:tc>
                <w:tcPr>
                  <w:tcW w:w="1052" w:type="pct"/>
                  <w:vAlign w:val="center"/>
                </w:tcPr>
                <w:p>
                  <w:pPr>
                    <w:pStyle w:val="133"/>
                    <w:spacing w:before="31" w:after="31"/>
                    <w:rPr>
                      <w:rFonts w:ascii="仿宋" w:hAnsi="仿宋"/>
                      <w:b/>
                      <w:szCs w:val="21"/>
                    </w:rPr>
                  </w:pPr>
                  <w:r>
                    <w:rPr>
                      <w:rFonts w:hint="eastAsia" w:ascii="仿宋" w:hAnsi="仿宋"/>
                      <w:b/>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pct"/>
                  <w:vMerge w:val="restart"/>
                  <w:vAlign w:val="center"/>
                </w:tcPr>
                <w:p>
                  <w:pPr>
                    <w:pStyle w:val="133"/>
                    <w:spacing w:before="31" w:after="31"/>
                    <w:rPr>
                      <w:rFonts w:ascii="仿宋" w:hAnsi="仿宋"/>
                      <w:szCs w:val="21"/>
                    </w:rPr>
                  </w:pPr>
                  <w:r>
                    <w:rPr>
                      <w:rFonts w:hint="eastAsia" w:ascii="仿宋" w:hAnsi="仿宋"/>
                      <w:szCs w:val="21"/>
                    </w:rPr>
                    <w:t>原料</w:t>
                  </w:r>
                </w:p>
              </w:tc>
              <w:tc>
                <w:tcPr>
                  <w:tcW w:w="980" w:type="pct"/>
                  <w:vAlign w:val="center"/>
                </w:tcPr>
                <w:p>
                  <w:pPr>
                    <w:pStyle w:val="133"/>
                    <w:spacing w:before="31" w:after="31"/>
                    <w:rPr>
                      <w:rFonts w:ascii="仿宋" w:hAnsi="仿宋"/>
                      <w:szCs w:val="21"/>
                    </w:rPr>
                  </w:pPr>
                  <w:r>
                    <w:rPr>
                      <w:rFonts w:hint="eastAsia" w:ascii="仿宋" w:hAnsi="仿宋"/>
                      <w:szCs w:val="21"/>
                    </w:rPr>
                    <w:t>水泥</w:t>
                  </w:r>
                </w:p>
              </w:tc>
              <w:tc>
                <w:tcPr>
                  <w:tcW w:w="2100" w:type="pct"/>
                  <w:vAlign w:val="center"/>
                </w:tcPr>
                <w:p>
                  <w:pPr>
                    <w:pStyle w:val="133"/>
                    <w:spacing w:before="31" w:after="31"/>
                    <w:rPr>
                      <w:rFonts w:ascii="仿宋" w:hAnsi="仿宋"/>
                      <w:szCs w:val="21"/>
                    </w:rPr>
                  </w:pPr>
                  <w:r>
                    <w:rPr>
                      <w:rFonts w:hint="eastAsia" w:ascii="仿宋" w:hAnsi="仿宋"/>
                      <w:szCs w:val="21"/>
                    </w:rPr>
                    <w:t>1</w:t>
                  </w:r>
                  <w:r>
                    <w:rPr>
                      <w:rFonts w:ascii="仿宋" w:hAnsi="仿宋"/>
                      <w:szCs w:val="21"/>
                    </w:rPr>
                    <w:t>.8</w:t>
                  </w:r>
                  <w:r>
                    <w:rPr>
                      <w:rFonts w:hint="eastAsia" w:ascii="仿宋" w:hAnsi="仿宋"/>
                      <w:szCs w:val="21"/>
                    </w:rPr>
                    <w:t>万t</w:t>
                  </w:r>
                </w:p>
              </w:tc>
              <w:tc>
                <w:tcPr>
                  <w:tcW w:w="1052" w:type="pct"/>
                  <w:vAlign w:val="center"/>
                </w:tcPr>
                <w:p>
                  <w:pPr>
                    <w:pStyle w:val="133"/>
                    <w:spacing w:before="31" w:after="31"/>
                    <w:rPr>
                      <w:rFonts w:ascii="仿宋" w:hAnsi="仿宋"/>
                      <w:szCs w:val="21"/>
                    </w:rPr>
                  </w:pPr>
                  <w:r>
                    <w:rPr>
                      <w:rFonts w:hint="eastAsia" w:ascii="仿宋" w:hAnsi="仿宋"/>
                      <w:szCs w:val="21"/>
                    </w:rPr>
                    <w:t>华新水泥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continue"/>
                  <w:vAlign w:val="center"/>
                </w:tcPr>
                <w:p>
                  <w:pPr>
                    <w:pStyle w:val="133"/>
                    <w:spacing w:before="31" w:after="31"/>
                    <w:rPr>
                      <w:rFonts w:ascii="仿宋" w:hAnsi="仿宋"/>
                      <w:szCs w:val="21"/>
                    </w:rPr>
                  </w:pPr>
                </w:p>
              </w:tc>
              <w:tc>
                <w:tcPr>
                  <w:tcW w:w="980" w:type="pct"/>
                  <w:vAlign w:val="center"/>
                </w:tcPr>
                <w:p>
                  <w:pPr>
                    <w:pStyle w:val="133"/>
                    <w:spacing w:before="31" w:after="31"/>
                    <w:rPr>
                      <w:rFonts w:ascii="仿宋" w:hAnsi="仿宋"/>
                      <w:szCs w:val="21"/>
                    </w:rPr>
                  </w:pPr>
                  <w:r>
                    <w:rPr>
                      <w:rFonts w:hint="eastAsia" w:ascii="仿宋" w:hAnsi="仿宋"/>
                      <w:szCs w:val="21"/>
                    </w:rPr>
                    <w:t>砂石骨料</w:t>
                  </w:r>
                </w:p>
              </w:tc>
              <w:tc>
                <w:tcPr>
                  <w:tcW w:w="2100" w:type="pct"/>
                  <w:vAlign w:val="center"/>
                </w:tcPr>
                <w:p>
                  <w:pPr>
                    <w:pStyle w:val="133"/>
                    <w:spacing w:before="31" w:after="31"/>
                    <w:rPr>
                      <w:rFonts w:ascii="仿宋" w:hAnsi="仿宋"/>
                      <w:szCs w:val="21"/>
                    </w:rPr>
                  </w:pPr>
                  <w:r>
                    <w:rPr>
                      <w:rFonts w:hint="eastAsia" w:ascii="仿宋" w:hAnsi="仿宋"/>
                      <w:szCs w:val="21"/>
                      <w:lang w:val="en-US" w:eastAsia="zh-CN"/>
                    </w:rPr>
                    <w:t>4.2</w:t>
                  </w:r>
                  <w:r>
                    <w:rPr>
                      <w:rFonts w:hint="eastAsia" w:ascii="仿宋" w:hAnsi="仿宋"/>
                      <w:szCs w:val="21"/>
                    </w:rPr>
                    <w:t>万t</w:t>
                  </w:r>
                </w:p>
              </w:tc>
              <w:tc>
                <w:tcPr>
                  <w:tcW w:w="1052" w:type="pct"/>
                  <w:vAlign w:val="center"/>
                </w:tcPr>
                <w:p>
                  <w:pPr>
                    <w:pStyle w:val="133"/>
                    <w:spacing w:before="31" w:after="31"/>
                    <w:rPr>
                      <w:rFonts w:ascii="仿宋" w:hAnsi="仿宋"/>
                      <w:szCs w:val="21"/>
                    </w:rPr>
                  </w:pPr>
                  <w:r>
                    <w:rPr>
                      <w:rFonts w:hint="eastAsia" w:ascii="仿宋" w:hAnsi="仿宋"/>
                      <w:szCs w:val="21"/>
                    </w:rPr>
                    <w:t>小江碎石场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restart"/>
                  <w:vAlign w:val="center"/>
                </w:tcPr>
                <w:p>
                  <w:pPr>
                    <w:pStyle w:val="133"/>
                    <w:spacing w:before="31" w:after="31"/>
                    <w:rPr>
                      <w:rFonts w:ascii="仿宋" w:hAnsi="仿宋"/>
                      <w:szCs w:val="21"/>
                    </w:rPr>
                  </w:pPr>
                  <w:r>
                    <w:rPr>
                      <w:rFonts w:hint="eastAsia" w:ascii="仿宋" w:hAnsi="仿宋"/>
                      <w:szCs w:val="21"/>
                    </w:rPr>
                    <w:t>辅料</w:t>
                  </w:r>
                </w:p>
              </w:tc>
              <w:tc>
                <w:tcPr>
                  <w:tcW w:w="980" w:type="pct"/>
                  <w:vAlign w:val="center"/>
                </w:tcPr>
                <w:p>
                  <w:pPr>
                    <w:pStyle w:val="133"/>
                    <w:spacing w:before="31" w:after="31"/>
                    <w:rPr>
                      <w:rFonts w:ascii="仿宋" w:hAnsi="仿宋"/>
                      <w:szCs w:val="21"/>
                    </w:rPr>
                  </w:pPr>
                  <w:r>
                    <w:rPr>
                      <w:rFonts w:hint="eastAsia" w:ascii="仿宋" w:hAnsi="仿宋"/>
                      <w:szCs w:val="21"/>
                    </w:rPr>
                    <w:t>粉煤灰</w:t>
                  </w:r>
                </w:p>
              </w:tc>
              <w:tc>
                <w:tcPr>
                  <w:tcW w:w="2100" w:type="pct"/>
                  <w:vAlign w:val="center"/>
                </w:tcPr>
                <w:p>
                  <w:pPr>
                    <w:pStyle w:val="133"/>
                    <w:spacing w:before="31" w:after="31"/>
                    <w:rPr>
                      <w:rFonts w:ascii="仿宋" w:hAnsi="仿宋"/>
                      <w:szCs w:val="21"/>
                    </w:rPr>
                  </w:pPr>
                  <w:r>
                    <w:rPr>
                      <w:rFonts w:ascii="仿宋" w:hAnsi="仿宋"/>
                      <w:szCs w:val="21"/>
                    </w:rPr>
                    <w:t>0.6</w:t>
                  </w:r>
                  <w:r>
                    <w:rPr>
                      <w:rFonts w:hint="eastAsia" w:ascii="仿宋" w:hAnsi="仿宋"/>
                      <w:szCs w:val="21"/>
                    </w:rPr>
                    <w:t>万t</w:t>
                  </w:r>
                </w:p>
              </w:tc>
              <w:tc>
                <w:tcPr>
                  <w:tcW w:w="1052" w:type="pct"/>
                  <w:vAlign w:val="center"/>
                </w:tcPr>
                <w:p>
                  <w:pPr>
                    <w:pStyle w:val="133"/>
                    <w:spacing w:before="31" w:after="31"/>
                    <w:rPr>
                      <w:rFonts w:ascii="仿宋" w:hAnsi="仿宋"/>
                      <w:szCs w:val="21"/>
                    </w:rPr>
                  </w:pPr>
                  <w:r>
                    <w:rPr>
                      <w:rFonts w:hint="eastAsia" w:ascii="仿宋" w:hAnsi="仿宋"/>
                      <w:szCs w:val="21"/>
                    </w:rPr>
                    <w:t>曲靖电厂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pct"/>
                  <w:vMerge w:val="continue"/>
                  <w:vAlign w:val="center"/>
                </w:tcPr>
                <w:p>
                  <w:pPr>
                    <w:pStyle w:val="133"/>
                    <w:spacing w:before="31" w:after="31"/>
                    <w:rPr>
                      <w:rFonts w:ascii="仿宋" w:hAnsi="仿宋"/>
                      <w:szCs w:val="21"/>
                    </w:rPr>
                  </w:pPr>
                </w:p>
              </w:tc>
              <w:tc>
                <w:tcPr>
                  <w:tcW w:w="980" w:type="pct"/>
                  <w:vAlign w:val="center"/>
                </w:tcPr>
                <w:p>
                  <w:pPr>
                    <w:pStyle w:val="133"/>
                    <w:spacing w:before="31" w:after="31"/>
                    <w:rPr>
                      <w:rFonts w:ascii="仿宋" w:hAnsi="仿宋"/>
                      <w:szCs w:val="21"/>
                    </w:rPr>
                  </w:pPr>
                  <w:r>
                    <w:rPr>
                      <w:rFonts w:hint="eastAsia" w:ascii="仿宋" w:hAnsi="仿宋"/>
                      <w:szCs w:val="21"/>
                    </w:rPr>
                    <w:t>外加剂</w:t>
                  </w:r>
                </w:p>
              </w:tc>
              <w:tc>
                <w:tcPr>
                  <w:tcW w:w="2100" w:type="pct"/>
                  <w:vAlign w:val="center"/>
                </w:tcPr>
                <w:p>
                  <w:pPr>
                    <w:pStyle w:val="133"/>
                    <w:spacing w:before="31" w:after="31"/>
                    <w:rPr>
                      <w:rFonts w:ascii="仿宋" w:hAnsi="仿宋"/>
                      <w:szCs w:val="21"/>
                    </w:rPr>
                  </w:pPr>
                  <w:r>
                    <w:rPr>
                      <w:rFonts w:hint="eastAsia" w:ascii="仿宋" w:hAnsi="仿宋"/>
                      <w:szCs w:val="21"/>
                    </w:rPr>
                    <w:t>3</w:t>
                  </w:r>
                  <w:r>
                    <w:rPr>
                      <w:rFonts w:ascii="仿宋" w:hAnsi="仿宋"/>
                      <w:szCs w:val="21"/>
                    </w:rPr>
                    <w:t>000t</w:t>
                  </w:r>
                </w:p>
              </w:tc>
              <w:tc>
                <w:tcPr>
                  <w:tcW w:w="1052" w:type="pct"/>
                  <w:vAlign w:val="center"/>
                </w:tcPr>
                <w:p>
                  <w:pPr>
                    <w:pStyle w:val="133"/>
                    <w:spacing w:before="31" w:after="31"/>
                    <w:rPr>
                      <w:rFonts w:ascii="仿宋" w:hAnsi="仿宋"/>
                      <w:szCs w:val="21"/>
                    </w:rPr>
                  </w:pPr>
                  <w:r>
                    <w:rPr>
                      <w:rFonts w:hint="eastAsia" w:ascii="仿宋" w:hAnsi="仿宋"/>
                      <w:szCs w:val="21"/>
                    </w:rPr>
                    <w:t>苏博特新材料股份有限公司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restart"/>
                  <w:vAlign w:val="center"/>
                </w:tcPr>
                <w:p>
                  <w:pPr>
                    <w:pStyle w:val="133"/>
                    <w:spacing w:before="31" w:after="31"/>
                    <w:rPr>
                      <w:rFonts w:ascii="仿宋" w:hAnsi="仿宋"/>
                      <w:szCs w:val="21"/>
                    </w:rPr>
                  </w:pPr>
                  <w:r>
                    <w:rPr>
                      <w:rFonts w:hint="eastAsia" w:ascii="仿宋" w:hAnsi="仿宋"/>
                      <w:szCs w:val="21"/>
                    </w:rPr>
                    <w:t>能源</w:t>
                  </w:r>
                </w:p>
              </w:tc>
              <w:tc>
                <w:tcPr>
                  <w:tcW w:w="980" w:type="pct"/>
                  <w:vAlign w:val="center"/>
                </w:tcPr>
                <w:p>
                  <w:pPr>
                    <w:pStyle w:val="133"/>
                    <w:spacing w:before="31" w:after="31"/>
                    <w:rPr>
                      <w:rFonts w:ascii="仿宋" w:hAnsi="仿宋"/>
                      <w:szCs w:val="21"/>
                    </w:rPr>
                  </w:pPr>
                  <w:r>
                    <w:rPr>
                      <w:rFonts w:hint="eastAsia" w:ascii="仿宋" w:hAnsi="仿宋"/>
                      <w:szCs w:val="21"/>
                    </w:rPr>
                    <w:t>水</w:t>
                  </w:r>
                </w:p>
              </w:tc>
              <w:tc>
                <w:tcPr>
                  <w:tcW w:w="2100" w:type="pct"/>
                  <w:vAlign w:val="center"/>
                </w:tcPr>
                <w:p>
                  <w:pPr>
                    <w:pStyle w:val="133"/>
                    <w:spacing w:before="31" w:after="31"/>
                    <w:rPr>
                      <w:rFonts w:ascii="仿宋" w:hAnsi="仿宋"/>
                      <w:szCs w:val="21"/>
                    </w:rPr>
                  </w:pPr>
                  <w:r>
                    <w:rPr>
                      <w:rFonts w:hint="eastAsia" w:ascii="仿宋" w:hAnsi="仿宋"/>
                      <w:color w:val="000000" w:themeColor="text1"/>
                      <w:szCs w:val="21"/>
                      <w:lang w:val="en-US" w:eastAsia="zh-CN"/>
                      <w14:textFill>
                        <w14:solidFill>
                          <w14:schemeClr w14:val="tx1"/>
                        </w14:solidFill>
                      </w14:textFill>
                    </w:rPr>
                    <w:t>1.08</w:t>
                  </w:r>
                  <w:r>
                    <w:rPr>
                      <w:rFonts w:hint="eastAsia" w:ascii="仿宋" w:hAnsi="仿宋"/>
                      <w:color w:val="000000" w:themeColor="text1"/>
                      <w:szCs w:val="21"/>
                      <w14:textFill>
                        <w14:solidFill>
                          <w14:schemeClr w14:val="tx1"/>
                        </w14:solidFill>
                      </w14:textFill>
                    </w:rPr>
                    <w:t>万</w:t>
                  </w:r>
                  <w:r>
                    <w:rPr>
                      <w:rFonts w:ascii="仿宋" w:hAnsi="仿宋"/>
                      <w:color w:val="000000" w:themeColor="text1"/>
                      <w:szCs w:val="21"/>
                      <w14:textFill>
                        <w14:solidFill>
                          <w14:schemeClr w14:val="tx1"/>
                        </w14:solidFill>
                      </w14:textFill>
                    </w:rPr>
                    <w:t>t</w:t>
                  </w:r>
                </w:p>
              </w:tc>
              <w:tc>
                <w:tcPr>
                  <w:tcW w:w="1052" w:type="pct"/>
                  <w:vAlign w:val="center"/>
                </w:tcPr>
                <w:p>
                  <w:pPr>
                    <w:pStyle w:val="133"/>
                    <w:spacing w:before="31" w:after="31"/>
                    <w:rPr>
                      <w:rFonts w:ascii="仿宋" w:hAnsi="仿宋"/>
                      <w:szCs w:val="21"/>
                    </w:rPr>
                  </w:pPr>
                  <w:r>
                    <w:rPr>
                      <w:rFonts w:hint="eastAsia" w:ascii="仿宋" w:hAnsi="仿宋"/>
                      <w:szCs w:val="21"/>
                    </w:rPr>
                    <w:t>小江江水、当地生活用水管网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continue"/>
                  <w:vAlign w:val="center"/>
                </w:tcPr>
                <w:p>
                  <w:pPr>
                    <w:pStyle w:val="133"/>
                    <w:spacing w:before="31" w:after="31"/>
                    <w:rPr>
                      <w:rFonts w:ascii="仿宋" w:hAnsi="仿宋"/>
                      <w:szCs w:val="21"/>
                    </w:rPr>
                  </w:pPr>
                </w:p>
              </w:tc>
              <w:tc>
                <w:tcPr>
                  <w:tcW w:w="980" w:type="pct"/>
                  <w:vAlign w:val="center"/>
                </w:tcPr>
                <w:p>
                  <w:pPr>
                    <w:pStyle w:val="133"/>
                    <w:spacing w:before="31" w:after="31"/>
                    <w:rPr>
                      <w:rFonts w:ascii="仿宋" w:hAnsi="仿宋"/>
                      <w:szCs w:val="21"/>
                    </w:rPr>
                  </w:pPr>
                  <w:r>
                    <w:rPr>
                      <w:rFonts w:hint="eastAsia" w:ascii="仿宋" w:hAnsi="仿宋"/>
                      <w:szCs w:val="21"/>
                    </w:rPr>
                    <w:t>电</w:t>
                  </w:r>
                </w:p>
              </w:tc>
              <w:tc>
                <w:tcPr>
                  <w:tcW w:w="2100" w:type="pct"/>
                  <w:vAlign w:val="center"/>
                </w:tcPr>
                <w:p>
                  <w:pPr>
                    <w:pStyle w:val="133"/>
                    <w:spacing w:before="31" w:after="31"/>
                    <w:rPr>
                      <w:rFonts w:ascii="仿宋" w:hAnsi="仿宋"/>
                      <w:color w:val="FF0000"/>
                      <w:szCs w:val="21"/>
                    </w:rPr>
                  </w:pPr>
                  <w:r>
                    <w:rPr>
                      <w:rFonts w:hint="eastAsia" w:ascii="仿宋" w:hAnsi="仿宋"/>
                      <w:color w:val="000000" w:themeColor="text1"/>
                      <w:szCs w:val="21"/>
                      <w14:textFill>
                        <w14:solidFill>
                          <w14:schemeClr w14:val="tx1"/>
                        </w14:solidFill>
                      </w14:textFill>
                    </w:rPr>
                    <w:t>2</w:t>
                  </w:r>
                  <w:r>
                    <w:rPr>
                      <w:rFonts w:ascii="仿宋" w:hAnsi="仿宋"/>
                      <w:color w:val="000000" w:themeColor="text1"/>
                      <w:szCs w:val="21"/>
                      <w14:textFill>
                        <w14:solidFill>
                          <w14:schemeClr w14:val="tx1"/>
                        </w14:solidFill>
                      </w14:textFill>
                    </w:rPr>
                    <w:t>4</w:t>
                  </w:r>
                  <w:r>
                    <w:rPr>
                      <w:rFonts w:hint="eastAsia" w:ascii="仿宋" w:hAnsi="仿宋"/>
                      <w:color w:val="000000" w:themeColor="text1"/>
                      <w:szCs w:val="21"/>
                      <w14:textFill>
                        <w14:solidFill>
                          <w14:schemeClr w14:val="tx1"/>
                        </w14:solidFill>
                      </w14:textFill>
                    </w:rPr>
                    <w:t>万度</w:t>
                  </w:r>
                </w:p>
              </w:tc>
              <w:tc>
                <w:tcPr>
                  <w:tcW w:w="1052" w:type="pct"/>
                  <w:vAlign w:val="center"/>
                </w:tcPr>
                <w:p>
                  <w:pPr>
                    <w:pStyle w:val="133"/>
                    <w:spacing w:before="31" w:after="31"/>
                    <w:rPr>
                      <w:rFonts w:ascii="仿宋" w:hAnsi="仿宋"/>
                      <w:szCs w:val="21"/>
                    </w:rPr>
                  </w:pPr>
                  <w:r>
                    <w:rPr>
                      <w:rFonts w:hint="eastAsia" w:ascii="仿宋" w:hAnsi="仿宋"/>
                      <w:szCs w:val="21"/>
                    </w:rPr>
                    <w:t>当地电网</w:t>
                  </w:r>
                </w:p>
              </w:tc>
            </w:tr>
          </w:tbl>
          <w:p>
            <w:pPr>
              <w:spacing w:line="360" w:lineRule="auto"/>
              <w:ind w:firstLine="480" w:firstLineChars="200"/>
              <w:rPr>
                <w:sz w:val="24"/>
              </w:rPr>
            </w:pPr>
            <w:r>
              <w:rPr>
                <w:rFonts w:hint="eastAsia"/>
                <w:sz w:val="24"/>
              </w:rPr>
              <w:t>（2）原辅材料理化性质</w:t>
            </w:r>
          </w:p>
          <w:p>
            <w:pPr>
              <w:spacing w:line="360" w:lineRule="auto"/>
              <w:ind w:firstLine="480" w:firstLineChars="200"/>
              <w:rPr>
                <w:sz w:val="24"/>
              </w:rPr>
            </w:pPr>
            <w:r>
              <w:rPr>
                <w:rFonts w:hint="eastAsia"/>
                <w:sz w:val="24"/>
              </w:rPr>
              <w:t>原辅材料理化性质见表2-</w:t>
            </w:r>
            <w:r>
              <w:rPr>
                <w:sz w:val="24"/>
              </w:rPr>
              <w:t>4</w:t>
            </w:r>
            <w:r>
              <w:rPr>
                <w:rFonts w:hint="eastAsia"/>
                <w:sz w:val="24"/>
              </w:rPr>
              <w:t>。</w:t>
            </w:r>
          </w:p>
          <w:p>
            <w:pPr>
              <w:spacing w:line="360" w:lineRule="auto"/>
              <w:jc w:val="center"/>
              <w:rPr>
                <w:b/>
                <w:bCs/>
                <w:szCs w:val="21"/>
              </w:rPr>
            </w:pPr>
            <w:r>
              <w:rPr>
                <w:rFonts w:hint="eastAsia"/>
                <w:b/>
                <w:bCs/>
                <w:szCs w:val="21"/>
              </w:rPr>
              <w:t>表2-</w:t>
            </w:r>
            <w:r>
              <w:rPr>
                <w:b/>
                <w:bCs/>
                <w:szCs w:val="21"/>
              </w:rPr>
              <w:t xml:space="preserve">4   </w:t>
            </w:r>
            <w:r>
              <w:rPr>
                <w:rFonts w:hint="eastAsia"/>
                <w:b/>
                <w:bCs/>
                <w:szCs w:val="21"/>
              </w:rPr>
              <w:t>原辅材料理化性质一览表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763"/>
              <w:gridCol w:w="6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421" w:type="pct"/>
                  <w:shd w:val="clear" w:color="auto" w:fill="auto"/>
                  <w:vAlign w:val="center"/>
                </w:tcPr>
                <w:p>
                  <w:pPr>
                    <w:adjustRightInd w:val="0"/>
                    <w:snapToGrid w:val="0"/>
                    <w:jc w:val="center"/>
                    <w:rPr>
                      <w:b/>
                      <w:bCs/>
                      <w:snapToGrid w:val="0"/>
                      <w:color w:val="000000"/>
                      <w:kern w:val="0"/>
                      <w:szCs w:val="21"/>
                    </w:rPr>
                  </w:pPr>
                  <w:r>
                    <w:rPr>
                      <w:b/>
                      <w:bCs/>
                      <w:snapToGrid w:val="0"/>
                      <w:color w:val="000000"/>
                      <w:kern w:val="0"/>
                      <w:szCs w:val="21"/>
                    </w:rPr>
                    <w:t>序号</w:t>
                  </w:r>
                </w:p>
              </w:tc>
              <w:tc>
                <w:tcPr>
                  <w:tcW w:w="488" w:type="pct"/>
                  <w:shd w:val="clear" w:color="auto" w:fill="auto"/>
                  <w:vAlign w:val="center"/>
                </w:tcPr>
                <w:p>
                  <w:pPr>
                    <w:adjustRightInd w:val="0"/>
                    <w:snapToGrid w:val="0"/>
                    <w:jc w:val="center"/>
                    <w:rPr>
                      <w:b/>
                      <w:bCs/>
                      <w:snapToGrid w:val="0"/>
                      <w:color w:val="000000"/>
                      <w:kern w:val="0"/>
                      <w:szCs w:val="21"/>
                    </w:rPr>
                  </w:pPr>
                  <w:r>
                    <w:rPr>
                      <w:b/>
                      <w:bCs/>
                      <w:snapToGrid w:val="0"/>
                      <w:color w:val="000000"/>
                      <w:kern w:val="0"/>
                      <w:szCs w:val="21"/>
                    </w:rPr>
                    <w:t>名称</w:t>
                  </w:r>
                </w:p>
              </w:tc>
              <w:tc>
                <w:tcPr>
                  <w:tcW w:w="4090" w:type="pct"/>
                  <w:shd w:val="clear" w:color="auto" w:fill="auto"/>
                  <w:vAlign w:val="center"/>
                </w:tcPr>
                <w:p>
                  <w:pPr>
                    <w:adjustRightInd w:val="0"/>
                    <w:snapToGrid w:val="0"/>
                    <w:jc w:val="center"/>
                    <w:rPr>
                      <w:b/>
                      <w:bCs/>
                      <w:snapToGrid w:val="0"/>
                      <w:color w:val="000000"/>
                      <w:kern w:val="0"/>
                      <w:szCs w:val="21"/>
                    </w:rPr>
                  </w:pPr>
                  <w:r>
                    <w:rPr>
                      <w:b/>
                      <w:bCs/>
                      <w:snapToGrid w:val="0"/>
                      <w:color w:val="000000"/>
                      <w:kern w:val="0"/>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1"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1</w:t>
                  </w:r>
                </w:p>
              </w:tc>
              <w:tc>
                <w:tcPr>
                  <w:tcW w:w="488" w:type="pct"/>
                  <w:shd w:val="clear" w:color="auto" w:fill="auto"/>
                  <w:vAlign w:val="center"/>
                </w:tcPr>
                <w:p>
                  <w:pPr>
                    <w:adjustRightInd w:val="0"/>
                    <w:snapToGrid w:val="0"/>
                    <w:jc w:val="center"/>
                    <w:rPr>
                      <w:b/>
                      <w:bCs/>
                      <w:snapToGrid w:val="0"/>
                      <w:color w:val="000000"/>
                      <w:kern w:val="0"/>
                      <w:szCs w:val="21"/>
                    </w:rPr>
                  </w:pPr>
                  <w:r>
                    <w:rPr>
                      <w:snapToGrid w:val="0"/>
                      <w:color w:val="000000"/>
                      <w:kern w:val="0"/>
                      <w:szCs w:val="21"/>
                    </w:rPr>
                    <w:t>水泥</w:t>
                  </w:r>
                </w:p>
              </w:tc>
              <w:tc>
                <w:tcPr>
                  <w:tcW w:w="4090" w:type="pct"/>
                  <w:shd w:val="clear" w:color="auto" w:fill="auto"/>
                  <w:vAlign w:val="center"/>
                </w:tcPr>
                <w:p>
                  <w:pPr>
                    <w:adjustRightInd w:val="0"/>
                    <w:snapToGrid w:val="0"/>
                    <w:ind w:firstLine="420" w:firstLineChars="200"/>
                    <w:jc w:val="left"/>
                    <w:rPr>
                      <w:b/>
                      <w:bCs/>
                      <w:snapToGrid w:val="0"/>
                      <w:color w:val="000000"/>
                      <w:kern w:val="0"/>
                      <w:szCs w:val="21"/>
                    </w:rPr>
                  </w:pPr>
                  <w:r>
                    <w:rPr>
                      <w:snapToGrid w:val="0"/>
                      <w:color w:val="000000"/>
                      <w:kern w:val="0"/>
                      <w:szCs w:val="21"/>
                    </w:rPr>
                    <w:t>一种细磨的粉状水硬性胶凝材料。向其中加入适量水后，成为塑性浆体，既能在空气中硬化、又能在水中硬化，并能把砂、石等材料牢固地胶结在一起。其种类很多，按组成可分为硅酸盐水泥、铝酸盐水泥、硫酸盐水泥、磷酸盐水泥、硫铝酸盐水泥、铁铝酸盐水泥、氟铝酸盐水泥等；用水泥制成的砂浆或混凝土，坚固耐久，是重要的建筑材料和工程材料，广泛用于建筑、水利、道路、国防等工程中。本项目选用水泥为硅酸盐或普通硅酸盐水泥。水泥的标号是水泥</w:t>
                  </w:r>
                  <w:r>
                    <w:rPr>
                      <w:rFonts w:hint="eastAsia"/>
                      <w:snapToGrid w:val="0"/>
                      <w:color w:val="000000"/>
                      <w:kern w:val="0"/>
                      <w:szCs w:val="21"/>
                    </w:rPr>
                    <w:t>“</w:t>
                  </w:r>
                  <w:r>
                    <w:rPr>
                      <w:snapToGrid w:val="0"/>
                      <w:color w:val="000000"/>
                      <w:kern w:val="0"/>
                      <w:szCs w:val="21"/>
                    </w:rPr>
                    <w:t>强度</w:t>
                  </w:r>
                  <w:r>
                    <w:rPr>
                      <w:rFonts w:hint="eastAsia"/>
                      <w:snapToGrid w:val="0"/>
                      <w:color w:val="000000"/>
                      <w:kern w:val="0"/>
                      <w:szCs w:val="21"/>
                    </w:rPr>
                    <w:t>”</w:t>
                  </w:r>
                  <w:r>
                    <w:rPr>
                      <w:snapToGrid w:val="0"/>
                      <w:color w:val="000000"/>
                      <w:kern w:val="0"/>
                      <w:szCs w:val="21"/>
                    </w:rPr>
                    <w:t>的指标。水泥的强度是表示单位面积受力的大小，是指水泥加水拌和后，经凝结、硬化后的坚实程度（水泥的强度与组成水泥的矿物成分、颗粒细度、硬化时的温度、湿度、以及水泥中加水的比例等因素有关）。水泥的强度是确定水泥标号的指标，也是选用水泥的主要依据。标号越高的水泥强度越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2</w:t>
                  </w:r>
                </w:p>
              </w:tc>
              <w:tc>
                <w:tcPr>
                  <w:tcW w:w="488" w:type="pct"/>
                  <w:shd w:val="clear" w:color="auto" w:fill="auto"/>
                  <w:vAlign w:val="center"/>
                </w:tcPr>
                <w:p>
                  <w:pPr>
                    <w:adjustRightInd w:val="0"/>
                    <w:snapToGrid w:val="0"/>
                    <w:jc w:val="center"/>
                    <w:rPr>
                      <w:b/>
                      <w:bCs/>
                      <w:snapToGrid w:val="0"/>
                      <w:color w:val="000000"/>
                      <w:kern w:val="0"/>
                      <w:szCs w:val="21"/>
                    </w:rPr>
                  </w:pPr>
                  <w:r>
                    <w:rPr>
                      <w:snapToGrid w:val="0"/>
                      <w:color w:val="000000"/>
                      <w:kern w:val="0"/>
                      <w:szCs w:val="21"/>
                    </w:rPr>
                    <w:t>粉煤灰</w:t>
                  </w:r>
                </w:p>
              </w:tc>
              <w:tc>
                <w:tcPr>
                  <w:tcW w:w="4090" w:type="pct"/>
                  <w:shd w:val="clear" w:color="auto" w:fill="auto"/>
                  <w:vAlign w:val="center"/>
                </w:tcPr>
                <w:p>
                  <w:pPr>
                    <w:adjustRightInd w:val="0"/>
                    <w:snapToGrid w:val="0"/>
                    <w:ind w:firstLine="420" w:firstLineChars="200"/>
                    <w:jc w:val="left"/>
                    <w:rPr>
                      <w:b/>
                      <w:bCs/>
                      <w:snapToGrid w:val="0"/>
                      <w:color w:val="000000"/>
                      <w:kern w:val="0"/>
                      <w:szCs w:val="21"/>
                    </w:rPr>
                  </w:pPr>
                  <w:r>
                    <w:rPr>
                      <w:snapToGrid w:val="0"/>
                      <w:color w:val="000000"/>
                      <w:kern w:val="0"/>
                      <w:szCs w:val="21"/>
                    </w:rPr>
                    <w:t>粉煤灰是由煤粉炉排出的烟气中收集到的细颗粒白色粉末，是由矿化程度较低的褐煤燃烧后形成的残灰，它的氧化钙含量较高，具有胶凝性质。粉煤灰一般多呈球形，且富含玻璃体，含量在50～70%之间。晶体部分主要是莫来石和石英，还有一定量的未燃尽炭，含量约为1～24％。从化学成份看，粉煤灰主要含有SiO</w:t>
                  </w:r>
                  <w:r>
                    <w:rPr>
                      <w:snapToGrid w:val="0"/>
                      <w:color w:val="000000"/>
                      <w:kern w:val="0"/>
                      <w:szCs w:val="21"/>
                      <w:vertAlign w:val="subscript"/>
                    </w:rPr>
                    <w:t>2</w:t>
                  </w:r>
                  <w:r>
                    <w:rPr>
                      <w:snapToGrid w:val="0"/>
                      <w:color w:val="000000"/>
                      <w:kern w:val="0"/>
                      <w:szCs w:val="21"/>
                    </w:rPr>
                    <w:t>（35～60%），Al</w:t>
                  </w:r>
                  <w:r>
                    <w:rPr>
                      <w:snapToGrid w:val="0"/>
                      <w:color w:val="000000"/>
                      <w:kern w:val="0"/>
                      <w:szCs w:val="21"/>
                      <w:vertAlign w:val="subscript"/>
                    </w:rPr>
                    <w:t>2</w:t>
                  </w:r>
                  <w:r>
                    <w:rPr>
                      <w:snapToGrid w:val="0"/>
                      <w:color w:val="000000"/>
                      <w:kern w:val="0"/>
                      <w:szCs w:val="21"/>
                    </w:rPr>
                    <w:t>O</w:t>
                  </w:r>
                  <w:r>
                    <w:rPr>
                      <w:snapToGrid w:val="0"/>
                      <w:color w:val="000000"/>
                      <w:kern w:val="0"/>
                      <w:szCs w:val="21"/>
                      <w:vertAlign w:val="subscript"/>
                    </w:rPr>
                    <w:t>3</w:t>
                  </w:r>
                  <w:r>
                    <w:rPr>
                      <w:snapToGrid w:val="0"/>
                      <w:color w:val="000000"/>
                      <w:kern w:val="0"/>
                      <w:szCs w:val="21"/>
                    </w:rPr>
                    <w:t>（13～40%），CaO（2～5%），Fe</w:t>
                  </w:r>
                  <w:r>
                    <w:rPr>
                      <w:snapToGrid w:val="0"/>
                      <w:color w:val="000000"/>
                      <w:kern w:val="0"/>
                      <w:szCs w:val="21"/>
                      <w:vertAlign w:val="subscript"/>
                    </w:rPr>
                    <w:t>2</w:t>
                  </w:r>
                  <w:r>
                    <w:rPr>
                      <w:snapToGrid w:val="0"/>
                      <w:color w:val="000000"/>
                      <w:kern w:val="0"/>
                      <w:szCs w:val="21"/>
                    </w:rPr>
                    <w:t>O</w:t>
                  </w:r>
                  <w:r>
                    <w:rPr>
                      <w:snapToGrid w:val="0"/>
                      <w:color w:val="000000"/>
                      <w:kern w:val="0"/>
                      <w:szCs w:val="21"/>
                      <w:vertAlign w:val="subscript"/>
                    </w:rPr>
                    <w:t>3</w:t>
                  </w:r>
                  <w:r>
                    <w:rPr>
                      <w:snapToGrid w:val="0"/>
                      <w:color w:val="000000"/>
                      <w:kern w:val="0"/>
                      <w:szCs w:val="21"/>
                    </w:rPr>
                    <w:t>（3～10%）等。由于粉煤灰经高温熔融，所以其结构非常致密。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3</w:t>
                  </w:r>
                </w:p>
              </w:tc>
              <w:tc>
                <w:tcPr>
                  <w:tcW w:w="488"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外加剂（聚羧酸高性能减水剂）</w:t>
                  </w:r>
                </w:p>
              </w:tc>
              <w:tc>
                <w:tcPr>
                  <w:tcW w:w="4090" w:type="pct"/>
                  <w:shd w:val="clear" w:color="auto" w:fill="auto"/>
                  <w:vAlign w:val="center"/>
                </w:tcPr>
                <w:p>
                  <w:pPr>
                    <w:widowControl/>
                    <w:snapToGrid w:val="0"/>
                    <w:ind w:firstLine="420" w:firstLineChars="200"/>
                    <w:rPr>
                      <w:snapToGrid w:val="0"/>
                      <w:color w:val="000000"/>
                      <w:kern w:val="0"/>
                      <w:szCs w:val="21"/>
                    </w:rPr>
                  </w:pPr>
                  <w:r>
                    <w:rPr>
                      <w:snapToGrid w:val="0"/>
                      <w:color w:val="000000"/>
                      <w:kern w:val="0"/>
                      <w:szCs w:val="21"/>
                    </w:rPr>
                    <w:t>聚羧酸系高性能减水剂是羧酸类接枝多元共聚物与其它有效助剂的复配产品。密度：1.07±0.02g/mL，固含量：20±2，水泥净浆流动度（基准水泥）：≥250mm（W/C=0.29），pH：6~8，氯离子含量：≤0.02%，减水率可高达45%，碱含量≤0.2%。产品无色无味，无毒无害，不含甲醛，不属于危险化学品，是新一代环保型减水剂，属于节能环保产品，产品外观为浅棕色液体。</w:t>
                  </w:r>
                </w:p>
              </w:tc>
            </w:tr>
          </w:tbl>
          <w:p>
            <w:pPr>
              <w:spacing w:line="360" w:lineRule="auto"/>
              <w:rPr>
                <w:b/>
                <w:bCs/>
                <w:sz w:val="24"/>
              </w:rPr>
            </w:pPr>
            <w:r>
              <w:rPr>
                <w:rFonts w:hint="eastAsia"/>
                <w:b/>
                <w:bCs/>
                <w:sz w:val="24"/>
              </w:rPr>
              <w:t>5、项目产品方案</w:t>
            </w:r>
          </w:p>
          <w:p>
            <w:pPr>
              <w:spacing w:line="360" w:lineRule="auto"/>
              <w:ind w:firstLine="480" w:firstLineChars="200"/>
              <w:rPr>
                <w:sz w:val="24"/>
              </w:rPr>
            </w:pPr>
            <w:r>
              <w:rPr>
                <w:sz w:val="24"/>
              </w:rPr>
              <w:t>项目设置2条商品混凝土生产线，</w:t>
            </w:r>
            <w:r>
              <w:rPr>
                <w:rFonts w:hint="eastAsia"/>
                <w:sz w:val="24"/>
              </w:rPr>
              <w:t>根据东川港工程项目施工需要</w:t>
            </w:r>
            <w:r>
              <w:rPr>
                <w:sz w:val="24"/>
              </w:rPr>
              <w:t>，</w:t>
            </w:r>
            <w:r>
              <w:rPr>
                <w:rFonts w:hint="eastAsia"/>
                <w:sz w:val="24"/>
              </w:rPr>
              <w:t>计划</w:t>
            </w:r>
            <w:r>
              <w:rPr>
                <w:sz w:val="24"/>
              </w:rPr>
              <w:t>年产量</w:t>
            </w:r>
            <w:r>
              <w:rPr>
                <w:rFonts w:hint="eastAsia"/>
                <w:sz w:val="24"/>
              </w:rPr>
              <w:t>6</w:t>
            </w:r>
            <w:r>
              <w:rPr>
                <w:sz w:val="24"/>
              </w:rPr>
              <w:t>万m</w:t>
            </w:r>
            <w:r>
              <w:rPr>
                <w:sz w:val="24"/>
                <w:vertAlign w:val="superscript"/>
              </w:rPr>
              <w:t>3</w:t>
            </w:r>
            <w:r>
              <w:rPr>
                <w:sz w:val="24"/>
              </w:rPr>
              <w:t>/a。项目主要生产不同标号的混凝土，产品包括：抗压强度等级为C10、C15、C20、C25、C30、C35、C40、C45、C50、C60等，</w:t>
            </w:r>
            <w:r>
              <w:rPr>
                <w:rFonts w:hint="eastAsia"/>
                <w:sz w:val="24"/>
              </w:rPr>
              <w:t>以东川港项目施工工程</w:t>
            </w:r>
            <w:r>
              <w:rPr>
                <w:sz w:val="24"/>
              </w:rPr>
              <w:t>需求量较为主。产品质量达到《混凝土质量控制标准》（GB</w:t>
            </w:r>
            <w:r>
              <w:rPr>
                <w:rFonts w:hint="eastAsia"/>
                <w:sz w:val="24"/>
                <w:lang w:eastAsia="zh-CN"/>
              </w:rPr>
              <w:t>*****</w:t>
            </w:r>
            <w:r>
              <w:rPr>
                <w:sz w:val="24"/>
              </w:rPr>
              <w:t>-92）的要求。</w:t>
            </w:r>
          </w:p>
          <w:p>
            <w:pPr>
              <w:spacing w:line="360" w:lineRule="auto"/>
              <w:rPr>
                <w:b/>
                <w:bCs/>
                <w:sz w:val="24"/>
              </w:rPr>
            </w:pPr>
            <w:r>
              <w:rPr>
                <w:rFonts w:hint="eastAsia"/>
                <w:b/>
                <w:bCs/>
                <w:sz w:val="24"/>
              </w:rPr>
              <w:t>6、劳动定员及工作制度</w:t>
            </w:r>
          </w:p>
          <w:p>
            <w:pPr>
              <w:spacing w:line="360" w:lineRule="auto"/>
              <w:ind w:firstLine="480" w:firstLineChars="200"/>
              <w:rPr>
                <w:sz w:val="24"/>
              </w:rPr>
            </w:pPr>
            <w:r>
              <w:rPr>
                <w:rFonts w:hint="eastAsia"/>
                <w:sz w:val="24"/>
              </w:rPr>
              <w:t>（1）工作制度</w:t>
            </w:r>
          </w:p>
          <w:p>
            <w:pPr>
              <w:spacing w:line="360" w:lineRule="auto"/>
              <w:ind w:firstLine="480" w:firstLineChars="200"/>
              <w:rPr>
                <w:sz w:val="24"/>
              </w:rPr>
            </w:pPr>
            <w:r>
              <w:rPr>
                <w:rFonts w:hint="eastAsia"/>
                <w:sz w:val="24"/>
              </w:rPr>
              <w:t>正常年工作日300天，每天1班，每班8小时。根据东川港一期施工现场混凝土需要求，拌合站按需调整工作时间。</w:t>
            </w:r>
          </w:p>
          <w:p>
            <w:pPr>
              <w:spacing w:line="360" w:lineRule="auto"/>
              <w:ind w:firstLine="480" w:firstLineChars="200"/>
              <w:rPr>
                <w:sz w:val="24"/>
              </w:rPr>
            </w:pPr>
            <w:r>
              <w:rPr>
                <w:rFonts w:hint="eastAsia"/>
                <w:sz w:val="24"/>
              </w:rPr>
              <w:t>（2）劳动定员</w:t>
            </w:r>
          </w:p>
          <w:p>
            <w:pPr>
              <w:spacing w:line="360" w:lineRule="auto"/>
              <w:ind w:firstLine="480" w:firstLineChars="200"/>
              <w:rPr>
                <w:sz w:val="24"/>
              </w:rPr>
            </w:pPr>
            <w:r>
              <w:rPr>
                <w:rFonts w:hint="eastAsia"/>
                <w:sz w:val="24"/>
              </w:rPr>
              <w:t>项目劳动定员</w:t>
            </w:r>
            <w:r>
              <w:rPr>
                <w:sz w:val="24"/>
              </w:rPr>
              <w:t>32</w:t>
            </w:r>
            <w:r>
              <w:rPr>
                <w:rFonts w:hint="eastAsia"/>
                <w:sz w:val="24"/>
              </w:rPr>
              <w:t>人，其中管理人员8人，技术人员3人，试验室2人，司机1</w:t>
            </w:r>
            <w:r>
              <w:rPr>
                <w:sz w:val="24"/>
              </w:rPr>
              <w:t>4</w:t>
            </w:r>
            <w:r>
              <w:rPr>
                <w:rFonts w:hint="eastAsia"/>
                <w:sz w:val="24"/>
              </w:rPr>
              <w:t>人，其他人员5人，项目员工均在项目内部食宿。</w:t>
            </w:r>
          </w:p>
          <w:p>
            <w:pPr>
              <w:spacing w:line="360" w:lineRule="auto"/>
              <w:rPr>
                <w:b/>
                <w:bCs/>
                <w:sz w:val="24"/>
              </w:rPr>
            </w:pPr>
            <w:r>
              <w:rPr>
                <w:rFonts w:hint="eastAsia"/>
                <w:b/>
                <w:bCs/>
                <w:sz w:val="24"/>
              </w:rPr>
              <w:t>7、总平面布置</w:t>
            </w:r>
          </w:p>
          <w:p>
            <w:pPr>
              <w:spacing w:line="360" w:lineRule="auto"/>
              <w:ind w:firstLine="480" w:firstLineChars="200"/>
              <w:rPr>
                <w:sz w:val="24"/>
              </w:rPr>
            </w:pPr>
            <w:r>
              <w:rPr>
                <w:rFonts w:hint="eastAsia"/>
                <w:sz w:val="24"/>
              </w:rPr>
              <w:t>项目厂区呈南北走向，项目南部为储料仓及拌合楼，试验室及生活区位于项目西北部，项目中部区域为停车区及进出运输道路，项目进口道路设置在项目北部，项目进口处设有一间物资仓库，再往里是过磅房。项目建、构筑物的布置紧凑合理，人货流通畅顺捷，减少交叉，可满足生产系统的加工和储、装、运等主要生产环节的要求。总体布置分区明确，布置合理。</w:t>
            </w:r>
          </w:p>
          <w:p>
            <w:pPr>
              <w:spacing w:line="360" w:lineRule="auto"/>
              <w:ind w:firstLine="480" w:firstLineChars="200"/>
              <w:rPr>
                <w:sz w:val="24"/>
              </w:rPr>
            </w:pPr>
            <w:r>
              <w:rPr>
                <w:rFonts w:hint="eastAsia"/>
                <w:sz w:val="24"/>
              </w:rPr>
              <w:t>项目平面布置详见附图3。</w:t>
            </w:r>
          </w:p>
          <w:p>
            <w:pPr>
              <w:spacing w:line="360" w:lineRule="auto"/>
              <w:rPr>
                <w:b/>
                <w:bCs/>
                <w:sz w:val="24"/>
              </w:rPr>
            </w:pPr>
            <w:r>
              <w:rPr>
                <w:rFonts w:hint="eastAsia"/>
                <w:b/>
                <w:bCs/>
                <w:sz w:val="24"/>
              </w:rPr>
              <w:t>8、环保投资</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项目总投资1</w:t>
            </w:r>
            <w:r>
              <w:rPr>
                <w:color w:val="000000" w:themeColor="text1"/>
                <w:sz w:val="24"/>
                <w14:textFill>
                  <w14:solidFill>
                    <w14:schemeClr w14:val="tx1"/>
                  </w14:solidFill>
                </w14:textFill>
              </w:rPr>
              <w:t>89.55</w:t>
            </w:r>
            <w:r>
              <w:rPr>
                <w:rFonts w:hint="eastAsia"/>
                <w:color w:val="000000" w:themeColor="text1"/>
                <w:sz w:val="24"/>
                <w14:textFill>
                  <w14:solidFill>
                    <w14:schemeClr w14:val="tx1"/>
                  </w14:solidFill>
                </w14:textFill>
              </w:rPr>
              <w:t>万元，其中环保投资</w:t>
            </w:r>
            <w:r>
              <w:rPr>
                <w:rFonts w:hint="eastAsia"/>
                <w:color w:val="000000" w:themeColor="text1"/>
                <w:sz w:val="24"/>
                <w:lang w:val="en-US" w:eastAsia="zh-CN"/>
                <w14:textFill>
                  <w14:solidFill>
                    <w14:schemeClr w14:val="tx1"/>
                  </w14:solidFill>
                </w14:textFill>
              </w:rPr>
              <w:t>12.2</w:t>
            </w:r>
            <w:r>
              <w:rPr>
                <w:rFonts w:hint="eastAsia"/>
                <w:color w:val="000000" w:themeColor="text1"/>
                <w:sz w:val="24"/>
                <w14:textFill>
                  <w14:solidFill>
                    <w14:schemeClr w14:val="tx1"/>
                  </w14:solidFill>
                </w14:textFill>
              </w:rPr>
              <w:t>万元，占总投资的</w:t>
            </w:r>
            <w:r>
              <w:rPr>
                <w:rFonts w:hint="eastAsia"/>
                <w:color w:val="000000" w:themeColor="text1"/>
                <w:sz w:val="24"/>
                <w:lang w:val="en-US" w:eastAsia="zh-CN"/>
                <w14:textFill>
                  <w14:solidFill>
                    <w14:schemeClr w14:val="tx1"/>
                  </w14:solidFill>
                </w14:textFill>
              </w:rPr>
              <w:t>6.44</w:t>
            </w:r>
            <w:r>
              <w:rPr>
                <w:rFonts w:hint="eastAsia"/>
                <w:color w:val="000000" w:themeColor="text1"/>
                <w:sz w:val="24"/>
                <w14:textFill>
                  <w14:solidFill>
                    <w14:schemeClr w14:val="tx1"/>
                  </w14:solidFill>
                </w14:textFill>
              </w:rPr>
              <w:t>%；环保投资估算明细表见表2-</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p>
          <w:p>
            <w:pPr>
              <w:spacing w:line="360" w:lineRule="auto"/>
              <w:ind w:firstLine="422" w:firstLineChars="200"/>
              <w:jc w:val="center"/>
              <w:rPr>
                <w:b/>
                <w:bCs/>
                <w:szCs w:val="21"/>
              </w:rPr>
            </w:pPr>
            <w:r>
              <w:rPr>
                <w:rFonts w:hint="eastAsia"/>
                <w:b/>
                <w:bCs/>
                <w:szCs w:val="21"/>
              </w:rPr>
              <w:t>表2-</w:t>
            </w:r>
            <w:r>
              <w:rPr>
                <w:b/>
                <w:bCs/>
                <w:szCs w:val="21"/>
              </w:rPr>
              <w:t xml:space="preserve">5  </w:t>
            </w:r>
            <w:r>
              <w:rPr>
                <w:rFonts w:hint="eastAsia"/>
                <w:b/>
                <w:bCs/>
                <w:szCs w:val="21"/>
              </w:rPr>
              <w:t>项目环保投资一览表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300"/>
              <w:gridCol w:w="3499"/>
              <w:gridCol w:w="1077"/>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序号</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治理类别</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处置措施或处置设施</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投资估算（万元）</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一</w:t>
                  </w:r>
                </w:p>
              </w:tc>
              <w:tc>
                <w:tcPr>
                  <w:tcW w:w="3071"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施工期</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3</w:t>
                  </w:r>
                  <w:r>
                    <w:rPr>
                      <w:color w:val="000000"/>
                      <w:szCs w:val="21"/>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扬尘</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施工围栏、洒水设施等</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3</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2</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施工废水</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r>
                    <w:rPr>
                      <w:rFonts w:hint="eastAsia"/>
                      <w:color w:val="000000"/>
                      <w:szCs w:val="21"/>
                    </w:rPr>
                    <w:t>个临时沉淀池</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0.2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3</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噪声防治</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噪声治理</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0.2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4</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生活垃圾</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szCs w:val="21"/>
                      <w:lang w:val="en-US" w:eastAsia="zh-CN"/>
                    </w:rPr>
                  </w:pPr>
                  <w:r>
                    <w:rPr>
                      <w:color w:val="000000"/>
                      <w:szCs w:val="21"/>
                    </w:rPr>
                    <w:t>1</w:t>
                  </w:r>
                  <w:r>
                    <w:rPr>
                      <w:rFonts w:hint="eastAsia"/>
                      <w:color w:val="000000"/>
                      <w:szCs w:val="21"/>
                    </w:rPr>
                    <w:t>个</w:t>
                  </w:r>
                  <w:r>
                    <w:rPr>
                      <w:rFonts w:hint="eastAsia"/>
                      <w:color w:val="000000"/>
                      <w:szCs w:val="21"/>
                      <w:lang w:val="en-US" w:eastAsia="zh-CN"/>
                    </w:rPr>
                    <w:t>移动式垃圾箱、2个垃圾桶</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0.1</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二</w:t>
                  </w:r>
                </w:p>
              </w:tc>
              <w:tc>
                <w:tcPr>
                  <w:tcW w:w="3071"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运营期</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szCs w:val="21"/>
                      <w:lang w:val="en-US" w:eastAsia="zh-CN"/>
                    </w:rPr>
                  </w:pPr>
                  <w:r>
                    <w:rPr>
                      <w:rFonts w:hint="eastAsia"/>
                      <w:color w:val="000000"/>
                      <w:szCs w:val="21"/>
                      <w:lang w:val="en-US" w:eastAsia="zh-CN"/>
                    </w:rPr>
                    <w:t>8.7</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生活污水</w:t>
                  </w:r>
                </w:p>
              </w:tc>
              <w:tc>
                <w:tcPr>
                  <w:tcW w:w="223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left"/>
                    <w:rPr>
                      <w:color w:val="000000"/>
                      <w:szCs w:val="21"/>
                    </w:rPr>
                  </w:pPr>
                  <w:r>
                    <w:rPr>
                      <w:rFonts w:hint="eastAsia"/>
                      <w:color w:val="000000"/>
                      <w:szCs w:val="21"/>
                    </w:rPr>
                    <w:t>2个总容积为1</w:t>
                  </w:r>
                  <w:r>
                    <w:rPr>
                      <w:color w:val="000000"/>
                      <w:szCs w:val="21"/>
                    </w:rPr>
                    <w:t>00</w:t>
                  </w:r>
                  <w:r>
                    <w:rPr>
                      <w:rFonts w:hint="eastAsia"/>
                      <w:color w:val="000000"/>
                      <w:szCs w:val="21"/>
                    </w:rPr>
                    <w:t>m</w:t>
                  </w:r>
                  <w:r>
                    <w:rPr>
                      <w:rFonts w:hint="eastAsia"/>
                      <w:color w:val="000000"/>
                      <w:szCs w:val="21"/>
                      <w:vertAlign w:val="superscript"/>
                    </w:rPr>
                    <w:t>3</w:t>
                  </w:r>
                  <w:r>
                    <w:rPr>
                      <w:rFonts w:hint="eastAsia"/>
                      <w:color w:val="000000"/>
                      <w:szCs w:val="21"/>
                    </w:rPr>
                    <w:t>的化粪池，</w:t>
                  </w:r>
                  <w:r>
                    <w:rPr>
                      <w:color w:val="000000"/>
                      <w:szCs w:val="21"/>
                    </w:rPr>
                    <w:t>1</w:t>
                  </w:r>
                  <w:r>
                    <w:rPr>
                      <w:rFonts w:hint="eastAsia"/>
                      <w:color w:val="000000"/>
                      <w:szCs w:val="21"/>
                    </w:rPr>
                    <w:t>个容积为</w:t>
                  </w:r>
                  <w:r>
                    <w:rPr>
                      <w:color w:val="000000"/>
                      <w:szCs w:val="21"/>
                    </w:rPr>
                    <w:t>1</w:t>
                  </w:r>
                  <w:r>
                    <w:rPr>
                      <w:rFonts w:hint="eastAsia"/>
                      <w:color w:val="000000"/>
                      <w:szCs w:val="21"/>
                    </w:rPr>
                    <w:t>m</w:t>
                  </w:r>
                  <w:r>
                    <w:rPr>
                      <w:rFonts w:hint="eastAsia"/>
                      <w:color w:val="000000"/>
                      <w:szCs w:val="21"/>
                      <w:vertAlign w:val="superscript"/>
                    </w:rPr>
                    <w:t>3</w:t>
                  </w:r>
                  <w:r>
                    <w:rPr>
                      <w:rFonts w:hint="eastAsia"/>
                      <w:color w:val="000000"/>
                      <w:szCs w:val="21"/>
                    </w:rPr>
                    <w:t>隔油池。</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szCs w:val="21"/>
                      <w:lang w:val="en-US" w:eastAsia="zh-CN"/>
                    </w:rPr>
                  </w:pPr>
                  <w:r>
                    <w:rPr>
                      <w:rFonts w:hint="eastAsia"/>
                      <w:color w:val="000000"/>
                      <w:szCs w:val="21"/>
                      <w:lang w:val="en-US" w:eastAsia="zh-CN"/>
                    </w:rPr>
                    <w:t>1</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2</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厂区雨水</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left"/>
                    <w:rPr>
                      <w:bCs/>
                      <w:color w:val="000000"/>
                      <w:szCs w:val="21"/>
                    </w:rPr>
                  </w:pPr>
                  <w:r>
                    <w:rPr>
                      <w:rFonts w:hint="eastAsia"/>
                      <w:color w:val="000000"/>
                      <w:szCs w:val="28"/>
                    </w:rPr>
                    <w:t>雨污分流系统、厂区地面硬化、生产区雨水收集系统及</w:t>
                  </w:r>
                  <w:r>
                    <w:rPr>
                      <w:rFonts w:hint="eastAsia"/>
                      <w:bCs/>
                      <w:color w:val="000000"/>
                      <w:szCs w:val="21"/>
                    </w:rPr>
                    <w:t>三级沉淀池（</w:t>
                  </w:r>
                  <w:r>
                    <w:rPr>
                      <w:rFonts w:hint="eastAsia"/>
                      <w:color w:val="000000"/>
                      <w:szCs w:val="21"/>
                    </w:rPr>
                    <w:t>容积</w:t>
                  </w:r>
                  <w:r>
                    <w:rPr>
                      <w:color w:val="000000"/>
                      <w:szCs w:val="21"/>
                    </w:rPr>
                    <w:t>105m</w:t>
                  </w:r>
                  <w:r>
                    <w:rPr>
                      <w:color w:val="000000"/>
                      <w:szCs w:val="21"/>
                      <w:vertAlign w:val="superscript"/>
                    </w:rPr>
                    <w:t>3</w:t>
                  </w:r>
                  <w:r>
                    <w:rPr>
                      <w:rFonts w:hint="eastAsia"/>
                      <w:bCs/>
                      <w:color w:val="000000"/>
                      <w:szCs w:val="21"/>
                    </w:rPr>
                    <w:t>）（同时用作生产废水沉淀）</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szCs w:val="21"/>
                      <w:lang w:val="en-US" w:eastAsia="zh-CN"/>
                    </w:rPr>
                  </w:pPr>
                  <w:r>
                    <w:rPr>
                      <w:rFonts w:hint="eastAsia"/>
                      <w:color w:val="000000"/>
                      <w:szCs w:val="21"/>
                      <w:lang w:val="en-US" w:eastAsia="zh-CN"/>
                    </w:rPr>
                    <w:t>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3</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生产废水</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left"/>
                    <w:rPr>
                      <w:bCs/>
                      <w:color w:val="000000"/>
                      <w:szCs w:val="21"/>
                    </w:rPr>
                  </w:pPr>
                  <w:r>
                    <w:rPr>
                      <w:rFonts w:hint="eastAsia"/>
                      <w:color w:val="000000"/>
                      <w:szCs w:val="21"/>
                    </w:rPr>
                    <w:t>1个三级沉淀池（1</w:t>
                  </w:r>
                  <w:r>
                    <w:rPr>
                      <w:color w:val="000000"/>
                      <w:szCs w:val="21"/>
                    </w:rPr>
                    <w:t>05</w:t>
                  </w:r>
                  <w:r>
                    <w:rPr>
                      <w:rFonts w:hint="eastAsia"/>
                      <w:color w:val="000000"/>
                      <w:szCs w:val="21"/>
                    </w:rPr>
                    <w:t>m</w:t>
                  </w:r>
                  <w:r>
                    <w:rPr>
                      <w:rFonts w:hint="eastAsia"/>
                      <w:color w:val="000000"/>
                      <w:szCs w:val="21"/>
                      <w:vertAlign w:val="superscript"/>
                    </w:rPr>
                    <w:t>3</w:t>
                  </w:r>
                  <w:r>
                    <w:rPr>
                      <w:rFonts w:hint="eastAsia"/>
                      <w:color w:val="000000"/>
                      <w:szCs w:val="21"/>
                    </w:rPr>
                    <w:t>）（和雨水收集同用一个）</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szCs w:val="21"/>
                      <w:lang w:val="en-US" w:eastAsia="zh-CN"/>
                    </w:rPr>
                  </w:pPr>
                  <w:r>
                    <w:rPr>
                      <w:rFonts w:hint="eastAsia"/>
                      <w:color w:val="000000"/>
                      <w:szCs w:val="21"/>
                      <w:lang w:val="en-US" w:eastAsia="zh-CN"/>
                    </w:rPr>
                    <w:t>0.5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4</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储罐粉尘</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left"/>
                    <w:rPr>
                      <w:bCs/>
                      <w:color w:val="000000"/>
                      <w:szCs w:val="21"/>
                    </w:rPr>
                  </w:pPr>
                  <w:r>
                    <w:rPr>
                      <w:rFonts w:hint="eastAsia"/>
                      <w:color w:val="000000"/>
                    </w:rPr>
                    <w:t>项目水泥、粉煤灰等粉料储罐自带1套LX-Y36-2.0型脉冲布袋除尘器（仓顶，共计1</w:t>
                  </w:r>
                  <w:r>
                    <w:rPr>
                      <w:color w:val="000000"/>
                    </w:rPr>
                    <w:t>2</w:t>
                  </w:r>
                  <w:r>
                    <w:rPr>
                      <w:rFonts w:hint="eastAsia"/>
                      <w:color w:val="000000"/>
                    </w:rPr>
                    <w:t>套），风量为2500m</w:t>
                  </w:r>
                  <w:r>
                    <w:rPr>
                      <w:rFonts w:hint="eastAsia"/>
                      <w:color w:val="000000"/>
                      <w:vertAlign w:val="superscript"/>
                    </w:rPr>
                    <w:t>3</w:t>
                  </w:r>
                  <w:r>
                    <w:rPr>
                      <w:rFonts w:hint="eastAsia"/>
                      <w:color w:val="000000"/>
                    </w:rPr>
                    <w:t>/h，处理效率为99%，储罐高度为12m，粉料储罐粉尘经除尘后由储罐顶3m的排气口排出，排放口有效高度为15m。</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设备自带，不计入环保投资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514" w:type="pct"/>
                  <w:tcBorders>
                    <w:top w:val="single" w:color="auto" w:sz="4" w:space="0"/>
                    <w:left w:val="single" w:color="auto" w:sz="4" w:space="0"/>
                    <w:right w:val="single" w:color="auto" w:sz="4" w:space="0"/>
                  </w:tcBorders>
                  <w:vAlign w:val="center"/>
                </w:tcPr>
                <w:p>
                  <w:pPr>
                    <w:snapToGrid w:val="0"/>
                    <w:jc w:val="center"/>
                    <w:rPr>
                      <w:color w:val="000000"/>
                      <w:szCs w:val="21"/>
                    </w:rPr>
                  </w:pPr>
                  <w:r>
                    <w:rPr>
                      <w:color w:val="000000"/>
                      <w:szCs w:val="21"/>
                    </w:rPr>
                    <w:t>5</w:t>
                  </w:r>
                </w:p>
              </w:tc>
              <w:tc>
                <w:tcPr>
                  <w:tcW w:w="832" w:type="pc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堆场粉尘</w:t>
                  </w:r>
                </w:p>
              </w:tc>
              <w:tc>
                <w:tcPr>
                  <w:tcW w:w="2239" w:type="pct"/>
                  <w:tcBorders>
                    <w:top w:val="single" w:color="auto" w:sz="4" w:space="0"/>
                    <w:left w:val="single" w:color="auto" w:sz="4" w:space="0"/>
                    <w:right w:val="single" w:color="auto" w:sz="4" w:space="0"/>
                  </w:tcBorders>
                  <w:vAlign w:val="center"/>
                </w:tcPr>
                <w:p>
                  <w:pPr>
                    <w:snapToGrid w:val="0"/>
                    <w:jc w:val="center"/>
                    <w:rPr>
                      <w:color w:val="000000"/>
                    </w:rPr>
                  </w:pPr>
                  <w:r>
                    <w:rPr>
                      <w:rFonts w:hint="eastAsia" w:hAnsi="宋体"/>
                      <w:color w:val="000000"/>
                      <w:szCs w:val="21"/>
                    </w:rPr>
                    <w:t>原料库采用带顶棚的彩钢瓦进行半封闭遮挡降尘，地面进行硬化，设置喷淋降尘系统。</w:t>
                  </w:r>
                </w:p>
              </w:tc>
              <w:tc>
                <w:tcPr>
                  <w:tcW w:w="689" w:type="pc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c>
                <w:tcPr>
                  <w:tcW w:w="726" w:type="pc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设备自带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6</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输送粉尘</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color w:val="000000"/>
                      <w:szCs w:val="21"/>
                    </w:rPr>
                  </w:pPr>
                  <w:r>
                    <w:rPr>
                      <w:rFonts w:hint="eastAsia" w:hAnsi="宋体"/>
                      <w:color w:val="000000"/>
                      <w:szCs w:val="21"/>
                    </w:rPr>
                    <w:t>皮带输送机廊道上部加盖侧面密封，下部设有收料盘，对皮带输送机进行封闭处理。</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设备自带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7</w:t>
                  </w:r>
                </w:p>
              </w:tc>
              <w:tc>
                <w:tcPr>
                  <w:tcW w:w="832" w:type="pct"/>
                  <w:vMerge w:val="restar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厂区粉尘</w:t>
                  </w:r>
                </w:p>
              </w:tc>
              <w:tc>
                <w:tcPr>
                  <w:tcW w:w="2239" w:type="pct"/>
                  <w:vMerge w:val="restart"/>
                  <w:tcBorders>
                    <w:top w:val="single" w:color="auto" w:sz="4" w:space="0"/>
                    <w:left w:val="single" w:color="auto" w:sz="4" w:space="0"/>
                    <w:right w:val="single" w:color="auto" w:sz="4" w:space="0"/>
                  </w:tcBorders>
                  <w:vAlign w:val="center"/>
                </w:tcPr>
                <w:p>
                  <w:pPr>
                    <w:snapToGrid w:val="0"/>
                    <w:jc w:val="center"/>
                    <w:rPr>
                      <w:rFonts w:hAnsi="宋体"/>
                      <w:color w:val="000000"/>
                      <w:szCs w:val="21"/>
                    </w:rPr>
                  </w:pPr>
                  <w:r>
                    <w:rPr>
                      <w:rFonts w:hint="eastAsia" w:hAnsi="宋体"/>
                      <w:color w:val="000000"/>
                      <w:szCs w:val="21"/>
                    </w:rPr>
                    <w:t>配制炮雾机，一辆洒水车，对生产区域及场地硬化区域每天洒水2次</w:t>
                  </w:r>
                </w:p>
              </w:tc>
              <w:tc>
                <w:tcPr>
                  <w:tcW w:w="689" w:type="pct"/>
                  <w:vMerge w:val="restart"/>
                  <w:tcBorders>
                    <w:top w:val="single" w:color="auto" w:sz="4" w:space="0"/>
                    <w:left w:val="single" w:color="auto" w:sz="4" w:space="0"/>
                    <w:right w:val="single" w:color="auto" w:sz="4" w:space="0"/>
                  </w:tcBorders>
                  <w:vAlign w:val="center"/>
                </w:tcPr>
                <w:p>
                  <w:pPr>
                    <w:snapToGrid w:val="0"/>
                    <w:jc w:val="center"/>
                    <w:rPr>
                      <w:rFonts w:hint="eastAsia" w:eastAsia="宋体"/>
                      <w:color w:val="000000"/>
                      <w:szCs w:val="21"/>
                      <w:lang w:val="en-US" w:eastAsia="zh-CN"/>
                    </w:rPr>
                  </w:pPr>
                  <w:r>
                    <w:rPr>
                      <w:rFonts w:hint="eastAsia"/>
                      <w:color w:val="000000"/>
                      <w:szCs w:val="21"/>
                      <w:lang w:val="en-US" w:eastAsia="zh-CN"/>
                    </w:rPr>
                    <w:t>3</w:t>
                  </w:r>
                </w:p>
              </w:tc>
              <w:tc>
                <w:tcPr>
                  <w:tcW w:w="726" w:type="pct"/>
                  <w:vMerge w:val="restar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8</w:t>
                  </w:r>
                </w:p>
              </w:tc>
              <w:tc>
                <w:tcPr>
                  <w:tcW w:w="832" w:type="pct"/>
                  <w:vMerge w:val="continue"/>
                  <w:tcBorders>
                    <w:left w:val="single" w:color="auto" w:sz="4" w:space="0"/>
                    <w:bottom w:val="single" w:color="auto" w:sz="4" w:space="0"/>
                    <w:right w:val="single" w:color="auto" w:sz="4" w:space="0"/>
                  </w:tcBorders>
                  <w:vAlign w:val="center"/>
                </w:tcPr>
                <w:p>
                  <w:pPr>
                    <w:snapToGrid w:val="0"/>
                    <w:jc w:val="center"/>
                    <w:rPr>
                      <w:color w:val="000000"/>
                      <w:szCs w:val="21"/>
                    </w:rPr>
                  </w:pPr>
                </w:p>
              </w:tc>
              <w:tc>
                <w:tcPr>
                  <w:tcW w:w="2239" w:type="pct"/>
                  <w:vMerge w:val="continue"/>
                  <w:tcBorders>
                    <w:left w:val="single" w:color="auto" w:sz="4" w:space="0"/>
                    <w:bottom w:val="single" w:color="auto" w:sz="4" w:space="0"/>
                    <w:right w:val="single" w:color="auto" w:sz="4" w:space="0"/>
                  </w:tcBorders>
                  <w:vAlign w:val="center"/>
                </w:tcPr>
                <w:p>
                  <w:pPr>
                    <w:snapToGrid w:val="0"/>
                    <w:jc w:val="center"/>
                    <w:rPr>
                      <w:rFonts w:hAnsi="宋体"/>
                      <w:color w:val="000000"/>
                      <w:szCs w:val="21"/>
                    </w:rPr>
                  </w:pPr>
                </w:p>
              </w:tc>
              <w:tc>
                <w:tcPr>
                  <w:tcW w:w="689" w:type="pct"/>
                  <w:vMerge w:val="continue"/>
                  <w:tcBorders>
                    <w:left w:val="single" w:color="auto" w:sz="4" w:space="0"/>
                    <w:bottom w:val="single" w:color="auto" w:sz="4" w:space="0"/>
                    <w:right w:val="single" w:color="auto" w:sz="4" w:space="0"/>
                  </w:tcBorders>
                  <w:vAlign w:val="center"/>
                </w:tcPr>
                <w:p>
                  <w:pPr>
                    <w:snapToGrid w:val="0"/>
                    <w:jc w:val="center"/>
                    <w:rPr>
                      <w:color w:val="000000"/>
                      <w:szCs w:val="21"/>
                    </w:rPr>
                  </w:pPr>
                </w:p>
              </w:tc>
              <w:tc>
                <w:tcPr>
                  <w:tcW w:w="726" w:type="pct"/>
                  <w:vMerge w:val="continue"/>
                  <w:tcBorders>
                    <w:left w:val="single" w:color="auto" w:sz="4" w:space="0"/>
                    <w:bottom w:val="single" w:color="auto" w:sz="4" w:space="0"/>
                    <w:right w:val="single" w:color="auto" w:sz="4" w:space="0"/>
                  </w:tcBorders>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9</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食堂油烟</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szCs w:val="21"/>
                    </w:rPr>
                  </w:pPr>
                  <w:r>
                    <w:rPr>
                      <w:rFonts w:hint="eastAsia"/>
                      <w:bCs/>
                      <w:color w:val="000000"/>
                      <w:szCs w:val="21"/>
                    </w:rPr>
                    <w:t>食堂内安装1套处理效率不低于60%的油烟净化器，油烟废气通过排烟管道排放</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10</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生活垃圾</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垃圾收集桶若干，封闭式垃圾箱一个，设1个带盖泔水收集桶，2个一般固废收集桶</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szCs w:val="21"/>
                      <w:lang w:val="en-US" w:eastAsia="zh-CN"/>
                    </w:rPr>
                  </w:pPr>
                  <w:r>
                    <w:rPr>
                      <w:rFonts w:hint="eastAsia"/>
                      <w:color w:val="000000"/>
                      <w:szCs w:val="21"/>
                    </w:rPr>
                    <w:t>0</w:t>
                  </w:r>
                  <w:r>
                    <w:rPr>
                      <w:color w:val="000000"/>
                      <w:szCs w:val="21"/>
                    </w:rPr>
                    <w:t>.</w:t>
                  </w:r>
                  <w:r>
                    <w:rPr>
                      <w:rFonts w:hint="eastAsia"/>
                      <w:color w:val="000000"/>
                      <w:szCs w:val="21"/>
                      <w:lang w:val="en-US" w:eastAsia="zh-CN"/>
                    </w:rPr>
                    <w:t>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11</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一般固废</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设置生产固废临时堆存场所，地面硬化并进行覆盖处理</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eastAsia="宋体"/>
                      <w:color w:val="000000"/>
                      <w:szCs w:val="21"/>
                      <w:lang w:val="en-US" w:eastAsia="zh-CN"/>
                    </w:rPr>
                  </w:pPr>
                  <w:r>
                    <w:rPr>
                      <w:rFonts w:hint="eastAsia"/>
                      <w:color w:val="000000"/>
                      <w:szCs w:val="21"/>
                    </w:rPr>
                    <w:t>0</w:t>
                  </w:r>
                  <w:r>
                    <w:rPr>
                      <w:color w:val="000000"/>
                      <w:szCs w:val="21"/>
                    </w:rPr>
                    <w:t>.</w:t>
                  </w:r>
                  <w:r>
                    <w:rPr>
                      <w:rFonts w:hint="eastAsia"/>
                      <w:color w:val="000000"/>
                      <w:szCs w:val="21"/>
                      <w:lang w:val="en-US" w:eastAsia="zh-CN"/>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1</w:t>
                  </w:r>
                  <w:r>
                    <w:rPr>
                      <w:color w:val="000000"/>
                      <w:szCs w:val="21"/>
                    </w:rPr>
                    <w:t>2</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危险固废</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bCs/>
                      <w:color w:val="000000"/>
                      <w:szCs w:val="21"/>
                    </w:rPr>
                    <w:t>危废暂存间1间（4</w:t>
                  </w:r>
                  <w:r>
                    <w:rPr>
                      <w:bCs/>
                      <w:color w:val="000000"/>
                      <w:szCs w:val="21"/>
                    </w:rPr>
                    <w:t>m</w:t>
                  </w:r>
                  <w:r>
                    <w:rPr>
                      <w:bCs/>
                      <w:color w:val="000000"/>
                      <w:szCs w:val="21"/>
                      <w:vertAlign w:val="superscript"/>
                    </w:rPr>
                    <w:t>2</w:t>
                  </w:r>
                  <w:r>
                    <w:rPr>
                      <w:rFonts w:hint="eastAsia"/>
                      <w:bCs/>
                      <w:color w:val="000000"/>
                      <w:szCs w:val="21"/>
                    </w:rPr>
                    <w:t>）及防渗</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1</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85" w:type="pct"/>
                  <w:gridSpan w:val="3"/>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合计</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eastAsia="宋体"/>
                      <w:color w:val="000000"/>
                      <w:szCs w:val="21"/>
                      <w:lang w:val="en-US" w:eastAsia="zh-CN"/>
                    </w:rPr>
                  </w:pPr>
                  <w:r>
                    <w:rPr>
                      <w:rFonts w:hint="eastAsia"/>
                      <w:color w:val="000000"/>
                      <w:szCs w:val="21"/>
                      <w:lang w:val="en-US" w:eastAsia="zh-CN"/>
                    </w:rPr>
                    <w:t>12.2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bl>
          <w:p>
            <w:pPr>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sz w:val="24"/>
              </w:rPr>
            </w:pPr>
            <w:r>
              <w:rPr>
                <w:sz w:val="24"/>
              </w:rPr>
              <w:t>工艺流程及产排污</w:t>
            </w:r>
            <w:r>
              <w:rPr>
                <w:rFonts w:hint="eastAsia"/>
                <w:sz w:val="24"/>
              </w:rPr>
              <w:t>环节</w:t>
            </w:r>
          </w:p>
        </w:tc>
        <w:tc>
          <w:tcPr>
            <w:tcW w:w="0" w:type="auto"/>
          </w:tcPr>
          <w:p>
            <w:pPr>
              <w:spacing w:line="360" w:lineRule="auto"/>
              <w:rPr>
                <w:b/>
                <w:bCs/>
                <w:sz w:val="24"/>
              </w:rPr>
            </w:pPr>
            <w:r>
              <w:rPr>
                <w:b/>
                <w:bCs/>
                <w:sz w:val="24"/>
              </w:rPr>
              <w:t>1、施工期工艺流程</w:t>
            </w:r>
          </w:p>
          <w:p>
            <w:pPr>
              <w:autoSpaceDE w:val="0"/>
              <w:autoSpaceDN w:val="0"/>
              <w:adjustRightInd w:val="0"/>
              <w:snapToGrid w:val="0"/>
              <w:spacing w:line="360" w:lineRule="auto"/>
              <w:ind w:firstLine="480" w:firstLineChars="200"/>
              <w:jc w:val="left"/>
              <w:rPr>
                <w:color w:val="000000"/>
                <w:sz w:val="24"/>
              </w:rPr>
            </w:pPr>
            <w:r>
              <w:rPr>
                <w:color w:val="000000"/>
                <w:sz w:val="24"/>
              </w:rPr>
              <w:t>项目施工期主要进行混凝土搅拌楼、储罐、原料库、储料库、办公生活区及基础设施的建设，施工期为3个月，施工人数为20人，施工人员不在项目地内食宿。施工流程及各阶段产污环节见图2-2。</w:t>
            </w:r>
          </w:p>
          <w:p>
            <w:pPr>
              <w:snapToGrid w:val="0"/>
              <w:jc w:val="center"/>
              <w:rPr>
                <w:color w:val="000000"/>
                <w:sz w:val="24"/>
              </w:rPr>
            </w:pPr>
            <w:r>
              <w:rPr>
                <w:color w:val="000000"/>
                <w:sz w:val="24"/>
              </w:rPr>
              <w:pict>
                <v:shape id="_x0000_i1025" o:spt="75" type="#_x0000_t75" style="height:100.5pt;width:250.5pt;" filled="f" o:preferrelative="t" stroked="f" coordsize="21600,21600">
                  <v:path/>
                  <v:fill on="f" focussize="0,0"/>
                  <v:stroke on="f" joinstyle="miter"/>
                  <v:imagedata r:id="rId15" o:title=""/>
                  <o:lock v:ext="edit" aspectratio="t"/>
                  <w10:wrap type="none"/>
                  <w10:anchorlock/>
                </v:shape>
              </w:pict>
            </w:r>
          </w:p>
          <w:p>
            <w:pPr>
              <w:snapToGrid w:val="0"/>
              <w:spacing w:line="360" w:lineRule="auto"/>
              <w:jc w:val="center"/>
              <w:rPr>
                <w:b/>
                <w:color w:val="000000"/>
                <w:szCs w:val="21"/>
              </w:rPr>
            </w:pPr>
            <w:r>
              <w:rPr>
                <w:b/>
                <w:color w:val="000000"/>
                <w:szCs w:val="21"/>
              </w:rPr>
              <w:t>图2-1  施工期工艺流程及产污环节</w:t>
            </w:r>
          </w:p>
          <w:p>
            <w:pPr>
              <w:snapToGrid w:val="0"/>
              <w:spacing w:line="360" w:lineRule="auto"/>
              <w:ind w:firstLine="480" w:firstLineChars="200"/>
              <w:rPr>
                <w:color w:val="000000"/>
                <w:kern w:val="0"/>
                <w:sz w:val="24"/>
              </w:rPr>
            </w:pPr>
            <w:r>
              <w:rPr>
                <w:color w:val="000000"/>
                <w:kern w:val="0"/>
                <w:sz w:val="24"/>
              </w:rPr>
              <w:t>（1）基础开挖：包括</w:t>
            </w:r>
            <w:r>
              <w:rPr>
                <w:color w:val="000000"/>
                <w:sz w:val="24"/>
              </w:rPr>
              <w:t>混凝土搅拌楼</w:t>
            </w:r>
            <w:r>
              <w:rPr>
                <w:rFonts w:hint="eastAsia"/>
                <w:color w:val="000000"/>
                <w:sz w:val="24"/>
              </w:rPr>
              <w:t>、骨料仓</w:t>
            </w:r>
            <w:r>
              <w:rPr>
                <w:color w:val="000000"/>
                <w:sz w:val="24"/>
              </w:rPr>
              <w:t>库、办公生活区</w:t>
            </w:r>
            <w:r>
              <w:rPr>
                <w:color w:val="000000"/>
                <w:kern w:val="0"/>
                <w:sz w:val="24"/>
              </w:rPr>
              <w:t>基础的开挖，开挖过程中扬尘、少量土石方和开挖噪声。</w:t>
            </w:r>
          </w:p>
          <w:p>
            <w:pPr>
              <w:snapToGrid w:val="0"/>
              <w:spacing w:line="360" w:lineRule="auto"/>
              <w:ind w:firstLine="480" w:firstLineChars="200"/>
              <w:rPr>
                <w:color w:val="000000"/>
                <w:kern w:val="0"/>
                <w:sz w:val="24"/>
              </w:rPr>
            </w:pPr>
            <w:r>
              <w:rPr>
                <w:color w:val="000000"/>
                <w:kern w:val="0"/>
                <w:sz w:val="24"/>
              </w:rPr>
              <w:t>（2）主体工程及辅助工程施工：主要建设</w:t>
            </w:r>
            <w:r>
              <w:rPr>
                <w:color w:val="000000"/>
                <w:sz w:val="24"/>
              </w:rPr>
              <w:t>混凝土搅拌楼、储罐、</w:t>
            </w:r>
            <w:r>
              <w:rPr>
                <w:rFonts w:hint="eastAsia"/>
                <w:color w:val="000000"/>
                <w:sz w:val="24"/>
              </w:rPr>
              <w:t>骨料仓</w:t>
            </w:r>
            <w:r>
              <w:rPr>
                <w:color w:val="000000"/>
                <w:sz w:val="24"/>
              </w:rPr>
              <w:t>库、办公生活区及基础设施的</w:t>
            </w:r>
            <w:r>
              <w:rPr>
                <w:color w:val="000000"/>
                <w:kern w:val="0"/>
                <w:sz w:val="24"/>
              </w:rPr>
              <w:t>建设，该过程中会产生废气、废水、噪声、建筑垃圾。废气主要是扬尘和机械废气，废水有施工废水和生活废水，噪声主要为搅拌机、装载机、运输车辆等发出的噪声。</w:t>
            </w:r>
          </w:p>
          <w:p>
            <w:pPr>
              <w:spacing w:line="360" w:lineRule="auto"/>
              <w:ind w:firstLine="480" w:firstLineChars="200"/>
              <w:rPr>
                <w:color w:val="000000"/>
                <w:kern w:val="0"/>
                <w:sz w:val="24"/>
              </w:rPr>
            </w:pPr>
            <w:r>
              <w:rPr>
                <w:color w:val="000000"/>
                <w:kern w:val="0"/>
                <w:sz w:val="24"/>
              </w:rPr>
              <w:t>（3）安装调试：主要是安装</w:t>
            </w:r>
            <w:r>
              <w:rPr>
                <w:color w:val="000000"/>
                <w:sz w:val="24"/>
              </w:rPr>
              <w:t>混凝土搅拌楼、</w:t>
            </w:r>
            <w:r>
              <w:rPr>
                <w:rFonts w:hint="eastAsia"/>
                <w:color w:val="000000"/>
                <w:sz w:val="24"/>
              </w:rPr>
              <w:t>骨料仓库、</w:t>
            </w:r>
            <w:r>
              <w:rPr>
                <w:color w:val="000000"/>
                <w:sz w:val="24"/>
              </w:rPr>
              <w:t>储罐</w:t>
            </w:r>
            <w:r>
              <w:rPr>
                <w:color w:val="000000"/>
                <w:kern w:val="0"/>
                <w:sz w:val="24"/>
              </w:rPr>
              <w:t>设施等，在安装调试过程中会产生废水、废气、噪声、固体废物。</w:t>
            </w:r>
          </w:p>
          <w:p>
            <w:pPr>
              <w:spacing w:line="360" w:lineRule="auto"/>
              <w:rPr>
                <w:b/>
                <w:bCs/>
                <w:color w:val="000000"/>
                <w:kern w:val="0"/>
                <w:sz w:val="24"/>
              </w:rPr>
            </w:pPr>
            <w:r>
              <w:rPr>
                <w:b/>
                <w:bCs/>
                <w:color w:val="000000"/>
                <w:kern w:val="0"/>
                <w:sz w:val="24"/>
              </w:rPr>
              <w:t>2</w:t>
            </w:r>
            <w:r>
              <w:rPr>
                <w:rFonts w:hint="eastAsia"/>
                <w:b/>
                <w:bCs/>
                <w:color w:val="000000"/>
                <w:kern w:val="0"/>
                <w:sz w:val="24"/>
              </w:rPr>
              <w:t>、运营期工艺流程</w:t>
            </w:r>
          </w:p>
          <w:p>
            <w:pPr>
              <w:spacing w:line="360" w:lineRule="auto"/>
              <w:ind w:firstLine="480" w:firstLineChars="200"/>
              <w:rPr>
                <w:color w:val="000000"/>
                <w:kern w:val="0"/>
                <w:sz w:val="24"/>
              </w:rPr>
            </w:pPr>
            <w:r>
              <w:rPr>
                <w:rFonts w:hint="eastAsia"/>
                <w:color w:val="000000"/>
                <w:kern w:val="0"/>
                <w:sz w:val="24"/>
              </w:rPr>
              <w:t>本项目设置两条混凝土生产线，生产工艺相对比较简单，主要生产工艺为：配料、投料、搅拌、卸料。生产时首先将各种原料进行计量配送，之后进行强制配料，强制配料过程采用电脑控制，从而保证混凝土的品质，最后运送至建筑工地。</w:t>
            </w:r>
          </w:p>
          <w:p>
            <w:pPr>
              <w:spacing w:line="360" w:lineRule="auto"/>
              <w:ind w:firstLine="480" w:firstLineChars="200"/>
              <w:rPr>
                <w:color w:val="000000"/>
                <w:kern w:val="0"/>
                <w:sz w:val="24"/>
              </w:rPr>
            </w:pPr>
            <w:r>
              <w:rPr>
                <w:rFonts w:hint="eastAsia"/>
                <w:color w:val="000000"/>
                <w:kern w:val="0"/>
                <w:sz w:val="24"/>
              </w:rPr>
              <w:t>搅拌站砂石料提升以封闭式皮带机输送方式完成。水泥、粉煤灰则以压缩空气吹入散装粉料储罐，辅以螺旋输送机给各粉料秤斗供料，搅拌用水采用压力供水。搅拌站添加的外加剂主要为减水剂。项目设有1条全自动化生产线，年产6万m</w:t>
            </w:r>
            <w:r>
              <w:rPr>
                <w:rFonts w:hint="eastAsia"/>
                <w:color w:val="000000"/>
                <w:kern w:val="0"/>
                <w:sz w:val="24"/>
                <w:vertAlign w:val="superscript"/>
              </w:rPr>
              <w:t>3</w:t>
            </w:r>
            <w:r>
              <w:rPr>
                <w:rFonts w:hint="eastAsia"/>
                <w:color w:val="000000"/>
                <w:kern w:val="0"/>
                <w:sz w:val="24"/>
              </w:rPr>
              <w:t>混凝土。生产工艺先进，污水沉淀循环使用，粉尘采用脉冲式除尘器处理。项目运营期工艺流程及产污环节见图</w:t>
            </w:r>
            <w:r>
              <w:rPr>
                <w:color w:val="000000"/>
                <w:kern w:val="0"/>
                <w:sz w:val="24"/>
              </w:rPr>
              <w:t>2</w:t>
            </w:r>
            <w:r>
              <w:rPr>
                <w:rFonts w:hint="eastAsia"/>
                <w:color w:val="000000"/>
                <w:kern w:val="0"/>
                <w:sz w:val="24"/>
              </w:rPr>
              <w:t>-</w:t>
            </w:r>
            <w:r>
              <w:rPr>
                <w:color w:val="000000"/>
                <w:kern w:val="0"/>
                <w:sz w:val="24"/>
              </w:rPr>
              <w:t>2</w:t>
            </w:r>
            <w:r>
              <w:rPr>
                <w:rFonts w:hint="eastAsia"/>
                <w:color w:val="000000"/>
                <w:kern w:val="0"/>
                <w:sz w:val="24"/>
              </w:rPr>
              <w:t>。</w:t>
            </w:r>
          </w:p>
          <w:p>
            <w:pPr>
              <w:spacing w:line="360" w:lineRule="auto"/>
              <w:jc w:val="center"/>
              <w:rPr>
                <w:color w:val="000000"/>
                <w:kern w:val="0"/>
                <w:sz w:val="24"/>
              </w:rPr>
            </w:pPr>
            <w:r>
              <w:rPr>
                <w:color w:val="000000"/>
                <w:kern w:val="0"/>
                <w:sz w:val="24"/>
              </w:rPr>
              <w:drawing>
                <wp:inline distT="0" distB="0" distL="0" distR="0">
                  <wp:extent cx="4839335" cy="46475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3829" cy="4652190"/>
                          </a:xfrm>
                          <a:prstGeom prst="rect">
                            <a:avLst/>
                          </a:prstGeom>
                        </pic:spPr>
                      </pic:pic>
                    </a:graphicData>
                  </a:graphic>
                </wp:inline>
              </w:drawing>
            </w:r>
          </w:p>
          <w:p>
            <w:pPr>
              <w:spacing w:line="360" w:lineRule="auto"/>
              <w:ind w:firstLine="422" w:firstLineChars="200"/>
              <w:jc w:val="center"/>
              <w:rPr>
                <w:b/>
                <w:bCs/>
                <w:szCs w:val="21"/>
              </w:rPr>
            </w:pPr>
            <w:r>
              <w:rPr>
                <w:b/>
                <w:bCs/>
                <w:szCs w:val="21"/>
              </w:rPr>
              <w:t xml:space="preserve">图2-2  </w:t>
            </w:r>
            <w:r>
              <w:rPr>
                <w:rFonts w:hint="eastAsia"/>
                <w:b/>
                <w:bCs/>
                <w:szCs w:val="21"/>
              </w:rPr>
              <w:t>运营期</w:t>
            </w:r>
            <w:r>
              <w:rPr>
                <w:b/>
                <w:bCs/>
                <w:szCs w:val="21"/>
              </w:rPr>
              <w:t>生产工艺流程</w:t>
            </w:r>
            <w:r>
              <w:rPr>
                <w:rFonts w:hint="eastAsia"/>
                <w:b/>
                <w:bCs/>
                <w:szCs w:val="21"/>
              </w:rPr>
              <w:t>及产污环节图</w:t>
            </w:r>
          </w:p>
          <w:p>
            <w:pPr>
              <w:pStyle w:val="1165"/>
              <w:snapToGrid w:val="0"/>
              <w:spacing w:line="360" w:lineRule="auto"/>
              <w:jc w:val="left"/>
              <w:rPr>
                <w:szCs w:val="24"/>
              </w:rPr>
            </w:pPr>
            <w:r>
              <w:rPr>
                <w:szCs w:val="24"/>
              </w:rPr>
              <w:t>（1）原辅材料的运输</w:t>
            </w:r>
          </w:p>
          <w:p>
            <w:pPr>
              <w:pStyle w:val="1165"/>
              <w:snapToGrid w:val="0"/>
              <w:spacing w:line="360" w:lineRule="auto"/>
              <w:jc w:val="left"/>
              <w:rPr>
                <w:szCs w:val="24"/>
              </w:rPr>
            </w:pPr>
            <w:r>
              <w:rPr>
                <w:szCs w:val="24"/>
              </w:rPr>
              <w:t>项目使用的砂石料均由供货商运输，不在项目内加工，采用封闭的货仓车运输；散装水泥的运输由供货商采取密闭式散装水泥运输车运输，粉煤灰、供应商由密闭散装水泥运输车运输，运至专门的储罐中存储。</w:t>
            </w:r>
          </w:p>
          <w:p>
            <w:pPr>
              <w:pStyle w:val="1165"/>
              <w:snapToGrid w:val="0"/>
              <w:spacing w:line="360" w:lineRule="auto"/>
              <w:jc w:val="left"/>
              <w:rPr>
                <w:rFonts w:hint="default" w:eastAsia="宋体"/>
                <w:szCs w:val="24"/>
                <w:lang w:val="en-US" w:eastAsia="zh-CN"/>
              </w:rPr>
            </w:pPr>
            <w:r>
              <w:rPr>
                <w:rFonts w:hint="eastAsia"/>
                <w:szCs w:val="24"/>
                <w:lang w:val="en-US" w:eastAsia="zh-CN"/>
              </w:rPr>
              <w:t>运输过程会有扬尘及噪声产生，通过定期洒水降尘，在区域内减速慢行，禁止鸣笛。</w:t>
            </w:r>
          </w:p>
          <w:p>
            <w:pPr>
              <w:pStyle w:val="1165"/>
              <w:snapToGrid w:val="0"/>
              <w:spacing w:line="360" w:lineRule="auto"/>
              <w:jc w:val="left"/>
              <w:rPr>
                <w:szCs w:val="24"/>
              </w:rPr>
            </w:pPr>
            <w:r>
              <w:rPr>
                <w:szCs w:val="24"/>
              </w:rPr>
              <w:t>（2）原辅材料装卸</w:t>
            </w:r>
          </w:p>
          <w:p>
            <w:pPr>
              <w:pStyle w:val="1165"/>
              <w:snapToGrid w:val="0"/>
              <w:spacing w:line="360" w:lineRule="auto"/>
              <w:jc w:val="left"/>
              <w:rPr>
                <w:szCs w:val="24"/>
              </w:rPr>
            </w:pPr>
            <w:r>
              <w:rPr>
                <w:szCs w:val="24"/>
              </w:rPr>
              <w:t>砂石料通过运输车辆的自动装卸装置，砂石料堆存于密闭钢架大棚内临时存放；散装水泥和粉煤灰通过自动衔接输料口送入封闭式存储罐内；泵送剂和减水剂通过运输车辆运至项目内，置于添加剂储罐内存储。</w:t>
            </w:r>
          </w:p>
          <w:p>
            <w:pPr>
              <w:pStyle w:val="1165"/>
              <w:snapToGrid w:val="0"/>
              <w:spacing w:line="360" w:lineRule="auto"/>
              <w:jc w:val="left"/>
              <w:rPr>
                <w:rFonts w:hint="eastAsia"/>
                <w:szCs w:val="24"/>
                <w:lang w:val="en-US" w:eastAsia="zh-CN"/>
              </w:rPr>
            </w:pPr>
            <w:r>
              <w:rPr>
                <w:rFonts w:hint="eastAsia"/>
                <w:szCs w:val="24"/>
                <w:lang w:val="en-US" w:eastAsia="zh-CN"/>
              </w:rPr>
              <w:t>储罐在进料过程中会产生大量的粉尘，原料筒仓产生粉尘通过项目设置的脉冲布袋除尘器进行净化，大部分经除尘器收集后回用于生产，少量粉尘从除尘器排气口排出。原料仓库采用彩钢瓦三面封闭+顶棚封闭，并且在原料仓库设置了雾化喷淋抑尘系统洒水抑尘，产生的粉尘经仓库喷淋抑尘系统洒水抑尘，再经厂房阻隔后以无组织形式外排。</w:t>
            </w:r>
          </w:p>
          <w:p>
            <w:pPr>
              <w:pStyle w:val="1165"/>
              <w:snapToGrid w:val="0"/>
              <w:spacing w:line="360" w:lineRule="auto"/>
              <w:jc w:val="left"/>
              <w:rPr>
                <w:szCs w:val="24"/>
              </w:rPr>
            </w:pPr>
            <w:r>
              <w:rPr>
                <w:szCs w:val="24"/>
              </w:rPr>
              <w:t>（3）计量</w:t>
            </w:r>
          </w:p>
          <w:p>
            <w:pPr>
              <w:pStyle w:val="1165"/>
              <w:snapToGrid w:val="0"/>
              <w:spacing w:line="360" w:lineRule="auto"/>
              <w:jc w:val="left"/>
              <w:rPr>
                <w:szCs w:val="24"/>
              </w:rPr>
            </w:pPr>
            <w:r>
              <w:rPr>
                <w:szCs w:val="24"/>
              </w:rPr>
              <w:t>根据不同标号强度的要求，根据一定的比例，通过电脑主机控制各种原辅材料的重量根据所需混凝土规格和数量进行配料。</w:t>
            </w:r>
          </w:p>
          <w:p>
            <w:pPr>
              <w:pStyle w:val="1165"/>
              <w:snapToGrid w:val="0"/>
              <w:spacing w:line="360" w:lineRule="auto"/>
              <w:jc w:val="left"/>
              <w:rPr>
                <w:szCs w:val="24"/>
              </w:rPr>
            </w:pPr>
            <w:r>
              <w:rPr>
                <w:szCs w:val="24"/>
              </w:rPr>
              <w:t>（4）进料、搅拌</w:t>
            </w:r>
          </w:p>
          <w:p>
            <w:pPr>
              <w:pStyle w:val="1165"/>
              <w:snapToGrid w:val="0"/>
              <w:spacing w:line="360" w:lineRule="auto"/>
              <w:jc w:val="left"/>
              <w:rPr>
                <w:szCs w:val="24"/>
              </w:rPr>
            </w:pPr>
            <w:r>
              <w:rPr>
                <w:szCs w:val="24"/>
              </w:rPr>
              <w:t>砂石和碎石用铲车转移到砂石斗和碎石斗中，通过电脑控制重量混合后用皮带输送机传送带送至搅拌主机内；添加剂通过计量泵按计量提升至密闭搅拌主机内；水泥通过螺旋机将水泥加入搅拌主机内；水通过加压水泵将水提升至搅拌主机内同其他辅料一起混合搅拌。</w:t>
            </w:r>
          </w:p>
          <w:p>
            <w:pPr>
              <w:pStyle w:val="1165"/>
              <w:snapToGrid w:val="0"/>
              <w:spacing w:line="360" w:lineRule="auto"/>
              <w:jc w:val="left"/>
              <w:rPr>
                <w:rFonts w:hint="default" w:eastAsia="宋体"/>
                <w:szCs w:val="24"/>
                <w:lang w:val="en-US" w:eastAsia="zh-CN"/>
              </w:rPr>
            </w:pPr>
            <w:r>
              <w:rPr>
                <w:rFonts w:hint="eastAsia"/>
                <w:szCs w:val="24"/>
                <w:lang w:val="en-US" w:eastAsia="zh-CN"/>
              </w:rPr>
              <w:t>进料时通过皮带传送，会有部分粉尘产生，采用封闭式骨料传送机，外溢粉尘较少，搅拌时会伴随着粉尘，搅拌室为密闭空间，外溢粉尘较少。</w:t>
            </w:r>
          </w:p>
          <w:p>
            <w:pPr>
              <w:pStyle w:val="1165"/>
              <w:snapToGrid w:val="0"/>
              <w:spacing w:line="360" w:lineRule="auto"/>
              <w:jc w:val="left"/>
              <w:rPr>
                <w:szCs w:val="24"/>
              </w:rPr>
            </w:pPr>
            <w:r>
              <w:rPr>
                <w:szCs w:val="24"/>
              </w:rPr>
              <w:t>（5）外运</w:t>
            </w:r>
          </w:p>
          <w:p>
            <w:pPr>
              <w:pStyle w:val="1165"/>
              <w:snapToGrid w:val="0"/>
              <w:spacing w:line="360" w:lineRule="auto"/>
              <w:jc w:val="left"/>
              <w:rPr>
                <w:szCs w:val="24"/>
              </w:rPr>
            </w:pPr>
            <w:r>
              <w:rPr>
                <w:szCs w:val="24"/>
              </w:rPr>
              <w:t>将混合后的混凝土用专用的混凝土运输车运至施工场地。</w:t>
            </w:r>
          </w:p>
          <w:p>
            <w:pPr>
              <w:pStyle w:val="1165"/>
              <w:snapToGrid w:val="0"/>
              <w:spacing w:line="360" w:lineRule="auto"/>
              <w:jc w:val="left"/>
              <w:rPr>
                <w:szCs w:val="24"/>
              </w:rPr>
            </w:pPr>
            <w:r>
              <w:rPr>
                <w:szCs w:val="24"/>
              </w:rPr>
              <w:t>（6）产品检验</w:t>
            </w:r>
          </w:p>
          <w:p>
            <w:pPr>
              <w:pStyle w:val="1165"/>
              <w:snapToGrid w:val="0"/>
              <w:spacing w:line="360" w:lineRule="auto"/>
              <w:ind w:firstLine="480" w:firstLineChars="200"/>
              <w:jc w:val="left"/>
              <w:rPr>
                <w:szCs w:val="24"/>
              </w:rPr>
            </w:pPr>
            <w:r>
              <w:rPr>
                <w:szCs w:val="24"/>
              </w:rPr>
              <w:t>项目建有试验室，对每批次的混凝土进行检验，检验包括对拌和物性能（坍落度、扩展度、凝结时间、容重等）、力学性能（抗压强度、抗折强度、抗弯强度、劈拉强度等）、耐久性能和长期性能（收缩和徐变）的检验。</w:t>
            </w:r>
          </w:p>
          <w:p>
            <w:pPr>
              <w:pStyle w:val="1165"/>
              <w:snapToGrid w:val="0"/>
              <w:spacing w:line="360" w:lineRule="auto"/>
              <w:ind w:firstLine="480" w:firstLineChars="200"/>
              <w:jc w:val="left"/>
              <w:rPr>
                <w:rFonts w:hint="default" w:eastAsia="宋体"/>
                <w:szCs w:val="24"/>
                <w:lang w:val="en-US" w:eastAsia="zh-CN"/>
              </w:rPr>
            </w:pPr>
            <w:r>
              <w:rPr>
                <w:rFonts w:hint="eastAsia"/>
                <w:szCs w:val="24"/>
                <w:lang w:val="en-US" w:eastAsia="zh-CN"/>
              </w:rPr>
              <w:t>经试验后产生的混凝土固废，放置于临时固废堆场，委托有资质单位处置。</w:t>
            </w:r>
          </w:p>
          <w:p>
            <w:pPr>
              <w:pStyle w:val="1165"/>
              <w:snapToGrid w:val="0"/>
              <w:spacing w:line="360" w:lineRule="auto"/>
              <w:ind w:firstLine="0"/>
              <w:jc w:val="left"/>
              <w:rPr>
                <w:b/>
                <w:bCs/>
                <w:szCs w:val="24"/>
              </w:rPr>
            </w:pPr>
            <w:r>
              <w:rPr>
                <w:rFonts w:hint="eastAsia"/>
                <w:b/>
                <w:bCs/>
                <w:szCs w:val="24"/>
              </w:rPr>
              <w:t>3、项目产污情况</w:t>
            </w:r>
          </w:p>
          <w:p>
            <w:pPr>
              <w:pStyle w:val="1165"/>
              <w:snapToGrid w:val="0"/>
              <w:spacing w:line="360" w:lineRule="auto"/>
              <w:ind w:firstLine="480" w:firstLineChars="200"/>
              <w:jc w:val="left"/>
              <w:rPr>
                <w:szCs w:val="24"/>
              </w:rPr>
            </w:pPr>
            <w:r>
              <w:rPr>
                <w:rFonts w:hint="eastAsia"/>
                <w:szCs w:val="24"/>
              </w:rPr>
              <w:t>本项目主要生产产品为混凝土。生产过程中主要会产生废气、废水、噪声和固废等污染物，具体污染物对应产污工序详见下表。</w:t>
            </w:r>
          </w:p>
          <w:p>
            <w:pPr>
              <w:pStyle w:val="1165"/>
              <w:snapToGrid w:val="0"/>
              <w:spacing w:line="360" w:lineRule="auto"/>
              <w:ind w:firstLine="0"/>
              <w:jc w:val="center"/>
              <w:rPr>
                <w:b/>
                <w:bCs/>
                <w:sz w:val="21"/>
                <w:szCs w:val="21"/>
              </w:rPr>
            </w:pPr>
            <w:r>
              <w:rPr>
                <w:rFonts w:hint="eastAsia"/>
                <w:b/>
                <w:bCs/>
                <w:sz w:val="21"/>
                <w:szCs w:val="21"/>
              </w:rPr>
              <w:t>表2-6</w:t>
            </w:r>
            <w:r>
              <w:rPr>
                <w:b/>
                <w:bCs/>
                <w:sz w:val="21"/>
                <w:szCs w:val="21"/>
              </w:rPr>
              <w:t xml:space="preserve">  </w:t>
            </w:r>
            <w:r>
              <w:rPr>
                <w:rFonts w:hint="eastAsia"/>
                <w:b/>
                <w:bCs/>
                <w:sz w:val="21"/>
                <w:szCs w:val="21"/>
              </w:rPr>
              <w:t>本项目生产线产污情况一览表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850"/>
              <w:gridCol w:w="1276"/>
              <w:gridCol w:w="2835"/>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3" w:type="dxa"/>
                  <w:vAlign w:val="center"/>
                </w:tcPr>
                <w:p>
                  <w:pPr>
                    <w:pStyle w:val="1165"/>
                    <w:snapToGrid w:val="0"/>
                    <w:spacing w:line="360" w:lineRule="auto"/>
                    <w:ind w:firstLine="0"/>
                    <w:jc w:val="center"/>
                    <w:rPr>
                      <w:sz w:val="21"/>
                      <w:szCs w:val="21"/>
                    </w:rPr>
                  </w:pPr>
                  <w:r>
                    <w:rPr>
                      <w:rFonts w:hint="eastAsia"/>
                      <w:sz w:val="21"/>
                      <w:szCs w:val="21"/>
                    </w:rPr>
                    <w:t>生产线</w:t>
                  </w:r>
                </w:p>
              </w:tc>
              <w:tc>
                <w:tcPr>
                  <w:tcW w:w="850" w:type="dxa"/>
                  <w:vAlign w:val="center"/>
                </w:tcPr>
                <w:p>
                  <w:pPr>
                    <w:pStyle w:val="1165"/>
                    <w:snapToGrid w:val="0"/>
                    <w:spacing w:line="360" w:lineRule="auto"/>
                    <w:ind w:firstLine="0"/>
                    <w:jc w:val="center"/>
                    <w:rPr>
                      <w:sz w:val="21"/>
                      <w:szCs w:val="21"/>
                    </w:rPr>
                  </w:pPr>
                  <w:r>
                    <w:rPr>
                      <w:rFonts w:hint="eastAsia"/>
                      <w:sz w:val="21"/>
                      <w:szCs w:val="21"/>
                    </w:rPr>
                    <w:t>项目</w:t>
                  </w:r>
                </w:p>
              </w:tc>
              <w:tc>
                <w:tcPr>
                  <w:tcW w:w="1276" w:type="dxa"/>
                  <w:vAlign w:val="center"/>
                </w:tcPr>
                <w:p>
                  <w:pPr>
                    <w:pStyle w:val="1165"/>
                    <w:snapToGrid w:val="0"/>
                    <w:spacing w:line="360" w:lineRule="auto"/>
                    <w:ind w:firstLine="0"/>
                    <w:jc w:val="center"/>
                    <w:rPr>
                      <w:sz w:val="21"/>
                      <w:szCs w:val="21"/>
                    </w:rPr>
                  </w:pPr>
                  <w:r>
                    <w:rPr>
                      <w:rFonts w:hint="eastAsia"/>
                      <w:sz w:val="21"/>
                      <w:szCs w:val="21"/>
                    </w:rPr>
                    <w:t>产污工序</w:t>
                  </w:r>
                </w:p>
              </w:tc>
              <w:tc>
                <w:tcPr>
                  <w:tcW w:w="2835" w:type="dxa"/>
                  <w:vAlign w:val="center"/>
                </w:tcPr>
                <w:p>
                  <w:pPr>
                    <w:pStyle w:val="1165"/>
                    <w:snapToGrid w:val="0"/>
                    <w:spacing w:line="360" w:lineRule="auto"/>
                    <w:ind w:firstLine="0"/>
                    <w:jc w:val="center"/>
                    <w:rPr>
                      <w:sz w:val="21"/>
                      <w:szCs w:val="21"/>
                    </w:rPr>
                  </w:pPr>
                  <w:r>
                    <w:rPr>
                      <w:rFonts w:hint="eastAsia"/>
                      <w:sz w:val="21"/>
                      <w:szCs w:val="21"/>
                    </w:rPr>
                    <w:t>污染物</w:t>
                  </w:r>
                </w:p>
              </w:tc>
              <w:tc>
                <w:tcPr>
                  <w:tcW w:w="1775" w:type="dxa"/>
                  <w:vAlign w:val="center"/>
                </w:tcPr>
                <w:p>
                  <w:pPr>
                    <w:pStyle w:val="1165"/>
                    <w:snapToGrid w:val="0"/>
                    <w:spacing w:line="360" w:lineRule="auto"/>
                    <w:ind w:firstLine="0"/>
                    <w:jc w:val="center"/>
                    <w:rPr>
                      <w:sz w:val="21"/>
                      <w:szCs w:val="21"/>
                    </w:rPr>
                  </w:pPr>
                  <w:r>
                    <w:rPr>
                      <w:rFonts w:hint="eastAsia"/>
                      <w:sz w:val="21"/>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73" w:type="dxa"/>
                  <w:vMerge w:val="restart"/>
                  <w:vAlign w:val="center"/>
                </w:tcPr>
                <w:p>
                  <w:pPr>
                    <w:pStyle w:val="1165"/>
                    <w:snapToGrid w:val="0"/>
                    <w:spacing w:line="360" w:lineRule="auto"/>
                    <w:ind w:firstLine="0"/>
                    <w:jc w:val="center"/>
                    <w:rPr>
                      <w:sz w:val="21"/>
                      <w:szCs w:val="21"/>
                    </w:rPr>
                  </w:pPr>
                  <w:r>
                    <w:rPr>
                      <w:rFonts w:hint="eastAsia"/>
                      <w:sz w:val="21"/>
                      <w:szCs w:val="21"/>
                    </w:rPr>
                    <w:t>混凝土生产线</w:t>
                  </w:r>
                </w:p>
              </w:tc>
              <w:tc>
                <w:tcPr>
                  <w:tcW w:w="850" w:type="dxa"/>
                  <w:vMerge w:val="restart"/>
                  <w:vAlign w:val="center"/>
                </w:tcPr>
                <w:p>
                  <w:pPr>
                    <w:pStyle w:val="1165"/>
                    <w:snapToGrid w:val="0"/>
                    <w:spacing w:line="360" w:lineRule="auto"/>
                    <w:ind w:firstLine="0"/>
                    <w:jc w:val="center"/>
                    <w:rPr>
                      <w:sz w:val="21"/>
                      <w:szCs w:val="21"/>
                    </w:rPr>
                  </w:pPr>
                  <w:r>
                    <w:rPr>
                      <w:rFonts w:hint="eastAsia"/>
                      <w:sz w:val="21"/>
                      <w:szCs w:val="21"/>
                    </w:rPr>
                    <w:t>废气</w:t>
                  </w:r>
                </w:p>
              </w:tc>
              <w:tc>
                <w:tcPr>
                  <w:tcW w:w="1276" w:type="dxa"/>
                  <w:vMerge w:val="restart"/>
                  <w:vAlign w:val="center"/>
                </w:tcPr>
                <w:p>
                  <w:pPr>
                    <w:pStyle w:val="1165"/>
                    <w:snapToGrid w:val="0"/>
                    <w:spacing w:line="360" w:lineRule="auto"/>
                    <w:ind w:firstLine="0"/>
                    <w:jc w:val="center"/>
                    <w:rPr>
                      <w:sz w:val="21"/>
                      <w:szCs w:val="21"/>
                    </w:rPr>
                  </w:pPr>
                  <w:r>
                    <w:rPr>
                      <w:rFonts w:hint="eastAsia"/>
                      <w:sz w:val="21"/>
                      <w:szCs w:val="21"/>
                    </w:rPr>
                    <w:t>材料装卸、储存</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砂石料堆存、装卸粉尘</w:t>
                  </w:r>
                </w:p>
              </w:tc>
              <w:tc>
                <w:tcPr>
                  <w:tcW w:w="1775" w:type="dxa"/>
                  <w:vMerge w:val="restart"/>
                  <w:vAlign w:val="center"/>
                </w:tcPr>
                <w:p>
                  <w:pPr>
                    <w:pStyle w:val="1165"/>
                    <w:snapToGrid w:val="0"/>
                    <w:spacing w:line="360" w:lineRule="auto"/>
                    <w:ind w:firstLine="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Merge w:val="continue"/>
                  <w:vAlign w:val="center"/>
                </w:tcPr>
                <w:p>
                  <w:pPr>
                    <w:pStyle w:val="1165"/>
                    <w:snapToGrid w:val="0"/>
                    <w:spacing w:line="360" w:lineRule="auto"/>
                    <w:ind w:firstLine="0"/>
                    <w:jc w:val="center"/>
                    <w:rPr>
                      <w:sz w:val="21"/>
                      <w:szCs w:val="21"/>
                    </w:rPr>
                  </w:pPr>
                </w:p>
              </w:tc>
              <w:tc>
                <w:tcPr>
                  <w:tcW w:w="2835" w:type="dxa"/>
                  <w:vAlign w:val="center"/>
                </w:tcPr>
                <w:p>
                  <w:pPr>
                    <w:pStyle w:val="1165"/>
                    <w:snapToGrid w:val="0"/>
                    <w:spacing w:line="360" w:lineRule="auto"/>
                    <w:ind w:firstLine="0"/>
                    <w:jc w:val="center"/>
                    <w:rPr>
                      <w:color w:val="000000"/>
                      <w:sz w:val="21"/>
                      <w:szCs w:val="21"/>
                    </w:rPr>
                  </w:pPr>
                  <w:r>
                    <w:rPr>
                      <w:rFonts w:hint="eastAsia"/>
                      <w:sz w:val="21"/>
                      <w:szCs w:val="21"/>
                    </w:rPr>
                    <w:t>筒仓粉尘</w:t>
                  </w:r>
                </w:p>
              </w:tc>
              <w:tc>
                <w:tcPr>
                  <w:tcW w:w="1775" w:type="dxa"/>
                  <w:vMerge w:val="continue"/>
                  <w:vAlign w:val="center"/>
                </w:tcPr>
                <w:p>
                  <w:pPr>
                    <w:pStyle w:val="1165"/>
                    <w:snapToGrid w:val="0"/>
                    <w:spacing w:line="360" w:lineRule="auto"/>
                    <w:ind w:firstLine="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加料</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配料、计量、投料粉尘</w:t>
                  </w:r>
                </w:p>
              </w:tc>
              <w:tc>
                <w:tcPr>
                  <w:tcW w:w="1775" w:type="dxa"/>
                  <w:vAlign w:val="center"/>
                </w:tcPr>
                <w:p>
                  <w:pPr>
                    <w:pStyle w:val="1165"/>
                    <w:snapToGrid w:val="0"/>
                    <w:spacing w:line="360" w:lineRule="auto"/>
                    <w:ind w:firstLine="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搅拌</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搅拌粉尘</w:t>
                  </w:r>
                </w:p>
              </w:tc>
              <w:tc>
                <w:tcPr>
                  <w:tcW w:w="1775" w:type="dxa"/>
                  <w:vAlign w:val="center"/>
                </w:tcPr>
                <w:p>
                  <w:pPr>
                    <w:pStyle w:val="1165"/>
                    <w:snapToGrid w:val="0"/>
                    <w:spacing w:line="360" w:lineRule="auto"/>
                    <w:ind w:firstLine="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成品运输</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运输粉尘、汽车尾气</w:t>
                  </w:r>
                </w:p>
              </w:tc>
              <w:tc>
                <w:tcPr>
                  <w:tcW w:w="1775" w:type="dxa"/>
                  <w:vAlign w:val="center"/>
                </w:tcPr>
                <w:p>
                  <w:pPr>
                    <w:widowControl/>
                    <w:jc w:val="left"/>
                    <w:rPr>
                      <w:rFonts w:ascii="宋体" w:hAnsi="宋体" w:cs="宋体"/>
                      <w:kern w:val="0"/>
                      <w:sz w:val="24"/>
                    </w:rPr>
                  </w:pPr>
                  <w:r>
                    <w:rPr>
                      <w:rFonts w:hint="eastAsia"/>
                      <w:szCs w:val="21"/>
                    </w:rPr>
                    <w:t>颗粒物、</w:t>
                  </w:r>
                  <w:r>
                    <w:rPr>
                      <w:rFonts w:hint="eastAsia" w:ascii="宋体" w:hAnsi="宋体" w:cs="宋体"/>
                      <w:color w:val="000000"/>
                      <w:kern w:val="0"/>
                      <w:szCs w:val="21"/>
                    </w:rPr>
                    <w:t>颗粒物、</w:t>
                  </w:r>
                  <w:r>
                    <w:rPr>
                      <w:color w:val="000000"/>
                      <w:kern w:val="0"/>
                      <w:szCs w:val="21"/>
                    </w:rPr>
                    <w:t>SO</w:t>
                  </w:r>
                  <w:r>
                    <w:rPr>
                      <w:color w:val="000000"/>
                      <w:kern w:val="0"/>
                      <w:sz w:val="14"/>
                      <w:szCs w:val="14"/>
                    </w:rPr>
                    <w:t>2</w:t>
                  </w:r>
                  <w:r>
                    <w:rPr>
                      <w:rFonts w:hint="eastAsia" w:ascii="宋体" w:hAnsi="宋体" w:cs="宋体"/>
                      <w:color w:val="000000"/>
                      <w:kern w:val="0"/>
                      <w:szCs w:val="21"/>
                    </w:rPr>
                    <w:t>、</w:t>
                  </w:r>
                  <w:r>
                    <w:rPr>
                      <w:color w:val="000000"/>
                      <w:kern w:val="0"/>
                      <w:szCs w:val="21"/>
                    </w:rPr>
                    <w:t>NO</w:t>
                  </w:r>
                  <w:r>
                    <w:rPr>
                      <w:color w:val="000000"/>
                      <w:kern w:val="0"/>
                      <w:sz w:val="14"/>
                      <w:szCs w:val="14"/>
                    </w:rPr>
                    <w:t>X</w:t>
                  </w:r>
                  <w:r>
                    <w:rPr>
                      <w:rFonts w:hint="eastAsia" w:ascii="宋体" w:hAnsi="宋体" w:cs="宋体"/>
                      <w:color w:val="000000"/>
                      <w:kern w:val="0"/>
                      <w:szCs w:val="21"/>
                    </w:rPr>
                    <w:t>、</w:t>
                  </w:r>
                  <w:r>
                    <w:rPr>
                      <w:color w:val="000000"/>
                      <w:kern w:val="0"/>
                      <w:szCs w:val="21"/>
                    </w:rPr>
                    <w:t>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restart"/>
                  <w:vAlign w:val="center"/>
                </w:tcPr>
                <w:p>
                  <w:pPr>
                    <w:pStyle w:val="1165"/>
                    <w:snapToGrid w:val="0"/>
                    <w:spacing w:line="360" w:lineRule="auto"/>
                    <w:ind w:firstLine="0"/>
                    <w:jc w:val="center"/>
                    <w:rPr>
                      <w:sz w:val="21"/>
                      <w:szCs w:val="21"/>
                    </w:rPr>
                  </w:pPr>
                  <w:r>
                    <w:rPr>
                      <w:rFonts w:hint="eastAsia"/>
                      <w:sz w:val="21"/>
                      <w:szCs w:val="21"/>
                    </w:rPr>
                    <w:t>废水</w:t>
                  </w:r>
                </w:p>
              </w:tc>
              <w:tc>
                <w:tcPr>
                  <w:tcW w:w="1276" w:type="dxa"/>
                  <w:vAlign w:val="center"/>
                </w:tcPr>
                <w:p>
                  <w:pPr>
                    <w:pStyle w:val="1165"/>
                    <w:snapToGrid w:val="0"/>
                    <w:spacing w:line="360" w:lineRule="auto"/>
                    <w:ind w:firstLine="0"/>
                    <w:jc w:val="center"/>
                    <w:rPr>
                      <w:sz w:val="21"/>
                      <w:szCs w:val="21"/>
                    </w:rPr>
                  </w:pPr>
                  <w:r>
                    <w:rPr>
                      <w:rFonts w:hint="eastAsia"/>
                      <w:sz w:val="21"/>
                      <w:szCs w:val="21"/>
                    </w:rPr>
                    <w:t>搅拌</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搅拌机清洗废水</w:t>
                  </w:r>
                </w:p>
              </w:tc>
              <w:tc>
                <w:tcPr>
                  <w:tcW w:w="1775" w:type="dxa"/>
                  <w:vAlign w:val="center"/>
                </w:tcPr>
                <w:p>
                  <w:pPr>
                    <w:pStyle w:val="1165"/>
                    <w:snapToGrid w:val="0"/>
                    <w:spacing w:line="360" w:lineRule="auto"/>
                    <w:ind w:firstLine="0"/>
                    <w:jc w:val="center"/>
                    <w:rPr>
                      <w:sz w:val="21"/>
                      <w:szCs w:val="21"/>
                    </w:rPr>
                  </w:pPr>
                  <w:r>
                    <w:rPr>
                      <w:rFonts w:hint="eastAsia"/>
                      <w:sz w:val="21"/>
                      <w:szCs w:val="21"/>
                    </w:rPr>
                    <w:t>S</w:t>
                  </w:r>
                  <w:r>
                    <w:rPr>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实验</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实验室废水</w:t>
                  </w:r>
                </w:p>
              </w:tc>
              <w:tc>
                <w:tcPr>
                  <w:tcW w:w="1775" w:type="dxa"/>
                  <w:vAlign w:val="center"/>
                </w:tcPr>
                <w:p>
                  <w:pPr>
                    <w:pStyle w:val="1165"/>
                    <w:snapToGrid w:val="0"/>
                    <w:spacing w:line="360" w:lineRule="auto"/>
                    <w:ind w:firstLine="0"/>
                    <w:jc w:val="center"/>
                    <w:rPr>
                      <w:sz w:val="21"/>
                      <w:szCs w:val="21"/>
                    </w:rPr>
                  </w:pPr>
                  <w:r>
                    <w:rPr>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成品运输</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混凝土运输车辆清洗废水</w:t>
                  </w:r>
                </w:p>
              </w:tc>
              <w:tc>
                <w:tcPr>
                  <w:tcW w:w="1775" w:type="dxa"/>
                  <w:vAlign w:val="center"/>
                </w:tcPr>
                <w:p>
                  <w:pPr>
                    <w:pStyle w:val="1165"/>
                    <w:snapToGrid w:val="0"/>
                    <w:spacing w:line="360" w:lineRule="auto"/>
                    <w:ind w:firstLine="0"/>
                    <w:jc w:val="center"/>
                    <w:rPr>
                      <w:sz w:val="21"/>
                      <w:szCs w:val="21"/>
                    </w:rPr>
                  </w:pPr>
                  <w:r>
                    <w:rPr>
                      <w:rFonts w:hint="eastAsia"/>
                      <w:sz w:val="21"/>
                      <w:szCs w:val="21"/>
                    </w:rPr>
                    <w:t>S</w:t>
                  </w:r>
                  <w:r>
                    <w:rPr>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restart"/>
                  <w:vAlign w:val="center"/>
                </w:tcPr>
                <w:p>
                  <w:pPr>
                    <w:pStyle w:val="1165"/>
                    <w:snapToGrid w:val="0"/>
                    <w:spacing w:line="360" w:lineRule="auto"/>
                    <w:ind w:firstLine="0"/>
                    <w:jc w:val="center"/>
                    <w:rPr>
                      <w:sz w:val="21"/>
                      <w:szCs w:val="21"/>
                    </w:rPr>
                  </w:pPr>
                  <w:r>
                    <w:rPr>
                      <w:rFonts w:hint="eastAsia"/>
                      <w:sz w:val="21"/>
                      <w:szCs w:val="21"/>
                    </w:rPr>
                    <w:t>噪声</w:t>
                  </w:r>
                </w:p>
              </w:tc>
              <w:tc>
                <w:tcPr>
                  <w:tcW w:w="1276" w:type="dxa"/>
                  <w:vAlign w:val="center"/>
                </w:tcPr>
                <w:p>
                  <w:pPr>
                    <w:pStyle w:val="1165"/>
                    <w:snapToGrid w:val="0"/>
                    <w:spacing w:line="360" w:lineRule="auto"/>
                    <w:ind w:firstLine="0"/>
                    <w:jc w:val="center"/>
                    <w:rPr>
                      <w:sz w:val="21"/>
                      <w:szCs w:val="21"/>
                    </w:rPr>
                  </w:pPr>
                  <w:r>
                    <w:rPr>
                      <w:rFonts w:hint="eastAsia"/>
                      <w:sz w:val="21"/>
                      <w:szCs w:val="21"/>
                    </w:rPr>
                    <w:t>原料仓库</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装载机噪声</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加料</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物料传输装置噪声</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搅拌</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搅拌设备噪声</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运输</w:t>
                  </w:r>
                </w:p>
              </w:tc>
              <w:tc>
                <w:tcPr>
                  <w:tcW w:w="2835" w:type="dxa"/>
                  <w:vAlign w:val="center"/>
                </w:tcPr>
                <w:p>
                  <w:pPr>
                    <w:pStyle w:val="1165"/>
                    <w:snapToGrid w:val="0"/>
                    <w:spacing w:line="360" w:lineRule="auto"/>
                    <w:ind w:firstLine="0"/>
                    <w:jc w:val="center"/>
                    <w:rPr>
                      <w:sz w:val="21"/>
                      <w:szCs w:val="21"/>
                    </w:rPr>
                  </w:pPr>
                  <w:r>
                    <w:rPr>
                      <w:rFonts w:hint="eastAsia"/>
                      <w:sz w:val="21"/>
                      <w:szCs w:val="21"/>
                    </w:rPr>
                    <w:t>运输车辆噪声</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restart"/>
                  <w:vAlign w:val="center"/>
                </w:tcPr>
                <w:p>
                  <w:pPr>
                    <w:pStyle w:val="1165"/>
                    <w:snapToGrid w:val="0"/>
                    <w:spacing w:line="360" w:lineRule="auto"/>
                    <w:ind w:firstLine="0"/>
                    <w:jc w:val="center"/>
                    <w:rPr>
                      <w:sz w:val="21"/>
                      <w:szCs w:val="21"/>
                    </w:rPr>
                  </w:pPr>
                  <w:r>
                    <w:rPr>
                      <w:rFonts w:hint="eastAsia"/>
                      <w:sz w:val="21"/>
                      <w:szCs w:val="21"/>
                    </w:rPr>
                    <w:t>固废</w:t>
                  </w:r>
                </w:p>
              </w:tc>
              <w:tc>
                <w:tcPr>
                  <w:tcW w:w="1276" w:type="dxa"/>
                </w:tcPr>
                <w:p>
                  <w:pPr>
                    <w:pStyle w:val="1165"/>
                    <w:snapToGrid w:val="0"/>
                    <w:spacing w:line="360" w:lineRule="auto"/>
                    <w:ind w:firstLine="0"/>
                    <w:jc w:val="center"/>
                    <w:rPr>
                      <w:sz w:val="21"/>
                      <w:szCs w:val="21"/>
                    </w:rPr>
                  </w:pPr>
                  <w:r>
                    <w:rPr>
                      <w:rFonts w:hint="eastAsia"/>
                    </w:rPr>
                    <w:t>加料</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除尘器收集的粉尘</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tcPr>
                <w:p>
                  <w:pPr>
                    <w:pStyle w:val="1165"/>
                    <w:snapToGrid w:val="0"/>
                    <w:spacing w:line="360" w:lineRule="auto"/>
                    <w:ind w:firstLine="0"/>
                    <w:jc w:val="center"/>
                    <w:rPr>
                      <w:sz w:val="21"/>
                      <w:szCs w:val="21"/>
                    </w:rPr>
                  </w:pPr>
                  <w:r>
                    <w:rPr>
                      <w:rFonts w:hint="eastAsia"/>
                    </w:rPr>
                    <w:t>罐车、搅拌车清洗</w:t>
                  </w:r>
                </w:p>
              </w:tc>
              <w:tc>
                <w:tcPr>
                  <w:tcW w:w="2835" w:type="dxa"/>
                  <w:vAlign w:val="center"/>
                </w:tcPr>
                <w:p>
                  <w:pPr>
                    <w:pStyle w:val="1165"/>
                    <w:snapToGrid w:val="0"/>
                    <w:spacing w:line="360" w:lineRule="auto"/>
                    <w:ind w:firstLine="0"/>
                    <w:jc w:val="center"/>
                    <w:rPr>
                      <w:sz w:val="21"/>
                      <w:szCs w:val="21"/>
                    </w:rPr>
                  </w:pPr>
                  <w:r>
                    <w:rPr>
                      <w:rFonts w:hint="eastAsia"/>
                      <w:sz w:val="21"/>
                      <w:szCs w:val="21"/>
                    </w:rPr>
                    <w:t>运输罐车及搅拌机内残留混凝土</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实验室</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实验室废混凝土</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废水处理</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沉淀池沉淀渣</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1073" w:type="dxa"/>
                  <w:vMerge w:val="continue"/>
                  <w:vAlign w:val="center"/>
                </w:tcPr>
                <w:p>
                  <w:pPr>
                    <w:pStyle w:val="1165"/>
                    <w:snapToGrid w:val="0"/>
                    <w:spacing w:line="360" w:lineRule="auto"/>
                    <w:ind w:firstLine="0"/>
                    <w:jc w:val="center"/>
                    <w:rPr>
                      <w:sz w:val="21"/>
                      <w:szCs w:val="21"/>
                    </w:rPr>
                  </w:pPr>
                </w:p>
              </w:tc>
              <w:tc>
                <w:tcPr>
                  <w:tcW w:w="850" w:type="dxa"/>
                  <w:vMerge w:val="continue"/>
                  <w:vAlign w:val="center"/>
                </w:tcPr>
                <w:p>
                  <w:pPr>
                    <w:pStyle w:val="1165"/>
                    <w:snapToGrid w:val="0"/>
                    <w:spacing w:line="360" w:lineRule="auto"/>
                    <w:ind w:firstLine="0"/>
                    <w:jc w:val="center"/>
                    <w:rPr>
                      <w:sz w:val="21"/>
                      <w:szCs w:val="21"/>
                    </w:rPr>
                  </w:pPr>
                </w:p>
              </w:tc>
              <w:tc>
                <w:tcPr>
                  <w:tcW w:w="1276" w:type="dxa"/>
                  <w:vAlign w:val="center"/>
                </w:tcPr>
                <w:p>
                  <w:pPr>
                    <w:pStyle w:val="1165"/>
                    <w:snapToGrid w:val="0"/>
                    <w:spacing w:line="360" w:lineRule="auto"/>
                    <w:ind w:firstLine="0"/>
                    <w:jc w:val="center"/>
                    <w:rPr>
                      <w:sz w:val="21"/>
                      <w:szCs w:val="21"/>
                    </w:rPr>
                  </w:pPr>
                  <w:r>
                    <w:rPr>
                      <w:rFonts w:hint="eastAsia"/>
                      <w:sz w:val="21"/>
                      <w:szCs w:val="21"/>
                    </w:rPr>
                    <w:t>机修车间</w:t>
                  </w:r>
                </w:p>
              </w:tc>
              <w:tc>
                <w:tcPr>
                  <w:tcW w:w="2835" w:type="dxa"/>
                  <w:vAlign w:val="center"/>
                </w:tcPr>
                <w:p>
                  <w:pPr>
                    <w:pStyle w:val="1165"/>
                    <w:snapToGrid w:val="0"/>
                    <w:spacing w:line="360" w:lineRule="auto"/>
                    <w:ind w:firstLine="0"/>
                    <w:jc w:val="center"/>
                    <w:rPr>
                      <w:sz w:val="21"/>
                      <w:szCs w:val="21"/>
                    </w:rPr>
                  </w:pPr>
                  <w:r>
                    <w:rPr>
                      <w:rFonts w:hint="eastAsia"/>
                      <w:color w:val="000000"/>
                      <w:sz w:val="21"/>
                      <w:szCs w:val="21"/>
                    </w:rPr>
                    <w:t>机修废物</w:t>
                  </w:r>
                </w:p>
              </w:tc>
              <w:tc>
                <w:tcPr>
                  <w:tcW w:w="1775" w:type="dxa"/>
                  <w:vAlign w:val="center"/>
                </w:tcPr>
                <w:p>
                  <w:pPr>
                    <w:pStyle w:val="1165"/>
                    <w:snapToGrid w:val="0"/>
                    <w:spacing w:line="360" w:lineRule="auto"/>
                    <w:ind w:firstLine="0"/>
                    <w:jc w:val="center"/>
                    <w:rPr>
                      <w:sz w:val="21"/>
                      <w:szCs w:val="21"/>
                    </w:rPr>
                  </w:pPr>
                  <w:r>
                    <w:rPr>
                      <w:rFonts w:hint="eastAsia"/>
                      <w:sz w:val="21"/>
                      <w:szCs w:val="21"/>
                    </w:rPr>
                    <w:t>/</w:t>
                  </w:r>
                </w:p>
              </w:tc>
            </w:tr>
          </w:tbl>
          <w:p>
            <w:pPr>
              <w:pStyle w:val="1165"/>
              <w:snapToGrid w:val="0"/>
              <w:spacing w:line="360" w:lineRule="auto"/>
              <w:ind w:firstLine="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sz w:val="24"/>
              </w:rPr>
            </w:pPr>
            <w:r>
              <w:rPr>
                <w:rFonts w:hint="eastAsia"/>
                <w:sz w:val="24"/>
              </w:rPr>
              <w:t>与项目有关的原有环境污染问题</w:t>
            </w:r>
          </w:p>
        </w:tc>
        <w:tc>
          <w:tcPr>
            <w:tcW w:w="0" w:type="auto"/>
          </w:tcPr>
          <w:p>
            <w:pPr>
              <w:spacing w:line="360" w:lineRule="auto"/>
              <w:ind w:firstLine="480" w:firstLineChars="200"/>
              <w:rPr>
                <w:b/>
                <w:bCs/>
                <w:sz w:val="24"/>
              </w:rPr>
            </w:pPr>
            <w:r>
              <w:rPr>
                <w:rFonts w:hint="eastAsia"/>
                <w:color w:val="000000"/>
                <w:sz w:val="24"/>
                <w:szCs w:val="21"/>
              </w:rPr>
              <w:t>项目位于云南省昆明市东川区拖布卡镇格勒村，地处农村区域，附近只有8户格勒村散户（项目东侧），选址地方均为临时用地，项目临时用地合同见附件5，项目属于新建项目，不存在</w:t>
            </w:r>
            <w:r>
              <w:rPr>
                <w:rFonts w:hint="eastAsia"/>
                <w:sz w:val="24"/>
              </w:rPr>
              <w:t>原有环境污染问题。</w:t>
            </w:r>
          </w:p>
          <w:p>
            <w:pPr>
              <w:spacing w:line="360" w:lineRule="auto"/>
              <w:ind w:firstLine="480" w:firstLineChars="200"/>
              <w:rPr>
                <w:b/>
                <w:bCs/>
                <w:sz w:val="24"/>
              </w:rPr>
            </w:pPr>
            <w:r>
              <w:rPr>
                <w:rFonts w:hint="eastAsia"/>
                <w:color w:val="000000"/>
                <w:sz w:val="24"/>
                <w:szCs w:val="21"/>
              </w:rPr>
              <w:t>项目搅拌站于2021年4月建成并投产，已受到昆明市生态环境局责令改正，要求建设单位补齐环保手续，详见附件</w:t>
            </w:r>
            <w:r>
              <w:rPr>
                <w:rFonts w:hint="eastAsia"/>
                <w:color w:val="000000"/>
                <w:sz w:val="24"/>
                <w:szCs w:val="21"/>
                <w:lang w:val="en-US" w:eastAsia="zh-CN"/>
              </w:rPr>
              <w:t>7</w:t>
            </w:r>
            <w:r>
              <w:rPr>
                <w:rFonts w:hint="eastAsia"/>
                <w:color w:val="000000"/>
                <w:sz w:val="24"/>
                <w:szCs w:val="21"/>
              </w:rPr>
              <w:t>。</w:t>
            </w:r>
          </w:p>
        </w:tc>
      </w:tr>
    </w:tbl>
    <w:p>
      <w:pP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0" w:name="_Toc11914"/>
      <w:r>
        <w:rPr>
          <w:rFonts w:hint="eastAsia"/>
          <w:b/>
          <w:bCs/>
          <w:sz w:val="30"/>
          <w:szCs w:val="30"/>
        </w:rPr>
        <w:t>三、区域环境质量现状、环境保护目标及评价标准</w:t>
      </w:r>
      <w:bookmarkEnd w:id="30"/>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区域环境质量现状</w:t>
            </w:r>
          </w:p>
        </w:tc>
        <w:tc>
          <w:tcPr>
            <w:tcW w:w="10148" w:type="dxa"/>
          </w:tcPr>
          <w:p>
            <w:pPr>
              <w:spacing w:line="360" w:lineRule="auto"/>
              <w:rPr>
                <w:b/>
                <w:bCs/>
                <w:sz w:val="24"/>
              </w:rPr>
            </w:pPr>
            <w:r>
              <w:rPr>
                <w:rFonts w:hint="eastAsia"/>
                <w:b/>
                <w:bCs/>
                <w:sz w:val="24"/>
              </w:rPr>
              <w:t>1、环境空气质量现状</w:t>
            </w:r>
          </w:p>
          <w:p>
            <w:pPr>
              <w:spacing w:line="360" w:lineRule="auto"/>
              <w:ind w:firstLine="480" w:firstLineChars="200"/>
              <w:rPr>
                <w:sz w:val="24"/>
              </w:rPr>
            </w:pPr>
            <w:r>
              <w:rPr>
                <w:rFonts w:hint="eastAsia"/>
                <w:sz w:val="24"/>
              </w:rPr>
              <w:t>本项目位于云南省昆明市东川区拖布卡镇格勒村，根据《环境空气质量标准》（G</w:t>
            </w:r>
            <w:r>
              <w:rPr>
                <w:sz w:val="24"/>
              </w:rPr>
              <w:t>B</w:t>
            </w:r>
            <w:r>
              <w:rPr>
                <w:rFonts w:hint="eastAsia"/>
                <w:sz w:val="24"/>
                <w:lang w:eastAsia="zh-CN"/>
              </w:rPr>
              <w:t>****</w:t>
            </w:r>
            <w:r>
              <w:rPr>
                <w:sz w:val="24"/>
              </w:rPr>
              <w:t>-2012</w:t>
            </w:r>
            <w:r>
              <w:rPr>
                <w:rFonts w:hint="eastAsia"/>
                <w:sz w:val="24"/>
              </w:rPr>
              <w:t>），项目区域环境空气功能为二类标准，执行《环境空气质量标准》（G</w:t>
            </w:r>
            <w:r>
              <w:rPr>
                <w:sz w:val="24"/>
              </w:rPr>
              <w:t>B</w:t>
            </w:r>
            <w:r>
              <w:rPr>
                <w:rFonts w:hint="eastAsia"/>
                <w:sz w:val="24"/>
                <w:lang w:eastAsia="zh-CN"/>
              </w:rPr>
              <w:t>****</w:t>
            </w:r>
            <w:r>
              <w:rPr>
                <w:rFonts w:hint="eastAsia"/>
                <w:sz w:val="24"/>
              </w:rPr>
              <w:t>-</w:t>
            </w:r>
            <w:r>
              <w:rPr>
                <w:sz w:val="24"/>
              </w:rPr>
              <w:t>2012</w:t>
            </w:r>
            <w:r>
              <w:rPr>
                <w:rFonts w:hint="eastAsia"/>
                <w:sz w:val="24"/>
              </w:rPr>
              <w:t>）二级标准，详见表3-</w:t>
            </w:r>
            <w:r>
              <w:rPr>
                <w:sz w:val="24"/>
              </w:rPr>
              <w:t>1</w:t>
            </w:r>
            <w:r>
              <w:rPr>
                <w:rFonts w:hint="eastAsia"/>
                <w:sz w:val="24"/>
              </w:rPr>
              <w:t>。</w:t>
            </w:r>
          </w:p>
          <w:p>
            <w:pPr>
              <w:spacing w:line="360" w:lineRule="auto"/>
              <w:jc w:val="center"/>
              <w:rPr>
                <w:b/>
                <w:bCs/>
                <w:szCs w:val="21"/>
              </w:rPr>
            </w:pPr>
            <w:r>
              <w:rPr>
                <w:rFonts w:hint="eastAsia"/>
                <w:b/>
                <w:bCs/>
                <w:szCs w:val="21"/>
              </w:rPr>
              <w:t>表3-</w:t>
            </w:r>
            <w:r>
              <w:rPr>
                <w:b/>
                <w:bCs/>
                <w:szCs w:val="21"/>
              </w:rPr>
              <w:t xml:space="preserve">1  </w:t>
            </w:r>
            <w:r>
              <w:rPr>
                <w:rFonts w:hint="eastAsia"/>
                <w:b/>
                <w:bCs/>
                <w:szCs w:val="21"/>
              </w:rPr>
              <w:t xml:space="preserve">环境空气质量标准 </w:t>
            </w:r>
            <w:r>
              <w:rPr>
                <w:b/>
                <w:bCs/>
                <w:szCs w:val="21"/>
              </w:rPr>
              <w:t xml:space="preserve"> </w:t>
            </w:r>
            <w:r>
              <w:rPr>
                <w:rFonts w:hint="eastAsia"/>
                <w:b/>
                <w:bCs/>
                <w:szCs w:val="21"/>
              </w:rPr>
              <w:t>单位：ug</w:t>
            </w:r>
            <w:r>
              <w:rPr>
                <w:b/>
                <w:bCs/>
                <w:szCs w:val="21"/>
              </w:rPr>
              <w:t>/</w:t>
            </w:r>
            <w:r>
              <w:rPr>
                <w:rFonts w:hint="eastAsia"/>
                <w:b/>
                <w:bCs/>
                <w:szCs w:val="21"/>
              </w:rPr>
              <w:t>m³</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2495"/>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Align w:val="center"/>
                </w:tcPr>
                <w:p>
                  <w:pPr>
                    <w:jc w:val="center"/>
                    <w:rPr>
                      <w:szCs w:val="21"/>
                    </w:rPr>
                  </w:pPr>
                  <w:r>
                    <w:rPr>
                      <w:szCs w:val="21"/>
                    </w:rPr>
                    <w:t>污染物名称</w:t>
                  </w:r>
                </w:p>
              </w:tc>
              <w:tc>
                <w:tcPr>
                  <w:tcW w:w="1594" w:type="pct"/>
                  <w:vAlign w:val="center"/>
                </w:tcPr>
                <w:p>
                  <w:pPr>
                    <w:jc w:val="center"/>
                    <w:rPr>
                      <w:szCs w:val="21"/>
                    </w:rPr>
                  </w:pPr>
                  <w:r>
                    <w:rPr>
                      <w:szCs w:val="21"/>
                    </w:rPr>
                    <w:t>取值时间</w:t>
                  </w:r>
                </w:p>
              </w:tc>
              <w:tc>
                <w:tcPr>
                  <w:tcW w:w="1990" w:type="pct"/>
                  <w:vAlign w:val="center"/>
                </w:tcPr>
                <w:p>
                  <w:pPr>
                    <w:jc w:val="center"/>
                    <w:rPr>
                      <w:szCs w:val="21"/>
                    </w:rPr>
                  </w:pPr>
                  <w:r>
                    <w:rPr>
                      <w:szCs w:val="21"/>
                    </w:rPr>
                    <w:t>二级标准浓度限值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restart"/>
                  <w:vAlign w:val="center"/>
                </w:tcPr>
                <w:p>
                  <w:pPr>
                    <w:jc w:val="center"/>
                    <w:rPr>
                      <w:szCs w:val="21"/>
                    </w:rPr>
                  </w:pPr>
                  <w:r>
                    <w:rPr>
                      <w:szCs w:val="21"/>
                    </w:rPr>
                    <w:t>总悬浮颗粒物（TSP）</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二氧化硫（SO</w:t>
                  </w:r>
                  <w:r>
                    <w:rPr>
                      <w:szCs w:val="21"/>
                      <w:vertAlign w:val="subscript"/>
                    </w:rPr>
                    <w:t>2</w:t>
                  </w:r>
                  <w:r>
                    <w:rPr>
                      <w:szCs w:val="21"/>
                    </w:rPr>
                    <w:t>）</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二氧化氮（NO</w:t>
                  </w:r>
                  <w:r>
                    <w:rPr>
                      <w:szCs w:val="21"/>
                      <w:vertAlign w:val="subscript"/>
                    </w:rPr>
                    <w:t>2</w:t>
                  </w:r>
                  <w:r>
                    <w:rPr>
                      <w:szCs w:val="21"/>
                    </w:rPr>
                    <w:t>）</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颗粒物（PM10）</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颗粒物（PM2.5）</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restart"/>
                  <w:vAlign w:val="center"/>
                </w:tcPr>
                <w:p>
                  <w:pPr>
                    <w:jc w:val="center"/>
                    <w:rPr>
                      <w:szCs w:val="21"/>
                    </w:rPr>
                  </w:pPr>
                  <w:r>
                    <w:rPr>
                      <w:szCs w:val="21"/>
                    </w:rPr>
                    <w:t>一氧化碳（CO）</w:t>
                  </w:r>
                </w:p>
              </w:tc>
              <w:tc>
                <w:tcPr>
                  <w:tcW w:w="1594" w:type="pct"/>
                  <w:vAlign w:val="center"/>
                </w:tcPr>
                <w:p>
                  <w:pPr>
                    <w:jc w:val="center"/>
                    <w:rPr>
                      <w:szCs w:val="21"/>
                    </w:rPr>
                  </w:pPr>
                  <w:r>
                    <w:rPr>
                      <w:szCs w:val="21"/>
                    </w:rPr>
                    <w:t>24小时平均</w:t>
                  </w:r>
                </w:p>
              </w:tc>
              <w:tc>
                <w:tcPr>
                  <w:tcW w:w="1990" w:type="pct"/>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臭氧（O</w:t>
                  </w:r>
                  <w:r>
                    <w:rPr>
                      <w:szCs w:val="21"/>
                      <w:vertAlign w:val="subscript"/>
                    </w:rPr>
                    <w:t>3</w:t>
                  </w:r>
                  <w:r>
                    <w:rPr>
                      <w:szCs w:val="21"/>
                    </w:rPr>
                    <w:t>）</w:t>
                  </w:r>
                </w:p>
              </w:tc>
              <w:tc>
                <w:tcPr>
                  <w:tcW w:w="1594" w:type="pct"/>
                  <w:vAlign w:val="center"/>
                </w:tcPr>
                <w:p>
                  <w:pPr>
                    <w:jc w:val="center"/>
                    <w:rPr>
                      <w:szCs w:val="21"/>
                    </w:rPr>
                  </w:pPr>
                  <w:r>
                    <w:rPr>
                      <w:szCs w:val="21"/>
                    </w:rPr>
                    <w:t>日最大8小时平均</w:t>
                  </w:r>
                </w:p>
              </w:tc>
              <w:tc>
                <w:tcPr>
                  <w:tcW w:w="1990" w:type="pct"/>
                  <w:vAlign w:val="center"/>
                </w:tcPr>
                <w:p>
                  <w:pPr>
                    <w:jc w:val="center"/>
                    <w:rPr>
                      <w:szCs w:val="21"/>
                    </w:rPr>
                  </w:pPr>
                  <w:r>
                    <w:rPr>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200</w:t>
                  </w:r>
                </w:p>
              </w:tc>
            </w:tr>
          </w:tbl>
          <w:p>
            <w:pPr>
              <w:spacing w:line="360" w:lineRule="auto"/>
              <w:ind w:firstLine="480" w:firstLineChars="200"/>
              <w:rPr>
                <w:rFonts w:hint="eastAsia"/>
                <w:sz w:val="24"/>
              </w:rPr>
            </w:pPr>
            <w:r>
              <w:rPr>
                <w:rFonts w:hint="eastAsia"/>
                <w:sz w:val="24"/>
              </w:rPr>
              <w:t>根据昆明市生态环境局发布的《2022年昆明市生态环境状况公报》，昆明市县（市）区环境空气质量各县（市）区环境空气质量总体保持良好。与2021年相比，安宁市、禄劝县、石林县、嵩明县、富民县、宜良县、寻甸县环境空气综合污染指数有所下降，东川区环境空气综合污染指数有所上升。</w:t>
            </w:r>
          </w:p>
          <w:p>
            <w:pPr>
              <w:spacing w:line="360" w:lineRule="auto"/>
              <w:ind w:firstLine="480" w:firstLineChars="200"/>
              <w:rPr>
                <w:rFonts w:hint="default" w:eastAsia="宋体"/>
                <w:sz w:val="24"/>
                <w:lang w:val="en-US" w:eastAsia="zh-CN"/>
              </w:rPr>
            </w:pPr>
            <w:r>
              <w:rPr>
                <w:rFonts w:hint="eastAsia" w:ascii="Times New Roman" w:hAnsi="Times New Roman" w:eastAsia="宋体"/>
                <w:kern w:val="0"/>
                <w:sz w:val="24"/>
                <w:szCs w:val="24"/>
                <w:lang w:val="en-US" w:eastAsia="zh-CN" w:bidi="ar-SA"/>
              </w:rPr>
              <w:t>项目运营阶段排放的废气特征污染物为颗粒物，</w:t>
            </w:r>
            <w:r>
              <w:rPr>
                <w:rFonts w:hint="eastAsia"/>
                <w:sz w:val="24"/>
                <w:lang w:val="en-US" w:eastAsia="zh-CN"/>
              </w:rPr>
              <w:t>为进一步了解项目所在区域环境空气质量，建设单位委托云南天籁环保科技有限公司于2023年7月19日~7月22日对项目区域下风向500m左右的总悬浮颗粒物（TSP）进行了环境质量现状补充监测，监测情况如下：</w:t>
            </w:r>
          </w:p>
          <w:p>
            <w:pPr>
              <w:spacing w:line="360" w:lineRule="auto"/>
              <w:ind w:firstLine="480" w:firstLineChars="200"/>
              <w:rPr>
                <w:rFonts w:hint="eastAsia"/>
                <w:sz w:val="24"/>
              </w:rPr>
            </w:pPr>
            <w:r>
              <w:rPr>
                <w:rFonts w:hint="eastAsia"/>
                <w:sz w:val="24"/>
              </w:rPr>
              <w:t>监测点位：项目下风向一个点位（G5），</w:t>
            </w:r>
            <w:r>
              <w:rPr>
                <w:rFonts w:hint="eastAsia"/>
                <w:sz w:val="24"/>
                <w:lang w:val="en-US" w:eastAsia="zh-CN"/>
              </w:rPr>
              <w:t>监测点位坐标为：103°3′56″E，26°28′26″N，</w:t>
            </w:r>
            <w:r>
              <w:rPr>
                <w:rFonts w:hint="eastAsia"/>
                <w:sz w:val="24"/>
              </w:rPr>
              <w:t>共1个监测点位；</w:t>
            </w:r>
          </w:p>
          <w:p>
            <w:pPr>
              <w:spacing w:line="360" w:lineRule="auto"/>
              <w:ind w:firstLine="480" w:firstLineChars="200"/>
              <w:rPr>
                <w:rFonts w:hint="eastAsia"/>
                <w:sz w:val="24"/>
              </w:rPr>
            </w:pPr>
            <w:r>
              <w:rPr>
                <w:rFonts w:hint="eastAsia"/>
                <w:sz w:val="24"/>
              </w:rPr>
              <w:t>监测项目：TSP（日均值），共1个监测因子；</w:t>
            </w:r>
          </w:p>
          <w:p>
            <w:pPr>
              <w:spacing w:line="360" w:lineRule="auto"/>
              <w:ind w:firstLine="480" w:firstLineChars="200"/>
              <w:rPr>
                <w:rFonts w:hint="eastAsia"/>
                <w:sz w:val="24"/>
              </w:rPr>
            </w:pPr>
            <w:r>
              <w:rPr>
                <w:rFonts w:hint="eastAsia"/>
                <w:sz w:val="24"/>
              </w:rPr>
              <w:t>监测频率：1次1天，连续测3天；</w:t>
            </w:r>
          </w:p>
          <w:p>
            <w:pPr>
              <w:keepNext w:val="0"/>
              <w:keepLines w:val="0"/>
              <w:pageBreakBefore w:val="0"/>
              <w:widowControl w:val="0"/>
              <w:numPr>
                <w:ilvl w:val="0"/>
                <w:numId w:val="0"/>
              </w:numPr>
              <w:kinsoku/>
              <w:wordWrap/>
              <w:overflowPunct/>
              <w:topLinePunct w:val="0"/>
              <w:autoSpaceDE/>
              <w:autoSpaceDN/>
              <w:bidi w:val="0"/>
              <w:spacing w:line="240" w:lineRule="auto"/>
              <w:jc w:val="center"/>
              <w:textAlignment w:val="auto"/>
              <w:rPr>
                <w:rFonts w:eastAsia="宋体"/>
                <w:b/>
                <w:bCs/>
                <w:sz w:val="21"/>
                <w:szCs w:val="21"/>
              </w:rPr>
            </w:pPr>
            <w:r>
              <w:rPr>
                <w:rFonts w:hint="default" w:ascii="Times New Roman" w:hAnsi="Times New Roman" w:eastAsia="宋体" w:cs="Times New Roman"/>
                <w:b/>
                <w:bCs/>
                <w:color w:val="000000"/>
                <w:sz w:val="21"/>
                <w:szCs w:val="21"/>
                <w:lang w:val="en-US" w:eastAsia="zh-CN"/>
              </w:rPr>
              <w:t>表</w:t>
            </w:r>
            <w:r>
              <w:rPr>
                <w:rFonts w:hint="eastAsia" w:ascii="Times New Roman" w:hAnsi="Times New Roman" w:cs="Times New Roman"/>
                <w:b/>
                <w:bCs/>
                <w:color w:val="000000"/>
                <w:sz w:val="21"/>
                <w:szCs w:val="21"/>
                <w:lang w:val="en-US" w:eastAsia="zh-CN"/>
              </w:rPr>
              <w:t>3-3</w:t>
            </w:r>
            <w:r>
              <w:rPr>
                <w:rFonts w:hint="eastAsia"/>
                <w:b/>
                <w:bCs/>
                <w:color w:val="000000"/>
                <w:sz w:val="21"/>
                <w:szCs w:val="21"/>
                <w:lang w:val="en-US" w:eastAsia="zh-CN"/>
              </w:rPr>
              <w:t xml:space="preserve"> 环境空气</w:t>
            </w:r>
            <w:r>
              <w:rPr>
                <w:rFonts w:hint="eastAsia" w:eastAsia="宋体"/>
                <w:b/>
                <w:bCs/>
                <w:sz w:val="21"/>
                <w:szCs w:val="21"/>
                <w:lang w:eastAsia="zh-CN"/>
              </w:rPr>
              <w:t>检</w:t>
            </w:r>
            <w:r>
              <w:rPr>
                <w:rFonts w:eastAsia="宋体"/>
                <w:b/>
                <w:bCs/>
                <w:sz w:val="21"/>
                <w:szCs w:val="21"/>
              </w:rPr>
              <w:t>测结果表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505"/>
              <w:gridCol w:w="2305"/>
              <w:gridCol w:w="847"/>
              <w:gridCol w:w="1472"/>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0" w:type="pct"/>
                  <w:noWrap w:val="0"/>
                  <w:vAlign w:val="center"/>
                </w:tcPr>
                <w:p>
                  <w:pPr>
                    <w:ind w:right="-101" w:rightChars="-48"/>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检测项目</w:t>
                  </w:r>
                </w:p>
              </w:tc>
              <w:tc>
                <w:tcPr>
                  <w:tcW w:w="961" w:type="pct"/>
                  <w:noWrap w:val="0"/>
                  <w:vAlign w:val="center"/>
                </w:tcPr>
                <w:p>
                  <w:pPr>
                    <w:ind w:right="-101" w:rightChars="-48"/>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监测</w:t>
                  </w:r>
                  <w:r>
                    <w:rPr>
                      <w:rFonts w:hint="default" w:ascii="Times New Roman" w:hAnsi="Times New Roman" w:eastAsia="宋体" w:cs="Times New Roman"/>
                      <w:b w:val="0"/>
                      <w:bCs w:val="0"/>
                      <w:sz w:val="21"/>
                      <w:szCs w:val="21"/>
                    </w:rPr>
                    <w:t>点位</w:t>
                  </w:r>
                </w:p>
                <w:p>
                  <w:pPr>
                    <w:ind w:right="-101" w:rightChars="-48"/>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（经纬度）</w:t>
                  </w:r>
                </w:p>
              </w:tc>
              <w:tc>
                <w:tcPr>
                  <w:tcW w:w="1472" w:type="pct"/>
                  <w:noWrap w:val="0"/>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采样日期</w:t>
                  </w:r>
                </w:p>
              </w:tc>
              <w:tc>
                <w:tcPr>
                  <w:tcW w:w="541" w:type="pct"/>
                  <w:noWrap w:val="0"/>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采样时段</w:t>
                  </w:r>
                </w:p>
              </w:tc>
              <w:tc>
                <w:tcPr>
                  <w:tcW w:w="940" w:type="pct"/>
                  <w:noWrap w:val="0"/>
                  <w:vAlign w:val="center"/>
                </w:tcPr>
                <w:p>
                  <w:pPr>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样品</w:t>
                  </w:r>
                  <w:r>
                    <w:rPr>
                      <w:rFonts w:hint="default" w:ascii="Times New Roman" w:hAnsi="Times New Roman" w:eastAsia="宋体" w:cs="Times New Roman"/>
                      <w:b w:val="0"/>
                      <w:bCs w:val="0"/>
                      <w:sz w:val="21"/>
                      <w:szCs w:val="21"/>
                    </w:rPr>
                    <w:t>编号</w:t>
                  </w:r>
                </w:p>
              </w:tc>
              <w:tc>
                <w:tcPr>
                  <w:tcW w:w="804" w:type="pct"/>
                  <w:noWrap w:val="0"/>
                  <w:vAlign w:val="center"/>
                </w:tcPr>
                <w:p>
                  <w:pPr>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检测结果</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lang w:val="en-US" w:eastAsia="zh-CN"/>
                    </w:rPr>
                    <w:t>m</w:t>
                  </w:r>
                  <w:r>
                    <w:rPr>
                      <w:rFonts w:hint="default" w:ascii="Times New Roman" w:hAnsi="Times New Roman" w:eastAsia="宋体" w:cs="Times New Roman"/>
                      <w:b w:val="0"/>
                      <w:bCs w:val="0"/>
                      <w:sz w:val="21"/>
                      <w:szCs w:val="21"/>
                    </w:rPr>
                    <w:t>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0"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总悬浮颗粒物</w:t>
                  </w:r>
                </w:p>
              </w:tc>
              <w:tc>
                <w:tcPr>
                  <w:tcW w:w="961"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G5：项目下风向（103°3′56″E</w:t>
                  </w:r>
                </w:p>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26°28′26″N）</w:t>
                  </w:r>
                </w:p>
              </w:tc>
              <w:tc>
                <w:tcPr>
                  <w:tcW w:w="147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2023.07.19-2023.07.20</w:t>
                  </w:r>
                </w:p>
              </w:tc>
              <w:tc>
                <w:tcPr>
                  <w:tcW w:w="541" w:type="pct"/>
                  <w:noWrap w:val="0"/>
                  <w:vAlign w:val="center"/>
                </w:tcPr>
                <w:p>
                  <w:pPr>
                    <w:spacing w:line="240" w:lineRule="auto"/>
                    <w:jc w:val="center"/>
                    <w:rPr>
                      <w:rFonts w:hint="default" w:ascii="Times New Roman" w:hAnsi="Times New Roman" w:eastAsia="宋体" w:cs="Times New Roman"/>
                      <w:spacing w:val="-9"/>
                      <w:kern w:val="2"/>
                      <w:sz w:val="21"/>
                      <w:szCs w:val="21"/>
                      <w:lang w:val="en-US" w:eastAsia="zh-CN" w:bidi="ar-SA"/>
                    </w:rPr>
                  </w:pPr>
                  <w:r>
                    <w:rPr>
                      <w:rFonts w:hint="default" w:ascii="Times New Roman" w:hAnsi="Times New Roman" w:eastAsia="宋体" w:cs="Times New Roman"/>
                      <w:color w:val="000000"/>
                      <w:sz w:val="21"/>
                      <w:szCs w:val="21"/>
                      <w:lang w:val="en-US" w:eastAsia="zh-CN"/>
                    </w:rPr>
                    <w:t>09:00~次日09:00</w:t>
                  </w:r>
                </w:p>
              </w:tc>
              <w:tc>
                <w:tcPr>
                  <w:tcW w:w="940" w:type="pc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Q230719M17</w:t>
                  </w:r>
                </w:p>
              </w:tc>
              <w:tc>
                <w:tcPr>
                  <w:tcW w:w="804" w:type="pct"/>
                  <w:noWrap w:val="0"/>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0" w:type="pct"/>
                  <w:vMerge w:val="continue"/>
                  <w:noWrap w:val="0"/>
                  <w:vAlign w:val="center"/>
                </w:tcPr>
                <w:p>
                  <w:pPr>
                    <w:jc w:val="center"/>
                    <w:rPr>
                      <w:rFonts w:hint="default" w:ascii="Times New Roman" w:hAnsi="Times New Roman" w:eastAsia="宋体" w:cs="Times New Roman"/>
                      <w:bCs/>
                      <w:sz w:val="21"/>
                      <w:szCs w:val="21"/>
                    </w:rPr>
                  </w:pPr>
                </w:p>
              </w:tc>
              <w:tc>
                <w:tcPr>
                  <w:tcW w:w="961" w:type="pct"/>
                  <w:vMerge w:val="continue"/>
                  <w:noWrap w:val="0"/>
                  <w:vAlign w:val="center"/>
                </w:tcPr>
                <w:p>
                  <w:pPr>
                    <w:jc w:val="center"/>
                    <w:rPr>
                      <w:rFonts w:hint="default" w:ascii="Times New Roman" w:hAnsi="Times New Roman" w:eastAsia="宋体" w:cs="Times New Roman"/>
                      <w:bCs/>
                      <w:sz w:val="21"/>
                      <w:szCs w:val="21"/>
                    </w:rPr>
                  </w:pPr>
                </w:p>
              </w:tc>
              <w:tc>
                <w:tcPr>
                  <w:tcW w:w="1472"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2023.07.20-2023.07.21</w:t>
                  </w:r>
                </w:p>
              </w:tc>
              <w:tc>
                <w:tcPr>
                  <w:tcW w:w="541" w:type="pct"/>
                  <w:noWrap w:val="0"/>
                  <w:vAlign w:val="center"/>
                </w:tcPr>
                <w:p>
                  <w:pPr>
                    <w:spacing w:line="240" w:lineRule="auto"/>
                    <w:jc w:val="center"/>
                    <w:rPr>
                      <w:rFonts w:hint="default" w:ascii="Times New Roman" w:hAnsi="Times New Roman" w:eastAsia="宋体" w:cs="Times New Roman"/>
                      <w:spacing w:val="-9"/>
                      <w:kern w:val="2"/>
                      <w:sz w:val="21"/>
                      <w:szCs w:val="21"/>
                      <w:lang w:val="en-US" w:eastAsia="zh-CN" w:bidi="ar-SA"/>
                    </w:rPr>
                  </w:pPr>
                  <w:r>
                    <w:rPr>
                      <w:rFonts w:hint="default" w:ascii="Times New Roman" w:hAnsi="Times New Roman" w:eastAsia="宋体" w:cs="Times New Roman"/>
                      <w:color w:val="000000"/>
                      <w:sz w:val="21"/>
                      <w:szCs w:val="21"/>
                      <w:lang w:val="en-US" w:eastAsia="zh-CN"/>
                    </w:rPr>
                    <w:t>09:10~次日09:10</w:t>
                  </w:r>
                </w:p>
              </w:tc>
              <w:tc>
                <w:tcPr>
                  <w:tcW w:w="940" w:type="pct"/>
                  <w:noWrap w:val="0"/>
                  <w:vAlign w:val="center"/>
                </w:tcPr>
                <w:p>
                  <w:pPr>
                    <w:spacing w:line="240" w:lineRule="auto"/>
                    <w:jc w:val="center"/>
                    <w:rPr>
                      <w:rFonts w:hint="default" w:ascii="Times New Roman" w:hAnsi="Times New Roman" w:eastAsia="宋体" w:cs="Times New Roman"/>
                      <w:color w:val="000000"/>
                      <w:kern w:val="0"/>
                      <w:sz w:val="21"/>
                      <w:szCs w:val="21"/>
                      <w:lang w:val="en-US" w:bidi="ar"/>
                    </w:rPr>
                  </w:pPr>
                  <w:r>
                    <w:rPr>
                      <w:rFonts w:hint="default" w:ascii="Times New Roman" w:hAnsi="Times New Roman" w:eastAsia="宋体" w:cs="Times New Roman"/>
                      <w:sz w:val="21"/>
                      <w:szCs w:val="21"/>
                      <w:lang w:val="en-US" w:eastAsia="zh-CN"/>
                    </w:rPr>
                    <w:t>Q230720M17</w:t>
                  </w:r>
                </w:p>
              </w:tc>
              <w:tc>
                <w:tcPr>
                  <w:tcW w:w="804" w:type="pct"/>
                  <w:noWrap w:val="0"/>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0" w:type="pct"/>
                  <w:vMerge w:val="continue"/>
                  <w:noWrap w:val="0"/>
                  <w:vAlign w:val="center"/>
                </w:tcPr>
                <w:p>
                  <w:pPr>
                    <w:jc w:val="center"/>
                    <w:rPr>
                      <w:rFonts w:hint="default" w:ascii="Times New Roman" w:hAnsi="Times New Roman" w:eastAsia="宋体" w:cs="Times New Roman"/>
                      <w:bCs/>
                      <w:sz w:val="21"/>
                      <w:szCs w:val="21"/>
                    </w:rPr>
                  </w:pPr>
                </w:p>
              </w:tc>
              <w:tc>
                <w:tcPr>
                  <w:tcW w:w="961" w:type="pct"/>
                  <w:vMerge w:val="continue"/>
                  <w:noWrap w:val="0"/>
                  <w:vAlign w:val="center"/>
                </w:tcPr>
                <w:p>
                  <w:pPr>
                    <w:jc w:val="center"/>
                    <w:rPr>
                      <w:rFonts w:hint="default" w:ascii="Times New Roman" w:hAnsi="Times New Roman" w:eastAsia="宋体" w:cs="Times New Roman"/>
                      <w:bCs/>
                      <w:sz w:val="21"/>
                      <w:szCs w:val="21"/>
                    </w:rPr>
                  </w:pPr>
                </w:p>
              </w:tc>
              <w:tc>
                <w:tcPr>
                  <w:tcW w:w="1472" w:type="pct"/>
                  <w:noWrap w:val="0"/>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2023.07.21-2023.07.22</w:t>
                  </w:r>
                </w:p>
              </w:tc>
              <w:tc>
                <w:tcPr>
                  <w:tcW w:w="54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pacing w:val="-9"/>
                      <w:kern w:val="2"/>
                      <w:sz w:val="21"/>
                      <w:szCs w:val="21"/>
                      <w:lang w:val="en-US" w:eastAsia="zh-CN" w:bidi="ar-SA"/>
                    </w:rPr>
                  </w:pPr>
                  <w:r>
                    <w:rPr>
                      <w:rFonts w:hint="default" w:ascii="Times New Roman" w:hAnsi="Times New Roman" w:eastAsia="宋体" w:cs="Times New Roman"/>
                      <w:color w:val="000000"/>
                      <w:sz w:val="21"/>
                      <w:szCs w:val="21"/>
                      <w:lang w:val="en-US" w:eastAsia="zh-CN"/>
                    </w:rPr>
                    <w:t>09:20~次日09:20</w:t>
                  </w:r>
                </w:p>
              </w:tc>
              <w:tc>
                <w:tcPr>
                  <w:tcW w:w="940" w:type="pct"/>
                  <w:noWrap w:val="0"/>
                  <w:vAlign w:val="center"/>
                </w:tcPr>
                <w:p>
                  <w:pPr>
                    <w:spacing w:line="240" w:lineRule="auto"/>
                    <w:jc w:val="center"/>
                    <w:rPr>
                      <w:rFonts w:hint="default" w:ascii="Times New Roman" w:hAnsi="Times New Roman" w:eastAsia="宋体" w:cs="Times New Roman"/>
                      <w:color w:val="000000"/>
                      <w:kern w:val="0"/>
                      <w:sz w:val="21"/>
                      <w:szCs w:val="21"/>
                      <w:lang w:val="en-US" w:bidi="ar"/>
                    </w:rPr>
                  </w:pPr>
                  <w:r>
                    <w:rPr>
                      <w:rFonts w:hint="default" w:ascii="Times New Roman" w:hAnsi="Times New Roman" w:eastAsia="宋体" w:cs="Times New Roman"/>
                      <w:sz w:val="21"/>
                      <w:szCs w:val="21"/>
                      <w:lang w:val="en-US" w:eastAsia="zh-CN"/>
                    </w:rPr>
                    <w:t>Q230721M17</w:t>
                  </w:r>
                </w:p>
              </w:tc>
              <w:tc>
                <w:tcPr>
                  <w:tcW w:w="804" w:type="pct"/>
                  <w:noWrap w:val="0"/>
                  <w:vAlign w:val="center"/>
                </w:tcPr>
                <w:p>
                  <w:pPr>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0" w:type="pct"/>
                  <w:noWrap w:val="0"/>
                  <w:vAlign w:val="center"/>
                </w:tcPr>
                <w:p>
                  <w:pPr>
                    <w:tabs>
                      <w:tab w:val="left" w:pos="562"/>
                    </w:tabs>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color w:val="000000"/>
                      <w:sz w:val="21"/>
                      <w:szCs w:val="21"/>
                      <w:highlight w:val="none"/>
                    </w:rPr>
                    <w:t>备注</w:t>
                  </w:r>
                </w:p>
              </w:tc>
              <w:tc>
                <w:tcPr>
                  <w:tcW w:w="4719" w:type="pct"/>
                  <w:gridSpan w:val="5"/>
                  <w:noWrap w:val="0"/>
                  <w:vAlign w:val="center"/>
                </w:tcPr>
                <w:p>
                  <w:pPr>
                    <w:pStyle w:val="35"/>
                    <w:numPr>
                      <w:ilvl w:val="0"/>
                      <w:numId w:val="0"/>
                    </w:numPr>
                    <w:spacing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执行标准：参考《环境空气质量标准》GB</w:t>
                  </w: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-2012表2中二级标准，即总悬浮颗粒物≤0.3</w:t>
                  </w:r>
                  <w:r>
                    <w:rPr>
                      <w:rFonts w:hint="default" w:ascii="Times New Roman" w:hAnsi="Times New Roman" w:eastAsia="宋体" w:cs="Times New Roman"/>
                      <w:i w:val="0"/>
                      <w:caps w:val="0"/>
                      <w:color w:val="000000"/>
                      <w:spacing w:val="0"/>
                      <w:sz w:val="21"/>
                      <w:szCs w:val="21"/>
                      <w:highlight w:val="none"/>
                      <w:shd w:val="clear" w:color="auto" w:fill="FFFFFF"/>
                      <w:lang w:val="en-US" w:eastAsia="zh-CN"/>
                    </w:rPr>
                    <w:t>m</w:t>
                  </w:r>
                  <w:r>
                    <w:rPr>
                      <w:rFonts w:hint="default" w:ascii="Times New Roman" w:hAnsi="Times New Roman" w:eastAsia="宋体" w:cs="Times New Roman"/>
                      <w:i w:val="0"/>
                      <w:caps w:val="0"/>
                      <w:color w:val="000000"/>
                      <w:spacing w:val="0"/>
                      <w:sz w:val="21"/>
                      <w:szCs w:val="21"/>
                      <w:highlight w:val="none"/>
                      <w:shd w:val="clear" w:color="auto" w:fill="FFFFFF"/>
                    </w:rPr>
                    <w:t>g</w:t>
                  </w:r>
                  <w:r>
                    <w:rPr>
                      <w:rFonts w:hint="default" w:ascii="Times New Roman" w:hAnsi="Times New Roman" w:eastAsia="宋体" w:cs="Times New Roman"/>
                      <w:color w:val="000000"/>
                      <w:sz w:val="21"/>
                      <w:szCs w:val="21"/>
                      <w:highlight w:val="none"/>
                    </w:rPr>
                    <w:t>/m</w:t>
                  </w:r>
                  <w:r>
                    <w:rPr>
                      <w:rFonts w:hint="default" w:ascii="Times New Roman" w:hAnsi="Times New Roman" w:eastAsia="宋体" w:cs="Times New Roman"/>
                      <w:color w:val="000000"/>
                      <w:sz w:val="21"/>
                      <w:szCs w:val="21"/>
                      <w:highlight w:val="none"/>
                      <w:vertAlign w:val="superscript"/>
                    </w:rPr>
                    <w:t>3</w:t>
                  </w:r>
                  <w:r>
                    <w:rPr>
                      <w:rFonts w:hint="default" w:ascii="Times New Roman" w:hAnsi="Times New Roman" w:eastAsia="宋体" w:cs="Times New Roman"/>
                      <w:color w:val="000000"/>
                      <w:sz w:val="21"/>
                      <w:szCs w:val="21"/>
                      <w:highlight w:val="none"/>
                      <w:vertAlign w:val="baseline"/>
                      <w:lang w:eastAsia="zh-CN"/>
                    </w:rPr>
                    <w:t>。</w:t>
                  </w:r>
                </w:p>
              </w:tc>
            </w:tr>
          </w:tbl>
          <w:p>
            <w:pPr>
              <w:spacing w:line="360" w:lineRule="auto"/>
              <w:ind w:firstLine="480" w:firstLineChars="200"/>
              <w:rPr>
                <w:sz w:val="24"/>
              </w:rPr>
            </w:pPr>
            <w:r>
              <w:rPr>
                <w:rFonts w:hint="eastAsia"/>
                <w:sz w:val="24"/>
                <w:lang w:val="en-US" w:eastAsia="zh-CN"/>
              </w:rPr>
              <w:t>根据表3-3可知</w:t>
            </w:r>
            <w:r>
              <w:rPr>
                <w:rFonts w:hint="eastAsia"/>
                <w:sz w:val="24"/>
              </w:rPr>
              <w:t>，项目所在的东川区大气环境质量达到《环境空气质量标准》（GB</w:t>
            </w:r>
            <w:r>
              <w:rPr>
                <w:rFonts w:hint="eastAsia"/>
                <w:sz w:val="24"/>
                <w:lang w:eastAsia="zh-CN"/>
              </w:rPr>
              <w:t>****</w:t>
            </w:r>
            <w:r>
              <w:rPr>
                <w:rFonts w:hint="eastAsia"/>
                <w:sz w:val="24"/>
              </w:rPr>
              <w:t>-2012）二级标准要求，为环境空气达标区。</w:t>
            </w:r>
          </w:p>
          <w:p>
            <w:pPr>
              <w:spacing w:line="360" w:lineRule="auto"/>
              <w:rPr>
                <w:b/>
                <w:bCs/>
                <w:sz w:val="24"/>
              </w:rPr>
            </w:pPr>
            <w:r>
              <w:rPr>
                <w:rFonts w:hint="eastAsia"/>
                <w:b/>
                <w:bCs/>
                <w:sz w:val="24"/>
              </w:rPr>
              <w:t>2、地表水环境质量现状</w:t>
            </w:r>
          </w:p>
          <w:p>
            <w:pPr>
              <w:spacing w:line="360" w:lineRule="auto"/>
              <w:ind w:firstLine="480" w:firstLineChars="200"/>
              <w:rPr>
                <w:sz w:val="24"/>
              </w:rPr>
            </w:pPr>
            <w:r>
              <w:rPr>
                <w:rFonts w:hint="eastAsia"/>
                <w:sz w:val="24"/>
              </w:rPr>
              <w:t>项目所在区域涉及地表水为东侧的小江，小江为金沙江一级支流，根据《云南省水功能区划》（2</w:t>
            </w:r>
            <w:r>
              <w:rPr>
                <w:sz w:val="24"/>
              </w:rPr>
              <w:t>014</w:t>
            </w:r>
            <w:r>
              <w:rPr>
                <w:rFonts w:hint="eastAsia"/>
                <w:sz w:val="24"/>
              </w:rPr>
              <w:t>年）知，小江“小江寻甸-东川保留区，2</w:t>
            </w:r>
            <w:r>
              <w:rPr>
                <w:sz w:val="24"/>
              </w:rPr>
              <w:t>020</w:t>
            </w:r>
            <w:r>
              <w:rPr>
                <w:rFonts w:hint="eastAsia"/>
                <w:sz w:val="24"/>
              </w:rPr>
              <w:t>-</w:t>
            </w:r>
            <w:r>
              <w:rPr>
                <w:sz w:val="24"/>
              </w:rPr>
              <w:t>2030</w:t>
            </w:r>
            <w:r>
              <w:rPr>
                <w:rFonts w:hint="eastAsia"/>
                <w:sz w:val="24"/>
              </w:rPr>
              <w:t>年水质目标为Ⅲ类”，执行《地表水环境质量标准》（G</w:t>
            </w:r>
            <w:r>
              <w:rPr>
                <w:sz w:val="24"/>
              </w:rPr>
              <w:t>B</w:t>
            </w:r>
            <w:r>
              <w:rPr>
                <w:rFonts w:hint="eastAsia"/>
                <w:sz w:val="24"/>
                <w:lang w:eastAsia="zh-CN"/>
              </w:rPr>
              <w:t>****</w:t>
            </w:r>
            <w:r>
              <w:rPr>
                <w:rFonts w:hint="eastAsia"/>
                <w:sz w:val="24"/>
              </w:rPr>
              <w:t>-</w:t>
            </w:r>
            <w:r>
              <w:rPr>
                <w:sz w:val="24"/>
              </w:rPr>
              <w:t>2002</w:t>
            </w:r>
            <w:r>
              <w:rPr>
                <w:rFonts w:hint="eastAsia"/>
                <w:sz w:val="24"/>
              </w:rPr>
              <w:t>）Ⅲ类，详见表3-</w:t>
            </w:r>
            <w:r>
              <w:rPr>
                <w:sz w:val="24"/>
              </w:rPr>
              <w:t>3</w:t>
            </w:r>
            <w:r>
              <w:rPr>
                <w:rFonts w:hint="eastAsia"/>
                <w:sz w:val="24"/>
              </w:rPr>
              <w:t>。</w:t>
            </w:r>
          </w:p>
          <w:p>
            <w:pPr>
              <w:spacing w:line="360" w:lineRule="auto"/>
              <w:jc w:val="center"/>
              <w:rPr>
                <w:b/>
                <w:bCs/>
                <w:szCs w:val="21"/>
              </w:rPr>
            </w:pPr>
            <w:r>
              <w:rPr>
                <w:rFonts w:hint="eastAsia"/>
                <w:b/>
                <w:bCs/>
                <w:szCs w:val="21"/>
              </w:rPr>
              <w:t>表3-</w:t>
            </w:r>
            <w:r>
              <w:rPr>
                <w:b/>
                <w:bCs/>
                <w:szCs w:val="21"/>
              </w:rPr>
              <w:t xml:space="preserve">3  </w:t>
            </w:r>
            <w:r>
              <w:rPr>
                <w:rFonts w:hint="eastAsia"/>
                <w:b/>
                <w:bCs/>
                <w:szCs w:val="21"/>
              </w:rPr>
              <w:t xml:space="preserve">地表水环境质量标准基本项目标准限值 </w:t>
            </w:r>
            <w:r>
              <w:rPr>
                <w:b/>
                <w:bCs/>
                <w:szCs w:val="21"/>
              </w:rPr>
              <w:t xml:space="preserve"> </w:t>
            </w:r>
            <w:r>
              <w:rPr>
                <w:rFonts w:hint="eastAsia"/>
                <w:b/>
                <w:bCs/>
                <w:szCs w:val="21"/>
              </w:rPr>
              <w:t>单位：mg</w:t>
            </w:r>
            <w:r>
              <w:rPr>
                <w:b/>
                <w:bCs/>
                <w:szCs w:val="21"/>
              </w:rPr>
              <w:t>/L</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3959"/>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序号</w:t>
                  </w:r>
                </w:p>
              </w:tc>
              <w:tc>
                <w:tcPr>
                  <w:tcW w:w="2529" w:type="pct"/>
                  <w:vAlign w:val="center"/>
                </w:tcPr>
                <w:p>
                  <w:pPr>
                    <w:jc w:val="center"/>
                    <w:rPr>
                      <w:szCs w:val="21"/>
                    </w:rPr>
                  </w:pPr>
                  <w:r>
                    <w:rPr>
                      <w:szCs w:val="21"/>
                    </w:rPr>
                    <w:t>项目</w:t>
                  </w:r>
                </w:p>
              </w:tc>
              <w:tc>
                <w:tcPr>
                  <w:tcW w:w="1666" w:type="pct"/>
                  <w:vAlign w:val="center"/>
                </w:tcPr>
                <w:p>
                  <w:pPr>
                    <w:jc w:val="center"/>
                    <w:rPr>
                      <w:szCs w:val="21"/>
                    </w:rPr>
                  </w:pPr>
                  <w:r>
                    <w:rPr>
                      <w:rFonts w:hint="eastAsia" w:ascii="宋体" w:hAnsi="宋体" w:cs="宋体"/>
                      <w:szCs w:val="21"/>
                    </w:rPr>
                    <w:t>Ⅲ</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w:t>
                  </w:r>
                </w:p>
              </w:tc>
              <w:tc>
                <w:tcPr>
                  <w:tcW w:w="2529" w:type="pct"/>
                  <w:vAlign w:val="center"/>
                </w:tcPr>
                <w:p>
                  <w:pPr>
                    <w:jc w:val="center"/>
                    <w:rPr>
                      <w:szCs w:val="21"/>
                    </w:rPr>
                  </w:pPr>
                  <w:r>
                    <w:rPr>
                      <w:szCs w:val="21"/>
                    </w:rPr>
                    <w:t>pH（无量纲）</w:t>
                  </w:r>
                </w:p>
              </w:tc>
              <w:tc>
                <w:tcPr>
                  <w:tcW w:w="1666" w:type="pct"/>
                  <w:vAlign w:val="center"/>
                </w:tcPr>
                <w:p>
                  <w:pPr>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2</w:t>
                  </w:r>
                </w:p>
              </w:tc>
              <w:tc>
                <w:tcPr>
                  <w:tcW w:w="2529" w:type="pct"/>
                  <w:vAlign w:val="center"/>
                </w:tcPr>
                <w:p>
                  <w:pPr>
                    <w:jc w:val="center"/>
                    <w:rPr>
                      <w:szCs w:val="21"/>
                    </w:rPr>
                  </w:pPr>
                  <w:r>
                    <w:rPr>
                      <w:szCs w:val="21"/>
                    </w:rPr>
                    <w:t>溶解氧≥</w:t>
                  </w:r>
                </w:p>
              </w:tc>
              <w:tc>
                <w:tcPr>
                  <w:tcW w:w="1666" w:type="pct"/>
                  <w:vAlign w:val="center"/>
                </w:tcPr>
                <w:p>
                  <w:pPr>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3</w:t>
                  </w:r>
                </w:p>
              </w:tc>
              <w:tc>
                <w:tcPr>
                  <w:tcW w:w="2529" w:type="pct"/>
                  <w:vAlign w:val="center"/>
                </w:tcPr>
                <w:p>
                  <w:pPr>
                    <w:jc w:val="center"/>
                    <w:rPr>
                      <w:szCs w:val="21"/>
                    </w:rPr>
                  </w:pPr>
                  <w:r>
                    <w:rPr>
                      <w:szCs w:val="21"/>
                    </w:rPr>
                    <w:t>石油类≤</w:t>
                  </w:r>
                </w:p>
              </w:tc>
              <w:tc>
                <w:tcPr>
                  <w:tcW w:w="1666" w:type="pct"/>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4</w:t>
                  </w:r>
                </w:p>
              </w:tc>
              <w:tc>
                <w:tcPr>
                  <w:tcW w:w="2529" w:type="pct"/>
                  <w:vAlign w:val="center"/>
                </w:tcPr>
                <w:p>
                  <w:pPr>
                    <w:jc w:val="center"/>
                    <w:rPr>
                      <w:szCs w:val="21"/>
                    </w:rPr>
                  </w:pPr>
                  <w:r>
                    <w:rPr>
                      <w:szCs w:val="21"/>
                    </w:rPr>
                    <w:t>化学需氧量（COD）</w:t>
                  </w:r>
                </w:p>
              </w:tc>
              <w:tc>
                <w:tcPr>
                  <w:tcW w:w="1666" w:type="pct"/>
                  <w:vAlign w:val="center"/>
                </w:tcPr>
                <w:p>
                  <w:pPr>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5</w:t>
                  </w:r>
                </w:p>
              </w:tc>
              <w:tc>
                <w:tcPr>
                  <w:tcW w:w="2529" w:type="pct"/>
                  <w:vAlign w:val="center"/>
                </w:tcPr>
                <w:p>
                  <w:pPr>
                    <w:jc w:val="center"/>
                    <w:rPr>
                      <w:szCs w:val="21"/>
                    </w:rPr>
                  </w:pPr>
                  <w:r>
                    <w:rPr>
                      <w:szCs w:val="21"/>
                    </w:rPr>
                    <w:t>五日生化需氧量（BOD）</w:t>
                  </w:r>
                </w:p>
              </w:tc>
              <w:tc>
                <w:tcPr>
                  <w:tcW w:w="1666" w:type="pct"/>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6</w:t>
                  </w:r>
                </w:p>
              </w:tc>
              <w:tc>
                <w:tcPr>
                  <w:tcW w:w="2529" w:type="pct"/>
                  <w:vAlign w:val="center"/>
                </w:tcPr>
                <w:p>
                  <w:pPr>
                    <w:jc w:val="center"/>
                    <w:rPr>
                      <w:szCs w:val="21"/>
                    </w:rPr>
                  </w:pPr>
                  <w:r>
                    <w:rPr>
                      <w:szCs w:val="21"/>
                    </w:rPr>
                    <w:t>氨氮（NH</w:t>
                  </w:r>
                  <w:r>
                    <w:rPr>
                      <w:szCs w:val="21"/>
                      <w:vertAlign w:val="subscript"/>
                    </w:rPr>
                    <w:t>3</w:t>
                  </w:r>
                  <w:r>
                    <w:rPr>
                      <w:szCs w:val="21"/>
                    </w:rPr>
                    <w:t>-N）</w:t>
                  </w:r>
                </w:p>
              </w:tc>
              <w:tc>
                <w:tcPr>
                  <w:tcW w:w="1666"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7</w:t>
                  </w:r>
                </w:p>
              </w:tc>
              <w:tc>
                <w:tcPr>
                  <w:tcW w:w="2529" w:type="pct"/>
                  <w:vAlign w:val="center"/>
                </w:tcPr>
                <w:p>
                  <w:pPr>
                    <w:jc w:val="center"/>
                    <w:rPr>
                      <w:szCs w:val="21"/>
                    </w:rPr>
                  </w:pPr>
                  <w:r>
                    <w:rPr>
                      <w:szCs w:val="21"/>
                    </w:rPr>
                    <w:t>总磷（以P计）</w:t>
                  </w:r>
                </w:p>
              </w:tc>
              <w:tc>
                <w:tcPr>
                  <w:tcW w:w="1666" w:type="pct"/>
                  <w:vAlign w:val="center"/>
                </w:tcPr>
                <w:p>
                  <w:pPr>
                    <w:jc w:val="center"/>
                    <w:rPr>
                      <w:szCs w:val="21"/>
                    </w:rPr>
                  </w:pPr>
                  <w:r>
                    <w:rPr>
                      <w:szCs w:val="21"/>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8</w:t>
                  </w:r>
                </w:p>
              </w:tc>
              <w:tc>
                <w:tcPr>
                  <w:tcW w:w="2529" w:type="pct"/>
                  <w:vAlign w:val="center"/>
                </w:tcPr>
                <w:p>
                  <w:pPr>
                    <w:jc w:val="center"/>
                    <w:rPr>
                      <w:szCs w:val="21"/>
                    </w:rPr>
                  </w:pPr>
                  <w:r>
                    <w:rPr>
                      <w:szCs w:val="21"/>
                    </w:rPr>
                    <w:t>粪大肠杆菌群（个/L）</w:t>
                  </w:r>
                </w:p>
              </w:tc>
              <w:tc>
                <w:tcPr>
                  <w:tcW w:w="1666" w:type="pct"/>
                  <w:vAlign w:val="center"/>
                </w:tcPr>
                <w:p>
                  <w:pPr>
                    <w:jc w:val="center"/>
                    <w:rPr>
                      <w:szCs w:val="21"/>
                    </w:rPr>
                  </w:pPr>
                  <w:r>
                    <w:rPr>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9</w:t>
                  </w:r>
                </w:p>
              </w:tc>
              <w:tc>
                <w:tcPr>
                  <w:tcW w:w="2529" w:type="pct"/>
                  <w:vAlign w:val="center"/>
                </w:tcPr>
                <w:p>
                  <w:pPr>
                    <w:jc w:val="center"/>
                    <w:rPr>
                      <w:szCs w:val="21"/>
                    </w:rPr>
                  </w:pPr>
                  <w:r>
                    <w:rPr>
                      <w:szCs w:val="21"/>
                    </w:rPr>
                    <w:t>阴离子表面活性剂</w:t>
                  </w:r>
                </w:p>
              </w:tc>
              <w:tc>
                <w:tcPr>
                  <w:tcW w:w="1666" w:type="pct"/>
                  <w:vAlign w:val="center"/>
                </w:tcPr>
                <w:p>
                  <w:pPr>
                    <w:jc w:val="center"/>
                    <w:rPr>
                      <w:szCs w:val="21"/>
                    </w:rPr>
                  </w:pPr>
                  <w:r>
                    <w:rPr>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10</w:t>
                  </w:r>
                </w:p>
              </w:tc>
              <w:tc>
                <w:tcPr>
                  <w:tcW w:w="2529" w:type="pct"/>
                  <w:vAlign w:val="center"/>
                </w:tcPr>
                <w:p>
                  <w:pPr>
                    <w:jc w:val="center"/>
                    <w:rPr>
                      <w:szCs w:val="21"/>
                    </w:rPr>
                  </w:pPr>
                  <w:r>
                    <w:rPr>
                      <w:szCs w:val="21"/>
                    </w:rPr>
                    <w:t>高锰酸盐指数</w:t>
                  </w:r>
                </w:p>
              </w:tc>
              <w:tc>
                <w:tcPr>
                  <w:tcW w:w="1666" w:type="pct"/>
                  <w:vAlign w:val="center"/>
                </w:tcPr>
                <w:p>
                  <w:pPr>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11</w:t>
                  </w:r>
                </w:p>
              </w:tc>
              <w:tc>
                <w:tcPr>
                  <w:tcW w:w="2529" w:type="pct"/>
                  <w:vAlign w:val="center"/>
                </w:tcPr>
                <w:p>
                  <w:pPr>
                    <w:jc w:val="center"/>
                    <w:rPr>
                      <w:szCs w:val="21"/>
                    </w:rPr>
                  </w:pPr>
                  <w:r>
                    <w:rPr>
                      <w:szCs w:val="21"/>
                    </w:rPr>
                    <w:t>氟化物</w:t>
                  </w:r>
                </w:p>
              </w:tc>
              <w:tc>
                <w:tcPr>
                  <w:tcW w:w="1666"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12</w:t>
                  </w:r>
                </w:p>
              </w:tc>
              <w:tc>
                <w:tcPr>
                  <w:tcW w:w="2529" w:type="pct"/>
                  <w:vAlign w:val="center"/>
                </w:tcPr>
                <w:p>
                  <w:pPr>
                    <w:jc w:val="center"/>
                    <w:rPr>
                      <w:szCs w:val="21"/>
                    </w:rPr>
                  </w:pPr>
                  <w:r>
                    <w:rPr>
                      <w:szCs w:val="21"/>
                    </w:rPr>
                    <w:t>挥发酚</w:t>
                  </w:r>
                </w:p>
              </w:tc>
              <w:tc>
                <w:tcPr>
                  <w:tcW w:w="1666" w:type="pct"/>
                  <w:vAlign w:val="center"/>
                </w:tcPr>
                <w:p>
                  <w:pPr>
                    <w:jc w:val="center"/>
                    <w:rPr>
                      <w:szCs w:val="21"/>
                    </w:rPr>
                  </w:pPr>
                  <w:r>
                    <w:rPr>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13</w:t>
                  </w:r>
                </w:p>
              </w:tc>
              <w:tc>
                <w:tcPr>
                  <w:tcW w:w="2529" w:type="pct"/>
                  <w:vAlign w:val="center"/>
                </w:tcPr>
                <w:p>
                  <w:pPr>
                    <w:jc w:val="center"/>
                    <w:rPr>
                      <w:szCs w:val="21"/>
                    </w:rPr>
                  </w:pPr>
                  <w:r>
                    <w:rPr>
                      <w:szCs w:val="21"/>
                    </w:rPr>
                    <w:t>硫化物</w:t>
                  </w:r>
                </w:p>
              </w:tc>
              <w:tc>
                <w:tcPr>
                  <w:tcW w:w="1666" w:type="pct"/>
                  <w:vAlign w:val="center"/>
                </w:tcPr>
                <w:p>
                  <w:pPr>
                    <w:jc w:val="center"/>
                    <w:rPr>
                      <w:szCs w:val="21"/>
                    </w:rPr>
                  </w:pPr>
                  <w:r>
                    <w:rPr>
                      <w:szCs w:val="21"/>
                    </w:rPr>
                    <w:t>0.2</w:t>
                  </w:r>
                </w:p>
              </w:tc>
            </w:tr>
          </w:tbl>
          <w:p>
            <w:pPr>
              <w:spacing w:line="360" w:lineRule="auto"/>
              <w:ind w:firstLine="480" w:firstLineChars="200"/>
              <w:rPr>
                <w:sz w:val="24"/>
              </w:rPr>
            </w:pPr>
            <w:r>
              <w:rPr>
                <w:rFonts w:hint="eastAsia"/>
                <w:sz w:val="24"/>
              </w:rPr>
              <w:t>根据《2</w:t>
            </w:r>
            <w:r>
              <w:rPr>
                <w:sz w:val="24"/>
              </w:rPr>
              <w:t>02</w:t>
            </w:r>
            <w:r>
              <w:rPr>
                <w:rFonts w:hint="eastAsia"/>
                <w:sz w:val="24"/>
                <w:lang w:val="en-US" w:eastAsia="zh-CN"/>
              </w:rPr>
              <w:t>2</w:t>
            </w:r>
            <w:r>
              <w:rPr>
                <w:rFonts w:hint="eastAsia"/>
                <w:sz w:val="24"/>
              </w:rPr>
              <w:t>昆明市生态环境状况公报》，小江与2</w:t>
            </w:r>
            <w:r>
              <w:rPr>
                <w:sz w:val="24"/>
              </w:rPr>
              <w:t>02</w:t>
            </w:r>
            <w:r>
              <w:rPr>
                <w:rFonts w:hint="eastAsia"/>
                <w:sz w:val="24"/>
                <w:lang w:val="en-US" w:eastAsia="zh-CN"/>
              </w:rPr>
              <w:t>1</w:t>
            </w:r>
            <w:r>
              <w:rPr>
                <w:rFonts w:hint="eastAsia"/>
                <w:sz w:val="24"/>
              </w:rPr>
              <w:t>年相比，四级站断面</w:t>
            </w:r>
            <w:r>
              <w:rPr>
                <w:rFonts w:hint="eastAsia"/>
                <w:sz w:val="24"/>
                <w:lang w:eastAsia="zh-CN"/>
              </w:rPr>
              <w:t>、</w:t>
            </w:r>
            <w:r>
              <w:rPr>
                <w:rFonts w:hint="eastAsia"/>
                <w:sz w:val="24"/>
              </w:rPr>
              <w:t>阿旺（姑海）断面水质类别保持Ⅱ类不变。</w:t>
            </w:r>
          </w:p>
          <w:p>
            <w:pPr>
              <w:spacing w:line="360" w:lineRule="auto"/>
              <w:ind w:firstLine="480" w:firstLineChars="200"/>
              <w:rPr>
                <w:sz w:val="24"/>
              </w:rPr>
            </w:pPr>
            <w:r>
              <w:rPr>
                <w:rFonts w:hint="eastAsia"/>
                <w:sz w:val="24"/>
              </w:rPr>
              <w:t>因此项目区域地表水环境能满足《地表水环境质量标准》（G</w:t>
            </w:r>
            <w:r>
              <w:rPr>
                <w:sz w:val="24"/>
              </w:rPr>
              <w:t>B</w:t>
            </w:r>
            <w:r>
              <w:rPr>
                <w:rFonts w:hint="eastAsia"/>
                <w:sz w:val="24"/>
                <w:lang w:eastAsia="zh-CN"/>
              </w:rPr>
              <w:t>****</w:t>
            </w:r>
            <w:r>
              <w:rPr>
                <w:rFonts w:hint="eastAsia"/>
                <w:sz w:val="24"/>
              </w:rPr>
              <w:t>-</w:t>
            </w:r>
            <w:r>
              <w:rPr>
                <w:sz w:val="24"/>
              </w:rPr>
              <w:t>2002</w:t>
            </w:r>
            <w:r>
              <w:rPr>
                <w:rFonts w:hint="eastAsia"/>
                <w:sz w:val="24"/>
              </w:rPr>
              <w:t>）Ⅲ类水质要求。</w:t>
            </w:r>
          </w:p>
          <w:p>
            <w:pPr>
              <w:spacing w:line="360" w:lineRule="auto"/>
              <w:rPr>
                <w:b/>
                <w:bCs/>
                <w:sz w:val="24"/>
              </w:rPr>
            </w:pPr>
            <w:r>
              <w:rPr>
                <w:rFonts w:hint="eastAsia"/>
                <w:b/>
                <w:bCs/>
                <w:sz w:val="24"/>
              </w:rPr>
              <w:t>3、声环境质量现状</w:t>
            </w:r>
          </w:p>
          <w:p>
            <w:pPr>
              <w:spacing w:line="360" w:lineRule="auto"/>
              <w:ind w:firstLine="480" w:firstLineChars="200"/>
              <w:rPr>
                <w:sz w:val="24"/>
              </w:rPr>
            </w:pPr>
            <w:r>
              <w:rPr>
                <w:rFonts w:hint="eastAsia"/>
                <w:sz w:val="24"/>
              </w:rPr>
              <w:t>根据《声环境质量标准》（G</w:t>
            </w:r>
            <w:r>
              <w:rPr>
                <w:sz w:val="24"/>
              </w:rPr>
              <w:t>B</w:t>
            </w:r>
            <w:r>
              <w:rPr>
                <w:rFonts w:hint="eastAsia"/>
                <w:sz w:val="24"/>
                <w:lang w:eastAsia="zh-CN"/>
              </w:rPr>
              <w:t>****</w:t>
            </w:r>
            <w:r>
              <w:rPr>
                <w:sz w:val="24"/>
              </w:rPr>
              <w:t>-2008</w:t>
            </w:r>
            <w:r>
              <w:rPr>
                <w:rFonts w:hint="eastAsia"/>
                <w:sz w:val="24"/>
              </w:rPr>
              <w:t>）中声环境功能区分类，根据东川声功能区划，建设项目所在区域属于</w:t>
            </w:r>
            <w:r>
              <w:rPr>
                <w:sz w:val="24"/>
              </w:rPr>
              <w:t>2</w:t>
            </w:r>
            <w:r>
              <w:rPr>
                <w:rFonts w:hint="eastAsia"/>
                <w:sz w:val="24"/>
              </w:rPr>
              <w:t>类声环境功能区，执行《声环境质量标准》（</w:t>
            </w:r>
            <w:r>
              <w:rPr>
                <w:sz w:val="24"/>
              </w:rPr>
              <w:t>GB</w:t>
            </w:r>
            <w:r>
              <w:rPr>
                <w:rFonts w:hint="eastAsia"/>
                <w:sz w:val="24"/>
                <w:lang w:eastAsia="zh-CN"/>
              </w:rPr>
              <w:t>****</w:t>
            </w:r>
            <w:r>
              <w:rPr>
                <w:sz w:val="24"/>
              </w:rPr>
              <w:t>-2008</w:t>
            </w:r>
            <w:r>
              <w:rPr>
                <w:rFonts w:hint="eastAsia"/>
                <w:sz w:val="24"/>
              </w:rPr>
              <w:t>）2类标准，根据现场调查，本项目厂界外东侧3</w:t>
            </w:r>
            <w:r>
              <w:rPr>
                <w:sz w:val="24"/>
              </w:rPr>
              <w:t>5m</w:t>
            </w:r>
            <w:r>
              <w:rPr>
                <w:rFonts w:hint="eastAsia"/>
                <w:sz w:val="24"/>
              </w:rPr>
              <w:t>有8户格勒村小坡组散户，执行《声环境质量标准》（</w:t>
            </w:r>
            <w:r>
              <w:rPr>
                <w:sz w:val="24"/>
              </w:rPr>
              <w:t>GB</w:t>
            </w:r>
            <w:r>
              <w:rPr>
                <w:rFonts w:hint="eastAsia"/>
                <w:sz w:val="24"/>
                <w:lang w:eastAsia="zh-CN"/>
              </w:rPr>
              <w:t>****</w:t>
            </w:r>
            <w:r>
              <w:rPr>
                <w:sz w:val="24"/>
              </w:rPr>
              <w:t>-2008</w:t>
            </w:r>
            <w:r>
              <w:rPr>
                <w:rFonts w:hint="eastAsia"/>
                <w:sz w:val="24"/>
              </w:rPr>
              <w:t>）2类标准，具体标准限值见表3-</w:t>
            </w:r>
            <w:r>
              <w:rPr>
                <w:sz w:val="24"/>
              </w:rPr>
              <w:t>4</w:t>
            </w:r>
            <w:r>
              <w:rPr>
                <w:rFonts w:hint="eastAsia"/>
                <w:sz w:val="24"/>
              </w:rPr>
              <w:t>。</w:t>
            </w:r>
          </w:p>
          <w:p>
            <w:pPr>
              <w:spacing w:line="360" w:lineRule="auto"/>
              <w:jc w:val="center"/>
              <w:rPr>
                <w:b/>
                <w:bCs/>
                <w:szCs w:val="21"/>
              </w:rPr>
            </w:pPr>
            <w:r>
              <w:rPr>
                <w:rFonts w:hint="eastAsia"/>
                <w:b/>
                <w:bCs/>
                <w:szCs w:val="21"/>
              </w:rPr>
              <w:t>表3-</w:t>
            </w:r>
            <w:r>
              <w:rPr>
                <w:b/>
                <w:bCs/>
                <w:szCs w:val="21"/>
              </w:rPr>
              <w:t xml:space="preserve">4  </w:t>
            </w:r>
            <w:r>
              <w:rPr>
                <w:rFonts w:hint="eastAsia"/>
                <w:b/>
                <w:bCs/>
                <w:szCs w:val="21"/>
              </w:rPr>
              <w:t xml:space="preserve">声环境质量标准 </w:t>
            </w:r>
            <w:r>
              <w:rPr>
                <w:b/>
                <w:bCs/>
                <w:szCs w:val="21"/>
              </w:rPr>
              <w:t xml:space="preserve"> </w:t>
            </w:r>
            <w:r>
              <w:rPr>
                <w:rFonts w:hint="eastAsia"/>
                <w:b/>
                <w:bCs/>
                <w:szCs w:val="21"/>
              </w:rPr>
              <w:t>单位：d</w:t>
            </w:r>
            <w:r>
              <w:rPr>
                <w:b/>
                <w:bCs/>
                <w:szCs w:val="21"/>
              </w:rPr>
              <w:t>B</w:t>
            </w:r>
            <w:r>
              <w:rPr>
                <w:rFonts w:hint="eastAsia"/>
                <w:b/>
                <w:bCs/>
                <w:szCs w:val="21"/>
              </w:rPr>
              <w:t>（A）</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8"/>
              <w:gridCol w:w="2609"/>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5" w:type="dxa"/>
                  <w:vMerge w:val="restart"/>
                  <w:vAlign w:val="center"/>
                </w:tcPr>
                <w:p>
                  <w:pPr>
                    <w:jc w:val="center"/>
                    <w:rPr>
                      <w:szCs w:val="21"/>
                    </w:rPr>
                  </w:pPr>
                  <w:r>
                    <w:rPr>
                      <w:szCs w:val="21"/>
                    </w:rPr>
                    <w:t>类别</w:t>
                  </w:r>
                </w:p>
              </w:tc>
              <w:tc>
                <w:tcPr>
                  <w:tcW w:w="6612" w:type="dxa"/>
                  <w:gridSpan w:val="2"/>
                  <w:vAlign w:val="center"/>
                </w:tcPr>
                <w:p>
                  <w:pPr>
                    <w:jc w:val="center"/>
                    <w:rPr>
                      <w:szCs w:val="21"/>
                    </w:rPr>
                  </w:pPr>
                  <w:r>
                    <w:rPr>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5" w:type="dxa"/>
                  <w:vMerge w:val="continue"/>
                  <w:vAlign w:val="center"/>
                </w:tcPr>
                <w:p>
                  <w:pPr>
                    <w:jc w:val="center"/>
                    <w:rPr>
                      <w:szCs w:val="21"/>
                    </w:rPr>
                  </w:pPr>
                </w:p>
              </w:tc>
              <w:tc>
                <w:tcPr>
                  <w:tcW w:w="3306" w:type="dxa"/>
                  <w:vAlign w:val="center"/>
                </w:tcPr>
                <w:p>
                  <w:pPr>
                    <w:jc w:val="center"/>
                    <w:rPr>
                      <w:szCs w:val="21"/>
                    </w:rPr>
                  </w:pPr>
                  <w:r>
                    <w:rPr>
                      <w:szCs w:val="21"/>
                    </w:rPr>
                    <w:t>昼间</w:t>
                  </w:r>
                </w:p>
              </w:tc>
              <w:tc>
                <w:tcPr>
                  <w:tcW w:w="3306"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5" w:type="dxa"/>
                  <w:vAlign w:val="center"/>
                </w:tcPr>
                <w:p>
                  <w:pPr>
                    <w:jc w:val="center"/>
                    <w:rPr>
                      <w:szCs w:val="21"/>
                    </w:rPr>
                  </w:pPr>
                  <w:r>
                    <w:rPr>
                      <w:szCs w:val="21"/>
                    </w:rPr>
                    <w:t>2类</w:t>
                  </w:r>
                </w:p>
              </w:tc>
              <w:tc>
                <w:tcPr>
                  <w:tcW w:w="3306" w:type="dxa"/>
                  <w:vAlign w:val="center"/>
                </w:tcPr>
                <w:p>
                  <w:pPr>
                    <w:jc w:val="center"/>
                    <w:rPr>
                      <w:szCs w:val="21"/>
                    </w:rPr>
                  </w:pPr>
                  <w:r>
                    <w:rPr>
                      <w:szCs w:val="21"/>
                    </w:rPr>
                    <w:t>60</w:t>
                  </w:r>
                </w:p>
              </w:tc>
              <w:tc>
                <w:tcPr>
                  <w:tcW w:w="3306" w:type="dxa"/>
                  <w:vAlign w:val="center"/>
                </w:tcPr>
                <w:p>
                  <w:pPr>
                    <w:jc w:val="center"/>
                    <w:rPr>
                      <w:szCs w:val="21"/>
                    </w:rPr>
                  </w:pPr>
                  <w:r>
                    <w:rPr>
                      <w:szCs w:val="21"/>
                    </w:rPr>
                    <w:t>50</w:t>
                  </w:r>
                </w:p>
              </w:tc>
            </w:tr>
          </w:tbl>
          <w:p>
            <w:pPr>
              <w:spacing w:line="360" w:lineRule="auto"/>
              <w:ind w:firstLine="480" w:firstLineChars="200"/>
              <w:rPr>
                <w:sz w:val="24"/>
              </w:rPr>
            </w:pPr>
            <w:r>
              <w:rPr>
                <w:sz w:val="24"/>
              </w:rPr>
              <w:t>为了解项目所在地声环境质量现状，建设单位委托云南天籁环保科技有限公司于</w:t>
            </w:r>
            <w:r>
              <w:rPr>
                <w:color w:val="000000" w:themeColor="text1"/>
                <w:sz w:val="24"/>
                <w14:textFill>
                  <w14:solidFill>
                    <w14:schemeClr w14:val="tx1"/>
                  </w14:solidFill>
                </w14:textFill>
              </w:rPr>
              <w:t>2022年08月24日-25日</w:t>
            </w:r>
            <w:r>
              <w:rPr>
                <w:sz w:val="24"/>
              </w:rPr>
              <w:t>对项目区厂界四周声环境质量现状进行检测，监测结果见下表，监测报告见附件</w:t>
            </w:r>
            <w:r>
              <w:rPr>
                <w:rFonts w:hint="eastAsia"/>
                <w:sz w:val="24"/>
                <w:lang w:val="en-US" w:eastAsia="zh-CN"/>
              </w:rPr>
              <w:t>9</w:t>
            </w:r>
            <w:r>
              <w:rPr>
                <w:sz w:val="24"/>
              </w:rPr>
              <w:t>，监测点位详见附图</w:t>
            </w:r>
            <w:r>
              <w:rPr>
                <w:rFonts w:hint="eastAsia"/>
                <w:sz w:val="24"/>
              </w:rPr>
              <w:t>5</w:t>
            </w:r>
            <w:r>
              <w:rPr>
                <w:sz w:val="24"/>
              </w:rPr>
              <w:t>。</w:t>
            </w:r>
          </w:p>
          <w:p>
            <w:pPr>
              <w:spacing w:line="360" w:lineRule="auto"/>
              <w:jc w:val="center"/>
              <w:rPr>
                <w:b/>
                <w:bCs/>
                <w:szCs w:val="21"/>
              </w:rPr>
            </w:pPr>
            <w:r>
              <w:rPr>
                <w:rFonts w:hint="eastAsia"/>
                <w:b/>
                <w:bCs/>
                <w:szCs w:val="21"/>
              </w:rPr>
              <w:t>表3-</w:t>
            </w:r>
            <w:r>
              <w:rPr>
                <w:b/>
                <w:bCs/>
                <w:szCs w:val="21"/>
              </w:rPr>
              <w:t xml:space="preserve">5  </w:t>
            </w:r>
            <w:r>
              <w:rPr>
                <w:rFonts w:hint="eastAsia"/>
                <w:b/>
                <w:bCs/>
                <w:szCs w:val="21"/>
              </w:rPr>
              <w:t xml:space="preserve">声环境质量监测结果一览表 </w:t>
            </w:r>
            <w:r>
              <w:rPr>
                <w:b/>
                <w:bCs/>
                <w:szCs w:val="21"/>
              </w:rPr>
              <w:t xml:space="preserve"> </w:t>
            </w:r>
            <w:r>
              <w:rPr>
                <w:rFonts w:hint="eastAsia"/>
                <w:b/>
                <w:bCs/>
                <w:szCs w:val="21"/>
              </w:rPr>
              <w:t>单位：d</w:t>
            </w:r>
            <w:r>
              <w:rPr>
                <w:b/>
                <w:bCs/>
                <w:szCs w:val="21"/>
              </w:rPr>
              <w:t>B</w:t>
            </w:r>
            <w:r>
              <w:rPr>
                <w:rFonts w:hint="eastAsia"/>
                <w:b/>
                <w:bCs/>
                <w:szCs w:val="21"/>
              </w:rPr>
              <w:t>（A）</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489"/>
              <w:gridCol w:w="1190"/>
              <w:gridCol w:w="1279"/>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Align w:val="center"/>
                </w:tcPr>
                <w:p>
                  <w:pPr>
                    <w:spacing w:line="360" w:lineRule="auto"/>
                    <w:jc w:val="center"/>
                    <w:rPr>
                      <w:b/>
                      <w:bCs/>
                      <w:szCs w:val="21"/>
                    </w:rPr>
                  </w:pPr>
                  <w:r>
                    <w:rPr>
                      <w:rFonts w:hint="eastAsia"/>
                      <w:b/>
                      <w:bCs/>
                      <w:szCs w:val="21"/>
                    </w:rPr>
                    <w:t>检测时间</w:t>
                  </w:r>
                </w:p>
              </w:tc>
              <w:tc>
                <w:tcPr>
                  <w:tcW w:w="951" w:type="pct"/>
                  <w:vAlign w:val="center"/>
                </w:tcPr>
                <w:p>
                  <w:pPr>
                    <w:spacing w:line="360" w:lineRule="auto"/>
                    <w:jc w:val="center"/>
                    <w:rPr>
                      <w:b/>
                      <w:bCs/>
                      <w:szCs w:val="21"/>
                    </w:rPr>
                  </w:pPr>
                  <w:r>
                    <w:rPr>
                      <w:rFonts w:hint="eastAsia"/>
                      <w:b/>
                      <w:bCs/>
                      <w:szCs w:val="21"/>
                    </w:rPr>
                    <w:t>检测点位</w:t>
                  </w:r>
                </w:p>
              </w:tc>
              <w:tc>
                <w:tcPr>
                  <w:tcW w:w="760" w:type="pct"/>
                  <w:vAlign w:val="center"/>
                </w:tcPr>
                <w:p>
                  <w:pPr>
                    <w:spacing w:line="360" w:lineRule="auto"/>
                    <w:jc w:val="center"/>
                    <w:rPr>
                      <w:b/>
                      <w:bCs/>
                      <w:szCs w:val="21"/>
                    </w:rPr>
                  </w:pPr>
                  <w:r>
                    <w:rPr>
                      <w:rFonts w:hint="eastAsia"/>
                      <w:b/>
                      <w:bCs/>
                      <w:szCs w:val="21"/>
                    </w:rPr>
                    <w:t>昼间</w:t>
                  </w:r>
                </w:p>
              </w:tc>
              <w:tc>
                <w:tcPr>
                  <w:tcW w:w="817" w:type="pct"/>
                  <w:vAlign w:val="center"/>
                </w:tcPr>
                <w:p>
                  <w:pPr>
                    <w:spacing w:line="360" w:lineRule="auto"/>
                    <w:jc w:val="center"/>
                    <w:rPr>
                      <w:b/>
                      <w:bCs/>
                      <w:szCs w:val="21"/>
                    </w:rPr>
                  </w:pPr>
                  <w:r>
                    <w:rPr>
                      <w:rFonts w:hint="eastAsia"/>
                      <w:b/>
                      <w:bCs/>
                      <w:szCs w:val="21"/>
                    </w:rPr>
                    <w:t>夜间</w:t>
                  </w:r>
                </w:p>
              </w:tc>
              <w:tc>
                <w:tcPr>
                  <w:tcW w:w="1137" w:type="pct"/>
                </w:tcPr>
                <w:p>
                  <w:pPr>
                    <w:spacing w:line="360" w:lineRule="auto"/>
                    <w:jc w:val="center"/>
                    <w:rPr>
                      <w:b/>
                      <w:bCs/>
                      <w:szCs w:val="21"/>
                    </w:rPr>
                  </w:pPr>
                  <w:r>
                    <w:rPr>
                      <w:rFonts w:hint="eastAsia"/>
                      <w:b/>
                      <w:bCs/>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restart"/>
                  <w:vAlign w:val="center"/>
                </w:tcPr>
                <w:p>
                  <w:pPr>
                    <w:spacing w:line="360" w:lineRule="auto"/>
                    <w:jc w:val="center"/>
                    <w:rPr>
                      <w:b/>
                      <w:bCs/>
                      <w:szCs w:val="21"/>
                    </w:rPr>
                  </w:pPr>
                  <w:r>
                    <w:rPr>
                      <w:rFonts w:hint="eastAsia"/>
                      <w:b/>
                      <w:bCs/>
                      <w:szCs w:val="21"/>
                    </w:rPr>
                    <w:t>2</w:t>
                  </w:r>
                  <w:r>
                    <w:rPr>
                      <w:b/>
                      <w:bCs/>
                      <w:szCs w:val="21"/>
                    </w:rPr>
                    <w:t>022.8.24</w:t>
                  </w:r>
                </w:p>
              </w:tc>
              <w:tc>
                <w:tcPr>
                  <w:tcW w:w="951" w:type="pct"/>
                  <w:vAlign w:val="center"/>
                </w:tcPr>
                <w:p>
                  <w:pPr>
                    <w:spacing w:line="360" w:lineRule="auto"/>
                    <w:jc w:val="center"/>
                    <w:rPr>
                      <w:szCs w:val="21"/>
                    </w:rPr>
                  </w:pPr>
                  <w:r>
                    <w:rPr>
                      <w:rFonts w:hint="eastAsia"/>
                      <w:szCs w:val="21"/>
                    </w:rPr>
                    <w:t>厂界东侧</w:t>
                  </w:r>
                </w:p>
              </w:tc>
              <w:tc>
                <w:tcPr>
                  <w:tcW w:w="760" w:type="pct"/>
                  <w:vAlign w:val="center"/>
                </w:tcPr>
                <w:p>
                  <w:pPr>
                    <w:spacing w:line="360" w:lineRule="auto"/>
                    <w:jc w:val="center"/>
                    <w:rPr>
                      <w:szCs w:val="21"/>
                    </w:rPr>
                  </w:pPr>
                  <w:r>
                    <w:rPr>
                      <w:rFonts w:hint="eastAsia"/>
                      <w:szCs w:val="21"/>
                    </w:rPr>
                    <w:t>5</w:t>
                  </w:r>
                  <w:r>
                    <w:rPr>
                      <w:szCs w:val="21"/>
                    </w:rPr>
                    <w:t>6.3</w:t>
                  </w:r>
                </w:p>
              </w:tc>
              <w:tc>
                <w:tcPr>
                  <w:tcW w:w="817" w:type="pct"/>
                  <w:vAlign w:val="center"/>
                </w:tcPr>
                <w:p>
                  <w:pPr>
                    <w:spacing w:line="360" w:lineRule="auto"/>
                    <w:jc w:val="center"/>
                    <w:rPr>
                      <w:szCs w:val="21"/>
                    </w:rPr>
                  </w:pPr>
                  <w:r>
                    <w:rPr>
                      <w:rFonts w:hint="eastAsia"/>
                      <w:szCs w:val="21"/>
                    </w:rPr>
                    <w:t>4</w:t>
                  </w:r>
                  <w:r>
                    <w:rPr>
                      <w:szCs w:val="21"/>
                    </w:rPr>
                    <w:t>5.8</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厂界南侧</w:t>
                  </w:r>
                </w:p>
              </w:tc>
              <w:tc>
                <w:tcPr>
                  <w:tcW w:w="760" w:type="pct"/>
                  <w:vAlign w:val="center"/>
                </w:tcPr>
                <w:p>
                  <w:pPr>
                    <w:spacing w:line="360" w:lineRule="auto"/>
                    <w:jc w:val="center"/>
                    <w:rPr>
                      <w:szCs w:val="21"/>
                    </w:rPr>
                  </w:pPr>
                  <w:r>
                    <w:rPr>
                      <w:rFonts w:hint="eastAsia"/>
                      <w:szCs w:val="21"/>
                    </w:rPr>
                    <w:t>5</w:t>
                  </w:r>
                  <w:r>
                    <w:rPr>
                      <w:szCs w:val="21"/>
                    </w:rPr>
                    <w:t>8.9</w:t>
                  </w:r>
                </w:p>
              </w:tc>
              <w:tc>
                <w:tcPr>
                  <w:tcW w:w="817" w:type="pct"/>
                  <w:vAlign w:val="center"/>
                </w:tcPr>
                <w:p>
                  <w:pPr>
                    <w:spacing w:line="360" w:lineRule="auto"/>
                    <w:jc w:val="center"/>
                    <w:rPr>
                      <w:szCs w:val="21"/>
                    </w:rPr>
                  </w:pPr>
                  <w:r>
                    <w:rPr>
                      <w:rFonts w:hint="eastAsia"/>
                      <w:szCs w:val="21"/>
                    </w:rPr>
                    <w:t>4</w:t>
                  </w:r>
                  <w:r>
                    <w:rPr>
                      <w:szCs w:val="21"/>
                    </w:rPr>
                    <w:t>8.7</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厂界西侧</w:t>
                  </w:r>
                </w:p>
              </w:tc>
              <w:tc>
                <w:tcPr>
                  <w:tcW w:w="760" w:type="pct"/>
                  <w:vAlign w:val="center"/>
                </w:tcPr>
                <w:p>
                  <w:pPr>
                    <w:spacing w:line="360" w:lineRule="auto"/>
                    <w:jc w:val="center"/>
                    <w:rPr>
                      <w:szCs w:val="21"/>
                    </w:rPr>
                  </w:pPr>
                  <w:r>
                    <w:rPr>
                      <w:rFonts w:hint="eastAsia"/>
                      <w:szCs w:val="21"/>
                    </w:rPr>
                    <w:t>5</w:t>
                  </w:r>
                  <w:r>
                    <w:rPr>
                      <w:szCs w:val="21"/>
                    </w:rPr>
                    <w:t>7.0</w:t>
                  </w:r>
                </w:p>
              </w:tc>
              <w:tc>
                <w:tcPr>
                  <w:tcW w:w="817" w:type="pct"/>
                  <w:vAlign w:val="center"/>
                </w:tcPr>
                <w:p>
                  <w:pPr>
                    <w:spacing w:line="360" w:lineRule="auto"/>
                    <w:jc w:val="center"/>
                    <w:rPr>
                      <w:szCs w:val="21"/>
                    </w:rPr>
                  </w:pPr>
                  <w:r>
                    <w:rPr>
                      <w:rFonts w:hint="eastAsia"/>
                      <w:szCs w:val="21"/>
                    </w:rPr>
                    <w:t>4</w:t>
                  </w:r>
                  <w:r>
                    <w:rPr>
                      <w:szCs w:val="21"/>
                    </w:rPr>
                    <w:t>3.9</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厂界北侧</w:t>
                  </w:r>
                </w:p>
              </w:tc>
              <w:tc>
                <w:tcPr>
                  <w:tcW w:w="760" w:type="pct"/>
                  <w:vAlign w:val="center"/>
                </w:tcPr>
                <w:p>
                  <w:pPr>
                    <w:spacing w:line="360" w:lineRule="auto"/>
                    <w:jc w:val="center"/>
                    <w:rPr>
                      <w:szCs w:val="21"/>
                    </w:rPr>
                  </w:pPr>
                  <w:r>
                    <w:rPr>
                      <w:rFonts w:hint="eastAsia"/>
                      <w:szCs w:val="21"/>
                    </w:rPr>
                    <w:t>5</w:t>
                  </w:r>
                  <w:r>
                    <w:rPr>
                      <w:szCs w:val="21"/>
                    </w:rPr>
                    <w:t>4.7</w:t>
                  </w:r>
                </w:p>
              </w:tc>
              <w:tc>
                <w:tcPr>
                  <w:tcW w:w="817" w:type="pct"/>
                  <w:vAlign w:val="center"/>
                </w:tcPr>
                <w:p>
                  <w:pPr>
                    <w:spacing w:line="360" w:lineRule="auto"/>
                    <w:jc w:val="center"/>
                    <w:rPr>
                      <w:szCs w:val="21"/>
                    </w:rPr>
                  </w:pPr>
                  <w:r>
                    <w:rPr>
                      <w:rFonts w:hint="eastAsia"/>
                      <w:szCs w:val="21"/>
                    </w:rPr>
                    <w:t>4</w:t>
                  </w:r>
                  <w:r>
                    <w:rPr>
                      <w:szCs w:val="21"/>
                    </w:rPr>
                    <w:t>4.2</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格勒村小坡组散户</w:t>
                  </w:r>
                </w:p>
              </w:tc>
              <w:tc>
                <w:tcPr>
                  <w:tcW w:w="760" w:type="pct"/>
                  <w:vAlign w:val="center"/>
                </w:tcPr>
                <w:p>
                  <w:pPr>
                    <w:spacing w:line="360" w:lineRule="auto"/>
                    <w:jc w:val="center"/>
                    <w:rPr>
                      <w:szCs w:val="21"/>
                    </w:rPr>
                  </w:pPr>
                  <w:r>
                    <w:rPr>
                      <w:rFonts w:hint="eastAsia"/>
                      <w:szCs w:val="21"/>
                    </w:rPr>
                    <w:t>5</w:t>
                  </w:r>
                  <w:r>
                    <w:rPr>
                      <w:szCs w:val="21"/>
                    </w:rPr>
                    <w:t>4.0</w:t>
                  </w:r>
                </w:p>
              </w:tc>
              <w:tc>
                <w:tcPr>
                  <w:tcW w:w="817" w:type="pct"/>
                  <w:vAlign w:val="center"/>
                </w:tcPr>
                <w:p>
                  <w:pPr>
                    <w:spacing w:line="360" w:lineRule="auto"/>
                    <w:jc w:val="center"/>
                    <w:rPr>
                      <w:szCs w:val="21"/>
                    </w:rPr>
                  </w:pPr>
                  <w:r>
                    <w:rPr>
                      <w:rFonts w:hint="eastAsia"/>
                      <w:szCs w:val="21"/>
                    </w:rPr>
                    <w:t>3</w:t>
                  </w:r>
                  <w:r>
                    <w:rPr>
                      <w:szCs w:val="21"/>
                    </w:rPr>
                    <w:t>9.6</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restart"/>
                  <w:vAlign w:val="center"/>
                </w:tcPr>
                <w:p>
                  <w:pPr>
                    <w:spacing w:line="360" w:lineRule="auto"/>
                    <w:jc w:val="center"/>
                    <w:rPr>
                      <w:b/>
                      <w:bCs/>
                      <w:szCs w:val="21"/>
                    </w:rPr>
                  </w:pPr>
                  <w:r>
                    <w:rPr>
                      <w:rFonts w:hint="eastAsia"/>
                      <w:b/>
                      <w:bCs/>
                      <w:szCs w:val="21"/>
                    </w:rPr>
                    <w:t>2</w:t>
                  </w:r>
                  <w:r>
                    <w:rPr>
                      <w:b/>
                      <w:bCs/>
                      <w:szCs w:val="21"/>
                    </w:rPr>
                    <w:t>022.8.25</w:t>
                  </w:r>
                </w:p>
              </w:tc>
              <w:tc>
                <w:tcPr>
                  <w:tcW w:w="951" w:type="pct"/>
                </w:tcPr>
                <w:p>
                  <w:pPr>
                    <w:jc w:val="center"/>
                  </w:pPr>
                  <w:r>
                    <w:rPr>
                      <w:rFonts w:hint="eastAsia"/>
                    </w:rPr>
                    <w:t>厂界东侧</w:t>
                  </w:r>
                </w:p>
              </w:tc>
              <w:tc>
                <w:tcPr>
                  <w:tcW w:w="760" w:type="pct"/>
                  <w:vAlign w:val="center"/>
                </w:tcPr>
                <w:p>
                  <w:pPr>
                    <w:spacing w:line="360" w:lineRule="auto"/>
                    <w:jc w:val="center"/>
                    <w:rPr>
                      <w:szCs w:val="21"/>
                    </w:rPr>
                  </w:pPr>
                  <w:r>
                    <w:rPr>
                      <w:rFonts w:hint="eastAsia"/>
                      <w:szCs w:val="21"/>
                    </w:rPr>
                    <w:t>5</w:t>
                  </w:r>
                  <w:r>
                    <w:rPr>
                      <w:szCs w:val="21"/>
                    </w:rPr>
                    <w:t>5.5</w:t>
                  </w:r>
                </w:p>
              </w:tc>
              <w:tc>
                <w:tcPr>
                  <w:tcW w:w="817" w:type="pct"/>
                  <w:vAlign w:val="center"/>
                </w:tcPr>
                <w:p>
                  <w:pPr>
                    <w:spacing w:line="360" w:lineRule="auto"/>
                    <w:jc w:val="center"/>
                    <w:rPr>
                      <w:szCs w:val="21"/>
                    </w:rPr>
                  </w:pPr>
                  <w:r>
                    <w:rPr>
                      <w:rFonts w:hint="eastAsia"/>
                      <w:szCs w:val="21"/>
                    </w:rPr>
                    <w:t>4</w:t>
                  </w:r>
                  <w:r>
                    <w:rPr>
                      <w:szCs w:val="21"/>
                    </w:rPr>
                    <w:t>4.6</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厂界南侧</w:t>
                  </w:r>
                </w:p>
              </w:tc>
              <w:tc>
                <w:tcPr>
                  <w:tcW w:w="760" w:type="pct"/>
                  <w:vAlign w:val="center"/>
                </w:tcPr>
                <w:p>
                  <w:pPr>
                    <w:spacing w:line="360" w:lineRule="auto"/>
                    <w:jc w:val="center"/>
                    <w:rPr>
                      <w:szCs w:val="21"/>
                    </w:rPr>
                  </w:pPr>
                  <w:r>
                    <w:rPr>
                      <w:rFonts w:hint="eastAsia"/>
                      <w:szCs w:val="21"/>
                    </w:rPr>
                    <w:t>5</w:t>
                  </w:r>
                  <w:r>
                    <w:rPr>
                      <w:szCs w:val="21"/>
                    </w:rPr>
                    <w:t>7.4</w:t>
                  </w:r>
                </w:p>
              </w:tc>
              <w:tc>
                <w:tcPr>
                  <w:tcW w:w="817" w:type="pct"/>
                  <w:vAlign w:val="center"/>
                </w:tcPr>
                <w:p>
                  <w:pPr>
                    <w:spacing w:line="360" w:lineRule="auto"/>
                    <w:jc w:val="center"/>
                    <w:rPr>
                      <w:szCs w:val="21"/>
                    </w:rPr>
                  </w:pPr>
                  <w:r>
                    <w:rPr>
                      <w:rFonts w:hint="eastAsia"/>
                      <w:szCs w:val="21"/>
                    </w:rPr>
                    <w:t>4</w:t>
                  </w:r>
                  <w:r>
                    <w:rPr>
                      <w:szCs w:val="21"/>
                    </w:rPr>
                    <w:t>6.5</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厂界西侧</w:t>
                  </w:r>
                </w:p>
              </w:tc>
              <w:tc>
                <w:tcPr>
                  <w:tcW w:w="760" w:type="pct"/>
                  <w:vAlign w:val="center"/>
                </w:tcPr>
                <w:p>
                  <w:pPr>
                    <w:spacing w:line="360" w:lineRule="auto"/>
                    <w:jc w:val="center"/>
                    <w:rPr>
                      <w:szCs w:val="21"/>
                    </w:rPr>
                  </w:pPr>
                  <w:r>
                    <w:rPr>
                      <w:rFonts w:hint="eastAsia"/>
                      <w:szCs w:val="21"/>
                    </w:rPr>
                    <w:t>5</w:t>
                  </w:r>
                  <w:r>
                    <w:rPr>
                      <w:szCs w:val="21"/>
                    </w:rPr>
                    <w:t>6.3</w:t>
                  </w:r>
                </w:p>
              </w:tc>
              <w:tc>
                <w:tcPr>
                  <w:tcW w:w="817" w:type="pct"/>
                  <w:vAlign w:val="center"/>
                </w:tcPr>
                <w:p>
                  <w:pPr>
                    <w:spacing w:line="360" w:lineRule="auto"/>
                    <w:jc w:val="center"/>
                    <w:rPr>
                      <w:szCs w:val="21"/>
                    </w:rPr>
                  </w:pPr>
                  <w:r>
                    <w:rPr>
                      <w:rFonts w:hint="eastAsia"/>
                      <w:szCs w:val="21"/>
                    </w:rPr>
                    <w:t>4</w:t>
                  </w:r>
                  <w:r>
                    <w:rPr>
                      <w:szCs w:val="21"/>
                    </w:rPr>
                    <w:t>5.3</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厂界北侧</w:t>
                  </w:r>
                </w:p>
              </w:tc>
              <w:tc>
                <w:tcPr>
                  <w:tcW w:w="760" w:type="pct"/>
                  <w:vAlign w:val="center"/>
                </w:tcPr>
                <w:p>
                  <w:pPr>
                    <w:spacing w:line="360" w:lineRule="auto"/>
                    <w:jc w:val="center"/>
                    <w:rPr>
                      <w:szCs w:val="21"/>
                    </w:rPr>
                  </w:pPr>
                  <w:r>
                    <w:rPr>
                      <w:rFonts w:hint="eastAsia"/>
                      <w:szCs w:val="21"/>
                    </w:rPr>
                    <w:t>5</w:t>
                  </w:r>
                  <w:r>
                    <w:rPr>
                      <w:szCs w:val="21"/>
                    </w:rPr>
                    <w:t>5.0</w:t>
                  </w:r>
                </w:p>
              </w:tc>
              <w:tc>
                <w:tcPr>
                  <w:tcW w:w="817" w:type="pct"/>
                  <w:vAlign w:val="center"/>
                </w:tcPr>
                <w:p>
                  <w:pPr>
                    <w:spacing w:line="360" w:lineRule="auto"/>
                    <w:jc w:val="center"/>
                    <w:rPr>
                      <w:szCs w:val="21"/>
                    </w:rPr>
                  </w:pPr>
                  <w:r>
                    <w:rPr>
                      <w:rFonts w:hint="eastAsia"/>
                      <w:szCs w:val="21"/>
                    </w:rPr>
                    <w:t>4</w:t>
                  </w:r>
                  <w:r>
                    <w:rPr>
                      <w:szCs w:val="21"/>
                    </w:rPr>
                    <w:t>4.3</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格勒村小坡组散户</w:t>
                  </w:r>
                </w:p>
              </w:tc>
              <w:tc>
                <w:tcPr>
                  <w:tcW w:w="760" w:type="pct"/>
                  <w:vAlign w:val="center"/>
                </w:tcPr>
                <w:p>
                  <w:pPr>
                    <w:spacing w:line="360" w:lineRule="auto"/>
                    <w:jc w:val="center"/>
                    <w:rPr>
                      <w:szCs w:val="21"/>
                    </w:rPr>
                  </w:pPr>
                  <w:r>
                    <w:rPr>
                      <w:rFonts w:hint="eastAsia"/>
                      <w:szCs w:val="21"/>
                    </w:rPr>
                    <w:t>5</w:t>
                  </w:r>
                  <w:r>
                    <w:rPr>
                      <w:szCs w:val="21"/>
                    </w:rPr>
                    <w:t>0.5</w:t>
                  </w:r>
                </w:p>
              </w:tc>
              <w:tc>
                <w:tcPr>
                  <w:tcW w:w="817" w:type="pct"/>
                  <w:vAlign w:val="center"/>
                </w:tcPr>
                <w:p>
                  <w:pPr>
                    <w:spacing w:line="360" w:lineRule="auto"/>
                    <w:jc w:val="center"/>
                    <w:rPr>
                      <w:szCs w:val="21"/>
                    </w:rPr>
                  </w:pPr>
                  <w:r>
                    <w:rPr>
                      <w:rFonts w:hint="eastAsia"/>
                      <w:szCs w:val="21"/>
                    </w:rPr>
                    <w:t>4</w:t>
                  </w:r>
                  <w:r>
                    <w:rPr>
                      <w:szCs w:val="21"/>
                    </w:rPr>
                    <w:t>3.9</w:t>
                  </w:r>
                </w:p>
              </w:tc>
              <w:tc>
                <w:tcPr>
                  <w:tcW w:w="1137" w:type="pct"/>
                </w:tcPr>
                <w:p>
                  <w:pPr>
                    <w:spacing w:line="360" w:lineRule="auto"/>
                    <w:jc w:val="center"/>
                    <w:rPr>
                      <w:szCs w:val="21"/>
                    </w:rPr>
                  </w:pPr>
                  <w:r>
                    <w:rPr>
                      <w:rFonts w:hint="eastAsia"/>
                      <w:szCs w:val="21"/>
                    </w:rPr>
                    <w:t>生产、生活噪声</w:t>
                  </w:r>
                </w:p>
              </w:tc>
            </w:tr>
          </w:tbl>
          <w:p>
            <w:pPr>
              <w:spacing w:line="360" w:lineRule="auto"/>
              <w:ind w:firstLine="480" w:firstLineChars="200"/>
              <w:rPr>
                <w:sz w:val="24"/>
              </w:rPr>
            </w:pPr>
            <w:r>
              <w:rPr>
                <w:rFonts w:hint="eastAsia"/>
                <w:sz w:val="24"/>
              </w:rPr>
              <w:t>由以上结果可知本项目声环境质量现状满足《声环境质量标准》（G</w:t>
            </w:r>
            <w:r>
              <w:rPr>
                <w:sz w:val="24"/>
              </w:rPr>
              <w:t>B</w:t>
            </w:r>
            <w:r>
              <w:rPr>
                <w:rFonts w:hint="eastAsia"/>
                <w:sz w:val="24"/>
                <w:lang w:eastAsia="zh-CN"/>
              </w:rPr>
              <w:t>****</w:t>
            </w:r>
            <w:r>
              <w:rPr>
                <w:sz w:val="24"/>
              </w:rPr>
              <w:t>-2008</w:t>
            </w:r>
            <w:r>
              <w:rPr>
                <w:rFonts w:hint="eastAsia"/>
                <w:sz w:val="24"/>
              </w:rPr>
              <w:t>）2类标准，即昼间</w:t>
            </w:r>
            <w:r>
              <w:rPr>
                <w:sz w:val="24"/>
              </w:rPr>
              <w:t>≤60</w:t>
            </w:r>
            <w:r>
              <w:rPr>
                <w:szCs w:val="21"/>
              </w:rPr>
              <w:t>dB（A）</w:t>
            </w:r>
            <w:r>
              <w:rPr>
                <w:sz w:val="24"/>
              </w:rPr>
              <w:t>，夜间≤50</w:t>
            </w:r>
            <w:r>
              <w:rPr>
                <w:szCs w:val="21"/>
              </w:rPr>
              <w:t>dB（A）</w:t>
            </w:r>
            <w:r>
              <w:rPr>
                <w:rFonts w:hint="eastAsia"/>
                <w:szCs w:val="21"/>
              </w:rPr>
              <w:t>。</w:t>
            </w:r>
          </w:p>
          <w:p>
            <w:pPr>
              <w:spacing w:line="360" w:lineRule="auto"/>
              <w:rPr>
                <w:b/>
                <w:bCs/>
                <w:sz w:val="24"/>
              </w:rPr>
            </w:pPr>
            <w:r>
              <w:rPr>
                <w:rFonts w:hint="eastAsia"/>
                <w:b/>
                <w:bCs/>
                <w:sz w:val="24"/>
              </w:rPr>
              <w:t>4、生态环境质量现状</w:t>
            </w:r>
          </w:p>
          <w:p>
            <w:pPr>
              <w:spacing w:line="360" w:lineRule="auto"/>
              <w:ind w:firstLine="480" w:firstLineChars="200"/>
              <w:rPr>
                <w:rFonts w:hint="eastAsia"/>
                <w:sz w:val="24"/>
              </w:rPr>
            </w:pPr>
            <w:r>
              <w:rPr>
                <w:rFonts w:hint="eastAsia"/>
                <w:sz w:val="24"/>
              </w:rPr>
              <w:t>项目位于东川区拖布卡镇格勒村，根据现场踏勘，项目所在区域属农村生态系统，受人类活动影响较小，生态系统敏感程度较低；本项目评价范围内用地现状为农村闲置用地和白鹤滩水库建成后的淹没区，周边水系为小江，小江自东南向西北汇入金沙江；经调查拖布卡等小江流域一带被东川区人民政府划为栗喉蜂虎自然保护小区，该地区为栗喉蜂虎的天然分布区，栗喉蜂虎保护级别为“濒危物种红色名录—低危（LC）”，因此本项目位于重要生态敏感区内。</w:t>
            </w:r>
          </w:p>
          <w:p>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据现场调查</w:t>
            </w:r>
            <w:r>
              <w:rPr>
                <w:rFonts w:hint="eastAsia" w:ascii="Times New Roman" w:hAnsi="Times New Roman" w:eastAsia="宋体" w:cs="Times New Roman"/>
                <w:sz w:val="24"/>
              </w:rPr>
              <w:t>本项目位于东川区拖布卡镇东北侧与会泽交界处，不属于栗喉蜂虎的集中生活区，且项目为临时性项目，暂时为格勒旅游客运中心提供混凝土，</w:t>
            </w:r>
            <w:r>
              <w:rPr>
                <w:rFonts w:hint="eastAsia" w:ascii="Times New Roman" w:hAnsi="Times New Roman" w:eastAsia="宋体" w:cs="Times New Roman"/>
                <w:sz w:val="24"/>
                <w:lang w:val="en-US" w:eastAsia="zh-CN"/>
              </w:rPr>
              <w:t>项目周围</w:t>
            </w:r>
            <w:r>
              <w:rPr>
                <w:rFonts w:hint="eastAsia" w:ascii="Times New Roman" w:hAnsi="Times New Roman" w:eastAsia="宋体" w:cs="Times New Roman"/>
                <w:sz w:val="24"/>
              </w:rPr>
              <w:t>灌木乔木等植被较少，不属于栗喉蜂虎的栖息和捕食区域，据现场调查，项目周围并未发现栗喉蜂虎栖息或觅食的踪迹，本项目在生产过程中严格执行相应生态保护措施，可将对栗喉蜂虎生境的影响降至最小</w:t>
            </w:r>
            <w:r>
              <w:rPr>
                <w:rFonts w:hint="eastAsia" w:ascii="Times New Roman" w:hAnsi="Times New Roman" w:eastAsia="宋体" w:cs="Times New Roman"/>
                <w:sz w:val="24"/>
                <w:lang w:eastAsia="zh-CN"/>
              </w:rPr>
              <w:t>。</w:t>
            </w:r>
          </w:p>
          <w:p>
            <w:pPr>
              <w:pStyle w:val="2"/>
              <w:jc w:val="both"/>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环境保护目标</w:t>
            </w:r>
          </w:p>
        </w:tc>
        <w:tc>
          <w:tcPr>
            <w:tcW w:w="10148" w:type="dxa"/>
          </w:tcPr>
          <w:p>
            <w:pPr>
              <w:spacing w:line="360" w:lineRule="auto"/>
              <w:rPr>
                <w:b/>
                <w:bCs/>
                <w:sz w:val="24"/>
              </w:rPr>
            </w:pPr>
            <w:r>
              <w:rPr>
                <w:rFonts w:hint="eastAsia"/>
                <w:b/>
                <w:bCs/>
                <w:sz w:val="24"/>
              </w:rPr>
              <w:t>1、环境空气保护目标</w:t>
            </w:r>
          </w:p>
          <w:p>
            <w:pPr>
              <w:spacing w:line="360" w:lineRule="auto"/>
              <w:ind w:firstLine="480" w:firstLineChars="200"/>
              <w:rPr>
                <w:sz w:val="24"/>
              </w:rPr>
            </w:pPr>
            <w:r>
              <w:rPr>
                <w:rFonts w:hint="eastAsia"/>
                <w:sz w:val="24"/>
              </w:rPr>
              <w:t>根据现场踏勘及调查，项目厂界外东侧35m有8户格勒村小坡组散户居住，无自然保护区、风景名胜区、文化区等保护目标。</w:t>
            </w:r>
          </w:p>
          <w:p>
            <w:pPr>
              <w:spacing w:line="360" w:lineRule="auto"/>
              <w:rPr>
                <w:b/>
                <w:bCs/>
                <w:sz w:val="24"/>
              </w:rPr>
            </w:pPr>
            <w:r>
              <w:rPr>
                <w:rFonts w:hint="eastAsia"/>
                <w:b/>
                <w:bCs/>
                <w:sz w:val="24"/>
              </w:rPr>
              <w:t>2、声环境保护目标</w:t>
            </w:r>
          </w:p>
          <w:p>
            <w:pPr>
              <w:spacing w:line="360" w:lineRule="auto"/>
              <w:ind w:firstLine="480" w:firstLineChars="200"/>
              <w:rPr>
                <w:sz w:val="24"/>
              </w:rPr>
            </w:pPr>
            <w:r>
              <w:rPr>
                <w:rFonts w:hint="eastAsia"/>
                <w:sz w:val="24"/>
              </w:rPr>
              <w:t>根据现场踏勘及调查，项目厂界外东侧</w:t>
            </w:r>
            <w:r>
              <w:rPr>
                <w:sz w:val="24"/>
              </w:rPr>
              <w:t>35</w:t>
            </w:r>
            <w:r>
              <w:rPr>
                <w:rFonts w:hint="eastAsia"/>
                <w:sz w:val="24"/>
              </w:rPr>
              <w:t>m有8户格勒村小坡组散户居住，为本次评价声环境保护目标。</w:t>
            </w:r>
          </w:p>
          <w:p>
            <w:pPr>
              <w:spacing w:line="360" w:lineRule="auto"/>
              <w:rPr>
                <w:b/>
                <w:bCs/>
                <w:sz w:val="24"/>
              </w:rPr>
            </w:pPr>
            <w:r>
              <w:rPr>
                <w:rFonts w:hint="eastAsia"/>
                <w:b/>
                <w:bCs/>
                <w:sz w:val="24"/>
              </w:rPr>
              <w:t>3、地表水环境保护目标</w:t>
            </w:r>
          </w:p>
          <w:p>
            <w:pPr>
              <w:spacing w:line="360" w:lineRule="auto"/>
              <w:ind w:firstLine="480" w:firstLineChars="200"/>
              <w:rPr>
                <w:sz w:val="24"/>
              </w:rPr>
            </w:pPr>
            <w:r>
              <w:rPr>
                <w:rFonts w:hint="eastAsia"/>
                <w:sz w:val="24"/>
              </w:rPr>
              <w:t>项目区地表水体主要为厂区东侧的小江，小江为金沙江一级支流。项目运营期无工艺废水产生；项目区设食宿，设一个厕所，生活污水排入化粪池，食堂废水经隔油池处理后同其他污水排入化粪池，所有生活污水经化粪池处理后用槽罐车外送污水处理厂进行处理。项目无废水外排放，项目的建设对区域地表水环境影响较小。</w:t>
            </w:r>
          </w:p>
          <w:p>
            <w:pPr>
              <w:spacing w:line="360" w:lineRule="auto"/>
              <w:rPr>
                <w:b/>
                <w:bCs/>
                <w:sz w:val="24"/>
              </w:rPr>
            </w:pPr>
            <w:r>
              <w:rPr>
                <w:rFonts w:hint="eastAsia"/>
                <w:b/>
                <w:bCs/>
                <w:sz w:val="24"/>
              </w:rPr>
              <w:t>4、地下水环境保护目标</w:t>
            </w:r>
          </w:p>
          <w:p>
            <w:pPr>
              <w:spacing w:line="360" w:lineRule="auto"/>
              <w:ind w:firstLine="480" w:firstLineChars="200"/>
              <w:rPr>
                <w:sz w:val="24"/>
              </w:rPr>
            </w:pPr>
            <w:r>
              <w:rPr>
                <w:rFonts w:hint="eastAsia"/>
                <w:sz w:val="24"/>
              </w:rPr>
              <w:t>根据现场踏勘及调查，项目厂界外500m范围内无地下水集中式饮用水源点和热水、矿泉水、温泉等特殊地下水资源，项目本次评价不设地下水环境保护目标。</w:t>
            </w:r>
          </w:p>
          <w:p>
            <w:pPr>
              <w:spacing w:line="360" w:lineRule="auto"/>
              <w:rPr>
                <w:b/>
                <w:bCs/>
                <w:sz w:val="24"/>
              </w:rPr>
            </w:pPr>
            <w:r>
              <w:rPr>
                <w:rFonts w:hint="eastAsia"/>
                <w:b/>
                <w:bCs/>
                <w:sz w:val="24"/>
              </w:rPr>
              <w:t>5、生态环境保护目标</w:t>
            </w:r>
          </w:p>
          <w:p>
            <w:pPr>
              <w:pStyle w:val="47"/>
              <w:rPr>
                <w:rFonts w:hint="eastAsia" w:eastAsiaTheme="minorEastAsia"/>
                <w:lang w:val="en-US" w:eastAsia="zh-CN"/>
              </w:rPr>
            </w:pPr>
            <w:r>
              <w:rPr>
                <w:rFonts w:hint="eastAsia"/>
                <w:sz w:val="24"/>
              </w:rPr>
              <w:t>项目位于东川区拖布卡镇格勒村</w:t>
            </w:r>
            <w:r>
              <w:rPr>
                <w:rFonts w:hint="eastAsia"/>
                <w:sz w:val="24"/>
                <w:lang w:eastAsia="zh-CN"/>
              </w:rPr>
              <w:t>，</w:t>
            </w:r>
            <w:r>
              <w:rPr>
                <w:rFonts w:hint="eastAsia"/>
                <w:sz w:val="24"/>
                <w:lang w:val="en-US" w:eastAsia="zh-CN"/>
              </w:rPr>
              <w:t>该片区属于</w:t>
            </w:r>
            <w:r>
              <w:rPr>
                <w:rFonts w:hint="eastAsia"/>
                <w:sz w:val="24"/>
              </w:rPr>
              <w:t>东川区人民政府划为栗喉蜂虎自然保护小区</w:t>
            </w:r>
            <w:r>
              <w:rPr>
                <w:rFonts w:hint="eastAsia"/>
                <w:sz w:val="24"/>
                <w:lang w:eastAsia="zh-CN"/>
              </w:rPr>
              <w:t>。经调查，东川阿旺、铜都街道、乌龙、汤丹、拖布卡等小江流域一带划为栗喉蜂虎自然保护小区进行有效的保护，面积为3352公顷，起点位于在建昆巧高速旁格勒村，向南沿小江上游至达朵村。严禁在其栖息地进行采石、采砂、取土等人为干扰的活动，让栗喉蜂虎栖息地尽量减小人为的影响。</w:t>
            </w:r>
          </w:p>
          <w:p>
            <w:pPr>
              <w:pStyle w:val="47"/>
              <w:rPr>
                <w:rFonts w:hint="eastAsia" w:eastAsiaTheme="minorEastAsia"/>
                <w:lang w:eastAsia="zh-CN"/>
              </w:rPr>
            </w:pPr>
            <w:r>
              <w:rPr>
                <w:rFonts w:hint="eastAsia"/>
              </w:rPr>
              <w:t>自然保护小区</w:t>
            </w:r>
            <w:r>
              <w:rPr>
                <w:rFonts w:hint="eastAsia"/>
                <w:lang w:eastAsia="zh-CN"/>
              </w:rPr>
              <w:t>：</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保护对象：</w:t>
            </w:r>
            <w:r>
              <w:rPr>
                <w:rFonts w:hint="eastAsia" w:ascii="Times New Roman" w:hAnsi="Times New Roman" w:eastAsia="宋体" w:cs="Times New Roman"/>
                <w:sz w:val="24"/>
              </w:rPr>
              <w:t>栗喉蜂虎（学名：MeropspHilippinus）是蜂虎科蜂虎属的鸟类。有热带鸟类羽毛艳丽的特征：喉部是栗红色的，黑色的过眼纹，翅膀和背部是绿色的，尾翼是蓝色的，飞行时翅膀下面的羽毛是橙黄色的，在阳光的照射下，它们全身闪烁着金属般的艳丽光泽，有人将它称之为中国最美丽的鸟之一。以蜻蜓、蝴蝶、蜜蜂、甲虫、苍蝇等为主要食物。主要生活在东南亚一带，中国栗喉蜂虎指名亚种只有云南的局部地区、海南岛（留鸟）、香港和广东（夏候鸟）、福建的部分沿海地区有分布。东川区属云南省栗喉蜂虎分布的地区之一，种群数量大约3500只至4500只，主要栖息繁衍于东川阿旺、铜都街道、乌龙、汤丹、拖布卡小江流域一带，每年3月底4月迁移东川，7月底幼鸟开始离巢，8月中旬，逐步飞离东川，向南迁栖越冬。</w:t>
            </w:r>
          </w:p>
          <w:p>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rPr>
              <w:t>栗喉蜂虎已被列入国家林业局2000年8月1日发布的《国家保护的有益的或者有重要经济、科学研究价值的陆生野生动物名录》。和《世界自然保护联盟》（IUCN） 2013年濒危物种红色名录ver 4.1——低危（LC）</w:t>
            </w:r>
            <w:r>
              <w:rPr>
                <w:rFonts w:hint="eastAsia" w:ascii="Times New Roman" w:hAnsi="Times New Roman" w:eastAsia="宋体" w:cs="Times New Roman"/>
                <w:sz w:val="24"/>
                <w:lang w:eastAsia="zh-CN"/>
              </w:rPr>
              <w:t>。</w:t>
            </w:r>
          </w:p>
          <w:p>
            <w:pPr>
              <w:spacing w:line="360" w:lineRule="auto"/>
              <w:ind w:firstLine="480" w:firstLineChars="200"/>
              <w:rPr>
                <w:sz w:val="24"/>
              </w:rPr>
            </w:pPr>
            <w:r>
              <w:rPr>
                <w:rFonts w:hint="eastAsia"/>
                <w:sz w:val="24"/>
              </w:rPr>
              <w:t>根据项目周围自然和社会环境情况以及本项目环境污染特征，项目涉及的环境保护目标见表3-</w:t>
            </w:r>
            <w:r>
              <w:rPr>
                <w:sz w:val="24"/>
              </w:rPr>
              <w:t>6</w:t>
            </w:r>
            <w:r>
              <w:rPr>
                <w:rFonts w:hint="eastAsia"/>
                <w:sz w:val="24"/>
              </w:rPr>
              <w:t>所示，项目周边关系及评价范围详见附图4</w:t>
            </w:r>
          </w:p>
          <w:p>
            <w:pPr>
              <w:spacing w:line="360" w:lineRule="auto"/>
              <w:jc w:val="center"/>
              <w:rPr>
                <w:b/>
                <w:bCs/>
                <w:szCs w:val="21"/>
              </w:rPr>
            </w:pPr>
            <w:r>
              <w:rPr>
                <w:rFonts w:hint="eastAsia"/>
                <w:b/>
                <w:bCs/>
                <w:szCs w:val="21"/>
              </w:rPr>
              <w:t>表3-</w:t>
            </w:r>
            <w:r>
              <w:rPr>
                <w:b/>
                <w:bCs/>
                <w:szCs w:val="21"/>
              </w:rPr>
              <w:t xml:space="preserve">6  </w:t>
            </w:r>
            <w:r>
              <w:rPr>
                <w:rFonts w:hint="eastAsia"/>
                <w:b/>
                <w:bCs/>
                <w:szCs w:val="21"/>
              </w:rPr>
              <w:t>项目保护目标一览表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049"/>
              <w:gridCol w:w="1004"/>
              <w:gridCol w:w="899"/>
              <w:gridCol w:w="578"/>
              <w:gridCol w:w="460"/>
              <w:gridCol w:w="813"/>
              <w:gridCol w:w="698"/>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Merge w:val="restart"/>
                  <w:vAlign w:val="center"/>
                </w:tcPr>
                <w:p>
                  <w:pPr>
                    <w:jc w:val="center"/>
                    <w:rPr>
                      <w:b/>
                      <w:bCs/>
                      <w:szCs w:val="21"/>
                    </w:rPr>
                  </w:pPr>
                  <w:r>
                    <w:rPr>
                      <w:b/>
                      <w:bCs/>
                      <w:szCs w:val="21"/>
                    </w:rPr>
                    <w:t>环境</w:t>
                  </w:r>
                </w:p>
                <w:p>
                  <w:pPr>
                    <w:jc w:val="center"/>
                    <w:rPr>
                      <w:b/>
                      <w:bCs/>
                      <w:szCs w:val="21"/>
                    </w:rPr>
                  </w:pPr>
                  <w:r>
                    <w:rPr>
                      <w:b/>
                      <w:bCs/>
                      <w:szCs w:val="21"/>
                    </w:rPr>
                    <w:t>要素</w:t>
                  </w:r>
                </w:p>
              </w:tc>
              <w:tc>
                <w:tcPr>
                  <w:tcW w:w="746" w:type="pct"/>
                  <w:vMerge w:val="restart"/>
                  <w:vAlign w:val="center"/>
                </w:tcPr>
                <w:p>
                  <w:pPr>
                    <w:jc w:val="center"/>
                    <w:rPr>
                      <w:b/>
                      <w:bCs/>
                      <w:szCs w:val="21"/>
                    </w:rPr>
                  </w:pPr>
                  <w:r>
                    <w:rPr>
                      <w:b/>
                      <w:bCs/>
                      <w:szCs w:val="21"/>
                    </w:rPr>
                    <w:t>保护目标</w:t>
                  </w:r>
                </w:p>
              </w:tc>
              <w:tc>
                <w:tcPr>
                  <w:tcW w:w="959" w:type="pct"/>
                  <w:gridSpan w:val="2"/>
                  <w:vAlign w:val="center"/>
                </w:tcPr>
                <w:p>
                  <w:pPr>
                    <w:jc w:val="center"/>
                    <w:rPr>
                      <w:b/>
                      <w:bCs/>
                      <w:szCs w:val="21"/>
                    </w:rPr>
                  </w:pPr>
                  <w:r>
                    <w:rPr>
                      <w:b/>
                      <w:bCs/>
                      <w:szCs w:val="21"/>
                    </w:rPr>
                    <w:t>坐标</w:t>
                  </w:r>
                </w:p>
              </w:tc>
              <w:tc>
                <w:tcPr>
                  <w:tcW w:w="445" w:type="pct"/>
                  <w:vMerge w:val="restart"/>
                  <w:vAlign w:val="center"/>
                </w:tcPr>
                <w:p>
                  <w:pPr>
                    <w:jc w:val="center"/>
                    <w:rPr>
                      <w:b/>
                      <w:bCs/>
                      <w:szCs w:val="21"/>
                    </w:rPr>
                  </w:pPr>
                  <w:r>
                    <w:rPr>
                      <w:b/>
                      <w:bCs/>
                      <w:szCs w:val="21"/>
                    </w:rPr>
                    <w:t>类别</w:t>
                  </w:r>
                </w:p>
              </w:tc>
              <w:tc>
                <w:tcPr>
                  <w:tcW w:w="370" w:type="pct"/>
                  <w:vMerge w:val="restart"/>
                  <w:vAlign w:val="center"/>
                </w:tcPr>
                <w:p>
                  <w:pPr>
                    <w:jc w:val="center"/>
                    <w:rPr>
                      <w:b/>
                      <w:bCs/>
                      <w:szCs w:val="21"/>
                    </w:rPr>
                  </w:pPr>
                  <w:r>
                    <w:rPr>
                      <w:b/>
                      <w:bCs/>
                      <w:szCs w:val="21"/>
                    </w:rPr>
                    <w:t>方位</w:t>
                  </w:r>
                </w:p>
              </w:tc>
              <w:tc>
                <w:tcPr>
                  <w:tcW w:w="445" w:type="pct"/>
                  <w:vMerge w:val="restart"/>
                  <w:vAlign w:val="center"/>
                </w:tcPr>
                <w:p>
                  <w:pPr>
                    <w:jc w:val="center"/>
                    <w:rPr>
                      <w:b/>
                      <w:bCs/>
                      <w:szCs w:val="21"/>
                    </w:rPr>
                  </w:pPr>
                  <w:r>
                    <w:rPr>
                      <w:b/>
                      <w:bCs/>
                      <w:szCs w:val="21"/>
                    </w:rPr>
                    <w:t>相对厂界距离</w:t>
                  </w:r>
                </w:p>
                <w:p>
                  <w:pPr>
                    <w:jc w:val="center"/>
                    <w:rPr>
                      <w:b/>
                      <w:bCs/>
                      <w:szCs w:val="21"/>
                    </w:rPr>
                  </w:pPr>
                  <w:r>
                    <w:rPr>
                      <w:b/>
                      <w:bCs/>
                      <w:szCs w:val="21"/>
                    </w:rPr>
                    <w:t>（m）</w:t>
                  </w:r>
                </w:p>
              </w:tc>
              <w:tc>
                <w:tcPr>
                  <w:tcW w:w="522" w:type="pct"/>
                  <w:vMerge w:val="restart"/>
                  <w:vAlign w:val="center"/>
                </w:tcPr>
                <w:p>
                  <w:pPr>
                    <w:jc w:val="center"/>
                    <w:rPr>
                      <w:b/>
                      <w:bCs/>
                      <w:szCs w:val="21"/>
                    </w:rPr>
                  </w:pPr>
                  <w:r>
                    <w:rPr>
                      <w:b/>
                      <w:bCs/>
                      <w:szCs w:val="21"/>
                    </w:rPr>
                    <w:t>保护</w:t>
                  </w:r>
                </w:p>
                <w:p>
                  <w:pPr>
                    <w:jc w:val="center"/>
                    <w:rPr>
                      <w:b/>
                      <w:bCs/>
                      <w:szCs w:val="21"/>
                    </w:rPr>
                  </w:pPr>
                  <w:r>
                    <w:rPr>
                      <w:b/>
                      <w:bCs/>
                      <w:szCs w:val="21"/>
                    </w:rPr>
                    <w:t>内容</w:t>
                  </w:r>
                </w:p>
              </w:tc>
              <w:tc>
                <w:tcPr>
                  <w:tcW w:w="1125" w:type="pct"/>
                  <w:vMerge w:val="restart"/>
                  <w:vAlign w:val="center"/>
                </w:tcPr>
                <w:p>
                  <w:pPr>
                    <w:jc w:val="center"/>
                    <w:rPr>
                      <w:b/>
                      <w:bCs/>
                      <w:szCs w:val="21"/>
                    </w:rPr>
                  </w:pPr>
                  <w:r>
                    <w:rPr>
                      <w:b/>
                      <w:bCs/>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Merge w:val="continue"/>
                  <w:vAlign w:val="center"/>
                </w:tcPr>
                <w:p>
                  <w:pPr>
                    <w:jc w:val="center"/>
                    <w:rPr>
                      <w:szCs w:val="21"/>
                    </w:rPr>
                  </w:pPr>
                </w:p>
              </w:tc>
              <w:tc>
                <w:tcPr>
                  <w:tcW w:w="746" w:type="pct"/>
                  <w:vMerge w:val="continue"/>
                  <w:vAlign w:val="center"/>
                </w:tcPr>
                <w:p>
                  <w:pPr>
                    <w:jc w:val="center"/>
                    <w:rPr>
                      <w:szCs w:val="21"/>
                    </w:rPr>
                  </w:pPr>
                </w:p>
              </w:tc>
              <w:tc>
                <w:tcPr>
                  <w:tcW w:w="506" w:type="pct"/>
                  <w:vAlign w:val="center"/>
                </w:tcPr>
                <w:p>
                  <w:pPr>
                    <w:jc w:val="center"/>
                    <w:rPr>
                      <w:b/>
                      <w:bCs/>
                      <w:szCs w:val="21"/>
                    </w:rPr>
                  </w:pPr>
                  <w:r>
                    <w:rPr>
                      <w:b/>
                      <w:bCs/>
                      <w:szCs w:val="21"/>
                    </w:rPr>
                    <w:t>经度</w:t>
                  </w:r>
                </w:p>
              </w:tc>
              <w:tc>
                <w:tcPr>
                  <w:tcW w:w="453" w:type="pct"/>
                  <w:vAlign w:val="center"/>
                </w:tcPr>
                <w:p>
                  <w:pPr>
                    <w:jc w:val="center"/>
                    <w:rPr>
                      <w:b/>
                      <w:bCs/>
                      <w:szCs w:val="21"/>
                    </w:rPr>
                  </w:pPr>
                  <w:r>
                    <w:rPr>
                      <w:b/>
                      <w:bCs/>
                      <w:szCs w:val="21"/>
                    </w:rPr>
                    <w:t>纬度</w:t>
                  </w:r>
                </w:p>
              </w:tc>
              <w:tc>
                <w:tcPr>
                  <w:tcW w:w="445" w:type="pct"/>
                  <w:vMerge w:val="continue"/>
                  <w:vAlign w:val="center"/>
                </w:tcPr>
                <w:p>
                  <w:pPr>
                    <w:jc w:val="center"/>
                    <w:rPr>
                      <w:szCs w:val="21"/>
                    </w:rPr>
                  </w:pPr>
                </w:p>
              </w:tc>
              <w:tc>
                <w:tcPr>
                  <w:tcW w:w="370" w:type="pct"/>
                  <w:vMerge w:val="continue"/>
                  <w:vAlign w:val="center"/>
                </w:tcPr>
                <w:p>
                  <w:pPr>
                    <w:jc w:val="center"/>
                    <w:rPr>
                      <w:szCs w:val="21"/>
                    </w:rPr>
                  </w:pPr>
                </w:p>
              </w:tc>
              <w:tc>
                <w:tcPr>
                  <w:tcW w:w="445" w:type="pct"/>
                  <w:vMerge w:val="continue"/>
                  <w:vAlign w:val="center"/>
                </w:tcPr>
                <w:p>
                  <w:pPr>
                    <w:jc w:val="center"/>
                    <w:rPr>
                      <w:szCs w:val="21"/>
                    </w:rPr>
                  </w:pPr>
                </w:p>
              </w:tc>
              <w:tc>
                <w:tcPr>
                  <w:tcW w:w="522" w:type="pct"/>
                  <w:vMerge w:val="continue"/>
                  <w:vAlign w:val="center"/>
                </w:tcPr>
                <w:p>
                  <w:pPr>
                    <w:jc w:val="center"/>
                    <w:rPr>
                      <w:szCs w:val="21"/>
                    </w:rPr>
                  </w:pPr>
                </w:p>
              </w:tc>
              <w:tc>
                <w:tcPr>
                  <w:tcW w:w="1125"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szCs w:val="21"/>
                    </w:rPr>
                  </w:pPr>
                  <w:r>
                    <w:rPr>
                      <w:szCs w:val="21"/>
                    </w:rPr>
                    <w:t>声环境</w:t>
                  </w:r>
                </w:p>
              </w:tc>
              <w:tc>
                <w:tcPr>
                  <w:tcW w:w="746" w:type="pct"/>
                  <w:vAlign w:val="center"/>
                </w:tcPr>
                <w:p>
                  <w:pPr>
                    <w:jc w:val="center"/>
                    <w:rPr>
                      <w:szCs w:val="21"/>
                    </w:rPr>
                  </w:pPr>
                  <w:r>
                    <w:rPr>
                      <w:szCs w:val="21"/>
                    </w:rPr>
                    <w:t>格勒村小坡组散户</w:t>
                  </w:r>
                </w:p>
              </w:tc>
              <w:tc>
                <w:tcPr>
                  <w:tcW w:w="506" w:type="pct"/>
                  <w:vAlign w:val="center"/>
                </w:tcPr>
                <w:p>
                  <w:pPr>
                    <w:jc w:val="center"/>
                    <w:rPr>
                      <w:szCs w:val="21"/>
                    </w:rPr>
                  </w:pPr>
                  <w:r>
                    <w:rPr>
                      <w:szCs w:val="21"/>
                    </w:rPr>
                    <w:t>103.0665</w:t>
                  </w:r>
                </w:p>
              </w:tc>
              <w:tc>
                <w:tcPr>
                  <w:tcW w:w="453" w:type="pct"/>
                  <w:vAlign w:val="center"/>
                </w:tcPr>
                <w:p>
                  <w:pPr>
                    <w:jc w:val="center"/>
                    <w:rPr>
                      <w:szCs w:val="21"/>
                    </w:rPr>
                  </w:pPr>
                  <w:r>
                    <w:rPr>
                      <w:szCs w:val="21"/>
                    </w:rPr>
                    <w:t>26.4710</w:t>
                  </w:r>
                </w:p>
              </w:tc>
              <w:tc>
                <w:tcPr>
                  <w:tcW w:w="445" w:type="pct"/>
                  <w:vAlign w:val="center"/>
                </w:tcPr>
                <w:p>
                  <w:pPr>
                    <w:jc w:val="center"/>
                    <w:rPr>
                      <w:szCs w:val="21"/>
                    </w:rPr>
                  </w:pPr>
                  <w:r>
                    <w:rPr>
                      <w:szCs w:val="21"/>
                    </w:rPr>
                    <w:t>居民区</w:t>
                  </w:r>
                </w:p>
              </w:tc>
              <w:tc>
                <w:tcPr>
                  <w:tcW w:w="370" w:type="pct"/>
                  <w:vAlign w:val="center"/>
                </w:tcPr>
                <w:p>
                  <w:pPr>
                    <w:jc w:val="center"/>
                    <w:rPr>
                      <w:szCs w:val="21"/>
                    </w:rPr>
                  </w:pPr>
                  <w:r>
                    <w:rPr>
                      <w:szCs w:val="21"/>
                    </w:rPr>
                    <w:t>东</w:t>
                  </w:r>
                </w:p>
              </w:tc>
              <w:tc>
                <w:tcPr>
                  <w:tcW w:w="445" w:type="pct"/>
                  <w:vAlign w:val="center"/>
                </w:tcPr>
                <w:p>
                  <w:pPr>
                    <w:jc w:val="center"/>
                    <w:rPr>
                      <w:szCs w:val="21"/>
                    </w:rPr>
                  </w:pPr>
                  <w:r>
                    <w:rPr>
                      <w:szCs w:val="21"/>
                    </w:rPr>
                    <w:t>35m</w:t>
                  </w:r>
                </w:p>
              </w:tc>
              <w:tc>
                <w:tcPr>
                  <w:tcW w:w="522" w:type="pct"/>
                  <w:vAlign w:val="center"/>
                </w:tcPr>
                <w:p>
                  <w:pPr>
                    <w:jc w:val="center"/>
                    <w:rPr>
                      <w:szCs w:val="21"/>
                    </w:rPr>
                  </w:pPr>
                  <w:r>
                    <w:rPr>
                      <w:szCs w:val="21"/>
                    </w:rPr>
                    <w:t>约25人</w:t>
                  </w:r>
                </w:p>
              </w:tc>
              <w:tc>
                <w:tcPr>
                  <w:tcW w:w="1125" w:type="pct"/>
                  <w:vAlign w:val="center"/>
                </w:tcPr>
                <w:p>
                  <w:pPr>
                    <w:jc w:val="center"/>
                    <w:rPr>
                      <w:szCs w:val="21"/>
                    </w:rPr>
                  </w:pPr>
                  <w:r>
                    <w:rPr>
                      <w:szCs w:val="21"/>
                    </w:rPr>
                    <w:t>执行《声环境质量标准》（GB</w:t>
                  </w:r>
                  <w:r>
                    <w:rPr>
                      <w:rFonts w:hint="eastAsia"/>
                      <w:szCs w:val="21"/>
                      <w:lang w:eastAsia="zh-CN"/>
                    </w:rPr>
                    <w:t>****</w:t>
                  </w:r>
                  <w:r>
                    <w:rPr>
                      <w:szCs w:val="21"/>
                    </w:rPr>
                    <w:t>-2008）2类标准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szCs w:val="21"/>
                    </w:rPr>
                  </w:pPr>
                  <w:r>
                    <w:rPr>
                      <w:szCs w:val="21"/>
                    </w:rPr>
                    <w:t>地表水</w:t>
                  </w:r>
                </w:p>
              </w:tc>
              <w:tc>
                <w:tcPr>
                  <w:tcW w:w="746" w:type="pct"/>
                  <w:vAlign w:val="center"/>
                </w:tcPr>
                <w:p>
                  <w:pPr>
                    <w:jc w:val="center"/>
                    <w:rPr>
                      <w:szCs w:val="21"/>
                    </w:rPr>
                  </w:pPr>
                  <w:r>
                    <w:rPr>
                      <w:szCs w:val="21"/>
                    </w:rPr>
                    <w:t>小江</w:t>
                  </w:r>
                </w:p>
              </w:tc>
              <w:tc>
                <w:tcPr>
                  <w:tcW w:w="506" w:type="pct"/>
                  <w:vAlign w:val="center"/>
                </w:tcPr>
                <w:p>
                  <w:pPr>
                    <w:jc w:val="center"/>
                    <w:rPr>
                      <w:szCs w:val="21"/>
                    </w:rPr>
                  </w:pPr>
                  <w:r>
                    <w:rPr>
                      <w:szCs w:val="21"/>
                    </w:rPr>
                    <w:t>/</w:t>
                  </w:r>
                </w:p>
              </w:tc>
              <w:tc>
                <w:tcPr>
                  <w:tcW w:w="453" w:type="pct"/>
                  <w:vAlign w:val="center"/>
                </w:tcPr>
                <w:p>
                  <w:pPr>
                    <w:jc w:val="center"/>
                    <w:rPr>
                      <w:szCs w:val="21"/>
                    </w:rPr>
                  </w:pPr>
                  <w:r>
                    <w:rPr>
                      <w:szCs w:val="21"/>
                    </w:rPr>
                    <w:t>/</w:t>
                  </w:r>
                </w:p>
              </w:tc>
              <w:tc>
                <w:tcPr>
                  <w:tcW w:w="445" w:type="pct"/>
                  <w:vAlign w:val="center"/>
                </w:tcPr>
                <w:p>
                  <w:pPr>
                    <w:jc w:val="center"/>
                    <w:rPr>
                      <w:szCs w:val="21"/>
                    </w:rPr>
                  </w:pPr>
                  <w:r>
                    <w:rPr>
                      <w:szCs w:val="21"/>
                    </w:rPr>
                    <w:t>地表水</w:t>
                  </w:r>
                </w:p>
              </w:tc>
              <w:tc>
                <w:tcPr>
                  <w:tcW w:w="370" w:type="pct"/>
                  <w:vAlign w:val="center"/>
                </w:tcPr>
                <w:p>
                  <w:pPr>
                    <w:jc w:val="center"/>
                    <w:rPr>
                      <w:szCs w:val="21"/>
                    </w:rPr>
                  </w:pPr>
                  <w:r>
                    <w:rPr>
                      <w:szCs w:val="21"/>
                    </w:rPr>
                    <w:t>东</w:t>
                  </w:r>
                </w:p>
              </w:tc>
              <w:tc>
                <w:tcPr>
                  <w:tcW w:w="445" w:type="pct"/>
                  <w:vAlign w:val="center"/>
                </w:tcPr>
                <w:p>
                  <w:pPr>
                    <w:jc w:val="center"/>
                    <w:rPr>
                      <w:szCs w:val="21"/>
                    </w:rPr>
                  </w:pPr>
                  <w:r>
                    <w:rPr>
                      <w:szCs w:val="21"/>
                    </w:rPr>
                    <w:t>235</w:t>
                  </w:r>
                </w:p>
              </w:tc>
              <w:tc>
                <w:tcPr>
                  <w:tcW w:w="522" w:type="pct"/>
                  <w:vAlign w:val="center"/>
                </w:tcPr>
                <w:p>
                  <w:pPr>
                    <w:jc w:val="center"/>
                    <w:rPr>
                      <w:szCs w:val="21"/>
                    </w:rPr>
                  </w:pPr>
                  <w:r>
                    <w:rPr>
                      <w:szCs w:val="21"/>
                    </w:rPr>
                    <w:t>水质</w:t>
                  </w:r>
                </w:p>
              </w:tc>
              <w:tc>
                <w:tcPr>
                  <w:tcW w:w="1125" w:type="pct"/>
                  <w:vAlign w:val="center"/>
                </w:tcPr>
                <w:p>
                  <w:pPr>
                    <w:jc w:val="center"/>
                    <w:rPr>
                      <w:szCs w:val="21"/>
                    </w:rPr>
                  </w:pPr>
                  <w:r>
                    <w:rPr>
                      <w:szCs w:val="21"/>
                    </w:rPr>
                    <w:t>《地表水环境质量标准》（GB</w:t>
                  </w:r>
                  <w:r>
                    <w:rPr>
                      <w:rFonts w:hint="eastAsia"/>
                      <w:szCs w:val="21"/>
                      <w:lang w:eastAsia="zh-CN"/>
                    </w:rPr>
                    <w:t>****</w:t>
                  </w:r>
                  <w:r>
                    <w:rPr>
                      <w:szCs w:val="21"/>
                    </w:rPr>
                    <w:t>-2002）</w:t>
                  </w:r>
                  <w:r>
                    <w:rPr>
                      <w:rFonts w:hint="eastAsia" w:ascii="宋体" w:hAnsi="宋体" w:cs="宋体"/>
                      <w:szCs w:val="21"/>
                    </w:rPr>
                    <w:t>Ⅲ</w:t>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szCs w:val="21"/>
                    </w:rPr>
                  </w:pPr>
                  <w:r>
                    <w:rPr>
                      <w:rFonts w:hint="eastAsia"/>
                      <w:szCs w:val="21"/>
                    </w:rPr>
                    <w:t>环境空气</w:t>
                  </w:r>
                </w:p>
              </w:tc>
              <w:tc>
                <w:tcPr>
                  <w:tcW w:w="746" w:type="pct"/>
                  <w:vAlign w:val="center"/>
                </w:tcPr>
                <w:p>
                  <w:pPr>
                    <w:jc w:val="center"/>
                    <w:rPr>
                      <w:szCs w:val="21"/>
                    </w:rPr>
                  </w:pPr>
                  <w:r>
                    <w:rPr>
                      <w:rFonts w:hint="eastAsia"/>
                      <w:szCs w:val="21"/>
                    </w:rPr>
                    <w:t>格勒村小坡组散户</w:t>
                  </w:r>
                </w:p>
              </w:tc>
              <w:tc>
                <w:tcPr>
                  <w:tcW w:w="506" w:type="pct"/>
                  <w:vAlign w:val="center"/>
                </w:tcPr>
                <w:p>
                  <w:pPr>
                    <w:jc w:val="center"/>
                    <w:rPr>
                      <w:szCs w:val="21"/>
                    </w:rPr>
                  </w:pPr>
                  <w:r>
                    <w:rPr>
                      <w:szCs w:val="21"/>
                    </w:rPr>
                    <w:t>103.0665</w:t>
                  </w:r>
                </w:p>
              </w:tc>
              <w:tc>
                <w:tcPr>
                  <w:tcW w:w="453" w:type="pct"/>
                  <w:vAlign w:val="center"/>
                </w:tcPr>
                <w:p>
                  <w:pPr>
                    <w:jc w:val="center"/>
                    <w:rPr>
                      <w:szCs w:val="21"/>
                    </w:rPr>
                  </w:pPr>
                  <w:r>
                    <w:rPr>
                      <w:szCs w:val="21"/>
                    </w:rPr>
                    <w:t>26.4710</w:t>
                  </w:r>
                </w:p>
              </w:tc>
              <w:tc>
                <w:tcPr>
                  <w:tcW w:w="445" w:type="pct"/>
                  <w:vAlign w:val="center"/>
                </w:tcPr>
                <w:p>
                  <w:pPr>
                    <w:jc w:val="center"/>
                    <w:rPr>
                      <w:szCs w:val="21"/>
                    </w:rPr>
                  </w:pPr>
                  <w:r>
                    <w:rPr>
                      <w:rFonts w:hint="eastAsia"/>
                      <w:szCs w:val="21"/>
                    </w:rPr>
                    <w:t>居民区</w:t>
                  </w:r>
                </w:p>
              </w:tc>
              <w:tc>
                <w:tcPr>
                  <w:tcW w:w="370" w:type="pct"/>
                  <w:vAlign w:val="center"/>
                </w:tcPr>
                <w:p>
                  <w:pPr>
                    <w:jc w:val="center"/>
                    <w:rPr>
                      <w:szCs w:val="21"/>
                    </w:rPr>
                  </w:pPr>
                  <w:r>
                    <w:rPr>
                      <w:rFonts w:hint="eastAsia"/>
                      <w:szCs w:val="21"/>
                    </w:rPr>
                    <w:t>东</w:t>
                  </w:r>
                </w:p>
              </w:tc>
              <w:tc>
                <w:tcPr>
                  <w:tcW w:w="445" w:type="pct"/>
                  <w:vAlign w:val="center"/>
                </w:tcPr>
                <w:p>
                  <w:pPr>
                    <w:jc w:val="center"/>
                    <w:rPr>
                      <w:szCs w:val="21"/>
                    </w:rPr>
                  </w:pPr>
                  <w:r>
                    <w:rPr>
                      <w:rFonts w:hint="eastAsia"/>
                      <w:szCs w:val="21"/>
                    </w:rPr>
                    <w:t>3</w:t>
                  </w:r>
                  <w:r>
                    <w:rPr>
                      <w:szCs w:val="21"/>
                    </w:rPr>
                    <w:t>5</w:t>
                  </w:r>
                  <w:r>
                    <w:rPr>
                      <w:rFonts w:hint="eastAsia"/>
                      <w:szCs w:val="21"/>
                    </w:rPr>
                    <w:t>m</w:t>
                  </w:r>
                </w:p>
              </w:tc>
              <w:tc>
                <w:tcPr>
                  <w:tcW w:w="522" w:type="pct"/>
                  <w:vAlign w:val="center"/>
                </w:tcPr>
                <w:p>
                  <w:pPr>
                    <w:jc w:val="center"/>
                    <w:rPr>
                      <w:szCs w:val="21"/>
                    </w:rPr>
                  </w:pPr>
                  <w:r>
                    <w:rPr>
                      <w:rFonts w:hint="eastAsia"/>
                      <w:szCs w:val="21"/>
                    </w:rPr>
                    <w:t>约2</w:t>
                  </w:r>
                  <w:r>
                    <w:rPr>
                      <w:szCs w:val="21"/>
                    </w:rPr>
                    <w:t>5</w:t>
                  </w:r>
                  <w:r>
                    <w:rPr>
                      <w:rFonts w:hint="eastAsia"/>
                      <w:szCs w:val="21"/>
                    </w:rPr>
                    <w:t>人</w:t>
                  </w:r>
                </w:p>
              </w:tc>
              <w:tc>
                <w:tcPr>
                  <w:tcW w:w="1125" w:type="pct"/>
                  <w:vAlign w:val="center"/>
                </w:tcPr>
                <w:p>
                  <w:pPr>
                    <w:jc w:val="center"/>
                    <w:rPr>
                      <w:szCs w:val="21"/>
                    </w:rPr>
                  </w:pPr>
                  <w:r>
                    <w:rPr>
                      <w:rFonts w:hint="eastAsia"/>
                      <w:szCs w:val="21"/>
                    </w:rPr>
                    <w:t>《环境空气质量标准》（GB</w:t>
                  </w:r>
                  <w:r>
                    <w:rPr>
                      <w:rFonts w:hint="eastAsia"/>
                      <w:szCs w:val="21"/>
                      <w:lang w:eastAsia="zh-CN"/>
                    </w:rPr>
                    <w:t>****</w:t>
                  </w:r>
                  <w:r>
                    <w:rPr>
                      <w:rFonts w:hint="eastAsia"/>
                      <w:szCs w:val="21"/>
                    </w:rPr>
                    <w:t>-2012）二级标准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rFonts w:hint="eastAsia" w:eastAsia="宋体"/>
                      <w:szCs w:val="21"/>
                      <w:lang w:val="en-US" w:eastAsia="zh-CN"/>
                    </w:rPr>
                  </w:pPr>
                  <w:r>
                    <w:rPr>
                      <w:rFonts w:hint="eastAsia"/>
                      <w:szCs w:val="21"/>
                      <w:lang w:val="en-US" w:eastAsia="zh-CN"/>
                    </w:rPr>
                    <w:t>自然保护小区</w:t>
                  </w:r>
                </w:p>
              </w:tc>
              <w:tc>
                <w:tcPr>
                  <w:tcW w:w="746" w:type="pct"/>
                  <w:vAlign w:val="center"/>
                </w:tcPr>
                <w:p>
                  <w:pPr>
                    <w:jc w:val="center"/>
                    <w:rPr>
                      <w:rFonts w:hint="eastAsia" w:eastAsia="宋体"/>
                      <w:szCs w:val="21"/>
                      <w:lang w:val="en-US" w:eastAsia="zh-CN"/>
                    </w:rPr>
                  </w:pPr>
                  <w:r>
                    <w:rPr>
                      <w:rFonts w:hint="eastAsia" w:ascii="Times New Roman" w:hAnsi="Times New Roman" w:eastAsia="宋体" w:cs="Times New Roman"/>
                      <w:szCs w:val="21"/>
                    </w:rPr>
                    <w:t>栗喉蜂虎</w:t>
                  </w:r>
                  <w:r>
                    <w:rPr>
                      <w:rFonts w:hint="eastAsia" w:ascii="Times New Roman" w:hAnsi="Times New Roman" w:eastAsia="宋体" w:cs="Times New Roman"/>
                      <w:szCs w:val="21"/>
                      <w:lang w:val="en-US" w:eastAsia="zh-CN"/>
                    </w:rPr>
                    <w:t>自然保护小区</w:t>
                  </w:r>
                </w:p>
              </w:tc>
              <w:tc>
                <w:tcPr>
                  <w:tcW w:w="506" w:type="pct"/>
                  <w:vAlign w:val="center"/>
                </w:tcPr>
                <w:p>
                  <w:pPr>
                    <w:jc w:val="center"/>
                    <w:rPr>
                      <w:rFonts w:hint="eastAsia" w:eastAsia="宋体"/>
                      <w:szCs w:val="21"/>
                      <w:lang w:val="en-US" w:eastAsia="zh-CN"/>
                    </w:rPr>
                  </w:pPr>
                  <w:r>
                    <w:rPr>
                      <w:rFonts w:hint="eastAsia"/>
                      <w:szCs w:val="21"/>
                      <w:lang w:val="en-US" w:eastAsia="zh-CN"/>
                    </w:rPr>
                    <w:t>/</w:t>
                  </w:r>
                </w:p>
              </w:tc>
              <w:tc>
                <w:tcPr>
                  <w:tcW w:w="453" w:type="pct"/>
                  <w:vAlign w:val="center"/>
                </w:tcPr>
                <w:p>
                  <w:pPr>
                    <w:jc w:val="center"/>
                    <w:rPr>
                      <w:rFonts w:hint="eastAsia" w:eastAsia="宋体"/>
                      <w:szCs w:val="21"/>
                      <w:lang w:val="en-US" w:eastAsia="zh-CN"/>
                    </w:rPr>
                  </w:pPr>
                  <w:r>
                    <w:rPr>
                      <w:rFonts w:hint="eastAsia"/>
                      <w:szCs w:val="21"/>
                      <w:lang w:val="en-US" w:eastAsia="zh-CN"/>
                    </w:rPr>
                    <w:t>/</w:t>
                  </w:r>
                </w:p>
              </w:tc>
              <w:tc>
                <w:tcPr>
                  <w:tcW w:w="445" w:type="pct"/>
                  <w:vAlign w:val="center"/>
                </w:tcPr>
                <w:p>
                  <w:pPr>
                    <w:jc w:val="center"/>
                    <w:rPr>
                      <w:rFonts w:hint="default" w:eastAsia="宋体"/>
                      <w:szCs w:val="21"/>
                      <w:lang w:val="en-US" w:eastAsia="zh-CN"/>
                    </w:rPr>
                  </w:pPr>
                  <w:r>
                    <w:rPr>
                      <w:rFonts w:hint="eastAsia"/>
                      <w:szCs w:val="21"/>
                      <w:lang w:val="en-US" w:eastAsia="zh-CN"/>
                    </w:rPr>
                    <w:t>自然保护小区</w:t>
                  </w:r>
                </w:p>
              </w:tc>
              <w:tc>
                <w:tcPr>
                  <w:tcW w:w="370" w:type="pct"/>
                  <w:vAlign w:val="center"/>
                </w:tcPr>
                <w:p>
                  <w:pPr>
                    <w:jc w:val="center"/>
                    <w:rPr>
                      <w:rFonts w:hint="eastAsia"/>
                      <w:szCs w:val="21"/>
                    </w:rPr>
                  </w:pPr>
                </w:p>
              </w:tc>
              <w:tc>
                <w:tcPr>
                  <w:tcW w:w="445" w:type="pct"/>
                  <w:vAlign w:val="center"/>
                </w:tcPr>
                <w:p>
                  <w:pPr>
                    <w:jc w:val="center"/>
                    <w:rPr>
                      <w:rFonts w:hint="default" w:eastAsia="宋体"/>
                      <w:szCs w:val="21"/>
                      <w:lang w:val="en-US" w:eastAsia="zh-CN"/>
                    </w:rPr>
                  </w:pPr>
                  <w:r>
                    <w:rPr>
                      <w:rFonts w:hint="eastAsia"/>
                      <w:szCs w:val="21"/>
                      <w:lang w:val="en-US" w:eastAsia="zh-CN"/>
                    </w:rPr>
                    <w:t>处于保护小区内</w:t>
                  </w:r>
                </w:p>
              </w:tc>
              <w:tc>
                <w:tcPr>
                  <w:tcW w:w="522" w:type="pct"/>
                  <w:vAlign w:val="center"/>
                </w:tcPr>
                <w:p>
                  <w:pPr>
                    <w:jc w:val="center"/>
                    <w:rPr>
                      <w:rFonts w:hint="eastAsia"/>
                      <w:szCs w:val="21"/>
                    </w:rPr>
                  </w:pPr>
                  <w:r>
                    <w:rPr>
                      <w:rFonts w:hint="eastAsia" w:ascii="Times New Roman" w:hAnsi="Times New Roman" w:eastAsia="宋体" w:cs="Times New Roman"/>
                      <w:szCs w:val="21"/>
                    </w:rPr>
                    <w:t>栗喉蜂虎</w:t>
                  </w:r>
                </w:p>
              </w:tc>
              <w:tc>
                <w:tcPr>
                  <w:tcW w:w="1125" w:type="pct"/>
                  <w:vAlign w:val="center"/>
                </w:tcPr>
                <w:p>
                  <w:pPr>
                    <w:jc w:val="center"/>
                    <w:rPr>
                      <w:rFonts w:hint="default" w:eastAsia="宋体"/>
                      <w:szCs w:val="21"/>
                      <w:lang w:val="en-US" w:eastAsia="zh-CN"/>
                    </w:rPr>
                  </w:pPr>
                  <w:r>
                    <w:rPr>
                      <w:rFonts w:hint="eastAsia"/>
                      <w:szCs w:val="21"/>
                      <w:lang w:val="en-US" w:eastAsia="zh-CN"/>
                    </w:rPr>
                    <w:t>/</w:t>
                  </w:r>
                </w:p>
              </w:tc>
            </w:tr>
          </w:tbl>
          <w:p>
            <w:pPr>
              <w:spacing w:line="360" w:lineRule="auto"/>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污染物排放控制标准</w:t>
            </w:r>
          </w:p>
        </w:tc>
        <w:tc>
          <w:tcPr>
            <w:tcW w:w="10148" w:type="dxa"/>
          </w:tcPr>
          <w:p>
            <w:pPr>
              <w:spacing w:line="360" w:lineRule="auto"/>
              <w:rPr>
                <w:b/>
                <w:bCs/>
                <w:sz w:val="24"/>
              </w:rPr>
            </w:pPr>
            <w:r>
              <w:rPr>
                <w:rFonts w:hint="eastAsia"/>
                <w:b/>
                <w:bCs/>
                <w:sz w:val="24"/>
              </w:rPr>
              <w:t>一、施工期污染物排放标准</w:t>
            </w:r>
          </w:p>
          <w:p>
            <w:pPr>
              <w:autoSpaceDE w:val="0"/>
              <w:autoSpaceDN w:val="0"/>
              <w:adjustRightInd w:val="0"/>
              <w:spacing w:line="360" w:lineRule="auto"/>
              <w:jc w:val="left"/>
              <w:rPr>
                <w:b/>
                <w:sz w:val="24"/>
              </w:rPr>
            </w:pPr>
            <w:r>
              <w:rPr>
                <w:b/>
                <w:sz w:val="24"/>
              </w:rPr>
              <w:t>1、大气污染物排放标准</w:t>
            </w:r>
          </w:p>
          <w:p>
            <w:pPr>
              <w:autoSpaceDE w:val="0"/>
              <w:autoSpaceDN w:val="0"/>
              <w:adjustRightInd w:val="0"/>
              <w:spacing w:line="360" w:lineRule="auto"/>
              <w:ind w:firstLine="480" w:firstLineChars="200"/>
              <w:rPr>
                <w:sz w:val="24"/>
              </w:rPr>
            </w:pPr>
            <w:r>
              <w:rPr>
                <w:sz w:val="24"/>
              </w:rPr>
              <w:t>施工期间，粉尘排放执行《大气污染物综合排放标准》（GB</w:t>
            </w:r>
            <w:r>
              <w:rPr>
                <w:rFonts w:hint="eastAsia"/>
                <w:sz w:val="24"/>
                <w:lang w:eastAsia="zh-CN"/>
              </w:rPr>
              <w:t>*****</w:t>
            </w:r>
            <w:r>
              <w:rPr>
                <w:sz w:val="24"/>
              </w:rPr>
              <w:t>-1996）中的无组织排放监控浓度限值，详见下表</w:t>
            </w:r>
            <w:r>
              <w:rPr>
                <w:rFonts w:hint="eastAsia"/>
                <w:sz w:val="24"/>
              </w:rPr>
              <w:t>。</w:t>
            </w:r>
          </w:p>
          <w:p>
            <w:pPr>
              <w:spacing w:line="360" w:lineRule="auto"/>
              <w:jc w:val="center"/>
              <w:rPr>
                <w:b/>
                <w:szCs w:val="21"/>
              </w:rPr>
            </w:pPr>
            <w:r>
              <w:rPr>
                <w:b/>
                <w:szCs w:val="21"/>
              </w:rPr>
              <w:t>表3-7  施工期大气污染物排放标准限值一览表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434"/>
              <w:gridCol w:w="2015"/>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 w:hRule="atLeast"/>
                <w:jc w:val="center"/>
              </w:trPr>
              <w:tc>
                <w:tcPr>
                  <w:tcW w:w="709" w:type="pct"/>
                  <w:vMerge w:val="restart"/>
                  <w:vAlign w:val="center"/>
                </w:tcPr>
                <w:p>
                  <w:pPr>
                    <w:jc w:val="center"/>
                    <w:rPr>
                      <w:b/>
                      <w:szCs w:val="21"/>
                    </w:rPr>
                  </w:pPr>
                  <w:r>
                    <w:rPr>
                      <w:b/>
                      <w:szCs w:val="21"/>
                    </w:rPr>
                    <w:t>污染物</w:t>
                  </w:r>
                </w:p>
              </w:tc>
              <w:tc>
                <w:tcPr>
                  <w:tcW w:w="2202" w:type="pct"/>
                  <w:gridSpan w:val="2"/>
                  <w:vAlign w:val="center"/>
                </w:tcPr>
                <w:p>
                  <w:pPr>
                    <w:jc w:val="center"/>
                    <w:rPr>
                      <w:b/>
                      <w:szCs w:val="21"/>
                    </w:rPr>
                  </w:pPr>
                  <w:r>
                    <w:rPr>
                      <w:b/>
                      <w:szCs w:val="21"/>
                    </w:rPr>
                    <w:t>无组织排放监控浓度限值</w:t>
                  </w:r>
                </w:p>
              </w:tc>
              <w:tc>
                <w:tcPr>
                  <w:tcW w:w="2089" w:type="pct"/>
                  <w:vMerge w:val="restart"/>
                  <w:vAlign w:val="center"/>
                </w:tcPr>
                <w:p>
                  <w:pPr>
                    <w:jc w:val="center"/>
                    <w:rPr>
                      <w:b/>
                      <w:szCs w:val="21"/>
                    </w:rPr>
                  </w:pPr>
                  <w:r>
                    <w:rPr>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709" w:type="pct"/>
                  <w:vMerge w:val="continue"/>
                  <w:vAlign w:val="center"/>
                </w:tcPr>
                <w:p>
                  <w:pPr>
                    <w:jc w:val="center"/>
                    <w:rPr>
                      <w:b/>
                      <w:szCs w:val="21"/>
                    </w:rPr>
                  </w:pPr>
                </w:p>
              </w:tc>
              <w:tc>
                <w:tcPr>
                  <w:tcW w:w="916" w:type="pct"/>
                  <w:vAlign w:val="center"/>
                </w:tcPr>
                <w:p>
                  <w:pPr>
                    <w:jc w:val="center"/>
                    <w:rPr>
                      <w:b/>
                      <w:szCs w:val="21"/>
                    </w:rPr>
                  </w:pPr>
                  <w:r>
                    <w:rPr>
                      <w:b/>
                      <w:szCs w:val="21"/>
                    </w:rPr>
                    <w:t>监控点</w:t>
                  </w:r>
                </w:p>
              </w:tc>
              <w:tc>
                <w:tcPr>
                  <w:tcW w:w="1287" w:type="pct"/>
                  <w:vAlign w:val="center"/>
                </w:tcPr>
                <w:p>
                  <w:pPr>
                    <w:jc w:val="center"/>
                    <w:rPr>
                      <w:b/>
                      <w:szCs w:val="21"/>
                    </w:rPr>
                  </w:pPr>
                  <w:r>
                    <w:rPr>
                      <w:b/>
                      <w:szCs w:val="21"/>
                    </w:rPr>
                    <w:t>浓度</w:t>
                  </w:r>
                </w:p>
              </w:tc>
              <w:tc>
                <w:tcPr>
                  <w:tcW w:w="2089" w:type="pct"/>
                  <w:vMerge w:val="continue"/>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 w:hRule="atLeast"/>
                <w:jc w:val="center"/>
              </w:trPr>
              <w:tc>
                <w:tcPr>
                  <w:tcW w:w="709" w:type="pct"/>
                  <w:vAlign w:val="center"/>
                </w:tcPr>
                <w:p>
                  <w:pPr>
                    <w:jc w:val="center"/>
                    <w:rPr>
                      <w:szCs w:val="21"/>
                    </w:rPr>
                  </w:pPr>
                  <w:r>
                    <w:rPr>
                      <w:szCs w:val="21"/>
                    </w:rPr>
                    <w:t>颗粒物</w:t>
                  </w:r>
                </w:p>
              </w:tc>
              <w:tc>
                <w:tcPr>
                  <w:tcW w:w="916" w:type="pct"/>
                  <w:vAlign w:val="center"/>
                </w:tcPr>
                <w:p>
                  <w:pPr>
                    <w:jc w:val="center"/>
                    <w:rPr>
                      <w:szCs w:val="21"/>
                    </w:rPr>
                  </w:pPr>
                  <w:r>
                    <w:rPr>
                      <w:szCs w:val="21"/>
                    </w:rPr>
                    <w:t>厂界外浓度最高点</w:t>
                  </w:r>
                </w:p>
              </w:tc>
              <w:tc>
                <w:tcPr>
                  <w:tcW w:w="1287" w:type="pct"/>
                  <w:vAlign w:val="center"/>
                </w:tcPr>
                <w:p>
                  <w:pPr>
                    <w:jc w:val="center"/>
                    <w:rPr>
                      <w:szCs w:val="21"/>
                    </w:rPr>
                  </w:pPr>
                  <w:r>
                    <w:rPr>
                      <w:szCs w:val="21"/>
                    </w:rPr>
                    <w:t>1.0</w:t>
                  </w:r>
                  <w:r>
                    <w:rPr>
                      <w:sz w:val="24"/>
                    </w:rPr>
                    <w:t>mg/m</w:t>
                  </w:r>
                  <w:r>
                    <w:rPr>
                      <w:sz w:val="24"/>
                      <w:vertAlign w:val="superscript"/>
                    </w:rPr>
                    <w:t>3</w:t>
                  </w:r>
                </w:p>
              </w:tc>
              <w:tc>
                <w:tcPr>
                  <w:tcW w:w="2089" w:type="pct"/>
                  <w:vAlign w:val="center"/>
                </w:tcPr>
                <w:p>
                  <w:pPr>
                    <w:jc w:val="center"/>
                    <w:rPr>
                      <w:szCs w:val="21"/>
                    </w:rPr>
                  </w:pPr>
                  <w:r>
                    <w:rPr>
                      <w:szCs w:val="21"/>
                    </w:rPr>
                    <w:t>《大气污染物综合排放标准》（GB</w:t>
                  </w:r>
                  <w:r>
                    <w:rPr>
                      <w:rFonts w:hint="eastAsia"/>
                      <w:szCs w:val="21"/>
                      <w:lang w:eastAsia="zh-CN"/>
                    </w:rPr>
                    <w:t>*****</w:t>
                  </w:r>
                  <w:r>
                    <w:rPr>
                      <w:szCs w:val="21"/>
                    </w:rPr>
                    <w:t>-1996）</w:t>
                  </w:r>
                </w:p>
              </w:tc>
            </w:tr>
          </w:tbl>
          <w:p>
            <w:pPr>
              <w:autoSpaceDE w:val="0"/>
              <w:autoSpaceDN w:val="0"/>
              <w:adjustRightInd w:val="0"/>
              <w:spacing w:line="360" w:lineRule="auto"/>
              <w:jc w:val="left"/>
              <w:rPr>
                <w:b/>
                <w:sz w:val="24"/>
              </w:rPr>
            </w:pPr>
            <w:r>
              <w:rPr>
                <w:b/>
                <w:sz w:val="24"/>
              </w:rPr>
              <w:t>2、废水排放标准</w:t>
            </w:r>
          </w:p>
          <w:p>
            <w:pPr>
              <w:autoSpaceDE w:val="0"/>
              <w:autoSpaceDN w:val="0"/>
              <w:adjustRightInd w:val="0"/>
              <w:spacing w:line="360" w:lineRule="auto"/>
              <w:ind w:firstLine="480" w:firstLineChars="200"/>
              <w:rPr>
                <w:sz w:val="24"/>
              </w:rPr>
            </w:pPr>
            <w:r>
              <w:rPr>
                <w:rFonts w:hint="eastAsia"/>
                <w:sz w:val="24"/>
              </w:rPr>
              <w:t>本项目施工期间的生活污水经临时沉淀池收集后，用于道路降尘。</w:t>
            </w:r>
            <w:r>
              <w:rPr>
                <w:sz w:val="24"/>
              </w:rPr>
              <w:t>施工期间，项目无废水外排，故不设置水污染物排放标准。</w:t>
            </w:r>
          </w:p>
          <w:p>
            <w:pPr>
              <w:autoSpaceDE w:val="0"/>
              <w:autoSpaceDN w:val="0"/>
              <w:adjustRightInd w:val="0"/>
              <w:spacing w:line="360" w:lineRule="auto"/>
              <w:jc w:val="left"/>
              <w:rPr>
                <w:b/>
                <w:sz w:val="24"/>
              </w:rPr>
            </w:pPr>
            <w:r>
              <w:rPr>
                <w:b/>
                <w:sz w:val="24"/>
              </w:rPr>
              <w:t>3、噪声排放标准</w:t>
            </w:r>
          </w:p>
          <w:p>
            <w:pPr>
              <w:autoSpaceDE w:val="0"/>
              <w:autoSpaceDN w:val="0"/>
              <w:adjustRightInd w:val="0"/>
              <w:spacing w:line="360" w:lineRule="auto"/>
              <w:ind w:firstLine="480" w:firstLineChars="200"/>
              <w:rPr>
                <w:sz w:val="24"/>
              </w:rPr>
            </w:pPr>
            <w:r>
              <w:rPr>
                <w:sz w:val="24"/>
              </w:rPr>
              <w:t>项目施工期，噪声排放执行《建筑施工场界环境噪声排放标准》（GB</w:t>
            </w:r>
            <w:r>
              <w:rPr>
                <w:rFonts w:hint="eastAsia"/>
                <w:sz w:val="24"/>
                <w:lang w:eastAsia="zh-CN"/>
              </w:rPr>
              <w:t>*****</w:t>
            </w:r>
            <w:r>
              <w:rPr>
                <w:sz w:val="24"/>
              </w:rPr>
              <w:t>-2011），标准限值详见下表。</w:t>
            </w:r>
          </w:p>
          <w:p>
            <w:pPr>
              <w:spacing w:line="360" w:lineRule="auto"/>
              <w:jc w:val="center"/>
              <w:rPr>
                <w:b/>
                <w:szCs w:val="21"/>
              </w:rPr>
            </w:pPr>
            <w:r>
              <w:rPr>
                <w:b/>
                <w:szCs w:val="21"/>
              </w:rPr>
              <w:t>表3-8  建筑施工厂界环境噪声排放限值一览表</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767"/>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109" w:type="pct"/>
                  <w:gridSpan w:val="2"/>
                  <w:vAlign w:val="center"/>
                </w:tcPr>
                <w:p>
                  <w:pPr>
                    <w:jc w:val="center"/>
                    <w:rPr>
                      <w:b/>
                      <w:szCs w:val="21"/>
                    </w:rPr>
                  </w:pPr>
                  <w:r>
                    <w:rPr>
                      <w:b/>
                      <w:szCs w:val="21"/>
                    </w:rPr>
                    <w:t>标准限值</w:t>
                  </w:r>
                </w:p>
              </w:tc>
              <w:tc>
                <w:tcPr>
                  <w:tcW w:w="2891" w:type="pct"/>
                  <w:vMerge w:val="restart"/>
                  <w:vAlign w:val="center"/>
                </w:tcPr>
                <w:p>
                  <w:pPr>
                    <w:jc w:val="center"/>
                    <w:rPr>
                      <w:b/>
                      <w:szCs w:val="21"/>
                    </w:rPr>
                  </w:pPr>
                  <w:r>
                    <w:rPr>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980" w:type="pct"/>
                  <w:vAlign w:val="center"/>
                </w:tcPr>
                <w:p>
                  <w:pPr>
                    <w:jc w:val="center"/>
                    <w:rPr>
                      <w:b/>
                      <w:szCs w:val="21"/>
                    </w:rPr>
                  </w:pPr>
                  <w:r>
                    <w:rPr>
                      <w:b/>
                      <w:szCs w:val="21"/>
                    </w:rPr>
                    <w:t>昼间</w:t>
                  </w:r>
                </w:p>
              </w:tc>
              <w:tc>
                <w:tcPr>
                  <w:tcW w:w="1129" w:type="pct"/>
                  <w:vAlign w:val="center"/>
                </w:tcPr>
                <w:p>
                  <w:pPr>
                    <w:jc w:val="center"/>
                    <w:rPr>
                      <w:b/>
                      <w:szCs w:val="21"/>
                    </w:rPr>
                  </w:pPr>
                  <w:r>
                    <w:rPr>
                      <w:b/>
                      <w:szCs w:val="21"/>
                    </w:rPr>
                    <w:t>夜间</w:t>
                  </w:r>
                </w:p>
              </w:tc>
              <w:tc>
                <w:tcPr>
                  <w:tcW w:w="2891" w:type="pct"/>
                  <w:vMerge w:val="continue"/>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980" w:type="pct"/>
                  <w:vAlign w:val="center"/>
                </w:tcPr>
                <w:p>
                  <w:pPr>
                    <w:jc w:val="center"/>
                    <w:rPr>
                      <w:szCs w:val="21"/>
                    </w:rPr>
                  </w:pPr>
                  <w:r>
                    <w:rPr>
                      <w:szCs w:val="21"/>
                    </w:rPr>
                    <w:t>70dB(A)</w:t>
                  </w:r>
                </w:p>
              </w:tc>
              <w:tc>
                <w:tcPr>
                  <w:tcW w:w="1129" w:type="pct"/>
                  <w:vAlign w:val="center"/>
                </w:tcPr>
                <w:p>
                  <w:pPr>
                    <w:jc w:val="center"/>
                    <w:rPr>
                      <w:szCs w:val="21"/>
                    </w:rPr>
                  </w:pPr>
                  <w:r>
                    <w:rPr>
                      <w:szCs w:val="21"/>
                    </w:rPr>
                    <w:t>55dB(A)</w:t>
                  </w:r>
                </w:p>
              </w:tc>
              <w:tc>
                <w:tcPr>
                  <w:tcW w:w="2891" w:type="pct"/>
                  <w:vAlign w:val="center"/>
                </w:tcPr>
                <w:p>
                  <w:pPr>
                    <w:jc w:val="center"/>
                    <w:rPr>
                      <w:szCs w:val="21"/>
                    </w:rPr>
                  </w:pPr>
                  <w:r>
                    <w:rPr>
                      <w:szCs w:val="21"/>
                    </w:rPr>
                    <w:t>《建筑施工场界环境噪声排放标准》（GB</w:t>
                  </w:r>
                  <w:r>
                    <w:rPr>
                      <w:rFonts w:hint="eastAsia"/>
                      <w:szCs w:val="21"/>
                      <w:lang w:eastAsia="zh-CN"/>
                    </w:rPr>
                    <w:t>*****</w:t>
                  </w:r>
                  <w:r>
                    <w:rPr>
                      <w:szCs w:val="21"/>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5000" w:type="pct"/>
                  <w:gridSpan w:val="3"/>
                  <w:vAlign w:val="center"/>
                </w:tcPr>
                <w:p>
                  <w:pPr>
                    <w:jc w:val="left"/>
                    <w:rPr>
                      <w:szCs w:val="21"/>
                    </w:rPr>
                  </w:pPr>
                  <w:r>
                    <w:rPr>
                      <w:szCs w:val="21"/>
                    </w:rPr>
                    <w:t>注：</w:t>
                  </w:r>
                </w:p>
                <w:p>
                  <w:pPr>
                    <w:ind w:firstLine="420" w:firstLineChars="200"/>
                    <w:rPr>
                      <w:szCs w:val="21"/>
                    </w:rPr>
                  </w:pPr>
                  <w:r>
                    <w:rPr>
                      <w:szCs w:val="21"/>
                    </w:rPr>
                    <w:t>夜间噪声最大声级超过限值的幅度不得高于15dB（A）。</w:t>
                  </w:r>
                </w:p>
              </w:tc>
            </w:tr>
          </w:tbl>
          <w:p>
            <w:pPr>
              <w:spacing w:line="360" w:lineRule="auto"/>
              <w:rPr>
                <w:b/>
                <w:bCs/>
                <w:sz w:val="24"/>
              </w:rPr>
            </w:pPr>
            <w:r>
              <w:rPr>
                <w:rFonts w:hint="eastAsia"/>
                <w:b/>
                <w:bCs/>
                <w:sz w:val="24"/>
              </w:rPr>
              <w:t>二、运营期污染物排放标准</w:t>
            </w:r>
          </w:p>
          <w:p>
            <w:pPr>
              <w:spacing w:line="360" w:lineRule="auto"/>
              <w:rPr>
                <w:b/>
                <w:bCs/>
                <w:sz w:val="24"/>
              </w:rPr>
            </w:pPr>
            <w:r>
              <w:rPr>
                <w:rFonts w:hint="eastAsia"/>
                <w:b/>
                <w:bCs/>
                <w:sz w:val="24"/>
              </w:rPr>
              <w:t>1、大气污染物排放标准</w:t>
            </w:r>
          </w:p>
          <w:p>
            <w:pPr>
              <w:spacing w:line="360" w:lineRule="auto"/>
              <w:ind w:firstLine="480" w:firstLineChars="200"/>
              <w:rPr>
                <w:sz w:val="24"/>
              </w:rPr>
            </w:pPr>
            <w:r>
              <w:rPr>
                <w:rFonts w:hint="eastAsia"/>
                <w:sz w:val="24"/>
              </w:rPr>
              <w:t>运营期粉尘执行《水泥工业大气污染物排放标准》（G</w:t>
            </w:r>
            <w:r>
              <w:rPr>
                <w:sz w:val="24"/>
              </w:rPr>
              <w:t>B</w:t>
            </w:r>
            <w:r>
              <w:rPr>
                <w:rFonts w:hint="eastAsia"/>
                <w:sz w:val="24"/>
                <w:lang w:eastAsia="zh-CN"/>
              </w:rPr>
              <w:t>****</w:t>
            </w:r>
            <w:r>
              <w:rPr>
                <w:sz w:val="24"/>
              </w:rPr>
              <w:t>-2013</w:t>
            </w:r>
            <w:r>
              <w:rPr>
                <w:rFonts w:hint="eastAsia"/>
                <w:sz w:val="24"/>
              </w:rPr>
              <w:t>），有组织粉尘执行《水泥工业大气污染物排放标准》（GB</w:t>
            </w:r>
            <w:r>
              <w:rPr>
                <w:rFonts w:hint="eastAsia"/>
                <w:sz w:val="24"/>
                <w:lang w:eastAsia="zh-CN"/>
              </w:rPr>
              <w:t>****</w:t>
            </w:r>
            <w:r>
              <w:rPr>
                <w:rFonts w:hint="eastAsia"/>
                <w:sz w:val="24"/>
              </w:rPr>
              <w:t>-2013）表1现有与新建企业大气污染物排放限值中的“水泥仓及其他通风生产设备颗粒物排放浓度：2</w:t>
            </w:r>
            <w:r>
              <w:rPr>
                <w:sz w:val="24"/>
              </w:rPr>
              <w:t>0</w:t>
            </w:r>
            <w:r>
              <w:rPr>
                <w:rFonts w:hint="eastAsia"/>
                <w:sz w:val="24"/>
              </w:rPr>
              <w:t>mg</w:t>
            </w:r>
            <w:r>
              <w:rPr>
                <w:sz w:val="24"/>
              </w:rPr>
              <w:t>/</w:t>
            </w:r>
            <w:r>
              <w:rPr>
                <w:rFonts w:hint="eastAsia"/>
                <w:sz w:val="24"/>
              </w:rPr>
              <w:t>m³”，无组织粉尘执行《水泥工业大气污染物排放标准》（GB</w:t>
            </w:r>
            <w:r>
              <w:rPr>
                <w:rFonts w:hint="eastAsia"/>
                <w:sz w:val="24"/>
                <w:lang w:eastAsia="zh-CN"/>
              </w:rPr>
              <w:t>****</w:t>
            </w:r>
            <w:r>
              <w:rPr>
                <w:rFonts w:hint="eastAsia"/>
                <w:sz w:val="24"/>
              </w:rPr>
              <w:t>-2013）表3大气污染物无组织排放限值中的“水泥制品厂颗粒物无组织排放监控点与参照点总悬浮颗粒物（TSP）1小时浓度值的差值的限值：0</w:t>
            </w:r>
            <w:r>
              <w:rPr>
                <w:sz w:val="24"/>
              </w:rPr>
              <w:t>.5mg/</w:t>
            </w:r>
            <w:r>
              <w:rPr>
                <w:rFonts w:hint="eastAsia"/>
                <w:sz w:val="24"/>
              </w:rPr>
              <w:t>m³”，具体标准限值见表3-</w:t>
            </w:r>
            <w:r>
              <w:rPr>
                <w:sz w:val="24"/>
              </w:rPr>
              <w:t>9</w:t>
            </w:r>
            <w:r>
              <w:rPr>
                <w:rFonts w:hint="eastAsia"/>
                <w:sz w:val="24"/>
              </w:rPr>
              <w:t>。</w:t>
            </w:r>
          </w:p>
          <w:p>
            <w:pPr>
              <w:spacing w:line="360" w:lineRule="auto"/>
              <w:jc w:val="center"/>
              <w:rPr>
                <w:b/>
                <w:bCs/>
                <w:szCs w:val="21"/>
              </w:rPr>
            </w:pPr>
            <w:r>
              <w:rPr>
                <w:rFonts w:hint="eastAsia"/>
                <w:b/>
                <w:bCs/>
                <w:szCs w:val="21"/>
              </w:rPr>
              <w:t>表3-</w:t>
            </w:r>
            <w:r>
              <w:rPr>
                <w:b/>
                <w:bCs/>
                <w:szCs w:val="21"/>
              </w:rPr>
              <w:t xml:space="preserve">9  </w:t>
            </w:r>
            <w:r>
              <w:rPr>
                <w:rFonts w:hint="eastAsia"/>
                <w:b/>
                <w:bCs/>
                <w:szCs w:val="21"/>
              </w:rPr>
              <w:t>水泥工业大气污染物排放标准</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2526"/>
              <w:gridCol w:w="3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vAlign w:val="center"/>
                </w:tcPr>
                <w:p>
                  <w:pPr>
                    <w:jc w:val="center"/>
                    <w:rPr>
                      <w:b/>
                      <w:bCs/>
                      <w:szCs w:val="21"/>
                    </w:rPr>
                  </w:pPr>
                  <w:r>
                    <w:rPr>
                      <w:b/>
                      <w:bCs/>
                      <w:szCs w:val="21"/>
                    </w:rPr>
                    <w:t>排放方式</w:t>
                  </w:r>
                </w:p>
              </w:tc>
              <w:tc>
                <w:tcPr>
                  <w:tcW w:w="3118" w:type="dxa"/>
                  <w:vAlign w:val="center"/>
                </w:tcPr>
                <w:p>
                  <w:pPr>
                    <w:jc w:val="center"/>
                    <w:rPr>
                      <w:b/>
                      <w:bCs/>
                      <w:szCs w:val="21"/>
                    </w:rPr>
                  </w:pPr>
                  <w:r>
                    <w:rPr>
                      <w:b/>
                      <w:bCs/>
                      <w:szCs w:val="21"/>
                    </w:rPr>
                    <w:t>有组织排放</w:t>
                  </w:r>
                </w:p>
              </w:tc>
              <w:tc>
                <w:tcPr>
                  <w:tcW w:w="4635" w:type="dxa"/>
                  <w:vAlign w:val="center"/>
                </w:tcPr>
                <w:p>
                  <w:pPr>
                    <w:jc w:val="center"/>
                    <w:rPr>
                      <w:b/>
                      <w:bCs/>
                      <w:szCs w:val="21"/>
                    </w:rPr>
                  </w:pPr>
                  <w:r>
                    <w:rPr>
                      <w:b/>
                      <w:bCs/>
                      <w:szCs w:val="21"/>
                    </w:rPr>
                    <w:t>厂界外无组织排放监控点浓度限值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vAlign w:val="center"/>
                </w:tcPr>
                <w:p>
                  <w:pPr>
                    <w:jc w:val="center"/>
                    <w:rPr>
                      <w:szCs w:val="21"/>
                    </w:rPr>
                  </w:pPr>
                  <w:r>
                    <w:rPr>
                      <w:szCs w:val="21"/>
                    </w:rPr>
                    <w:t>污染物名称</w:t>
                  </w:r>
                </w:p>
              </w:tc>
              <w:tc>
                <w:tcPr>
                  <w:tcW w:w="3118" w:type="dxa"/>
                  <w:vAlign w:val="center"/>
                </w:tcPr>
                <w:p>
                  <w:pPr>
                    <w:jc w:val="center"/>
                    <w:rPr>
                      <w:szCs w:val="21"/>
                    </w:rPr>
                  </w:pPr>
                  <w:r>
                    <w:rPr>
                      <w:szCs w:val="21"/>
                    </w:rPr>
                    <w:t>水泥仓及其他通风生产设备</w:t>
                  </w:r>
                </w:p>
              </w:tc>
              <w:tc>
                <w:tcPr>
                  <w:tcW w:w="4635" w:type="dxa"/>
                  <w:vAlign w:val="center"/>
                </w:tcPr>
                <w:p>
                  <w:pPr>
                    <w:jc w:val="center"/>
                    <w:rPr>
                      <w:szCs w:val="21"/>
                    </w:rPr>
                  </w:pPr>
                  <w:r>
                    <w:rPr>
                      <w:szCs w:val="21"/>
                    </w:rPr>
                    <w:t>限值含义：监控点与参照点总悬浮颗粒物（TSP）1小时浓度值的差值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vAlign w:val="center"/>
                </w:tcPr>
                <w:p>
                  <w:pPr>
                    <w:jc w:val="center"/>
                    <w:rPr>
                      <w:szCs w:val="21"/>
                    </w:rPr>
                  </w:pPr>
                  <w:r>
                    <w:rPr>
                      <w:szCs w:val="21"/>
                    </w:rPr>
                    <w:t>颗粒物</w:t>
                  </w:r>
                </w:p>
              </w:tc>
              <w:tc>
                <w:tcPr>
                  <w:tcW w:w="3118" w:type="dxa"/>
                  <w:vAlign w:val="center"/>
                </w:tcPr>
                <w:p>
                  <w:pPr>
                    <w:jc w:val="center"/>
                    <w:rPr>
                      <w:szCs w:val="21"/>
                    </w:rPr>
                  </w:pPr>
                  <w:r>
                    <w:rPr>
                      <w:rFonts w:hint="eastAsia"/>
                      <w:szCs w:val="21"/>
                    </w:rPr>
                    <w:t>2</w:t>
                  </w:r>
                  <w:r>
                    <w:rPr>
                      <w:szCs w:val="21"/>
                    </w:rPr>
                    <w:t>0mg/</w:t>
                  </w:r>
                  <w:r>
                    <w:rPr>
                      <w:rFonts w:hint="eastAsia"/>
                      <w:szCs w:val="21"/>
                    </w:rPr>
                    <w:t>m³</w:t>
                  </w:r>
                </w:p>
              </w:tc>
              <w:tc>
                <w:tcPr>
                  <w:tcW w:w="4635" w:type="dxa"/>
                  <w:vAlign w:val="center"/>
                </w:tcPr>
                <w:p>
                  <w:pPr>
                    <w:jc w:val="center"/>
                    <w:rPr>
                      <w:szCs w:val="21"/>
                    </w:rPr>
                  </w:pPr>
                  <w:r>
                    <w:rPr>
                      <w:rFonts w:hint="eastAsia"/>
                      <w:szCs w:val="21"/>
                    </w:rPr>
                    <w:t>0</w:t>
                  </w:r>
                  <w:r>
                    <w:rPr>
                      <w:szCs w:val="21"/>
                    </w:rPr>
                    <w:t>.5</w:t>
                  </w:r>
                  <w:r>
                    <w:rPr>
                      <w:rFonts w:hint="eastAsia"/>
                      <w:szCs w:val="21"/>
                    </w:rPr>
                    <w:t>mg</w:t>
                  </w:r>
                  <w:r>
                    <w:rPr>
                      <w:szCs w:val="21"/>
                    </w:rPr>
                    <w:t>/</w:t>
                  </w:r>
                  <w:r>
                    <w:rPr>
                      <w:rFonts w:hint="eastAsia"/>
                      <w:szCs w:val="21"/>
                    </w:rPr>
                    <w:t>m³</w:t>
                  </w:r>
                </w:p>
              </w:tc>
            </w:tr>
          </w:tbl>
          <w:p>
            <w:pPr>
              <w:spacing w:line="360" w:lineRule="auto"/>
              <w:rPr>
                <w:b/>
                <w:bCs/>
                <w:sz w:val="24"/>
              </w:rPr>
            </w:pPr>
            <w:r>
              <w:rPr>
                <w:rFonts w:hint="eastAsia"/>
                <w:b/>
                <w:bCs/>
                <w:sz w:val="24"/>
              </w:rPr>
              <w:t>2、噪声排放标准</w:t>
            </w:r>
          </w:p>
          <w:p>
            <w:pPr>
              <w:spacing w:line="360" w:lineRule="auto"/>
              <w:ind w:firstLine="480" w:firstLineChars="200"/>
              <w:rPr>
                <w:sz w:val="24"/>
              </w:rPr>
            </w:pPr>
            <w:r>
              <w:rPr>
                <w:rFonts w:hint="eastAsia"/>
                <w:sz w:val="24"/>
              </w:rPr>
              <w:t>项目运营期厂界四周噪声排放执行《工业企业厂界环境噪声排放标准》（G</w:t>
            </w:r>
            <w:r>
              <w:rPr>
                <w:sz w:val="24"/>
              </w:rPr>
              <w:t>B</w:t>
            </w:r>
            <w:r>
              <w:rPr>
                <w:rFonts w:hint="eastAsia"/>
                <w:sz w:val="24"/>
                <w:lang w:eastAsia="zh-CN"/>
              </w:rPr>
              <w:t>*****</w:t>
            </w:r>
            <w:r>
              <w:rPr>
                <w:rFonts w:hint="eastAsia"/>
                <w:sz w:val="24"/>
              </w:rPr>
              <w:t>-</w:t>
            </w:r>
            <w:r>
              <w:rPr>
                <w:sz w:val="24"/>
              </w:rPr>
              <w:t>2008</w:t>
            </w:r>
            <w:r>
              <w:rPr>
                <w:rFonts w:hint="eastAsia"/>
                <w:sz w:val="24"/>
              </w:rPr>
              <w:t>）2类标准。具体限值见表3-</w:t>
            </w:r>
            <w:r>
              <w:rPr>
                <w:sz w:val="24"/>
              </w:rPr>
              <w:t>10</w:t>
            </w:r>
            <w:r>
              <w:rPr>
                <w:rFonts w:hint="eastAsia"/>
                <w:sz w:val="24"/>
              </w:rPr>
              <w:t>。</w:t>
            </w:r>
          </w:p>
          <w:p>
            <w:pPr>
              <w:spacing w:line="360" w:lineRule="auto"/>
              <w:jc w:val="center"/>
              <w:rPr>
                <w:b/>
                <w:bCs/>
                <w:szCs w:val="21"/>
              </w:rPr>
            </w:pPr>
            <w:r>
              <w:rPr>
                <w:rFonts w:hint="eastAsia"/>
                <w:b/>
                <w:bCs/>
                <w:szCs w:val="21"/>
              </w:rPr>
              <w:t>表3-</w:t>
            </w:r>
            <w:r>
              <w:rPr>
                <w:b/>
                <w:bCs/>
                <w:szCs w:val="21"/>
              </w:rPr>
              <w:t xml:space="preserve">10  </w:t>
            </w:r>
            <w:r>
              <w:rPr>
                <w:rFonts w:hint="eastAsia"/>
                <w:b/>
                <w:bCs/>
                <w:szCs w:val="21"/>
              </w:rPr>
              <w:t xml:space="preserve">工业企业厂界环境噪声排放标准 </w:t>
            </w:r>
            <w:r>
              <w:rPr>
                <w:b/>
                <w:bCs/>
                <w:szCs w:val="21"/>
              </w:rPr>
              <w:t xml:space="preserve"> </w:t>
            </w:r>
            <w:r>
              <w:rPr>
                <w:rFonts w:hint="eastAsia"/>
                <w:b/>
                <w:bCs/>
                <w:szCs w:val="21"/>
              </w:rPr>
              <w:t>单位：d</w:t>
            </w:r>
            <w:r>
              <w:rPr>
                <w:b/>
                <w:bCs/>
                <w:szCs w:val="21"/>
              </w:rPr>
              <w:t>B</w:t>
            </w:r>
            <w:r>
              <w:rPr>
                <w:rFonts w:hint="eastAsia"/>
                <w:b/>
                <w:bCs/>
                <w:szCs w:val="21"/>
              </w:rPr>
              <w:t>（A）</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953"/>
              <w:gridCol w:w="1953"/>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953" w:type="dxa"/>
                  <w:vMerge w:val="restart"/>
                  <w:vAlign w:val="center"/>
                </w:tcPr>
                <w:p>
                  <w:pPr>
                    <w:jc w:val="center"/>
                    <w:rPr>
                      <w:rFonts w:ascii="宋体" w:hAnsi="宋体"/>
                      <w:b/>
                      <w:bCs/>
                      <w:szCs w:val="21"/>
                    </w:rPr>
                  </w:pPr>
                  <w:r>
                    <w:rPr>
                      <w:rFonts w:hint="eastAsia" w:ascii="宋体" w:hAnsi="宋体"/>
                      <w:b/>
                      <w:bCs/>
                      <w:szCs w:val="21"/>
                    </w:rPr>
                    <w:t>类别</w:t>
                  </w:r>
                </w:p>
              </w:tc>
              <w:tc>
                <w:tcPr>
                  <w:tcW w:w="1953" w:type="dxa"/>
                  <w:vMerge w:val="restart"/>
                  <w:vAlign w:val="center"/>
                </w:tcPr>
                <w:p>
                  <w:pPr>
                    <w:jc w:val="center"/>
                    <w:rPr>
                      <w:rFonts w:ascii="宋体" w:hAnsi="宋体"/>
                      <w:b/>
                      <w:bCs/>
                      <w:szCs w:val="21"/>
                    </w:rPr>
                  </w:pPr>
                  <w:r>
                    <w:rPr>
                      <w:rFonts w:hint="eastAsia" w:ascii="宋体" w:hAnsi="宋体"/>
                      <w:b/>
                      <w:bCs/>
                      <w:szCs w:val="21"/>
                    </w:rPr>
                    <w:t>适用区域</w:t>
                  </w:r>
                </w:p>
              </w:tc>
              <w:tc>
                <w:tcPr>
                  <w:tcW w:w="3907" w:type="dxa"/>
                  <w:gridSpan w:val="2"/>
                  <w:vAlign w:val="center"/>
                </w:tcPr>
                <w:p>
                  <w:pPr>
                    <w:jc w:val="center"/>
                    <w:rPr>
                      <w:rFonts w:ascii="宋体" w:hAnsi="宋体"/>
                      <w:b/>
                      <w:bCs/>
                      <w:szCs w:val="21"/>
                    </w:rPr>
                  </w:pPr>
                  <w:r>
                    <w:rPr>
                      <w:rFonts w:hint="eastAsia" w:ascii="宋体" w:hAnsi="宋体"/>
                      <w:b/>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dxa"/>
                  <w:vMerge w:val="continue"/>
                  <w:vAlign w:val="center"/>
                </w:tcPr>
                <w:p>
                  <w:pPr>
                    <w:jc w:val="center"/>
                    <w:rPr>
                      <w:rFonts w:ascii="宋体" w:hAnsi="宋体"/>
                      <w:b/>
                      <w:bCs/>
                      <w:szCs w:val="21"/>
                    </w:rPr>
                  </w:pPr>
                </w:p>
              </w:tc>
              <w:tc>
                <w:tcPr>
                  <w:tcW w:w="1953" w:type="dxa"/>
                  <w:vMerge w:val="continue"/>
                  <w:vAlign w:val="center"/>
                </w:tcPr>
                <w:p>
                  <w:pPr>
                    <w:jc w:val="center"/>
                    <w:rPr>
                      <w:rFonts w:ascii="宋体" w:hAnsi="宋体"/>
                      <w:b/>
                      <w:bCs/>
                      <w:szCs w:val="21"/>
                    </w:rPr>
                  </w:pPr>
                </w:p>
              </w:tc>
              <w:tc>
                <w:tcPr>
                  <w:tcW w:w="1953" w:type="dxa"/>
                  <w:vAlign w:val="center"/>
                </w:tcPr>
                <w:p>
                  <w:pPr>
                    <w:jc w:val="center"/>
                    <w:rPr>
                      <w:rFonts w:ascii="宋体" w:hAnsi="宋体"/>
                      <w:b/>
                      <w:bCs/>
                      <w:szCs w:val="21"/>
                    </w:rPr>
                  </w:pPr>
                  <w:r>
                    <w:rPr>
                      <w:rFonts w:hint="eastAsia" w:ascii="宋体" w:hAnsi="宋体"/>
                      <w:b/>
                      <w:bCs/>
                      <w:szCs w:val="21"/>
                    </w:rPr>
                    <w:t>昼间</w:t>
                  </w:r>
                </w:p>
              </w:tc>
              <w:tc>
                <w:tcPr>
                  <w:tcW w:w="1954" w:type="dxa"/>
                  <w:vAlign w:val="center"/>
                </w:tcPr>
                <w:p>
                  <w:pPr>
                    <w:jc w:val="center"/>
                    <w:rPr>
                      <w:rFonts w:ascii="宋体" w:hAnsi="宋体"/>
                      <w:b/>
                      <w:bCs/>
                      <w:szCs w:val="21"/>
                    </w:rPr>
                  </w:pPr>
                  <w:r>
                    <w:rPr>
                      <w:rFonts w:hint="eastAsia" w:ascii="宋体" w:hAnsi="宋体"/>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953" w:type="dxa"/>
                  <w:vAlign w:val="center"/>
                </w:tcPr>
                <w:p>
                  <w:pPr>
                    <w:jc w:val="center"/>
                    <w:rPr>
                      <w:rFonts w:ascii="宋体" w:hAnsi="宋体"/>
                      <w:szCs w:val="21"/>
                    </w:rPr>
                  </w:pPr>
                  <w:r>
                    <w:rPr>
                      <w:rFonts w:hint="eastAsia" w:ascii="宋体" w:hAnsi="宋体"/>
                      <w:szCs w:val="21"/>
                    </w:rPr>
                    <w:t>2类</w:t>
                  </w:r>
                </w:p>
              </w:tc>
              <w:tc>
                <w:tcPr>
                  <w:tcW w:w="1953" w:type="dxa"/>
                  <w:vAlign w:val="center"/>
                </w:tcPr>
                <w:p>
                  <w:pPr>
                    <w:jc w:val="center"/>
                    <w:rPr>
                      <w:rFonts w:ascii="宋体" w:hAnsi="宋体"/>
                      <w:szCs w:val="21"/>
                    </w:rPr>
                  </w:pPr>
                  <w:r>
                    <w:rPr>
                      <w:rFonts w:hint="eastAsia" w:ascii="宋体" w:hAnsi="宋体"/>
                      <w:szCs w:val="21"/>
                    </w:rPr>
                    <w:t>厂界四周及敏感点</w:t>
                  </w:r>
                </w:p>
              </w:tc>
              <w:tc>
                <w:tcPr>
                  <w:tcW w:w="1953" w:type="dxa"/>
                  <w:vAlign w:val="center"/>
                </w:tcPr>
                <w:p>
                  <w:pPr>
                    <w:jc w:val="center"/>
                    <w:rPr>
                      <w:rFonts w:ascii="宋体" w:hAnsi="宋体"/>
                      <w:szCs w:val="21"/>
                    </w:rPr>
                  </w:pPr>
                  <w:r>
                    <w:rPr>
                      <w:rFonts w:hint="eastAsia" w:ascii="宋体" w:hAnsi="宋体"/>
                      <w:szCs w:val="21"/>
                    </w:rPr>
                    <w:t>6</w:t>
                  </w:r>
                  <w:r>
                    <w:rPr>
                      <w:rFonts w:ascii="宋体" w:hAnsi="宋体"/>
                      <w:szCs w:val="21"/>
                    </w:rPr>
                    <w:t>0</w:t>
                  </w:r>
                </w:p>
              </w:tc>
              <w:tc>
                <w:tcPr>
                  <w:tcW w:w="1954" w:type="dxa"/>
                  <w:vAlign w:val="center"/>
                </w:tcPr>
                <w:p>
                  <w:pPr>
                    <w:jc w:val="center"/>
                    <w:rPr>
                      <w:rFonts w:ascii="宋体" w:hAnsi="宋体"/>
                      <w:szCs w:val="21"/>
                    </w:rPr>
                  </w:pPr>
                  <w:r>
                    <w:rPr>
                      <w:rFonts w:hint="eastAsia" w:ascii="宋体" w:hAnsi="宋体"/>
                      <w:szCs w:val="21"/>
                    </w:rPr>
                    <w:t>5</w:t>
                  </w:r>
                  <w:r>
                    <w:rPr>
                      <w:rFonts w:ascii="宋体" w:hAnsi="宋体"/>
                      <w:szCs w:val="21"/>
                    </w:rPr>
                    <w:t>0</w:t>
                  </w:r>
                </w:p>
              </w:tc>
            </w:tr>
          </w:tbl>
          <w:p>
            <w:pPr>
              <w:spacing w:line="360" w:lineRule="auto"/>
              <w:rPr>
                <w:b/>
                <w:bCs/>
                <w:sz w:val="24"/>
              </w:rPr>
            </w:pPr>
            <w:r>
              <w:rPr>
                <w:rFonts w:hint="eastAsia"/>
                <w:b/>
                <w:bCs/>
                <w:sz w:val="24"/>
              </w:rPr>
              <w:t>3、废水排放标准</w:t>
            </w:r>
          </w:p>
          <w:p>
            <w:pPr>
              <w:spacing w:line="360" w:lineRule="auto"/>
              <w:ind w:firstLine="480" w:firstLineChars="200"/>
              <w:rPr>
                <w:sz w:val="24"/>
              </w:rPr>
            </w:pPr>
            <w:r>
              <w:rPr>
                <w:rFonts w:hint="eastAsia"/>
                <w:sz w:val="24"/>
              </w:rPr>
              <w:t>运营期的生产区域废水经沉淀后回用生产，食堂废水经隔油池处理后同其他生活污水排入化粪池，所有生活污水经化粪池处理后用槽罐车外送污水处理厂处理。项目无废水外排。</w:t>
            </w:r>
          </w:p>
          <w:p>
            <w:pPr>
              <w:spacing w:line="360" w:lineRule="auto"/>
              <w:rPr>
                <w:b/>
                <w:bCs/>
                <w:sz w:val="24"/>
              </w:rPr>
            </w:pPr>
            <w:r>
              <w:rPr>
                <w:rFonts w:hint="eastAsia"/>
                <w:b/>
                <w:bCs/>
                <w:sz w:val="24"/>
              </w:rPr>
              <w:t>4、固废污染控制</w:t>
            </w:r>
          </w:p>
          <w:p>
            <w:pPr>
              <w:spacing w:line="360" w:lineRule="auto"/>
              <w:ind w:firstLine="480" w:firstLineChars="200"/>
              <w:rPr>
                <w:sz w:val="24"/>
              </w:rPr>
            </w:pPr>
            <w:r>
              <w:rPr>
                <w:rFonts w:hint="eastAsia"/>
                <w:sz w:val="24"/>
              </w:rPr>
              <w:t>生活垃圾执行《生活垃圾产生源分类及其排放》（C</w:t>
            </w:r>
            <w:r>
              <w:rPr>
                <w:sz w:val="24"/>
              </w:rPr>
              <w:t>J/T 368-2011</w:t>
            </w:r>
            <w:r>
              <w:rPr>
                <w:rFonts w:hint="eastAsia"/>
                <w:sz w:val="24"/>
              </w:rPr>
              <w:t>）标准，妥善处理，不会形成二次污染。</w:t>
            </w:r>
          </w:p>
          <w:p>
            <w:pPr>
              <w:spacing w:line="360" w:lineRule="auto"/>
              <w:ind w:firstLine="480" w:firstLineChars="200"/>
              <w:rPr>
                <w:sz w:val="24"/>
              </w:rPr>
            </w:pPr>
            <w:r>
              <w:rPr>
                <w:rFonts w:hint="eastAsia"/>
                <w:sz w:val="24"/>
              </w:rPr>
              <w:t>一般固废执行《一般工业固体废物贮存和填埋污染物控制标准》（G</w:t>
            </w:r>
            <w:r>
              <w:rPr>
                <w:sz w:val="24"/>
              </w:rPr>
              <w:t>B</w:t>
            </w:r>
            <w:r>
              <w:rPr>
                <w:rFonts w:hint="eastAsia"/>
                <w:sz w:val="24"/>
                <w:lang w:eastAsia="zh-CN"/>
              </w:rPr>
              <w:t>*****</w:t>
            </w:r>
            <w:r>
              <w:rPr>
                <w:rFonts w:hint="eastAsia"/>
                <w:sz w:val="24"/>
              </w:rPr>
              <w:t>-</w:t>
            </w:r>
            <w:r>
              <w:rPr>
                <w:sz w:val="24"/>
              </w:rPr>
              <w:t>2020</w:t>
            </w:r>
            <w:r>
              <w:rPr>
                <w:rFonts w:hint="eastAsia"/>
                <w:sz w:val="24"/>
              </w:rPr>
              <w:t>）。</w:t>
            </w:r>
          </w:p>
          <w:p>
            <w:pPr>
              <w:spacing w:line="360" w:lineRule="auto"/>
              <w:ind w:firstLine="480" w:firstLineChars="200"/>
              <w:rPr>
                <w:sz w:val="24"/>
              </w:rPr>
            </w:pPr>
            <w:r>
              <w:rPr>
                <w:rFonts w:hint="eastAsia"/>
                <w:sz w:val="24"/>
              </w:rPr>
              <w:t>危险废弃物执行中华人民共和国《危险废物贮存污染控制标准》（G</w:t>
            </w:r>
            <w:r>
              <w:rPr>
                <w:sz w:val="24"/>
              </w:rPr>
              <w:t>B</w:t>
            </w:r>
            <w:r>
              <w:rPr>
                <w:rFonts w:hint="eastAsia"/>
                <w:sz w:val="24"/>
                <w:lang w:eastAsia="zh-CN"/>
              </w:rPr>
              <w:t>*****</w:t>
            </w:r>
            <w:r>
              <w:rPr>
                <w:rFonts w:hint="eastAsia"/>
                <w:sz w:val="24"/>
              </w:rPr>
              <w:t>-</w:t>
            </w:r>
            <w:r>
              <w:rPr>
                <w:sz w:val="24"/>
              </w:rPr>
              <w:t>20</w:t>
            </w:r>
            <w:r>
              <w:rPr>
                <w:rFonts w:hint="eastAsia"/>
                <w:sz w:val="24"/>
                <w:lang w:val="en-US" w:eastAsia="zh-CN"/>
              </w:rPr>
              <w:t>23</w:t>
            </w:r>
            <w:r>
              <w:rPr>
                <w:rFonts w:hint="eastAsia"/>
                <w:sz w:val="24"/>
              </w:rPr>
              <w:t>）中相关要求。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总量控制指标</w:t>
            </w:r>
          </w:p>
        </w:tc>
        <w:tc>
          <w:tcPr>
            <w:tcW w:w="10148" w:type="dxa"/>
          </w:tcPr>
          <w:p>
            <w:pPr>
              <w:spacing w:line="360" w:lineRule="auto"/>
              <w:rPr>
                <w:b/>
                <w:bCs/>
                <w:sz w:val="24"/>
              </w:rPr>
            </w:pPr>
            <w:r>
              <w:rPr>
                <w:rFonts w:hint="eastAsia"/>
                <w:b/>
                <w:bCs/>
                <w:sz w:val="24"/>
              </w:rPr>
              <w:t>建议总量控制指标：</w:t>
            </w:r>
          </w:p>
          <w:p>
            <w:pPr>
              <w:spacing w:line="360" w:lineRule="auto"/>
              <w:ind w:firstLine="480" w:firstLineChars="200"/>
              <w:rPr>
                <w:sz w:val="24"/>
              </w:rPr>
            </w:pPr>
            <w:r>
              <w:rPr>
                <w:rFonts w:hint="eastAsia"/>
                <w:sz w:val="24"/>
              </w:rPr>
              <w:t>根据本项目的具体情况，结合国家污染物排放总量控制原则，建议本项目的总量控制指标如下：</w:t>
            </w:r>
          </w:p>
          <w:p>
            <w:pPr>
              <w:spacing w:line="360" w:lineRule="auto"/>
              <w:ind w:firstLine="480" w:firstLineChars="200"/>
              <w:rPr>
                <w:sz w:val="24"/>
              </w:rPr>
            </w:pPr>
            <w:r>
              <w:rPr>
                <w:rFonts w:hint="eastAsia"/>
                <w:sz w:val="24"/>
              </w:rPr>
              <w:t>（1）废水</w:t>
            </w:r>
          </w:p>
          <w:p>
            <w:pPr>
              <w:spacing w:line="360" w:lineRule="auto"/>
              <w:ind w:firstLine="480" w:firstLineChars="200"/>
              <w:rPr>
                <w:sz w:val="24"/>
              </w:rPr>
            </w:pPr>
            <w:r>
              <w:rPr>
                <w:rFonts w:hint="eastAsia"/>
                <w:sz w:val="24"/>
              </w:rPr>
              <w:t>项目生产废水经沉淀处理后回用于生产，项目食堂废水经隔油池处理后 和生活废水排入化粪池，污水经化粪池处理后用槽罐车外送污水处理厂进行处理，项目废水不外排。故不作总量控制指标。</w:t>
            </w:r>
          </w:p>
          <w:p>
            <w:pPr>
              <w:spacing w:line="360" w:lineRule="auto"/>
              <w:ind w:firstLine="480" w:firstLineChars="200"/>
              <w:rPr>
                <w:rFonts w:hint="eastAsia"/>
                <w:sz w:val="24"/>
              </w:rPr>
            </w:pPr>
            <w:r>
              <w:rPr>
                <w:rFonts w:hint="eastAsia"/>
                <w:sz w:val="24"/>
              </w:rPr>
              <w:t>（2）废气</w:t>
            </w:r>
          </w:p>
          <w:p>
            <w:pPr>
              <w:pStyle w:val="47"/>
            </w:pPr>
            <w:r>
              <w:rPr>
                <w:rFonts w:hint="eastAsia"/>
                <w:color w:val="000000"/>
                <w:kern w:val="0"/>
                <w:sz w:val="24"/>
                <w:lang w:val="en-US" w:eastAsia="zh-CN" w:bidi="ar"/>
              </w:rPr>
              <w:t>项目在采取一系列大气污染防治措施后，废气排放可达到</w:t>
            </w:r>
            <w:r>
              <w:rPr>
                <w:rFonts w:hint="default" w:ascii="Times New Roman" w:hAnsi="Times New Roman" w:cs="Times New Roman"/>
                <w:color w:val="000000"/>
                <w:kern w:val="0"/>
                <w:sz w:val="24"/>
                <w:lang w:val="en-US" w:eastAsia="zh-CN" w:bidi="ar"/>
              </w:rPr>
              <w:t>可达</w:t>
            </w:r>
            <w:r>
              <w:rPr>
                <w:rFonts w:hint="eastAsia" w:ascii="Times New Roman" w:hAnsi="Times New Roman" w:cs="Times New Roman"/>
                <w:color w:val="000000"/>
                <w:kern w:val="0"/>
                <w:sz w:val="24"/>
                <w:lang w:val="en-US" w:eastAsia="zh-CN" w:bidi="ar"/>
              </w:rPr>
              <w:t>到</w:t>
            </w:r>
            <w:r>
              <w:rPr>
                <w:rFonts w:hint="default" w:ascii="Times New Roman" w:hAnsi="Times New Roman" w:cs="Times New Roman"/>
                <w:color w:val="000000"/>
                <w:kern w:val="0"/>
                <w:sz w:val="24"/>
                <w:lang w:bidi="ar"/>
              </w:rPr>
              <w:t>《水泥工业大气污染物排放标准》（GB</w:t>
            </w:r>
            <w:r>
              <w:rPr>
                <w:rFonts w:hint="eastAsia" w:ascii="Times New Roman" w:hAnsi="Times New Roman" w:cs="Times New Roman"/>
                <w:color w:val="000000"/>
                <w:kern w:val="0"/>
                <w:sz w:val="24"/>
                <w:lang w:eastAsia="zh-CN" w:bidi="ar"/>
              </w:rPr>
              <w:t>****</w:t>
            </w:r>
            <w:r>
              <w:rPr>
                <w:rFonts w:hint="default" w:ascii="Times New Roman" w:hAnsi="Times New Roman" w:cs="Times New Roman"/>
                <w:color w:val="000000"/>
                <w:kern w:val="0"/>
                <w:sz w:val="24"/>
                <w:lang w:bidi="ar"/>
              </w:rPr>
              <w:t>-2013）</w:t>
            </w:r>
            <w:r>
              <w:rPr>
                <w:rFonts w:hint="default" w:ascii="Times New Roman" w:hAnsi="Times New Roman" w:cs="Times New Roman"/>
                <w:color w:val="000000"/>
                <w:sz w:val="24"/>
              </w:rPr>
              <w:t>表3大气污染物无组织排放限值</w:t>
            </w:r>
            <w:r>
              <w:rPr>
                <w:rFonts w:hint="default" w:ascii="Times New Roman" w:hAnsi="Times New Roman" w:cs="Times New Roman"/>
                <w:color w:val="000000"/>
                <w:kern w:val="0"/>
                <w:sz w:val="24"/>
                <w:lang w:bidi="ar"/>
              </w:rPr>
              <w:t>要求</w:t>
            </w:r>
            <w:r>
              <w:rPr>
                <w:rFonts w:hint="eastAsia" w:ascii="Times New Roman" w:hAnsi="Times New Roman" w:cs="Times New Roman"/>
                <w:color w:val="000000"/>
                <w:kern w:val="0"/>
                <w:sz w:val="24"/>
                <w:lang w:eastAsia="zh-CN" w:bidi="ar"/>
              </w:rPr>
              <w:t>，</w:t>
            </w:r>
            <w:r>
              <w:rPr>
                <w:rFonts w:hint="eastAsia" w:ascii="Times New Roman" w:hAnsi="Times New Roman" w:cs="Times New Roman"/>
                <w:color w:val="000000"/>
                <w:kern w:val="0"/>
                <w:sz w:val="24"/>
                <w:lang w:val="en-US" w:eastAsia="zh-CN" w:bidi="ar"/>
              </w:rPr>
              <w:t>即：</w:t>
            </w:r>
            <w:r>
              <w:rPr>
                <w:rFonts w:hint="eastAsia"/>
                <w:sz w:val="24"/>
                <w:szCs w:val="24"/>
                <w:lang w:eastAsia="zh-CN"/>
              </w:rPr>
              <w:t>总悬浮颗粒物</w:t>
            </w:r>
            <w:r>
              <w:rPr>
                <w:rFonts w:hint="default" w:ascii="Times New Roman" w:hAnsi="Times New Roman" w:eastAsia="宋体" w:cs="Times New Roman"/>
                <w:sz w:val="24"/>
                <w:szCs w:val="24"/>
                <w:lang w:val="en-US" w:eastAsia="zh-CN"/>
              </w:rPr>
              <w:t>≤0.5mg/m</w:t>
            </w:r>
            <w:r>
              <w:rPr>
                <w:rFonts w:hint="default" w:ascii="Times New Roman" w:hAnsi="Times New Roman" w:eastAsia="宋体" w:cs="Times New Roman"/>
                <w:sz w:val="24"/>
                <w:szCs w:val="24"/>
                <w:vertAlign w:val="superscript"/>
                <w:lang w:val="en-US" w:eastAsia="zh-CN"/>
              </w:rPr>
              <w:t>3</w:t>
            </w:r>
            <w:r>
              <w:rPr>
                <w:rFonts w:hint="eastAsia" w:cs="Times New Roman"/>
                <w:sz w:val="24"/>
                <w:szCs w:val="24"/>
                <w:vertAlign w:val="baseline"/>
                <w:lang w:val="en-US" w:eastAsia="zh-CN"/>
              </w:rPr>
              <w:t>（限制含义：监控点与参照点总悬浮颗粒物（TSP）1小时浓度值的差值）</w:t>
            </w:r>
          </w:p>
          <w:p>
            <w:pPr>
              <w:spacing w:line="360" w:lineRule="auto"/>
              <w:ind w:firstLine="480" w:firstLineChars="200"/>
              <w:rPr>
                <w:sz w:val="24"/>
              </w:rPr>
            </w:pPr>
            <w:r>
              <w:rPr>
                <w:rFonts w:hint="eastAsia"/>
                <w:sz w:val="24"/>
              </w:rPr>
              <w:t>（3）固体废弃物</w:t>
            </w:r>
          </w:p>
          <w:p>
            <w:pPr>
              <w:spacing w:line="360" w:lineRule="auto"/>
              <w:ind w:firstLine="480" w:firstLineChars="200"/>
              <w:rPr>
                <w:sz w:val="24"/>
              </w:rPr>
            </w:pPr>
            <w:r>
              <w:rPr>
                <w:rFonts w:hint="eastAsia"/>
                <w:sz w:val="24"/>
              </w:rPr>
              <w:t>项目固体废物均得到合理处理，处置率100%。</w:t>
            </w: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1" w:name="_Toc24671"/>
      <w:r>
        <w:rPr>
          <w:rFonts w:hint="eastAsia"/>
          <w:b/>
          <w:bCs/>
          <w:sz w:val="30"/>
          <w:szCs w:val="30"/>
        </w:rPr>
        <w:t>四、主要环境影响和保护措施</w:t>
      </w:r>
      <w:bookmarkEnd w:id="31"/>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Align w:val="center"/>
          </w:tcPr>
          <w:p>
            <w:pPr>
              <w:spacing w:line="360" w:lineRule="auto"/>
              <w:jc w:val="center"/>
              <w:rPr>
                <w:sz w:val="24"/>
              </w:rPr>
            </w:pPr>
            <w:r>
              <w:rPr>
                <w:sz w:val="24"/>
              </w:rPr>
              <w:t>施工期环境保护措施</w:t>
            </w:r>
          </w:p>
        </w:tc>
        <w:tc>
          <w:tcPr>
            <w:tcW w:w="4817" w:type="pct"/>
          </w:tcPr>
          <w:p>
            <w:pPr>
              <w:spacing w:line="360" w:lineRule="auto"/>
              <w:ind w:firstLine="480" w:firstLineChars="200"/>
              <w:rPr>
                <w:sz w:val="24"/>
              </w:rPr>
            </w:pPr>
            <w:r>
              <w:rPr>
                <w:sz w:val="24"/>
              </w:rPr>
              <w:t>本项目在建设期间，各项施工活动不可避免地将会对周围的</w:t>
            </w:r>
            <w:r>
              <w:rPr>
                <w:rFonts w:hint="eastAsia"/>
                <w:sz w:val="24"/>
              </w:rPr>
              <w:t>环境</w:t>
            </w:r>
            <w:r>
              <w:rPr>
                <w:sz w:val="24"/>
              </w:rPr>
              <w:t>造成破坏和产生影响，主要包括废气、废水、噪声、固体废物等对周围环境的影响。</w:t>
            </w:r>
            <w:r>
              <w:rPr>
                <w:rFonts w:hint="eastAsia"/>
                <w:sz w:val="24"/>
              </w:rPr>
              <w:t>在施工期间需要建设单位施行相应的环境保护措施。</w:t>
            </w:r>
          </w:p>
          <w:p>
            <w:pPr>
              <w:spacing w:line="360" w:lineRule="auto"/>
              <w:rPr>
                <w:b/>
                <w:bCs/>
                <w:sz w:val="24"/>
              </w:rPr>
            </w:pPr>
            <w:r>
              <w:rPr>
                <w:b/>
                <w:bCs/>
                <w:sz w:val="24"/>
              </w:rPr>
              <w:t>1、施工废气污染防治措施</w:t>
            </w:r>
          </w:p>
          <w:p>
            <w:pPr>
              <w:spacing w:line="360" w:lineRule="auto"/>
              <w:ind w:firstLine="480" w:firstLineChars="200"/>
              <w:rPr>
                <w:sz w:val="24"/>
              </w:rPr>
            </w:pPr>
            <w:r>
              <w:rPr>
                <w:rFonts w:hint="eastAsia"/>
                <w:sz w:val="24"/>
              </w:rPr>
              <w:t>施工期产生的废气污染主要是扬尘，针对扬尘提出以下环境保护措施：</w:t>
            </w:r>
          </w:p>
          <w:p>
            <w:pPr>
              <w:spacing w:line="360" w:lineRule="auto"/>
              <w:ind w:firstLine="480" w:firstLineChars="200"/>
              <w:rPr>
                <w:sz w:val="24"/>
              </w:rPr>
            </w:pPr>
            <w:r>
              <w:rPr>
                <w:sz w:val="24"/>
              </w:rPr>
              <w:t>（1）根据《云南省人民政府关于印发云南省打赢蓝天保卫战三年行动实施方案的通知》（云政发﹝2018﹞44号），加强扬尘综合治理，严格施工扬尘监管。建筑施工工地要做到工地周边围挡、物料堆放覆盖、土方开挖湿法作业、路面硬化、出入车辆清洗、渣土车辆密闭运输</w:t>
            </w:r>
            <w:r>
              <w:rPr>
                <w:rFonts w:hint="eastAsia"/>
                <w:sz w:val="24"/>
              </w:rPr>
              <w:t>“</w:t>
            </w:r>
            <w:r>
              <w:rPr>
                <w:sz w:val="24"/>
              </w:rPr>
              <w:t>六个百分之百</w:t>
            </w:r>
            <w:r>
              <w:rPr>
                <w:rFonts w:hint="eastAsia"/>
                <w:sz w:val="24"/>
              </w:rPr>
              <w:t>”。</w:t>
            </w:r>
          </w:p>
          <w:p>
            <w:pPr>
              <w:spacing w:line="360" w:lineRule="auto"/>
              <w:ind w:firstLine="480" w:firstLineChars="200"/>
              <w:rPr>
                <w:sz w:val="24"/>
              </w:rPr>
            </w:pPr>
            <w:r>
              <w:rPr>
                <w:sz w:val="24"/>
              </w:rPr>
              <w:t>（2）施工场地定期洒水，以有效防止扬尘，在风速大于四级风速气象条件下加大洒水量及</w:t>
            </w:r>
            <w:r>
              <w:rPr>
                <w:rFonts w:hint="eastAsia"/>
                <w:sz w:val="24"/>
              </w:rPr>
              <w:t>洒</w:t>
            </w:r>
            <w:r>
              <w:rPr>
                <w:sz w:val="24"/>
              </w:rPr>
              <w:t>水频次</w:t>
            </w:r>
            <w:r>
              <w:rPr>
                <w:rFonts w:hint="eastAsia"/>
                <w:sz w:val="24"/>
              </w:rPr>
              <w:t>。</w:t>
            </w:r>
          </w:p>
          <w:p>
            <w:pPr>
              <w:spacing w:line="360" w:lineRule="auto"/>
              <w:ind w:firstLine="480" w:firstLineChars="200"/>
              <w:rPr>
                <w:sz w:val="24"/>
              </w:rPr>
            </w:pPr>
            <w:r>
              <w:rPr>
                <w:sz w:val="24"/>
              </w:rPr>
              <w:t>（3）施工建筑材料定点堆放，在大风天气对散料堆场采用水喷淋防尘，并用蓬布遮盖建筑材料，尽量按量购进建筑材料，避免在场内长时间堆放</w:t>
            </w:r>
            <w:r>
              <w:rPr>
                <w:rFonts w:hint="eastAsia"/>
                <w:sz w:val="24"/>
              </w:rPr>
              <w:t>。</w:t>
            </w:r>
          </w:p>
          <w:p>
            <w:pPr>
              <w:spacing w:line="360" w:lineRule="auto"/>
              <w:ind w:firstLine="480" w:firstLineChars="200"/>
              <w:rPr>
                <w:sz w:val="24"/>
              </w:rPr>
            </w:pPr>
            <w:r>
              <w:rPr>
                <w:sz w:val="24"/>
              </w:rPr>
              <w:t>（4）施工场地清理阶段做到先洒水，后清扫，施工后期建筑垃圾及时清理</w:t>
            </w:r>
            <w:r>
              <w:rPr>
                <w:rFonts w:hint="eastAsia"/>
                <w:sz w:val="24"/>
              </w:rPr>
              <w:t>。</w:t>
            </w:r>
          </w:p>
          <w:p>
            <w:pPr>
              <w:spacing w:line="360" w:lineRule="auto"/>
              <w:ind w:firstLine="480" w:firstLineChars="200"/>
              <w:rPr>
                <w:sz w:val="24"/>
              </w:rPr>
            </w:pPr>
            <w:r>
              <w:rPr>
                <w:sz w:val="24"/>
              </w:rPr>
              <w:t>（5）加强施工现场运输车辆管理，运输车辆必须车身整洁，装载车厢完好、严密，装载货物堆码整齐，严禁在装运过程中沿途抛、洒、滴、漏，不得污染道路</w:t>
            </w:r>
            <w:r>
              <w:rPr>
                <w:rFonts w:hint="eastAsia"/>
                <w:sz w:val="24"/>
              </w:rPr>
              <w:t>。</w:t>
            </w:r>
          </w:p>
          <w:p>
            <w:pPr>
              <w:spacing w:line="360" w:lineRule="auto"/>
              <w:ind w:firstLine="480" w:firstLineChars="200"/>
              <w:rPr>
                <w:sz w:val="24"/>
              </w:rPr>
            </w:pPr>
            <w:r>
              <w:rPr>
                <w:sz w:val="24"/>
              </w:rPr>
              <w:t>（6）优化施工期间运输车辆的出入场路径</w:t>
            </w:r>
            <w:r>
              <w:rPr>
                <w:rFonts w:hint="eastAsia"/>
                <w:sz w:val="24"/>
              </w:rPr>
              <w:t>。</w:t>
            </w:r>
          </w:p>
          <w:p>
            <w:pPr>
              <w:spacing w:line="360" w:lineRule="auto"/>
              <w:ind w:firstLine="480" w:firstLineChars="200"/>
              <w:rPr>
                <w:sz w:val="24"/>
              </w:rPr>
            </w:pPr>
            <w:r>
              <w:rPr>
                <w:sz w:val="24"/>
              </w:rPr>
              <w:t>（7）运输车辆及机械驶出施工场地前应尽可能清除表面粘附的泥土等</w:t>
            </w:r>
            <w:r>
              <w:rPr>
                <w:rFonts w:hint="eastAsia"/>
                <w:sz w:val="24"/>
              </w:rPr>
              <w:t>。</w:t>
            </w:r>
          </w:p>
          <w:p>
            <w:pPr>
              <w:spacing w:line="360" w:lineRule="auto"/>
              <w:ind w:firstLine="480" w:firstLineChars="200"/>
              <w:rPr>
                <w:sz w:val="24"/>
              </w:rPr>
            </w:pPr>
            <w:r>
              <w:rPr>
                <w:sz w:val="24"/>
              </w:rPr>
              <w:t>（8）在施工中合理组织施工，缩短施工时间，尽量减少施工污染。</w:t>
            </w:r>
          </w:p>
          <w:p>
            <w:pPr>
              <w:spacing w:line="360" w:lineRule="auto"/>
              <w:ind w:firstLine="480" w:firstLineChars="200"/>
              <w:rPr>
                <w:sz w:val="24"/>
              </w:rPr>
            </w:pPr>
            <w:r>
              <w:rPr>
                <w:sz w:val="24"/>
              </w:rPr>
              <w:t>（9）使用</w:t>
            </w:r>
            <w:r>
              <w:rPr>
                <w:rFonts w:hint="eastAsia"/>
                <w:sz w:val="24"/>
              </w:rPr>
              <w:t>其它已建好拌合站的混凝土或</w:t>
            </w:r>
            <w:r>
              <w:rPr>
                <w:sz w:val="24"/>
              </w:rPr>
              <w:t>商品混凝土，禁止在项目期内设置混凝土拌合站。</w:t>
            </w:r>
          </w:p>
          <w:p>
            <w:pPr>
              <w:spacing w:line="360" w:lineRule="auto"/>
              <w:rPr>
                <w:b/>
                <w:bCs/>
                <w:sz w:val="24"/>
              </w:rPr>
            </w:pPr>
            <w:r>
              <w:rPr>
                <w:b/>
                <w:bCs/>
                <w:sz w:val="24"/>
              </w:rPr>
              <w:t>2、施工废水污染防治措施</w:t>
            </w:r>
          </w:p>
          <w:p>
            <w:pPr>
              <w:spacing w:line="360" w:lineRule="auto"/>
              <w:ind w:firstLine="480" w:firstLineChars="200"/>
              <w:rPr>
                <w:sz w:val="24"/>
              </w:rPr>
            </w:pPr>
            <w:r>
              <w:rPr>
                <w:rFonts w:hint="eastAsia"/>
                <w:sz w:val="24"/>
              </w:rPr>
              <w:t>施工期间产生的废水有施工废水、施工人员清洁废水及初期雨水，采取相应的防治措施：</w:t>
            </w:r>
          </w:p>
          <w:p>
            <w:pPr>
              <w:spacing w:line="360" w:lineRule="auto"/>
              <w:ind w:firstLine="480" w:firstLineChars="200"/>
              <w:rPr>
                <w:sz w:val="24"/>
              </w:rPr>
            </w:pPr>
            <w:r>
              <w:rPr>
                <w:sz w:val="24"/>
              </w:rPr>
              <w:t>（1）在施工场地修建临时排水沟收集，收集后的施工废水、施工人员清洁废水及初期雨水，经沉淀处理后回用于项目施工过程及施工场地洒水抑尘。</w:t>
            </w:r>
          </w:p>
          <w:p>
            <w:pPr>
              <w:spacing w:line="360" w:lineRule="auto"/>
              <w:ind w:firstLine="480" w:firstLineChars="200"/>
              <w:rPr>
                <w:sz w:val="24"/>
              </w:rPr>
            </w:pPr>
            <w:r>
              <w:rPr>
                <w:sz w:val="24"/>
              </w:rPr>
              <w:t>（2）合理规划，尽量避开雨季进行施工，在施工前做好相应的水土流失防治工作。</w:t>
            </w:r>
          </w:p>
          <w:p>
            <w:pPr>
              <w:spacing w:line="360" w:lineRule="auto"/>
              <w:rPr>
                <w:b/>
                <w:bCs/>
                <w:sz w:val="24"/>
              </w:rPr>
            </w:pPr>
            <w:r>
              <w:rPr>
                <w:b/>
                <w:bCs/>
                <w:sz w:val="24"/>
              </w:rPr>
              <w:t>3、施工噪声防治措施</w:t>
            </w:r>
          </w:p>
          <w:p>
            <w:pPr>
              <w:spacing w:line="360" w:lineRule="auto"/>
              <w:ind w:firstLine="480" w:firstLineChars="200"/>
              <w:rPr>
                <w:sz w:val="24"/>
              </w:rPr>
            </w:pPr>
            <w:r>
              <w:rPr>
                <w:rFonts w:hint="eastAsia"/>
                <w:sz w:val="24"/>
              </w:rPr>
              <w:t>施工期间的噪声主要有施工机械噪声、车辆运输噪声、搬运物件等噪声，应采取相应的防治措施：</w:t>
            </w:r>
          </w:p>
          <w:p>
            <w:pPr>
              <w:spacing w:line="360" w:lineRule="auto"/>
              <w:ind w:firstLine="480" w:firstLineChars="200"/>
              <w:rPr>
                <w:sz w:val="24"/>
              </w:rPr>
            </w:pPr>
            <w:r>
              <w:rPr>
                <w:sz w:val="24"/>
              </w:rPr>
              <w:t>（1）选用低噪声设备，施工设备定期进行维护保养，避免因设备故障产生高噪声的现象，同时对现场工作人员进行培训，严格按操作规范使用各类机械；</w:t>
            </w:r>
          </w:p>
          <w:p>
            <w:pPr>
              <w:spacing w:line="360" w:lineRule="auto"/>
              <w:ind w:firstLine="480" w:firstLineChars="200"/>
              <w:rPr>
                <w:sz w:val="24"/>
              </w:rPr>
            </w:pPr>
            <w:r>
              <w:rPr>
                <w:sz w:val="24"/>
              </w:rPr>
              <w:t>（2）合理布局施工设备，在不影响施工的情况下将噪声设备尽量不集中安排；固定的机械设备尽量入棚操作，对高噪声且固定设备加装减震垫；</w:t>
            </w:r>
          </w:p>
          <w:p>
            <w:pPr>
              <w:spacing w:line="360" w:lineRule="auto"/>
              <w:ind w:firstLine="480" w:firstLineChars="200"/>
              <w:rPr>
                <w:sz w:val="24"/>
              </w:rPr>
            </w:pPr>
            <w:r>
              <w:rPr>
                <w:sz w:val="24"/>
              </w:rPr>
              <w:t>（3）合理布置施工作业面和安排施工时间，禁止夜间22:00～次日6:00进行施工，因特殊需要必须进行施工的，提前向环保部门提出申请，并在附近受影响区域张贴安民告示；应严格执行建筑施工噪声申报登记制度，要求在工程开工15日内向所在区相关部门提出申报，填写《建筑施工场地噪声管理审批表》经批准后方可开工；</w:t>
            </w:r>
          </w:p>
          <w:p>
            <w:pPr>
              <w:spacing w:line="360" w:lineRule="auto"/>
              <w:ind w:firstLine="480" w:firstLineChars="200"/>
              <w:rPr>
                <w:sz w:val="24"/>
              </w:rPr>
            </w:pPr>
            <w:r>
              <w:rPr>
                <w:sz w:val="24"/>
              </w:rPr>
              <w:t>（4）应强化行车管理制度，运输车辆限速行驶，保证场内运输畅通，减少噪声对周围保护目标的影响；</w:t>
            </w:r>
          </w:p>
          <w:p>
            <w:pPr>
              <w:spacing w:line="360" w:lineRule="auto"/>
              <w:ind w:firstLine="480" w:firstLineChars="200"/>
              <w:rPr>
                <w:sz w:val="24"/>
              </w:rPr>
            </w:pPr>
            <w:r>
              <w:rPr>
                <w:sz w:val="24"/>
              </w:rPr>
              <w:t>（5）加强对施工人员的管理，做到文明施工，施工过程搬运物件，必须轻拿轻放，严禁抛掷物件而造成噪声；</w:t>
            </w:r>
          </w:p>
          <w:p>
            <w:pPr>
              <w:spacing w:line="360" w:lineRule="auto"/>
              <w:ind w:firstLine="480" w:firstLineChars="200"/>
              <w:rPr>
                <w:sz w:val="24"/>
              </w:rPr>
            </w:pPr>
            <w:r>
              <w:rPr>
                <w:sz w:val="24"/>
              </w:rPr>
              <w:t>（6）工过程所需块材等建筑材料尽量采用定尺定料，减少现场切割。</w:t>
            </w:r>
          </w:p>
          <w:p>
            <w:pPr>
              <w:spacing w:line="360" w:lineRule="auto"/>
              <w:rPr>
                <w:b/>
                <w:bCs/>
                <w:sz w:val="24"/>
              </w:rPr>
            </w:pPr>
            <w:r>
              <w:rPr>
                <w:b/>
                <w:bCs/>
                <w:sz w:val="24"/>
              </w:rPr>
              <w:t>4、固体废物防治措施</w:t>
            </w:r>
          </w:p>
          <w:p>
            <w:pPr>
              <w:spacing w:line="360" w:lineRule="auto"/>
              <w:ind w:firstLine="480" w:firstLineChars="200"/>
              <w:rPr>
                <w:sz w:val="24"/>
              </w:rPr>
            </w:pPr>
            <w:r>
              <w:rPr>
                <w:sz w:val="24"/>
              </w:rPr>
              <w:t>（1）项目施工期产生的土石方用于项目区内的场地回填平整以及区域的道路铺设，不外排。</w:t>
            </w:r>
          </w:p>
          <w:p>
            <w:pPr>
              <w:spacing w:line="360" w:lineRule="auto"/>
              <w:ind w:firstLine="480" w:firstLineChars="200"/>
              <w:rPr>
                <w:sz w:val="24"/>
              </w:rPr>
            </w:pPr>
            <w:r>
              <w:rPr>
                <w:sz w:val="24"/>
              </w:rPr>
              <w:t>（2）施工人员产生的生活垃圾收集后委托当地环卫部门定期清运处置。</w:t>
            </w:r>
          </w:p>
          <w:p>
            <w:pPr>
              <w:spacing w:line="360" w:lineRule="auto"/>
              <w:rPr>
                <w:b/>
                <w:bCs/>
                <w:sz w:val="24"/>
              </w:rPr>
            </w:pPr>
            <w:r>
              <w:rPr>
                <w:b/>
                <w:bCs/>
                <w:sz w:val="24"/>
              </w:rPr>
              <w:t>5、生态环境影响防治措施</w:t>
            </w:r>
          </w:p>
          <w:p>
            <w:pPr>
              <w:spacing w:line="360" w:lineRule="auto"/>
              <w:ind w:firstLine="480" w:firstLineChars="200"/>
              <w:rPr>
                <w:sz w:val="24"/>
              </w:rPr>
            </w:pPr>
            <w:r>
              <w:rPr>
                <w:sz w:val="24"/>
              </w:rPr>
              <w:t>（1）施工过程中涉及到土石方开挖和回填的活动，必须做到对管沟区土壤的分层剥离、分层开挖、分层堆放和循序分层回填。尽可能降低对土壤养分的影响，使土壤得以尽快恢复。</w:t>
            </w:r>
          </w:p>
          <w:p>
            <w:pPr>
              <w:spacing w:line="360" w:lineRule="auto"/>
              <w:ind w:firstLine="480" w:firstLineChars="200"/>
              <w:rPr>
                <w:sz w:val="24"/>
              </w:rPr>
            </w:pPr>
            <w:r>
              <w:rPr>
                <w:sz w:val="24"/>
              </w:rPr>
              <w:t>（2）施工人员、施工车辆以及各种设备应按规定的路线行驶、操作，不得随意破坏道路和农田水利设施等农田基础设施。</w:t>
            </w:r>
          </w:p>
          <w:p>
            <w:pPr>
              <w:spacing w:line="360" w:lineRule="auto"/>
              <w:ind w:firstLine="480" w:firstLineChars="200"/>
              <w:rPr>
                <w:sz w:val="24"/>
              </w:rPr>
            </w:pPr>
            <w:r>
              <w:rPr>
                <w:sz w:val="24"/>
              </w:rPr>
              <w:t>（3）合理堆放和处置开挖土石，以减少占地和对环境的影响程度。</w:t>
            </w:r>
          </w:p>
          <w:p>
            <w:pPr>
              <w:spacing w:line="360" w:lineRule="auto"/>
              <w:ind w:firstLine="480" w:firstLineChars="200"/>
              <w:rPr>
                <w:sz w:val="24"/>
              </w:rPr>
            </w:pPr>
            <w:r>
              <w:rPr>
                <w:sz w:val="24"/>
              </w:rPr>
              <w:t>（4）施工期挖沟应尽可能选择在旱季，尽量避开雨季，既可能减小施工难度，又加快施工的进度；减少水土流失。</w:t>
            </w:r>
          </w:p>
          <w:p>
            <w:pPr>
              <w:spacing w:line="360" w:lineRule="auto"/>
              <w:ind w:firstLine="480" w:firstLineChars="200"/>
              <w:rPr>
                <w:sz w:val="24"/>
              </w:rPr>
            </w:pPr>
            <w:r>
              <w:rPr>
                <w:sz w:val="24"/>
              </w:rPr>
              <w:t>（5）施工结束后，临时占地都要进行清理整治，拆除临时建筑，打扫地面，重新疏松被碾压后变得密实的土壤，洼地要覆土填平，并及时进行绿化，把水土流失降低至最低水平。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 w:type="pct"/>
            <w:vAlign w:val="center"/>
          </w:tcPr>
          <w:p>
            <w:pPr>
              <w:spacing w:line="360" w:lineRule="auto"/>
              <w:jc w:val="center"/>
              <w:rPr>
                <w:sz w:val="24"/>
              </w:rPr>
            </w:pPr>
            <w:r>
              <w:rPr>
                <w:sz w:val="24"/>
              </w:rPr>
              <w:t>运营期环境影响及保护措施</w:t>
            </w:r>
          </w:p>
        </w:tc>
        <w:tc>
          <w:tcPr>
            <w:tcW w:w="4817" w:type="pct"/>
            <w:vAlign w:val="center"/>
          </w:tcPr>
          <w:p>
            <w:pPr>
              <w:spacing w:line="360" w:lineRule="auto"/>
              <w:rPr>
                <w:b/>
                <w:bCs/>
                <w:sz w:val="24"/>
              </w:rPr>
            </w:pPr>
            <w:r>
              <w:rPr>
                <w:b/>
                <w:bCs/>
                <w:sz w:val="24"/>
              </w:rPr>
              <w:t>1、运营期大气环境影响和保护措施</w:t>
            </w:r>
          </w:p>
          <w:p>
            <w:pPr>
              <w:spacing w:line="360" w:lineRule="auto"/>
              <w:ind w:firstLine="480" w:firstLineChars="200"/>
              <w:rPr>
                <w:sz w:val="24"/>
              </w:rPr>
            </w:pPr>
            <w:r>
              <w:rPr>
                <w:sz w:val="24"/>
              </w:rPr>
              <w:t>（1）废气污染物产生及排放情况</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①</w:t>
            </w:r>
            <w:r>
              <w:rPr>
                <w:rFonts w:hint="eastAsia" w:ascii="Times New Roman" w:hAnsi="Times New Roman" w:eastAsia="宋体" w:cs="Times New Roman"/>
                <w:sz w:val="24"/>
                <w:lang w:val="en-US" w:eastAsia="zh-CN"/>
              </w:rPr>
              <w:t>项目主要废气污染物</w:t>
            </w:r>
            <w:r>
              <w:rPr>
                <w:rFonts w:ascii="Times New Roman" w:hAnsi="Times New Roman" w:eastAsia="宋体" w:cs="Times New Roman"/>
                <w:sz w:val="24"/>
              </w:rPr>
              <w:t>产生及排放情况</w:t>
            </w:r>
          </w:p>
          <w:p>
            <w:pPr>
              <w:autoSpaceDE w:val="0"/>
              <w:autoSpaceDN w:val="0"/>
              <w:adjustRightInd w:val="0"/>
              <w:snapToGrid w:val="0"/>
              <w:spacing w:line="360" w:lineRule="auto"/>
              <w:ind w:firstLine="480" w:firstLineChars="200"/>
              <w:jc w:val="left"/>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本项目主要的废气污染物为粉尘，产生粉尘的生产过程及部位有粉料储罐、</w:t>
            </w:r>
            <w:r>
              <w:rPr>
                <w:color w:val="000000"/>
                <w:kern w:val="0"/>
                <w:sz w:val="24"/>
                <w:lang w:bidi="ar"/>
              </w:rPr>
              <w:t>砂石料输送</w:t>
            </w:r>
            <w:r>
              <w:rPr>
                <w:rFonts w:hint="eastAsia"/>
                <w:color w:val="000000"/>
                <w:kern w:val="0"/>
                <w:sz w:val="24"/>
                <w:lang w:eastAsia="zh-CN" w:bidi="ar"/>
              </w:rPr>
              <w:t>、</w:t>
            </w:r>
            <w:r>
              <w:rPr>
                <w:color w:val="000000"/>
                <w:kern w:val="0"/>
                <w:sz w:val="24"/>
                <w:lang w:bidi="ar"/>
              </w:rPr>
              <w:t>砂石料装卸、堆存</w:t>
            </w:r>
            <w:r>
              <w:rPr>
                <w:rFonts w:hint="eastAsia"/>
                <w:color w:val="000000"/>
                <w:kern w:val="0"/>
                <w:sz w:val="24"/>
                <w:lang w:eastAsia="zh-CN" w:bidi="ar"/>
              </w:rPr>
              <w:t>、</w:t>
            </w:r>
            <w:r>
              <w:rPr>
                <w:color w:val="000000"/>
                <w:kern w:val="0"/>
                <w:sz w:val="24"/>
                <w:lang w:bidi="ar"/>
              </w:rPr>
              <w:t>内部原料运输</w:t>
            </w:r>
            <w:r>
              <w:rPr>
                <w:rFonts w:hint="eastAsia"/>
                <w:color w:val="000000"/>
                <w:kern w:val="0"/>
                <w:sz w:val="24"/>
                <w:lang w:eastAsia="zh-CN" w:bidi="ar"/>
              </w:rPr>
              <w:t>、</w:t>
            </w:r>
            <w:r>
              <w:rPr>
                <w:color w:val="000000"/>
                <w:kern w:val="0"/>
                <w:sz w:val="24"/>
                <w:lang w:bidi="ar"/>
              </w:rPr>
              <w:t>厂区物料运输</w:t>
            </w:r>
            <w:r>
              <w:rPr>
                <w:rFonts w:hint="eastAsia"/>
                <w:color w:val="000000"/>
                <w:kern w:val="0"/>
                <w:sz w:val="24"/>
                <w:lang w:eastAsia="zh-CN" w:bidi="ar"/>
              </w:rPr>
              <w:t>。</w:t>
            </w:r>
          </w:p>
          <w:p>
            <w:pPr>
              <w:spacing w:line="360" w:lineRule="auto"/>
              <w:ind w:firstLine="600"/>
              <w:rPr>
                <w:sz w:val="24"/>
              </w:rPr>
            </w:pPr>
            <w:r>
              <w:rPr>
                <w:rFonts w:hint="eastAsia" w:ascii="宋体" w:hAnsi="宋体" w:cs="宋体"/>
                <w:b/>
                <w:bCs/>
                <w:color w:val="000000"/>
                <w:kern w:val="0"/>
                <w:sz w:val="24"/>
                <w:lang w:val="en-US" w:eastAsia="zh-CN" w:bidi="ar"/>
              </w:rPr>
              <w:t>粉料储罐：</w:t>
            </w:r>
            <w:r>
              <w:rPr>
                <w:sz w:val="24"/>
              </w:rPr>
              <w:t>项目粉料均采用储罐储存，共设置1条生产线，</w:t>
            </w:r>
            <w:r>
              <w:rPr>
                <w:rFonts w:hint="eastAsia"/>
                <w:sz w:val="24"/>
              </w:rPr>
              <w:t>6</w:t>
            </w:r>
            <w:r>
              <w:rPr>
                <w:sz w:val="24"/>
              </w:rPr>
              <w:t>个粉料储罐（包括</w:t>
            </w:r>
            <w:r>
              <w:rPr>
                <w:rFonts w:hint="eastAsia"/>
                <w:sz w:val="24"/>
              </w:rPr>
              <w:t>4</w:t>
            </w:r>
            <w:r>
              <w:rPr>
                <w:sz w:val="24"/>
              </w:rPr>
              <w:t>个水泥储罐（150t/个）；2个粉煤灰储罐（150t/个）。粉料（水泥、粉煤灰）卸料通过运输车辆与相应储罐管道封闭直连，启用车辆自带的压缩空气，将其以吹入形式进入相应的粉料储罐。生产过程投料时采取密闭螺旋输送机计量给料。粉料卸料过程储罐顶呼吸口会产生粉尘。根据建设单位提供资料，粉料储罐为全封闭式，且每个储罐顶自带安装有1台风量为2500m</w:t>
            </w:r>
            <w:r>
              <w:rPr>
                <w:sz w:val="24"/>
                <w:vertAlign w:val="superscript"/>
              </w:rPr>
              <w:t>3</w:t>
            </w:r>
            <w:r>
              <w:rPr>
                <w:sz w:val="24"/>
              </w:rPr>
              <w:t>/h的脉冲布袋除尘器，除尘效率为99%，储罐高度为12m，粉料储罐粉尘经除尘后由储罐顶</w:t>
            </w:r>
            <w:r>
              <w:rPr>
                <w:rFonts w:hint="eastAsia"/>
                <w:sz w:val="24"/>
                <w:lang w:val="en-US" w:eastAsia="zh-CN"/>
              </w:rPr>
              <w:t>除尘器排气口排出</w:t>
            </w:r>
            <w:r>
              <w:rPr>
                <w:sz w:val="24"/>
              </w:rPr>
              <w:t>。</w:t>
            </w:r>
          </w:p>
          <w:p>
            <w:pPr>
              <w:spacing w:line="360" w:lineRule="auto"/>
              <w:ind w:firstLine="482" w:firstLineChars="200"/>
              <w:rPr>
                <w:rFonts w:hint="default" w:eastAsia="宋体"/>
                <w:sz w:val="24"/>
                <w:lang w:val="en-US" w:eastAsia="zh-CN"/>
              </w:rPr>
            </w:pPr>
            <w:r>
              <w:rPr>
                <w:b/>
                <w:bCs/>
                <w:color w:val="000000"/>
                <w:kern w:val="0"/>
                <w:sz w:val="24"/>
                <w:lang w:bidi="ar"/>
              </w:rPr>
              <w:t>砂石料输送</w:t>
            </w:r>
            <w:r>
              <w:rPr>
                <w:rFonts w:hint="eastAsia"/>
                <w:b/>
                <w:bCs/>
                <w:color w:val="000000"/>
                <w:kern w:val="0"/>
                <w:sz w:val="24"/>
                <w:lang w:eastAsia="zh-CN" w:bidi="ar"/>
              </w:rPr>
              <w:t>：</w:t>
            </w:r>
            <w:r>
              <w:rPr>
                <w:color w:val="000000"/>
                <w:kern w:val="0"/>
                <w:sz w:val="24"/>
                <w:lang w:bidi="ar"/>
              </w:rPr>
              <w:t>项目机制砂、公分石在进入拌合楼搅拌前采用皮带输送机输送供料。皮带输送机为全封闭式，皮带输送机廊道上部拟加盖侧面密封，下部设置收料盘，进行封闭处理，机制砂、公分石在输送过程中产生的粉尘大部分沉降在皮带输送机内。皮带输送机为全封闭式，皮带输送机廊道上部拟加盖侧面密封，下部设置收料盘</w:t>
            </w:r>
            <w:r>
              <w:rPr>
                <w:rFonts w:hint="eastAsia"/>
                <w:color w:val="000000"/>
                <w:kern w:val="0"/>
                <w:sz w:val="24"/>
                <w:lang w:eastAsia="zh-CN" w:bidi="ar"/>
              </w:rPr>
              <w:t>，</w:t>
            </w:r>
            <w:r>
              <w:rPr>
                <w:rFonts w:hint="eastAsia"/>
                <w:color w:val="000000"/>
                <w:kern w:val="0"/>
                <w:sz w:val="24"/>
                <w:lang w:val="en-US" w:eastAsia="zh-CN" w:bidi="ar"/>
              </w:rPr>
              <w:t>逸散的粉尘较少。</w:t>
            </w:r>
          </w:p>
          <w:p>
            <w:pPr>
              <w:autoSpaceDE w:val="0"/>
              <w:autoSpaceDN w:val="0"/>
              <w:adjustRightInd w:val="0"/>
              <w:snapToGrid w:val="0"/>
              <w:spacing w:line="360" w:lineRule="auto"/>
              <w:ind w:firstLine="482" w:firstLineChars="200"/>
              <w:jc w:val="left"/>
              <w:rPr>
                <w:rFonts w:hint="eastAsia"/>
                <w:b/>
                <w:bCs/>
                <w:color w:val="000000"/>
                <w:kern w:val="0"/>
                <w:sz w:val="24"/>
                <w:lang w:eastAsia="zh-CN" w:bidi="ar"/>
              </w:rPr>
            </w:pPr>
            <w:r>
              <w:rPr>
                <w:b/>
                <w:bCs/>
                <w:color w:val="000000"/>
                <w:kern w:val="0"/>
                <w:sz w:val="24"/>
                <w:lang w:bidi="ar"/>
              </w:rPr>
              <w:t>砂石料装卸、堆存</w:t>
            </w:r>
            <w:r>
              <w:rPr>
                <w:rFonts w:hint="eastAsia"/>
                <w:b/>
                <w:bCs/>
                <w:color w:val="000000"/>
                <w:kern w:val="0"/>
                <w:sz w:val="24"/>
                <w:lang w:eastAsia="zh-CN" w:bidi="ar"/>
              </w:rPr>
              <w:t>、</w:t>
            </w:r>
            <w:r>
              <w:rPr>
                <w:b/>
                <w:bCs/>
                <w:color w:val="000000"/>
                <w:kern w:val="0"/>
                <w:sz w:val="24"/>
                <w:lang w:bidi="ar"/>
              </w:rPr>
              <w:t>内部原料运输</w:t>
            </w:r>
            <w:r>
              <w:rPr>
                <w:rFonts w:hint="eastAsia"/>
                <w:b/>
                <w:bCs/>
                <w:color w:val="000000"/>
                <w:kern w:val="0"/>
                <w:sz w:val="24"/>
                <w:lang w:eastAsia="zh-CN" w:bidi="ar"/>
              </w:rPr>
              <w:t>、</w:t>
            </w:r>
            <w:r>
              <w:rPr>
                <w:b/>
                <w:bCs/>
                <w:color w:val="000000"/>
                <w:kern w:val="0"/>
                <w:sz w:val="24"/>
                <w:lang w:bidi="ar"/>
              </w:rPr>
              <w:t>厂区物料运输</w:t>
            </w:r>
            <w:r>
              <w:rPr>
                <w:rFonts w:hint="eastAsia"/>
                <w:b/>
                <w:bCs/>
                <w:color w:val="000000"/>
                <w:kern w:val="0"/>
                <w:sz w:val="24"/>
                <w:lang w:eastAsia="zh-CN"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原料堆场产生的粉尘主要为装卸粉尘、堆场粉尘。</w:t>
            </w:r>
            <w:r>
              <w:rPr>
                <w:rFonts w:hint="eastAsia"/>
                <w:color w:val="000000"/>
                <w:kern w:val="0"/>
                <w:sz w:val="24"/>
                <w:lang w:val="en-US" w:eastAsia="zh-CN" w:bidi="ar"/>
              </w:rPr>
              <w:t>项目</w:t>
            </w:r>
            <w:r>
              <w:rPr>
                <w:color w:val="000000"/>
                <w:kern w:val="0"/>
                <w:sz w:val="24"/>
                <w:lang w:bidi="ar"/>
              </w:rPr>
              <w:t>使用全覆盖厢式汽车运至原料库砂石料堆放场。在砂石料装卸及堆存过程中有少量粉尘产生。机制砂、公分石在生产时由装载机、铲车将原料由堆放区运至配料区中，配料区设有料斗和计量装置，原料在投料时，会产生一定量的粉尘。</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原料库采用彩钢瓦进行</w:t>
            </w:r>
            <w:r>
              <w:rPr>
                <w:rFonts w:hint="eastAsia"/>
                <w:color w:val="000000"/>
                <w:kern w:val="0"/>
                <w:sz w:val="24"/>
                <w:lang w:val="en-US" w:eastAsia="zh-CN" w:bidi="ar"/>
              </w:rPr>
              <w:t>三面</w:t>
            </w:r>
            <w:r>
              <w:rPr>
                <w:color w:val="000000"/>
                <w:kern w:val="0"/>
                <w:sz w:val="24"/>
                <w:lang w:bidi="ar"/>
              </w:rPr>
              <w:t>封闭</w:t>
            </w:r>
            <w:r>
              <w:rPr>
                <w:rFonts w:hint="eastAsia"/>
                <w:color w:val="000000"/>
                <w:kern w:val="0"/>
                <w:sz w:val="24"/>
                <w:lang w:val="en-US" w:eastAsia="zh-CN" w:bidi="ar"/>
              </w:rPr>
              <w:t>形式</w:t>
            </w:r>
            <w:r>
              <w:rPr>
                <w:color w:val="000000"/>
                <w:kern w:val="0"/>
                <w:sz w:val="24"/>
                <w:lang w:bidi="ar"/>
              </w:rPr>
              <w:t>，仅将进出物料口设置为敞开式，且对地面进行硬化；原料库设置喷淋设施，砂石料堆存、卸料、进料时均开启喷淋设施进行喷淋降尘，粉尘大部分沉降在原料库内，预计有15%的粉尘通过出入口、原料库缝隙等以无组织形式排放。</w:t>
            </w:r>
          </w:p>
          <w:p>
            <w:pPr>
              <w:autoSpaceDE w:val="0"/>
              <w:autoSpaceDN w:val="0"/>
              <w:adjustRightInd w:val="0"/>
              <w:snapToGrid w:val="0"/>
              <w:spacing w:line="360" w:lineRule="auto"/>
              <w:ind w:firstLine="480" w:firstLineChars="200"/>
              <w:jc w:val="left"/>
              <w:rPr>
                <w:rFonts w:hint="default" w:eastAsia="宋体"/>
                <w:color w:val="000000"/>
                <w:kern w:val="0"/>
                <w:sz w:val="24"/>
                <w:lang w:val="en-US" w:eastAsia="zh-CN" w:bidi="ar"/>
              </w:rPr>
            </w:pPr>
            <w:r>
              <w:rPr>
                <w:rFonts w:hint="eastAsia"/>
                <w:color w:val="000000"/>
                <w:kern w:val="0"/>
                <w:sz w:val="24"/>
                <w:lang w:val="en-US" w:eastAsia="zh-CN" w:bidi="ar"/>
              </w:rPr>
              <w:t>项目在运营过程中，原辅材料，及生产的混凝土需要运输，从而产生粉尘。对此项目购置有一辆洒水车，及4台炮雾机，对项目区域内硬化场地及项目进出口硬化道路进行洒水降尘。</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②</w:t>
            </w:r>
            <w:r>
              <w:rPr>
                <w:rFonts w:hint="eastAsia" w:ascii="Times New Roman" w:hAnsi="Times New Roman" w:eastAsia="宋体" w:cs="Times New Roman"/>
                <w:sz w:val="24"/>
                <w:lang w:val="en-US" w:eastAsia="zh-CN"/>
              </w:rPr>
              <w:t>项目其他废气污染物的产生及排放</w:t>
            </w:r>
          </w:p>
          <w:p>
            <w:pPr>
              <w:autoSpaceDE w:val="0"/>
              <w:autoSpaceDN w:val="0"/>
              <w:adjustRightInd w:val="0"/>
              <w:snapToGrid w:val="0"/>
              <w:spacing w:line="360" w:lineRule="auto"/>
              <w:ind w:firstLine="480" w:firstLineChars="200"/>
              <w:jc w:val="left"/>
              <w:rPr>
                <w:rFonts w:hint="eastAsia" w:eastAsia="宋体"/>
                <w:color w:val="000000"/>
                <w:kern w:val="0"/>
                <w:sz w:val="24"/>
                <w:lang w:eastAsia="zh-CN" w:bidi="ar"/>
              </w:rPr>
            </w:pPr>
            <w:r>
              <w:rPr>
                <w:color w:val="000000"/>
                <w:kern w:val="0"/>
                <w:sz w:val="24"/>
                <w:lang w:bidi="ar"/>
              </w:rPr>
              <w:t>食堂油烟</w:t>
            </w:r>
            <w:r>
              <w:rPr>
                <w:rFonts w:hint="eastAsia"/>
                <w:color w:val="000000"/>
                <w:kern w:val="0"/>
                <w:sz w:val="24"/>
                <w:lang w:eastAsia="zh-CN"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根据建设单位提供资料，项目共有32名员工在项目食堂内就餐，食堂主要提供员工一日三餐。厨房每天炒制运行时间约为3h/d，服务天数300天/</w:t>
            </w:r>
            <w:r>
              <w:rPr>
                <w:rFonts w:hint="eastAsia"/>
                <w:color w:val="000000"/>
                <w:kern w:val="0"/>
                <w:sz w:val="24"/>
                <w:lang w:bidi="ar"/>
              </w:rPr>
              <w:t>年。</w:t>
            </w:r>
            <w:r>
              <w:rPr>
                <w:color w:val="000000"/>
                <w:kern w:val="0"/>
                <w:sz w:val="24"/>
                <w:lang w:bidi="ar"/>
              </w:rPr>
              <w:t>根据类比调查，人均食用油消耗量以30g/人计，则本项目食用油总消耗量</w:t>
            </w:r>
            <w:r>
              <w:rPr>
                <w:rFonts w:hint="eastAsia"/>
                <w:color w:val="000000"/>
                <w:kern w:val="0"/>
                <w:sz w:val="24"/>
                <w:lang w:bidi="ar"/>
              </w:rPr>
              <w:t>0</w:t>
            </w:r>
            <w:r>
              <w:rPr>
                <w:color w:val="000000"/>
                <w:kern w:val="0"/>
                <w:sz w:val="24"/>
                <w:lang w:bidi="ar"/>
              </w:rPr>
              <w:t>.96kg/d，由于烹饪时会有少量油类分解、挥发，据类比估计，分解、挥发量按3%计算，则食堂油烟产生量0.0288kg/d（0.009t/a）。油烟经油烟净化器处理后通过油烟管道排放，风机风量为4000m</w:t>
            </w:r>
            <w:r>
              <w:rPr>
                <w:color w:val="000000"/>
                <w:kern w:val="0"/>
                <w:sz w:val="24"/>
                <w:vertAlign w:val="superscript"/>
                <w:lang w:bidi="ar"/>
              </w:rPr>
              <w:t>3</w:t>
            </w:r>
            <w:r>
              <w:rPr>
                <w:color w:val="000000"/>
                <w:kern w:val="0"/>
                <w:sz w:val="24"/>
                <w:lang w:bidi="ar"/>
              </w:rPr>
              <w:t>/h，处理效率为60%，则油烟排放量为0.0054t/a。项目食堂油烟废气产生及排放情况见表4-5。</w:t>
            </w:r>
          </w:p>
          <w:p>
            <w:pPr>
              <w:tabs>
                <w:tab w:val="left" w:pos="3045"/>
              </w:tabs>
              <w:snapToGrid w:val="0"/>
              <w:spacing w:line="360" w:lineRule="auto"/>
              <w:jc w:val="center"/>
              <w:rPr>
                <w:b/>
                <w:color w:val="000000"/>
                <w:kern w:val="0"/>
                <w:lang w:val="zh-CN"/>
              </w:rPr>
            </w:pPr>
            <w:r>
              <w:rPr>
                <w:b/>
                <w:color w:val="000000"/>
                <w:kern w:val="0"/>
                <w:lang w:val="zh-CN"/>
              </w:rPr>
              <w:t>表4-</w:t>
            </w:r>
            <w:r>
              <w:rPr>
                <w:rFonts w:hint="eastAsia"/>
                <w:b/>
                <w:color w:val="000000"/>
                <w:kern w:val="0"/>
                <w:lang w:val="en-US" w:eastAsia="zh-CN"/>
              </w:rPr>
              <w:t>1</w:t>
            </w:r>
            <w:r>
              <w:rPr>
                <w:b/>
                <w:color w:val="000000"/>
                <w:kern w:val="0"/>
                <w:lang w:val="zh-CN"/>
              </w:rPr>
              <w:t xml:space="preserve">  食堂油烟废气产生及排放情况一览表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014"/>
              <w:gridCol w:w="1375"/>
              <w:gridCol w:w="1000"/>
              <w:gridCol w:w="1061"/>
              <w:gridCol w:w="1375"/>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pct"/>
                  <w:shd w:val="clear" w:color="auto" w:fill="auto"/>
                  <w:vAlign w:val="center"/>
                </w:tcPr>
                <w:p>
                  <w:pPr>
                    <w:adjustRightInd w:val="0"/>
                    <w:snapToGrid w:val="0"/>
                    <w:jc w:val="center"/>
                    <w:rPr>
                      <w:color w:val="000000"/>
                      <w:spacing w:val="20"/>
                      <w:szCs w:val="21"/>
                    </w:rPr>
                  </w:pPr>
                  <w:r>
                    <w:rPr>
                      <w:color w:val="000000"/>
                      <w:spacing w:val="20"/>
                      <w:szCs w:val="21"/>
                    </w:rPr>
                    <w:t>排放源</w:t>
                  </w:r>
                </w:p>
              </w:tc>
              <w:tc>
                <w:tcPr>
                  <w:tcW w:w="649" w:type="pct"/>
                  <w:shd w:val="clear" w:color="auto" w:fill="auto"/>
                  <w:vAlign w:val="center"/>
                </w:tcPr>
                <w:p>
                  <w:pPr>
                    <w:adjustRightInd w:val="0"/>
                    <w:snapToGrid w:val="0"/>
                    <w:jc w:val="center"/>
                    <w:rPr>
                      <w:color w:val="000000"/>
                      <w:spacing w:val="20"/>
                      <w:szCs w:val="21"/>
                    </w:rPr>
                  </w:pPr>
                  <w:r>
                    <w:rPr>
                      <w:color w:val="000000"/>
                      <w:spacing w:val="20"/>
                      <w:szCs w:val="21"/>
                    </w:rPr>
                    <w:t>废气量</w:t>
                  </w:r>
                </w:p>
                <w:p>
                  <w:pPr>
                    <w:adjustRightInd w:val="0"/>
                    <w:snapToGrid w:val="0"/>
                    <w:jc w:val="center"/>
                    <w:rPr>
                      <w:color w:val="000000"/>
                      <w:spacing w:val="20"/>
                      <w:szCs w:val="21"/>
                    </w:rPr>
                  </w:pPr>
                  <w:r>
                    <w:rPr>
                      <w:color w:val="000000"/>
                      <w:spacing w:val="20"/>
                      <w:szCs w:val="21"/>
                    </w:rPr>
                    <w:t>(m</w:t>
                  </w:r>
                  <w:r>
                    <w:rPr>
                      <w:color w:val="000000"/>
                      <w:spacing w:val="20"/>
                      <w:szCs w:val="21"/>
                      <w:vertAlign w:val="superscript"/>
                    </w:rPr>
                    <w:t>3</w:t>
                  </w:r>
                  <w:r>
                    <w:rPr>
                      <w:color w:val="000000"/>
                      <w:spacing w:val="20"/>
                      <w:szCs w:val="21"/>
                    </w:rPr>
                    <w:t>/h)</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产生浓度</w:t>
                  </w:r>
                </w:p>
                <w:p>
                  <w:pPr>
                    <w:adjustRightInd w:val="0"/>
                    <w:snapToGrid w:val="0"/>
                    <w:jc w:val="center"/>
                    <w:rPr>
                      <w:color w:val="000000"/>
                      <w:spacing w:val="20"/>
                      <w:szCs w:val="21"/>
                    </w:rPr>
                  </w:pPr>
                  <w:r>
                    <w:rPr>
                      <w:color w:val="000000"/>
                      <w:spacing w:val="20"/>
                      <w:szCs w:val="21"/>
                    </w:rPr>
                    <w:t>（mg/m</w:t>
                  </w:r>
                  <w:r>
                    <w:rPr>
                      <w:color w:val="000000"/>
                      <w:spacing w:val="20"/>
                      <w:szCs w:val="21"/>
                      <w:vertAlign w:val="superscript"/>
                    </w:rPr>
                    <w:t>3</w:t>
                  </w:r>
                  <w:r>
                    <w:rPr>
                      <w:color w:val="000000"/>
                      <w:spacing w:val="20"/>
                      <w:szCs w:val="21"/>
                    </w:rPr>
                    <w:t>）</w:t>
                  </w:r>
                </w:p>
              </w:tc>
              <w:tc>
                <w:tcPr>
                  <w:tcW w:w="640" w:type="pct"/>
                  <w:shd w:val="clear" w:color="auto" w:fill="auto"/>
                  <w:vAlign w:val="center"/>
                </w:tcPr>
                <w:p>
                  <w:pPr>
                    <w:adjustRightInd w:val="0"/>
                    <w:snapToGrid w:val="0"/>
                    <w:jc w:val="center"/>
                    <w:rPr>
                      <w:color w:val="000000"/>
                      <w:spacing w:val="20"/>
                      <w:szCs w:val="21"/>
                    </w:rPr>
                  </w:pPr>
                  <w:r>
                    <w:rPr>
                      <w:color w:val="000000"/>
                      <w:spacing w:val="20"/>
                      <w:szCs w:val="21"/>
                    </w:rPr>
                    <w:t>产生量</w:t>
                  </w:r>
                </w:p>
                <w:p>
                  <w:pPr>
                    <w:adjustRightInd w:val="0"/>
                    <w:snapToGrid w:val="0"/>
                    <w:jc w:val="center"/>
                    <w:rPr>
                      <w:color w:val="000000"/>
                      <w:spacing w:val="20"/>
                      <w:szCs w:val="21"/>
                    </w:rPr>
                  </w:pPr>
                  <w:r>
                    <w:rPr>
                      <w:color w:val="000000"/>
                      <w:spacing w:val="20"/>
                      <w:szCs w:val="21"/>
                    </w:rPr>
                    <w:t>（t/a）</w:t>
                  </w:r>
                </w:p>
              </w:tc>
              <w:tc>
                <w:tcPr>
                  <w:tcW w:w="679" w:type="pct"/>
                  <w:shd w:val="clear" w:color="auto" w:fill="auto"/>
                  <w:vAlign w:val="center"/>
                </w:tcPr>
                <w:p>
                  <w:pPr>
                    <w:adjustRightInd w:val="0"/>
                    <w:snapToGrid w:val="0"/>
                    <w:jc w:val="center"/>
                    <w:rPr>
                      <w:color w:val="000000"/>
                      <w:spacing w:val="20"/>
                      <w:szCs w:val="21"/>
                    </w:rPr>
                  </w:pPr>
                  <w:r>
                    <w:rPr>
                      <w:color w:val="000000"/>
                      <w:spacing w:val="20"/>
                      <w:szCs w:val="21"/>
                    </w:rPr>
                    <w:t>处理</w:t>
                  </w:r>
                </w:p>
                <w:p>
                  <w:pPr>
                    <w:adjustRightInd w:val="0"/>
                    <w:snapToGrid w:val="0"/>
                    <w:jc w:val="center"/>
                    <w:rPr>
                      <w:color w:val="000000"/>
                      <w:spacing w:val="20"/>
                      <w:szCs w:val="21"/>
                    </w:rPr>
                  </w:pPr>
                  <w:r>
                    <w:rPr>
                      <w:color w:val="000000"/>
                      <w:spacing w:val="20"/>
                      <w:szCs w:val="21"/>
                    </w:rPr>
                    <w:t>效率</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排放浓度</w:t>
                  </w:r>
                </w:p>
                <w:p>
                  <w:pPr>
                    <w:adjustRightInd w:val="0"/>
                    <w:snapToGrid w:val="0"/>
                    <w:jc w:val="center"/>
                    <w:rPr>
                      <w:color w:val="000000"/>
                      <w:spacing w:val="20"/>
                      <w:szCs w:val="21"/>
                    </w:rPr>
                  </w:pPr>
                  <w:r>
                    <w:rPr>
                      <w:color w:val="000000"/>
                      <w:spacing w:val="20"/>
                      <w:szCs w:val="21"/>
                    </w:rPr>
                    <w:t>（mg/m</w:t>
                  </w:r>
                  <w:r>
                    <w:rPr>
                      <w:color w:val="000000"/>
                      <w:spacing w:val="20"/>
                      <w:szCs w:val="21"/>
                      <w:vertAlign w:val="superscript"/>
                    </w:rPr>
                    <w:t>3</w:t>
                  </w:r>
                  <w:r>
                    <w:rPr>
                      <w:color w:val="000000"/>
                      <w:spacing w:val="20"/>
                      <w:szCs w:val="21"/>
                    </w:rPr>
                    <w:t>）</w:t>
                  </w:r>
                </w:p>
              </w:tc>
              <w:tc>
                <w:tcPr>
                  <w:tcW w:w="705" w:type="pct"/>
                  <w:shd w:val="clear" w:color="auto" w:fill="auto"/>
                  <w:vAlign w:val="center"/>
                </w:tcPr>
                <w:p>
                  <w:pPr>
                    <w:adjustRightInd w:val="0"/>
                    <w:snapToGrid w:val="0"/>
                    <w:jc w:val="center"/>
                    <w:rPr>
                      <w:color w:val="000000"/>
                      <w:spacing w:val="20"/>
                      <w:szCs w:val="21"/>
                    </w:rPr>
                  </w:pPr>
                  <w:r>
                    <w:rPr>
                      <w:color w:val="000000"/>
                      <w:spacing w:val="20"/>
                      <w:szCs w:val="21"/>
                    </w:rPr>
                    <w:t>排放量</w:t>
                  </w:r>
                </w:p>
                <w:p>
                  <w:pPr>
                    <w:adjustRightInd w:val="0"/>
                    <w:snapToGrid w:val="0"/>
                    <w:jc w:val="center"/>
                    <w:rPr>
                      <w:color w:val="000000"/>
                      <w:spacing w:val="20"/>
                      <w:szCs w:val="21"/>
                    </w:rPr>
                  </w:pPr>
                  <w:r>
                    <w:rPr>
                      <w:color w:val="000000"/>
                      <w:spacing w:val="2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6" w:type="pct"/>
                  <w:shd w:val="clear" w:color="auto" w:fill="auto"/>
                  <w:vAlign w:val="center"/>
                </w:tcPr>
                <w:p>
                  <w:pPr>
                    <w:adjustRightInd w:val="0"/>
                    <w:snapToGrid w:val="0"/>
                    <w:jc w:val="center"/>
                    <w:rPr>
                      <w:color w:val="000000"/>
                      <w:spacing w:val="20"/>
                      <w:szCs w:val="21"/>
                    </w:rPr>
                  </w:pPr>
                  <w:r>
                    <w:rPr>
                      <w:color w:val="000000"/>
                      <w:spacing w:val="20"/>
                      <w:szCs w:val="21"/>
                    </w:rPr>
                    <w:t>食堂</w:t>
                  </w:r>
                </w:p>
              </w:tc>
              <w:tc>
                <w:tcPr>
                  <w:tcW w:w="649" w:type="pct"/>
                  <w:shd w:val="clear" w:color="auto" w:fill="auto"/>
                  <w:vAlign w:val="center"/>
                </w:tcPr>
                <w:p>
                  <w:pPr>
                    <w:adjustRightInd w:val="0"/>
                    <w:snapToGrid w:val="0"/>
                    <w:jc w:val="center"/>
                    <w:rPr>
                      <w:color w:val="000000"/>
                      <w:spacing w:val="20"/>
                      <w:szCs w:val="21"/>
                    </w:rPr>
                  </w:pPr>
                  <w:r>
                    <w:rPr>
                      <w:color w:val="000000"/>
                      <w:spacing w:val="20"/>
                      <w:szCs w:val="21"/>
                    </w:rPr>
                    <w:t>4000</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2.4</w:t>
                  </w:r>
                </w:p>
              </w:tc>
              <w:tc>
                <w:tcPr>
                  <w:tcW w:w="640" w:type="pct"/>
                  <w:shd w:val="clear" w:color="auto" w:fill="auto"/>
                  <w:vAlign w:val="center"/>
                </w:tcPr>
                <w:p>
                  <w:pPr>
                    <w:adjustRightInd w:val="0"/>
                    <w:snapToGrid w:val="0"/>
                    <w:jc w:val="center"/>
                    <w:rPr>
                      <w:color w:val="000000"/>
                      <w:spacing w:val="20"/>
                      <w:szCs w:val="21"/>
                    </w:rPr>
                  </w:pPr>
                  <w:r>
                    <w:rPr>
                      <w:color w:val="000000"/>
                      <w:spacing w:val="20"/>
                      <w:szCs w:val="21"/>
                    </w:rPr>
                    <w:t>0.0288</w:t>
                  </w:r>
                </w:p>
              </w:tc>
              <w:tc>
                <w:tcPr>
                  <w:tcW w:w="679" w:type="pct"/>
                  <w:shd w:val="clear" w:color="auto" w:fill="auto"/>
                  <w:vAlign w:val="center"/>
                </w:tcPr>
                <w:p>
                  <w:pPr>
                    <w:adjustRightInd w:val="0"/>
                    <w:snapToGrid w:val="0"/>
                    <w:jc w:val="center"/>
                    <w:rPr>
                      <w:color w:val="000000"/>
                      <w:spacing w:val="20"/>
                      <w:szCs w:val="21"/>
                    </w:rPr>
                  </w:pPr>
                  <w:r>
                    <w:rPr>
                      <w:color w:val="000000"/>
                      <w:spacing w:val="20"/>
                      <w:szCs w:val="21"/>
                    </w:rPr>
                    <w:t>60%</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0.96</w:t>
                  </w:r>
                </w:p>
              </w:tc>
              <w:tc>
                <w:tcPr>
                  <w:tcW w:w="705" w:type="pct"/>
                  <w:shd w:val="clear" w:color="auto" w:fill="auto"/>
                  <w:vAlign w:val="center"/>
                </w:tcPr>
                <w:p>
                  <w:pPr>
                    <w:adjustRightInd w:val="0"/>
                    <w:snapToGrid w:val="0"/>
                    <w:jc w:val="center"/>
                    <w:rPr>
                      <w:color w:val="000000"/>
                      <w:spacing w:val="20"/>
                      <w:szCs w:val="21"/>
                    </w:rPr>
                  </w:pPr>
                  <w:r>
                    <w:rPr>
                      <w:color w:val="000000"/>
                      <w:spacing w:val="20"/>
                      <w:szCs w:val="21"/>
                    </w:rPr>
                    <w:t>0.0054</w:t>
                  </w:r>
                </w:p>
              </w:tc>
            </w:tr>
          </w:tbl>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由表4-4可知，食堂油烟废气排放浓度为0.96mg/m</w:t>
            </w:r>
            <w:r>
              <w:rPr>
                <w:color w:val="000000"/>
                <w:kern w:val="0"/>
                <w:sz w:val="24"/>
                <w:vertAlign w:val="superscript"/>
                <w:lang w:bidi="ar"/>
              </w:rPr>
              <w:t>3</w:t>
            </w:r>
            <w:r>
              <w:rPr>
                <w:color w:val="000000"/>
                <w:kern w:val="0"/>
                <w:sz w:val="24"/>
                <w:lang w:bidi="ar"/>
              </w:rPr>
              <w:t>，可达《饮食业油烟排放标准（试行）》（GB</w:t>
            </w:r>
            <w:r>
              <w:rPr>
                <w:rFonts w:hint="eastAsia"/>
                <w:color w:val="000000"/>
                <w:kern w:val="0"/>
                <w:sz w:val="24"/>
                <w:lang w:eastAsia="zh-CN" w:bidi="ar"/>
              </w:rPr>
              <w:t>*****</w:t>
            </w:r>
            <w:r>
              <w:rPr>
                <w:color w:val="000000"/>
                <w:kern w:val="0"/>
                <w:sz w:val="24"/>
                <w:lang w:bidi="ar"/>
              </w:rPr>
              <w:t>-2001）小型规模标准要求。</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②汽车尾气</w:t>
            </w:r>
          </w:p>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项目运营期主要机械设备为混凝土罐车、原料运输车辆和装载机，车辆驶入、驶出时会排放少量尾气，其中含TCH、NOx、CO等污染物，呈无组织排放，通过大气扩散和被植物吸收。</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③</w:t>
            </w:r>
            <w:r>
              <w:rPr>
                <w:rFonts w:hint="eastAsia" w:ascii="Times New Roman" w:hAnsi="Times New Roman" w:eastAsia="宋体" w:cs="Times New Roman"/>
                <w:sz w:val="24"/>
                <w:lang w:val="en-US" w:eastAsia="zh-CN"/>
              </w:rPr>
              <w:t>备用柴油发电机尾气</w:t>
            </w:r>
          </w:p>
          <w:p>
            <w:pPr>
              <w:autoSpaceDE w:val="0"/>
              <w:autoSpaceDN w:val="0"/>
              <w:adjustRightInd w:val="0"/>
              <w:snapToGrid w:val="0"/>
              <w:spacing w:line="360" w:lineRule="auto"/>
              <w:ind w:firstLine="480" w:firstLineChars="200"/>
              <w:rPr>
                <w:rFonts w:hint="eastAsia" w:ascii="宋体" w:hAnsi="宋体"/>
                <w:color w:val="000000"/>
                <w:kern w:val="0"/>
                <w:sz w:val="24"/>
                <w:lang w:bidi="ar"/>
              </w:rPr>
            </w:pPr>
            <w:r>
              <w:rPr>
                <w:rFonts w:hint="eastAsia" w:ascii="宋体" w:hAnsi="宋体"/>
                <w:color w:val="000000"/>
                <w:kern w:val="0"/>
                <w:sz w:val="24"/>
                <w:lang w:bidi="ar"/>
              </w:rPr>
              <w:t>项目运营期间，生产时遇到突发停电等情况，需要启用备用柴油发电机，则会产生尾气，成无组织排放。每年预计会用到两三次，产生尾气的量特别少，对环境基本无影响。</w:t>
            </w:r>
          </w:p>
          <w:p>
            <w:pPr>
              <w:autoSpaceDE w:val="0"/>
              <w:autoSpaceDN w:val="0"/>
              <w:adjustRightInd w:val="0"/>
              <w:snapToGrid w:val="0"/>
              <w:spacing w:line="360" w:lineRule="auto"/>
              <w:ind w:firstLine="480" w:firstLineChars="200"/>
              <w:rPr>
                <w:rFonts w:hint="eastAsia" w:ascii="宋体" w:hAnsi="宋体" w:eastAsia="宋体" w:cs="Times New Roman"/>
                <w:color w:val="000000"/>
                <w:kern w:val="0"/>
                <w:sz w:val="24"/>
                <w:lang w:bidi="ar"/>
              </w:rPr>
            </w:pPr>
            <w:r>
              <w:rPr>
                <w:rFonts w:hint="eastAsia" w:ascii="宋体" w:hAnsi="宋体" w:eastAsia="宋体" w:cs="Times New Roman"/>
                <w:color w:val="000000"/>
                <w:kern w:val="0"/>
                <w:sz w:val="24"/>
                <w:lang w:eastAsia="zh-CN" w:bidi="ar"/>
              </w:rPr>
              <w:t>（</w:t>
            </w:r>
            <w:r>
              <w:rPr>
                <w:rFonts w:hint="eastAsia" w:ascii="宋体" w:hAnsi="宋体" w:eastAsia="宋体" w:cs="Times New Roman"/>
                <w:color w:val="000000"/>
                <w:kern w:val="0"/>
                <w:sz w:val="24"/>
                <w:lang w:val="en-US" w:eastAsia="zh-CN" w:bidi="ar"/>
              </w:rPr>
              <w:t>2</w:t>
            </w:r>
            <w:r>
              <w:rPr>
                <w:rFonts w:hint="eastAsia" w:ascii="宋体" w:hAnsi="宋体" w:eastAsia="宋体" w:cs="Times New Roman"/>
                <w:color w:val="000000"/>
                <w:kern w:val="0"/>
                <w:sz w:val="24"/>
                <w:lang w:eastAsia="zh-CN" w:bidi="ar"/>
              </w:rPr>
              <w:t>）</w:t>
            </w:r>
            <w:r>
              <w:rPr>
                <w:rFonts w:hint="eastAsia" w:ascii="宋体" w:hAnsi="宋体" w:eastAsia="宋体" w:cs="Times New Roman"/>
                <w:color w:val="000000"/>
                <w:kern w:val="0"/>
                <w:sz w:val="24"/>
                <w:lang w:bidi="ar"/>
              </w:rPr>
              <w:t>大气环境影响分析</w:t>
            </w:r>
          </w:p>
          <w:p>
            <w:pPr>
              <w:autoSpaceDE w:val="0"/>
              <w:autoSpaceDN w:val="0"/>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宋体" w:hAnsi="宋体" w:eastAsia="宋体" w:cs="Times New Roman"/>
                <w:color w:val="000000"/>
                <w:kern w:val="0"/>
                <w:sz w:val="24"/>
                <w:lang w:val="en-US" w:eastAsia="zh-CN" w:bidi="ar"/>
              </w:rPr>
              <w:t>本项目于2021</w:t>
            </w:r>
            <w:r>
              <w:rPr>
                <w:rFonts w:hint="eastAsia" w:ascii="Times New Roman" w:hAnsi="Times New Roman" w:eastAsia="宋体" w:cs="Times New Roman"/>
                <w:sz w:val="24"/>
              </w:rPr>
              <w:t>年4月建成并投产</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项目的</w:t>
            </w:r>
            <w:r>
              <w:rPr>
                <w:rFonts w:hint="eastAsia" w:cs="Times New Roman"/>
                <w:sz w:val="24"/>
                <w:lang w:val="en-US" w:eastAsia="zh-CN"/>
              </w:rPr>
              <w:t>废气</w:t>
            </w:r>
            <w:r>
              <w:rPr>
                <w:rFonts w:hint="eastAsia" w:ascii="Times New Roman" w:hAnsi="Times New Roman" w:eastAsia="宋体" w:cs="Times New Roman"/>
                <w:sz w:val="24"/>
                <w:lang w:val="en-US" w:eastAsia="zh-CN"/>
              </w:rPr>
              <w:t>环保设施已运行，因此本次评价采用实测数据进行影响分析。据现场调查项目储罐顶自带有脉冲布袋除尘器，进料时产生的粉尘经除尘器处理，99%的粉尘被收集后回到储罐中用于生产，剩余的粉尘从除尘器排气口排出。由于储罐顶粉</w:t>
            </w:r>
            <w:r>
              <w:rPr>
                <w:rFonts w:hint="eastAsia" w:cs="Times New Roman"/>
                <w:sz w:val="24"/>
                <w:lang w:val="en-US" w:eastAsia="zh-CN"/>
              </w:rPr>
              <w:t>尘</w:t>
            </w:r>
            <w:r>
              <w:rPr>
                <w:rFonts w:hint="eastAsia" w:ascii="Times New Roman" w:hAnsi="Times New Roman" w:eastAsia="宋体" w:cs="Times New Roman"/>
                <w:sz w:val="24"/>
                <w:lang w:val="en-US" w:eastAsia="zh-CN"/>
              </w:rPr>
              <w:t>主要是进料时产生，其排放并不是连续性的，同时储罐顶排气筒长度较短，因次本次评价实测数据为厂界无组织废气监测为依据。具体监测情况如下：</w:t>
            </w:r>
          </w:p>
          <w:p>
            <w:pPr>
              <w:autoSpaceDE w:val="0"/>
              <w:autoSpaceDN w:val="0"/>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监测点位：厂界上风向1个对照点（G1），下风向3个监测点（G2、G3、G4），共4个监测点位；</w:t>
            </w:r>
          </w:p>
          <w:p>
            <w:pPr>
              <w:autoSpaceDE w:val="0"/>
              <w:autoSpaceDN w:val="0"/>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监测因子：TSP，共1个监测因子；</w:t>
            </w:r>
          </w:p>
          <w:p>
            <w:pPr>
              <w:autoSpaceDE w:val="0"/>
              <w:autoSpaceDN w:val="0"/>
              <w:adjustRightInd w:val="0"/>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监测频率：每天4次，连续监测2天；</w:t>
            </w:r>
          </w:p>
          <w:p>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val="0"/>
                <w:snapToGrid w:val="0"/>
                <w:color w:val="000000"/>
                <w:szCs w:val="28"/>
                <w:lang w:val="en-US" w:eastAsia="zh-CN"/>
              </w:rPr>
            </w:pPr>
            <w:r>
              <w:rPr>
                <w:rFonts w:hint="eastAsia" w:cs="Times New Roman"/>
                <w:b/>
                <w:bCs w:val="0"/>
                <w:snapToGrid w:val="0"/>
                <w:color w:val="000000"/>
                <w:szCs w:val="28"/>
                <w:lang w:val="en-US" w:eastAsia="zh-CN"/>
              </w:rPr>
              <w:t>表4-2 厂界无组织废气检测结果</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716"/>
              <w:gridCol w:w="1296"/>
              <w:gridCol w:w="1440"/>
              <w:gridCol w:w="1563"/>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noWrap w:val="0"/>
                  <w:vAlign w:val="center"/>
                </w:tcPr>
                <w:p>
                  <w:pPr>
                    <w:ind w:right="-101" w:rightChars="-48"/>
                    <w:jc w:val="center"/>
                    <w:rPr>
                      <w:rFonts w:hint="eastAsia"/>
                      <w:b w:val="0"/>
                      <w:bCs w:val="0"/>
                      <w:sz w:val="24"/>
                      <w:szCs w:val="24"/>
                      <w:lang w:eastAsia="zh-CN"/>
                    </w:rPr>
                  </w:pPr>
                  <w:r>
                    <w:rPr>
                      <w:rFonts w:hint="eastAsia"/>
                      <w:b w:val="0"/>
                      <w:bCs w:val="0"/>
                      <w:sz w:val="24"/>
                      <w:szCs w:val="24"/>
                      <w:lang w:eastAsia="zh-CN"/>
                    </w:rPr>
                    <w:t>检测</w:t>
                  </w:r>
                </w:p>
                <w:p>
                  <w:pPr>
                    <w:ind w:right="-101" w:rightChars="-48"/>
                    <w:jc w:val="center"/>
                    <w:rPr>
                      <w:rFonts w:hint="eastAsia"/>
                      <w:b w:val="0"/>
                      <w:bCs w:val="0"/>
                      <w:sz w:val="24"/>
                      <w:szCs w:val="24"/>
                      <w:lang w:eastAsia="zh-CN"/>
                    </w:rPr>
                  </w:pPr>
                  <w:r>
                    <w:rPr>
                      <w:rFonts w:hint="eastAsia"/>
                      <w:b w:val="0"/>
                      <w:bCs w:val="0"/>
                      <w:sz w:val="24"/>
                      <w:szCs w:val="24"/>
                      <w:lang w:eastAsia="zh-CN"/>
                    </w:rPr>
                    <w:t>项目</w:t>
                  </w:r>
                </w:p>
              </w:tc>
              <w:tc>
                <w:tcPr>
                  <w:tcW w:w="1199" w:type="pct"/>
                  <w:noWrap w:val="0"/>
                  <w:vAlign w:val="center"/>
                </w:tcPr>
                <w:p>
                  <w:pPr>
                    <w:ind w:right="-101" w:rightChars="-48"/>
                    <w:jc w:val="center"/>
                    <w:rPr>
                      <w:rFonts w:hint="eastAsia"/>
                      <w:b w:val="0"/>
                      <w:bCs w:val="0"/>
                      <w:sz w:val="24"/>
                      <w:szCs w:val="24"/>
                    </w:rPr>
                  </w:pPr>
                  <w:r>
                    <w:rPr>
                      <w:rFonts w:hint="eastAsia"/>
                      <w:b w:val="0"/>
                      <w:bCs w:val="0"/>
                      <w:sz w:val="24"/>
                      <w:szCs w:val="24"/>
                      <w:lang w:eastAsia="zh-CN"/>
                    </w:rPr>
                    <w:t>监测</w:t>
                  </w:r>
                  <w:r>
                    <w:rPr>
                      <w:rFonts w:hint="eastAsia"/>
                      <w:b w:val="0"/>
                      <w:bCs w:val="0"/>
                      <w:sz w:val="24"/>
                      <w:szCs w:val="24"/>
                    </w:rPr>
                    <w:t>点位</w:t>
                  </w:r>
                </w:p>
                <w:p>
                  <w:pPr>
                    <w:ind w:right="-101" w:rightChars="-48"/>
                    <w:jc w:val="center"/>
                    <w:rPr>
                      <w:rFonts w:hint="eastAsia"/>
                      <w:b w:val="0"/>
                      <w:bCs w:val="0"/>
                      <w:sz w:val="24"/>
                      <w:szCs w:val="24"/>
                    </w:rPr>
                  </w:pPr>
                  <w:r>
                    <w:rPr>
                      <w:rFonts w:hint="eastAsia"/>
                      <w:b w:val="0"/>
                      <w:bCs w:val="0"/>
                      <w:sz w:val="24"/>
                      <w:szCs w:val="24"/>
                      <w:lang w:eastAsia="zh-CN"/>
                    </w:rPr>
                    <w:t>（经纬度）</w:t>
                  </w:r>
                </w:p>
              </w:tc>
              <w:tc>
                <w:tcPr>
                  <w:tcW w:w="778" w:type="pct"/>
                  <w:noWrap w:val="0"/>
                  <w:vAlign w:val="center"/>
                </w:tcPr>
                <w:p>
                  <w:pPr>
                    <w:jc w:val="center"/>
                    <w:rPr>
                      <w:b w:val="0"/>
                      <w:bCs w:val="0"/>
                      <w:sz w:val="24"/>
                      <w:szCs w:val="24"/>
                    </w:rPr>
                  </w:pPr>
                  <w:r>
                    <w:rPr>
                      <w:b w:val="0"/>
                      <w:bCs w:val="0"/>
                      <w:sz w:val="24"/>
                      <w:szCs w:val="24"/>
                    </w:rPr>
                    <w:t>采样</w:t>
                  </w:r>
                  <w:r>
                    <w:rPr>
                      <w:rFonts w:hint="eastAsia"/>
                      <w:b w:val="0"/>
                      <w:bCs w:val="0"/>
                      <w:sz w:val="24"/>
                      <w:szCs w:val="24"/>
                    </w:rPr>
                    <w:t>日期</w:t>
                  </w:r>
                </w:p>
              </w:tc>
              <w:tc>
                <w:tcPr>
                  <w:tcW w:w="865" w:type="pct"/>
                  <w:noWrap w:val="0"/>
                  <w:vAlign w:val="center"/>
                </w:tcPr>
                <w:p>
                  <w:pPr>
                    <w:jc w:val="center"/>
                    <w:rPr>
                      <w:b w:val="0"/>
                      <w:bCs w:val="0"/>
                      <w:sz w:val="24"/>
                      <w:szCs w:val="24"/>
                    </w:rPr>
                  </w:pPr>
                  <w:r>
                    <w:rPr>
                      <w:rFonts w:hint="eastAsia"/>
                      <w:b w:val="0"/>
                      <w:bCs w:val="0"/>
                      <w:sz w:val="24"/>
                      <w:szCs w:val="24"/>
                    </w:rPr>
                    <w:t>采样时段</w:t>
                  </w:r>
                </w:p>
              </w:tc>
              <w:tc>
                <w:tcPr>
                  <w:tcW w:w="939" w:type="pct"/>
                  <w:noWrap w:val="0"/>
                  <w:vAlign w:val="center"/>
                </w:tcPr>
                <w:p>
                  <w:pPr>
                    <w:jc w:val="center"/>
                    <w:rPr>
                      <w:b w:val="0"/>
                      <w:bCs w:val="0"/>
                      <w:sz w:val="24"/>
                      <w:szCs w:val="24"/>
                    </w:rPr>
                  </w:pPr>
                  <w:r>
                    <w:rPr>
                      <w:rFonts w:hint="eastAsia"/>
                      <w:b w:val="0"/>
                      <w:bCs w:val="0"/>
                      <w:sz w:val="24"/>
                      <w:szCs w:val="24"/>
                      <w:lang w:eastAsia="zh-CN"/>
                    </w:rPr>
                    <w:t>样品</w:t>
                  </w:r>
                  <w:r>
                    <w:rPr>
                      <w:b w:val="0"/>
                      <w:bCs w:val="0"/>
                      <w:sz w:val="24"/>
                      <w:szCs w:val="24"/>
                    </w:rPr>
                    <w:t>编号</w:t>
                  </w:r>
                </w:p>
              </w:tc>
              <w:tc>
                <w:tcPr>
                  <w:tcW w:w="801" w:type="pct"/>
                  <w:noWrap w:val="0"/>
                  <w:vAlign w:val="center"/>
                </w:tcPr>
                <w:p>
                  <w:pPr>
                    <w:jc w:val="center"/>
                    <w:rPr>
                      <w:rFonts w:hint="eastAsia" w:cs="Times New Roman"/>
                      <w:b w:val="0"/>
                      <w:bCs w:val="0"/>
                      <w:sz w:val="24"/>
                      <w:szCs w:val="24"/>
                      <w:lang w:eastAsia="zh-CN"/>
                    </w:rPr>
                  </w:pPr>
                  <w:r>
                    <w:rPr>
                      <w:rFonts w:hint="eastAsia" w:cs="Times New Roman"/>
                      <w:b w:val="0"/>
                      <w:bCs w:val="0"/>
                      <w:sz w:val="24"/>
                      <w:szCs w:val="24"/>
                      <w:lang w:eastAsia="zh-CN"/>
                    </w:rPr>
                    <w:t>检测结果</w:t>
                  </w:r>
                </w:p>
                <w:p>
                  <w:pPr>
                    <w:jc w:val="center"/>
                    <w:rPr>
                      <w:rFonts w:hint="eastAsia" w:eastAsia="宋体" w:cs="Times New Roman"/>
                      <w:b w:val="0"/>
                      <w:bCs w:val="0"/>
                      <w:sz w:val="24"/>
                      <w:szCs w:val="24"/>
                      <w:lang w:eastAsia="zh-CN"/>
                    </w:rPr>
                  </w:pPr>
                  <w:r>
                    <w:rPr>
                      <w:rFonts w:eastAsia="宋体" w:cs="Times New Roman"/>
                      <w:b w:val="0"/>
                      <w:bCs w:val="0"/>
                      <w:sz w:val="24"/>
                      <w:szCs w:val="24"/>
                    </w:rPr>
                    <w:t>（mg/m</w:t>
                  </w:r>
                  <w:r>
                    <w:rPr>
                      <w:rFonts w:eastAsia="宋体" w:cs="Times New Roman"/>
                      <w:b w:val="0"/>
                      <w:bCs w:val="0"/>
                      <w:sz w:val="24"/>
                      <w:szCs w:val="24"/>
                      <w:vertAlign w:val="superscript"/>
                    </w:rPr>
                    <w:t>3</w:t>
                  </w:r>
                  <w:r>
                    <w:rPr>
                      <w:rFonts w:eastAsia="宋体" w:cs="Times New Roman"/>
                      <w:b w:val="0"/>
                      <w:bCs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restart"/>
                  <w:noWrap w:val="0"/>
                  <w:vAlign w:val="center"/>
                </w:tcPr>
                <w:p>
                  <w:pPr>
                    <w:jc w:val="center"/>
                    <w:rPr>
                      <w:rFonts w:hint="eastAsia" w:eastAsia="宋体"/>
                      <w:sz w:val="24"/>
                      <w:szCs w:val="24"/>
                      <w:lang w:eastAsia="zh-CN"/>
                    </w:rPr>
                  </w:pPr>
                  <w:r>
                    <w:rPr>
                      <w:rFonts w:hint="eastAsia"/>
                      <w:sz w:val="24"/>
                      <w:szCs w:val="24"/>
                      <w:lang w:eastAsia="zh-CN"/>
                    </w:rPr>
                    <w:t>总悬浮颗粒物</w:t>
                  </w:r>
                </w:p>
              </w:tc>
              <w:tc>
                <w:tcPr>
                  <w:tcW w:w="1199" w:type="pct"/>
                  <w:vMerge w:val="restart"/>
                  <w:noWrap w:val="0"/>
                  <w:vAlign w:val="center"/>
                </w:tcPr>
                <w:p>
                  <w:pPr>
                    <w:pStyle w:val="1075"/>
                    <w:spacing w:line="240" w:lineRule="auto"/>
                    <w:jc w:val="center"/>
                    <w:rPr>
                      <w:sz w:val="24"/>
                      <w:szCs w:val="24"/>
                    </w:rPr>
                  </w:pPr>
                  <w:r>
                    <w:rPr>
                      <w:rFonts w:hint="eastAsia" w:ascii="Times New Roman" w:hAnsi="Times New Roman" w:eastAsia="宋体" w:cs="Times New Roman"/>
                      <w:color w:val="000000"/>
                      <w:kern w:val="2"/>
                      <w:sz w:val="24"/>
                      <w:szCs w:val="24"/>
                      <w:highlight w:val="none"/>
                      <w:lang w:val="en-US" w:eastAsia="zh-CN" w:bidi="ar-SA"/>
                    </w:rPr>
                    <w:t>G</w:t>
                  </w:r>
                  <w:r>
                    <w:rPr>
                      <w:rFonts w:hint="eastAsia" w:ascii="Times New Roman" w:hAnsi="Times New Roman" w:cs="Times New Roman"/>
                      <w:color w:val="000000"/>
                      <w:kern w:val="2"/>
                      <w:sz w:val="24"/>
                      <w:szCs w:val="24"/>
                      <w:highlight w:val="none"/>
                      <w:lang w:val="en-US" w:eastAsia="zh-CN" w:bidi="ar-SA"/>
                    </w:rPr>
                    <w:t>1</w:t>
                  </w:r>
                  <w:r>
                    <w:rPr>
                      <w:rFonts w:hint="eastAsia" w:ascii="Times New Roman" w:hAnsi="Times New Roman" w:cs="Times New Roman"/>
                      <w:color w:val="000000"/>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bidi="ar-SA"/>
                    </w:rPr>
                    <w:t>对照点（上风向）</w:t>
                  </w:r>
                </w:p>
              </w:tc>
              <w:tc>
                <w:tcPr>
                  <w:tcW w:w="778" w:type="pct"/>
                  <w:vMerge w:val="restart"/>
                  <w:noWrap w:val="0"/>
                  <w:vAlign w:val="center"/>
                </w:tcPr>
                <w:p>
                  <w:pPr>
                    <w:jc w:val="center"/>
                    <w:rPr>
                      <w:rFonts w:hint="default" w:eastAsia="宋体"/>
                      <w:sz w:val="24"/>
                      <w:szCs w:val="24"/>
                      <w:lang w:val="en-US" w:eastAsia="zh-CN"/>
                    </w:rPr>
                  </w:pPr>
                  <w:r>
                    <w:rPr>
                      <w:rFonts w:hint="eastAsia" w:eastAsia="宋体"/>
                      <w:sz w:val="24"/>
                      <w:szCs w:val="24"/>
                      <w:lang w:val="en-US" w:eastAsia="zh-CN"/>
                    </w:rPr>
                    <w:t>202</w:t>
                  </w:r>
                  <w:r>
                    <w:rPr>
                      <w:rFonts w:hint="eastAsia"/>
                      <w:sz w:val="24"/>
                      <w:szCs w:val="24"/>
                      <w:lang w:val="en-US" w:eastAsia="zh-CN"/>
                    </w:rPr>
                    <w:t>3.07.19</w:t>
                  </w:r>
                </w:p>
              </w:tc>
              <w:tc>
                <w:tcPr>
                  <w:tcW w:w="865" w:type="pct"/>
                  <w:noWrap w:val="0"/>
                  <w:vAlign w:val="center"/>
                </w:tcPr>
                <w:p>
                  <w:pPr>
                    <w:spacing w:line="240" w:lineRule="auto"/>
                    <w:jc w:val="center"/>
                    <w:rPr>
                      <w:rFonts w:hint="default" w:ascii="Times New Roman" w:hAnsi="Times New Roman" w:eastAsia="宋体" w:cs="Times New Roman"/>
                      <w:spacing w:val="-9"/>
                      <w:kern w:val="2"/>
                      <w:sz w:val="24"/>
                      <w:szCs w:val="24"/>
                      <w:lang w:val="en-US" w:eastAsia="zh-CN" w:bidi="ar-SA"/>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9</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10</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30719M01</w:t>
                  </w:r>
                </w:p>
              </w:tc>
              <w:tc>
                <w:tcPr>
                  <w:tcW w:w="80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default" w:ascii="Times New Roman" w:hAnsi="Times New Roman" w:eastAsia="宋体" w:cs="Times New Roman"/>
                      <w:spacing w:val="-9"/>
                      <w:kern w:val="2"/>
                      <w:sz w:val="24"/>
                      <w:szCs w:val="24"/>
                      <w:lang w:val="en-US" w:eastAsia="zh-CN" w:bidi="ar-SA"/>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bidi="ar"/>
                    </w:rPr>
                  </w:pPr>
                  <w:r>
                    <w:rPr>
                      <w:rFonts w:hint="eastAsia" w:eastAsia="宋体"/>
                      <w:sz w:val="24"/>
                      <w:szCs w:val="24"/>
                      <w:lang w:val="en-US" w:eastAsia="zh-CN"/>
                    </w:rPr>
                    <w:t>Q2</w:t>
                  </w:r>
                  <w:r>
                    <w:rPr>
                      <w:rFonts w:hint="eastAsia"/>
                      <w:sz w:val="24"/>
                      <w:szCs w:val="24"/>
                      <w:lang w:val="en-US" w:eastAsia="zh-CN"/>
                    </w:rPr>
                    <w:t>30719M02</w:t>
                  </w:r>
                </w:p>
              </w:tc>
              <w:tc>
                <w:tcPr>
                  <w:tcW w:w="80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13:00~14:00</w:t>
                  </w:r>
                </w:p>
              </w:tc>
              <w:tc>
                <w:tcPr>
                  <w:tcW w:w="939"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30719M03</w:t>
                  </w:r>
                </w:p>
              </w:tc>
              <w:tc>
                <w:tcPr>
                  <w:tcW w:w="80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default" w:ascii="Times New Roman" w:hAnsi="Times New Roman" w:eastAsia="宋体" w:cs="Times New Roman"/>
                      <w:spacing w:val="-9"/>
                      <w:kern w:val="2"/>
                      <w:sz w:val="24"/>
                      <w:szCs w:val="24"/>
                      <w:lang w:val="en-US" w:eastAsia="zh-CN" w:bidi="ar-SA"/>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6</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bidi="ar"/>
                    </w:rPr>
                  </w:pPr>
                  <w:r>
                    <w:rPr>
                      <w:rFonts w:hint="eastAsia" w:eastAsia="宋体"/>
                      <w:sz w:val="24"/>
                      <w:szCs w:val="24"/>
                      <w:lang w:val="en-US" w:eastAsia="zh-CN"/>
                    </w:rPr>
                    <w:t>Q2</w:t>
                  </w:r>
                  <w:r>
                    <w:rPr>
                      <w:rFonts w:hint="eastAsia"/>
                      <w:sz w:val="24"/>
                      <w:szCs w:val="24"/>
                      <w:lang w:val="en-US" w:eastAsia="zh-CN"/>
                    </w:rPr>
                    <w:t>30719M04</w:t>
                  </w:r>
                </w:p>
              </w:tc>
              <w:tc>
                <w:tcPr>
                  <w:tcW w:w="80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1804" w:type="pct"/>
                  <w:gridSpan w:val="2"/>
                  <w:noWrap w:val="0"/>
                  <w:vAlign w:val="center"/>
                </w:tcPr>
                <w:p>
                  <w:pPr>
                    <w:spacing w:line="240" w:lineRule="atLeast"/>
                    <w:jc w:val="center"/>
                    <w:rPr>
                      <w:rFonts w:hint="eastAsia" w:eastAsia="宋体"/>
                      <w:sz w:val="24"/>
                      <w:szCs w:val="24"/>
                      <w:lang w:val="en-US" w:eastAsia="zh-CN"/>
                    </w:rPr>
                  </w:pPr>
                  <w:r>
                    <w:rPr>
                      <w:rFonts w:hint="eastAsia"/>
                      <w:sz w:val="24"/>
                      <w:szCs w:val="24"/>
                      <w:lang w:val="en-US" w:eastAsia="zh-CN"/>
                    </w:rPr>
                    <w:t>平均值</w:t>
                  </w:r>
                </w:p>
              </w:tc>
              <w:tc>
                <w:tcPr>
                  <w:tcW w:w="80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 average(F2:F5) \* MERGEFORMAT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0.228</w:t>
                  </w:r>
                  <w:r>
                    <w:rPr>
                      <w:rFonts w:hint="default" w:ascii="Times New Roman" w:hAnsi="Times New Roman" w:cs="Times New Roman"/>
                      <w:sz w:val="24"/>
                      <w:szCs w:val="24"/>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16" w:type="pct"/>
                  <w:vMerge w:val="continue"/>
                  <w:noWrap w:val="0"/>
                  <w:vAlign w:val="center"/>
                </w:tcPr>
                <w:p>
                  <w:pPr>
                    <w:jc w:val="center"/>
                    <w:rPr>
                      <w:rFonts w:hint="eastAsia"/>
                      <w:sz w:val="24"/>
                      <w:szCs w:val="24"/>
                    </w:rPr>
                  </w:pPr>
                </w:p>
              </w:tc>
              <w:tc>
                <w:tcPr>
                  <w:tcW w:w="1199" w:type="pct"/>
                  <w:vMerge w:val="restart"/>
                  <w:noWrap w:val="0"/>
                  <w:vAlign w:val="center"/>
                </w:tcPr>
                <w:p>
                  <w:pPr>
                    <w:pStyle w:val="1075"/>
                    <w:spacing w:line="240" w:lineRule="auto"/>
                    <w:jc w:val="center"/>
                    <w:rPr>
                      <w:rFonts w:hint="eastAsia"/>
                      <w:sz w:val="24"/>
                      <w:szCs w:val="24"/>
                    </w:rPr>
                  </w:pPr>
                  <w:r>
                    <w:rPr>
                      <w:rFonts w:hint="eastAsia" w:ascii="Times New Roman" w:hAnsi="Times New Roman" w:eastAsia="宋体" w:cs="Times New Roman"/>
                      <w:color w:val="000000"/>
                      <w:kern w:val="2"/>
                      <w:sz w:val="24"/>
                      <w:szCs w:val="24"/>
                      <w:highlight w:val="none"/>
                      <w:lang w:val="en-US" w:eastAsia="zh-CN" w:bidi="ar-SA"/>
                    </w:rPr>
                    <w:t>G2</w:t>
                  </w:r>
                  <w:r>
                    <w:rPr>
                      <w:rFonts w:hint="eastAsia" w:ascii="Times New Roman" w:hAnsi="Times New Roman" w:cs="Times New Roman"/>
                      <w:color w:val="000000"/>
                      <w:sz w:val="24"/>
                      <w:szCs w:val="24"/>
                      <w:highlight w:val="none"/>
                      <w:lang w:val="en-US" w:eastAsia="zh-CN"/>
                    </w:rPr>
                    <w:t>：监测点</w:t>
                  </w:r>
                  <w:r>
                    <w:rPr>
                      <w:rFonts w:hint="eastAsia" w:ascii="Times New Roman" w:hAnsi="Times New Roman" w:eastAsia="宋体" w:cs="Times New Roman"/>
                      <w:color w:val="000000"/>
                      <w:kern w:val="2"/>
                      <w:sz w:val="24"/>
                      <w:szCs w:val="24"/>
                      <w:highlight w:val="none"/>
                      <w:lang w:val="en-US" w:eastAsia="zh-CN" w:bidi="ar-SA"/>
                    </w:rPr>
                    <w:t>1#（下风向）</w:t>
                  </w: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9</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10</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30719M05</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30719M06</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13:00~14:00</w:t>
                  </w:r>
                </w:p>
              </w:tc>
              <w:tc>
                <w:tcPr>
                  <w:tcW w:w="939"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30719M07</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6</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30719M08</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1804" w:type="pct"/>
                  <w:gridSpan w:val="2"/>
                  <w:noWrap w:val="0"/>
                  <w:vAlign w:val="center"/>
                </w:tcPr>
                <w:p>
                  <w:pPr>
                    <w:spacing w:line="240" w:lineRule="atLeast"/>
                    <w:jc w:val="center"/>
                    <w:rPr>
                      <w:rFonts w:hint="default"/>
                      <w:sz w:val="24"/>
                      <w:szCs w:val="24"/>
                      <w:lang w:val="en-US" w:eastAsia="zh-CN"/>
                    </w:rPr>
                  </w:pPr>
                  <w:r>
                    <w:rPr>
                      <w:rFonts w:hint="eastAsia"/>
                      <w:sz w:val="24"/>
                      <w:szCs w:val="24"/>
                      <w:lang w:val="en-US" w:eastAsia="zh-CN"/>
                    </w:rPr>
                    <w:t>平均值</w:t>
                  </w:r>
                </w:p>
              </w:tc>
              <w:tc>
                <w:tcPr>
                  <w:tcW w:w="801" w:type="pct"/>
                  <w:noWrap w:val="0"/>
                  <w:vAlign w:val="center"/>
                </w:tcPr>
                <w:p>
                  <w:pPr>
                    <w:widowControl/>
                    <w:spacing w:line="240" w:lineRule="auto"/>
                    <w:jc w:val="center"/>
                    <w:rPr>
                      <w:rFonts w:hint="default" w:ascii="Times New Roman" w:hAnsi="Times New Roman" w:cs="Times New Roman"/>
                      <w:i w:val="0"/>
                      <w:color w:val="000000"/>
                      <w:kern w:val="0"/>
                      <w:sz w:val="24"/>
                      <w:szCs w:val="24"/>
                      <w:u w:val="none"/>
                      <w:lang w:val="en-US" w:eastAsia="zh-CN" w:bidi="ar"/>
                    </w:rPr>
                  </w:pPr>
                  <w:r>
                    <w:rPr>
                      <w:rFonts w:hint="eastAsia" w:ascii="Times New Roman" w:hAnsi="Times New Roman" w:cs="Times New Roman"/>
                      <w:i w:val="0"/>
                      <w:color w:val="000000"/>
                      <w:kern w:val="0"/>
                      <w:sz w:val="24"/>
                      <w:szCs w:val="24"/>
                      <w:u w:val="none"/>
                      <w:lang w:val="en-US" w:eastAsia="zh-CN" w:bidi="ar"/>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sz w:val="24"/>
                      <w:szCs w:val="24"/>
                    </w:rPr>
                  </w:pPr>
                </w:p>
              </w:tc>
              <w:tc>
                <w:tcPr>
                  <w:tcW w:w="1199" w:type="pct"/>
                  <w:vMerge w:val="restart"/>
                  <w:noWrap w:val="0"/>
                  <w:vAlign w:val="center"/>
                </w:tcPr>
                <w:p>
                  <w:pPr>
                    <w:pStyle w:val="1075"/>
                    <w:spacing w:line="240" w:lineRule="auto"/>
                    <w:jc w:val="center"/>
                    <w:rPr>
                      <w:rFonts w:hint="eastAsia"/>
                      <w:sz w:val="24"/>
                      <w:szCs w:val="24"/>
                    </w:rPr>
                  </w:pPr>
                  <w:r>
                    <w:rPr>
                      <w:rFonts w:hint="eastAsia" w:ascii="Times New Roman" w:hAnsi="Times New Roman" w:eastAsia="宋体" w:cs="Times New Roman"/>
                      <w:color w:val="000000"/>
                      <w:kern w:val="2"/>
                      <w:sz w:val="24"/>
                      <w:szCs w:val="24"/>
                      <w:highlight w:val="none"/>
                      <w:lang w:val="en-US" w:eastAsia="zh-CN" w:bidi="ar-SA"/>
                    </w:rPr>
                    <w:t>G3</w:t>
                  </w:r>
                  <w:r>
                    <w:rPr>
                      <w:rFonts w:hint="eastAsia" w:ascii="Times New Roman" w:hAnsi="Times New Roman" w:cs="Times New Roman"/>
                      <w:color w:val="000000"/>
                      <w:sz w:val="24"/>
                      <w:szCs w:val="24"/>
                      <w:highlight w:val="none"/>
                      <w:lang w:val="en-US" w:eastAsia="zh-CN"/>
                    </w:rPr>
                    <w:t>：监测点2</w:t>
                  </w:r>
                  <w:r>
                    <w:rPr>
                      <w:rFonts w:hint="eastAsia" w:ascii="Times New Roman" w:hAnsi="Times New Roman" w:eastAsia="宋体" w:cs="Times New Roman"/>
                      <w:color w:val="000000"/>
                      <w:kern w:val="2"/>
                      <w:sz w:val="24"/>
                      <w:szCs w:val="24"/>
                      <w:highlight w:val="none"/>
                      <w:lang w:val="en-US" w:eastAsia="zh-CN" w:bidi="ar-SA"/>
                    </w:rPr>
                    <w:t>#（下风向）</w:t>
                  </w: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9</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10</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30719M09</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30719M10</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13:00~14:00</w:t>
                  </w:r>
                </w:p>
              </w:tc>
              <w:tc>
                <w:tcPr>
                  <w:tcW w:w="939"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30719M11</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6</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30719M12</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1804" w:type="pct"/>
                  <w:gridSpan w:val="2"/>
                  <w:noWrap w:val="0"/>
                  <w:vAlign w:val="center"/>
                </w:tcPr>
                <w:p>
                  <w:pPr>
                    <w:spacing w:line="240" w:lineRule="atLeast"/>
                    <w:jc w:val="center"/>
                    <w:rPr>
                      <w:rFonts w:hint="eastAsia"/>
                      <w:sz w:val="24"/>
                      <w:szCs w:val="24"/>
                      <w:lang w:val="en-US" w:eastAsia="zh-CN"/>
                    </w:rPr>
                  </w:pPr>
                  <w:r>
                    <w:rPr>
                      <w:rFonts w:hint="eastAsia"/>
                      <w:sz w:val="24"/>
                      <w:szCs w:val="24"/>
                      <w:lang w:val="en-US" w:eastAsia="zh-CN"/>
                    </w:rPr>
                    <w:t>平均值</w:t>
                  </w:r>
                </w:p>
              </w:tc>
              <w:tc>
                <w:tcPr>
                  <w:tcW w:w="801" w:type="pct"/>
                  <w:noWrap w:val="0"/>
                  <w:vAlign w:val="center"/>
                </w:tcPr>
                <w:p>
                  <w:pPr>
                    <w:widowControl/>
                    <w:spacing w:line="240" w:lineRule="auto"/>
                    <w:jc w:val="center"/>
                    <w:rPr>
                      <w:rFonts w:hint="default" w:ascii="Times New Roman" w:hAnsi="Times New Roman" w:cs="Times New Roman"/>
                      <w:i w:val="0"/>
                      <w:color w:val="000000"/>
                      <w:kern w:val="0"/>
                      <w:sz w:val="24"/>
                      <w:szCs w:val="24"/>
                      <w:u w:val="none"/>
                      <w:lang w:val="en-US" w:eastAsia="zh-CN" w:bidi="ar"/>
                    </w:rPr>
                  </w:pPr>
                  <w:r>
                    <w:rPr>
                      <w:rFonts w:hint="default" w:ascii="Times New Roman" w:hAnsi="Times New Roman" w:cs="Times New Roman"/>
                      <w:i w:val="0"/>
                      <w:color w:val="000000"/>
                      <w:kern w:val="0"/>
                      <w:sz w:val="24"/>
                      <w:szCs w:val="24"/>
                      <w:u w:val="none"/>
                      <w:lang w:val="en-US" w:eastAsia="zh-CN" w:bidi="ar"/>
                    </w:rPr>
                    <w:fldChar w:fldCharType="begin"/>
                  </w:r>
                  <w:r>
                    <w:rPr>
                      <w:rFonts w:hint="default" w:ascii="Times New Roman" w:hAnsi="Times New Roman" w:cs="Times New Roman"/>
                      <w:i w:val="0"/>
                      <w:color w:val="000000"/>
                      <w:kern w:val="0"/>
                      <w:sz w:val="24"/>
                      <w:szCs w:val="24"/>
                      <w:u w:val="none"/>
                      <w:lang w:val="en-US" w:eastAsia="zh-CN" w:bidi="ar"/>
                    </w:rPr>
                    <w:instrText xml:space="preserve"> = average(F12:F15) \* MERGEFORMAT </w:instrText>
                  </w:r>
                  <w:r>
                    <w:rPr>
                      <w:rFonts w:hint="default" w:ascii="Times New Roman" w:hAnsi="Times New Roman" w:cs="Times New Roman"/>
                      <w:i w:val="0"/>
                      <w:color w:val="000000"/>
                      <w:kern w:val="0"/>
                      <w:sz w:val="24"/>
                      <w:szCs w:val="24"/>
                      <w:u w:val="none"/>
                      <w:lang w:val="en-US" w:eastAsia="zh-CN" w:bidi="ar"/>
                    </w:rPr>
                    <w:fldChar w:fldCharType="separate"/>
                  </w:r>
                  <w:r>
                    <w:rPr>
                      <w:rFonts w:hint="default" w:ascii="Times New Roman" w:hAnsi="Times New Roman" w:cs="Times New Roman"/>
                      <w:i w:val="0"/>
                      <w:color w:val="000000"/>
                      <w:kern w:val="0"/>
                      <w:sz w:val="24"/>
                      <w:szCs w:val="24"/>
                      <w:u w:val="none"/>
                      <w:lang w:val="en-US" w:eastAsia="zh-CN" w:bidi="ar"/>
                    </w:rPr>
                    <w:t>0.391</w:t>
                  </w:r>
                  <w:r>
                    <w:rPr>
                      <w:rFonts w:hint="default" w:ascii="Times New Roman" w:hAnsi="Times New Roman" w:cs="Times New Roman"/>
                      <w:i w:val="0"/>
                      <w:color w:val="000000"/>
                      <w:kern w:val="0"/>
                      <w:sz w:val="24"/>
                      <w:szCs w:val="24"/>
                      <w:u w:val="none"/>
                      <w:lang w:val="en-US" w:eastAsia="zh-CN"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restart"/>
                  <w:noWrap w:val="0"/>
                  <w:vAlign w:val="center"/>
                </w:tcPr>
                <w:p>
                  <w:pPr>
                    <w:pStyle w:val="1075"/>
                    <w:spacing w:line="240" w:lineRule="auto"/>
                    <w:jc w:val="center"/>
                    <w:rPr>
                      <w:rFonts w:hint="eastAsia"/>
                      <w:bCs/>
                      <w:sz w:val="24"/>
                      <w:szCs w:val="24"/>
                    </w:rPr>
                  </w:pPr>
                  <w:r>
                    <w:rPr>
                      <w:rFonts w:hint="eastAsia" w:ascii="Times New Roman" w:hAnsi="Times New Roman" w:eastAsia="宋体" w:cs="Times New Roman"/>
                      <w:color w:val="000000"/>
                      <w:kern w:val="2"/>
                      <w:sz w:val="24"/>
                      <w:szCs w:val="24"/>
                      <w:highlight w:val="none"/>
                      <w:lang w:val="en-US" w:eastAsia="zh-CN" w:bidi="ar-SA"/>
                    </w:rPr>
                    <w:t>G4</w:t>
                  </w:r>
                  <w:r>
                    <w:rPr>
                      <w:rFonts w:hint="eastAsia" w:ascii="Times New Roman" w:hAnsi="Times New Roman" w:cs="Times New Roman"/>
                      <w:color w:val="000000"/>
                      <w:sz w:val="24"/>
                      <w:szCs w:val="24"/>
                      <w:highlight w:val="none"/>
                      <w:lang w:val="en-US" w:eastAsia="zh-CN"/>
                    </w:rPr>
                    <w:t>：监测点3</w:t>
                  </w:r>
                  <w:r>
                    <w:rPr>
                      <w:rFonts w:hint="eastAsia" w:ascii="Times New Roman" w:hAnsi="Times New Roman" w:eastAsia="宋体" w:cs="Times New Roman"/>
                      <w:color w:val="000000"/>
                      <w:kern w:val="2"/>
                      <w:sz w:val="24"/>
                      <w:szCs w:val="24"/>
                      <w:highlight w:val="none"/>
                      <w:lang w:val="en-US" w:eastAsia="zh-CN" w:bidi="ar-SA"/>
                    </w:rPr>
                    <w:t>#（下风向）</w:t>
                  </w: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9</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10</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s="Times New Roman"/>
                      <w:i w:val="0"/>
                      <w:color w:val="000000"/>
                      <w:kern w:val="0"/>
                      <w:sz w:val="24"/>
                      <w:szCs w:val="24"/>
                      <w:u w:val="none"/>
                      <w:lang w:val="en-US" w:eastAsia="zh-CN" w:bidi="ar"/>
                    </w:rPr>
                  </w:pPr>
                  <w:r>
                    <w:rPr>
                      <w:rFonts w:hint="eastAsia" w:eastAsia="宋体"/>
                      <w:sz w:val="24"/>
                      <w:szCs w:val="24"/>
                      <w:lang w:val="en-US" w:eastAsia="zh-CN"/>
                    </w:rPr>
                    <w:t>Q2</w:t>
                  </w:r>
                  <w:r>
                    <w:rPr>
                      <w:rFonts w:hint="eastAsia"/>
                      <w:sz w:val="24"/>
                      <w:szCs w:val="24"/>
                      <w:lang w:val="en-US" w:eastAsia="zh-CN"/>
                    </w:rPr>
                    <w:t>30719M13</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s="Times New Roman"/>
                      <w:i w:val="0"/>
                      <w:color w:val="000000"/>
                      <w:kern w:val="0"/>
                      <w:sz w:val="24"/>
                      <w:szCs w:val="24"/>
                      <w:u w:val="none"/>
                      <w:lang w:val="en-US" w:eastAsia="zh-CN" w:bidi="ar"/>
                    </w:rPr>
                  </w:pPr>
                  <w:r>
                    <w:rPr>
                      <w:rFonts w:hint="eastAsia" w:eastAsia="宋体"/>
                      <w:sz w:val="24"/>
                      <w:szCs w:val="24"/>
                      <w:lang w:val="en-US" w:eastAsia="zh-CN"/>
                    </w:rPr>
                    <w:t>Q2</w:t>
                  </w:r>
                  <w:r>
                    <w:rPr>
                      <w:rFonts w:hint="eastAsia"/>
                      <w:sz w:val="24"/>
                      <w:szCs w:val="24"/>
                      <w:lang w:val="en-US" w:eastAsia="zh-CN"/>
                    </w:rPr>
                    <w:t>30719M14</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13:00~14:00</w:t>
                  </w:r>
                </w:p>
              </w:tc>
              <w:tc>
                <w:tcPr>
                  <w:tcW w:w="939"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30719M15</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865"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6</w:t>
                  </w:r>
                  <w:r>
                    <w:rPr>
                      <w:rFonts w:hint="eastAsia" w:eastAsia="宋体" w:cs="Times New Roman"/>
                      <w:color w:val="auto"/>
                      <w:sz w:val="24"/>
                      <w:szCs w:val="24"/>
                      <w:lang w:val="en-US" w:eastAsia="zh-CN"/>
                    </w:rPr>
                    <w:t>:00</w:t>
                  </w:r>
                </w:p>
              </w:tc>
              <w:tc>
                <w:tcPr>
                  <w:tcW w:w="939" w:type="pct"/>
                  <w:noWrap w:val="0"/>
                  <w:vAlign w:val="center"/>
                </w:tcPr>
                <w:p>
                  <w:pPr>
                    <w:spacing w:line="240" w:lineRule="atLeast"/>
                    <w:jc w:val="center"/>
                    <w:rPr>
                      <w:rFonts w:hint="default" w:cs="Times New Roman"/>
                      <w:i w:val="0"/>
                      <w:color w:val="000000"/>
                      <w:kern w:val="0"/>
                      <w:sz w:val="24"/>
                      <w:szCs w:val="24"/>
                      <w:u w:val="none"/>
                      <w:lang w:val="en-US" w:eastAsia="zh-CN" w:bidi="ar"/>
                    </w:rPr>
                  </w:pPr>
                  <w:r>
                    <w:rPr>
                      <w:rFonts w:hint="eastAsia" w:eastAsia="宋体"/>
                      <w:sz w:val="24"/>
                      <w:szCs w:val="24"/>
                      <w:lang w:val="en-US" w:eastAsia="zh-CN"/>
                    </w:rPr>
                    <w:t>Q2</w:t>
                  </w:r>
                  <w:r>
                    <w:rPr>
                      <w:rFonts w:hint="eastAsia"/>
                      <w:sz w:val="24"/>
                      <w:szCs w:val="24"/>
                      <w:lang w:val="en-US" w:eastAsia="zh-CN"/>
                    </w:rPr>
                    <w:t>30719M16</w:t>
                  </w:r>
                </w:p>
              </w:tc>
              <w:tc>
                <w:tcPr>
                  <w:tcW w:w="80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ascii="Times New Roman" w:hAnsi="Times New Roman" w:eastAsia="宋体" w:cs="Times New Roman"/>
                      <w:i w:val="0"/>
                      <w:color w:val="000000"/>
                      <w:kern w:val="0"/>
                      <w:sz w:val="24"/>
                      <w:szCs w:val="24"/>
                      <w:u w:val="none"/>
                      <w:lang w:val="en-US" w:eastAsia="zh-CN" w:bidi="ar"/>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noWrap w:val="0"/>
                  <w:vAlign w:val="center"/>
                </w:tcPr>
                <w:p>
                  <w:pPr>
                    <w:jc w:val="center"/>
                    <w:rPr>
                      <w:rFonts w:hint="eastAsia"/>
                      <w:bCs/>
                      <w:sz w:val="24"/>
                      <w:szCs w:val="24"/>
                    </w:rPr>
                  </w:pPr>
                </w:p>
              </w:tc>
              <w:tc>
                <w:tcPr>
                  <w:tcW w:w="1199" w:type="pct"/>
                  <w:vMerge w:val="continue"/>
                  <w:noWrap w:val="0"/>
                  <w:vAlign w:val="center"/>
                </w:tcPr>
                <w:p>
                  <w:pPr>
                    <w:jc w:val="center"/>
                    <w:rPr>
                      <w:rFonts w:hint="eastAsia"/>
                      <w:bCs/>
                      <w:sz w:val="24"/>
                      <w:szCs w:val="24"/>
                    </w:rPr>
                  </w:pPr>
                </w:p>
              </w:tc>
              <w:tc>
                <w:tcPr>
                  <w:tcW w:w="778" w:type="pct"/>
                  <w:vMerge w:val="continue"/>
                  <w:noWrap w:val="0"/>
                  <w:vAlign w:val="center"/>
                </w:tcPr>
                <w:p>
                  <w:pPr>
                    <w:jc w:val="center"/>
                    <w:rPr>
                      <w:rFonts w:hint="eastAsia"/>
                      <w:sz w:val="24"/>
                      <w:szCs w:val="24"/>
                    </w:rPr>
                  </w:pPr>
                </w:p>
              </w:tc>
              <w:tc>
                <w:tcPr>
                  <w:tcW w:w="1804" w:type="pct"/>
                  <w:gridSpan w:val="2"/>
                  <w:noWrap w:val="0"/>
                  <w:vAlign w:val="center"/>
                </w:tcPr>
                <w:p>
                  <w:pPr>
                    <w:spacing w:line="240" w:lineRule="atLeast"/>
                    <w:jc w:val="center"/>
                    <w:rPr>
                      <w:rFonts w:hint="eastAsia"/>
                      <w:sz w:val="24"/>
                      <w:szCs w:val="24"/>
                      <w:lang w:val="en-US" w:eastAsia="zh-CN"/>
                    </w:rPr>
                  </w:pPr>
                  <w:r>
                    <w:rPr>
                      <w:rFonts w:hint="eastAsia"/>
                      <w:sz w:val="24"/>
                      <w:szCs w:val="24"/>
                      <w:lang w:val="en-US" w:eastAsia="zh-CN"/>
                    </w:rPr>
                    <w:t>平均值</w:t>
                  </w:r>
                </w:p>
              </w:tc>
              <w:tc>
                <w:tcPr>
                  <w:tcW w:w="801" w:type="pct"/>
                  <w:noWrap w:val="0"/>
                  <w:vAlign w:val="center"/>
                </w:tcPr>
                <w:p>
                  <w:pPr>
                    <w:widowControl/>
                    <w:spacing w:line="240" w:lineRule="auto"/>
                    <w:jc w:val="center"/>
                    <w:rPr>
                      <w:rFonts w:hint="default" w:ascii="Times New Roman" w:hAnsi="Times New Roman" w:cs="Times New Roman"/>
                      <w:i w:val="0"/>
                      <w:color w:val="000000"/>
                      <w:kern w:val="0"/>
                      <w:sz w:val="24"/>
                      <w:szCs w:val="24"/>
                      <w:u w:val="none"/>
                      <w:lang w:val="en-US" w:eastAsia="zh-CN" w:bidi="ar"/>
                    </w:rPr>
                  </w:pPr>
                  <w:r>
                    <w:rPr>
                      <w:rFonts w:hint="eastAsia" w:ascii="Times New Roman" w:hAnsi="Times New Roman" w:cs="Times New Roman"/>
                      <w:i w:val="0"/>
                      <w:color w:val="000000"/>
                      <w:kern w:val="0"/>
                      <w:sz w:val="24"/>
                      <w:szCs w:val="24"/>
                      <w:u w:val="none"/>
                      <w:lang w:val="en-US" w:eastAsia="zh-CN" w:bidi="ar"/>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noWrap w:val="0"/>
                  <w:vAlign w:val="center"/>
                </w:tcPr>
                <w:p>
                  <w:pPr>
                    <w:jc w:val="center"/>
                    <w:rPr>
                      <w:rFonts w:hint="eastAsia" w:ascii="Times New Roman" w:hAnsi="Times New Roman" w:eastAsia="宋体" w:cs="Times New Roman"/>
                      <w:bCs/>
                      <w:kern w:val="2"/>
                      <w:sz w:val="24"/>
                      <w:szCs w:val="24"/>
                      <w:lang w:val="en-US" w:eastAsia="zh-CN" w:bidi="ar-SA"/>
                    </w:rPr>
                  </w:pPr>
                  <w:r>
                    <w:rPr>
                      <w:rFonts w:hint="eastAsia"/>
                      <w:bCs/>
                      <w:sz w:val="24"/>
                      <w:szCs w:val="24"/>
                      <w:lang w:eastAsia="zh-CN"/>
                    </w:rPr>
                    <w:t>备注</w:t>
                  </w:r>
                </w:p>
              </w:tc>
              <w:tc>
                <w:tcPr>
                  <w:tcW w:w="4583" w:type="pct"/>
                  <w:gridSpan w:val="5"/>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sz w:val="24"/>
                      <w:szCs w:val="24"/>
                      <w:lang w:val="en-US" w:eastAsia="zh-CN"/>
                    </w:rPr>
                    <w:t>执行标准：参考</w:t>
                  </w:r>
                  <w:r>
                    <w:rPr>
                      <w:rFonts w:hint="eastAsia" w:ascii="Times New Roman" w:hAnsi="Times New Roman" w:eastAsia="宋体" w:cs="Times New Roman"/>
                      <w:sz w:val="24"/>
                      <w:szCs w:val="24"/>
                      <w:lang w:val="en-US" w:eastAsia="zh-CN"/>
                    </w:rPr>
                    <w:t>《水泥工业大气污染物排放标准》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-2013</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表3限值，即</w:t>
                  </w:r>
                  <w:r>
                    <w:rPr>
                      <w:rFonts w:hint="eastAsia"/>
                      <w:sz w:val="24"/>
                      <w:szCs w:val="24"/>
                      <w:lang w:eastAsia="zh-CN"/>
                    </w:rPr>
                    <w:t>总悬浮颗粒物</w:t>
                  </w:r>
                  <w:r>
                    <w:rPr>
                      <w:rFonts w:hint="default" w:ascii="Times New Roman" w:hAnsi="Times New Roman" w:eastAsia="宋体" w:cs="Times New Roman"/>
                      <w:sz w:val="24"/>
                      <w:szCs w:val="24"/>
                      <w:lang w:val="en-US" w:eastAsia="zh-CN"/>
                    </w:rPr>
                    <w:t>≤0.5mg/m</w:t>
                  </w:r>
                  <w:r>
                    <w:rPr>
                      <w:rFonts w:hint="default" w:ascii="Times New Roman" w:hAnsi="Times New Roman" w:eastAsia="宋体" w:cs="Times New Roman"/>
                      <w:sz w:val="24"/>
                      <w:szCs w:val="24"/>
                      <w:vertAlign w:val="superscript"/>
                      <w:lang w:val="en-US" w:eastAsia="zh-CN"/>
                    </w:rPr>
                    <w:t>3</w:t>
                  </w:r>
                  <w:r>
                    <w:rPr>
                      <w:rFonts w:hint="eastAsia" w:eastAsiaTheme="minorEastAsia"/>
                      <w:sz w:val="24"/>
                      <w:szCs w:val="24"/>
                      <w:vertAlign w:val="baseline"/>
                      <w:lang w:eastAsia="zh-CN"/>
                    </w:rPr>
                    <w:t>。</w:t>
                  </w:r>
                </w:p>
              </w:tc>
            </w:tr>
          </w:tbl>
          <w:p>
            <w:pPr>
              <w:autoSpaceDE w:val="0"/>
              <w:autoSpaceDN w:val="0"/>
              <w:adjustRightInd w:val="0"/>
              <w:snapToGrid w:val="0"/>
              <w:spacing w:line="360" w:lineRule="auto"/>
              <w:ind w:firstLine="422" w:firstLineChars="200"/>
              <w:jc w:val="center"/>
              <w:rPr>
                <w:rFonts w:hint="eastAsia" w:ascii="Times New Roman" w:hAnsi="Times New Roman" w:eastAsia="宋体" w:cs="Times New Roman"/>
                <w:b/>
                <w:bCs w:val="0"/>
                <w:snapToGrid w:val="0"/>
                <w:color w:val="000000"/>
                <w:szCs w:val="28"/>
                <w:lang w:val="en-US" w:eastAsia="zh-CN"/>
              </w:rPr>
            </w:pPr>
          </w:p>
          <w:p>
            <w:pPr>
              <w:autoSpaceDE w:val="0"/>
              <w:autoSpaceDN w:val="0"/>
              <w:adjustRightInd w:val="0"/>
              <w:snapToGrid w:val="0"/>
              <w:spacing w:line="360" w:lineRule="auto"/>
              <w:ind w:firstLine="422" w:firstLineChars="200"/>
              <w:jc w:val="center"/>
              <w:rPr>
                <w:rFonts w:hint="default" w:ascii="Times New Roman" w:hAnsi="Times New Roman" w:eastAsia="宋体" w:cs="Times New Roman"/>
                <w:bCs/>
                <w:snapToGrid w:val="0"/>
                <w:color w:val="000000"/>
                <w:szCs w:val="28"/>
                <w:lang w:val="en-US" w:eastAsia="zh-CN"/>
              </w:rPr>
            </w:pPr>
            <w:r>
              <w:rPr>
                <w:rFonts w:hint="eastAsia" w:ascii="Times New Roman" w:hAnsi="Times New Roman" w:eastAsia="宋体" w:cs="Times New Roman"/>
                <w:b/>
                <w:bCs w:val="0"/>
                <w:snapToGrid w:val="0"/>
                <w:color w:val="000000"/>
                <w:szCs w:val="28"/>
                <w:lang w:val="en-US" w:eastAsia="zh-CN"/>
              </w:rPr>
              <w:t>表4-3厂界无组织废气检测结果</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714"/>
              <w:gridCol w:w="1296"/>
              <w:gridCol w:w="1440"/>
              <w:gridCol w:w="1563"/>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1" w:type="pct"/>
                  <w:noWrap w:val="0"/>
                  <w:vAlign w:val="center"/>
                </w:tcPr>
                <w:p>
                  <w:pPr>
                    <w:ind w:right="-101" w:rightChars="-48"/>
                    <w:jc w:val="center"/>
                    <w:rPr>
                      <w:rFonts w:hint="eastAsia"/>
                      <w:b w:val="0"/>
                      <w:bCs w:val="0"/>
                      <w:sz w:val="24"/>
                      <w:szCs w:val="24"/>
                      <w:lang w:eastAsia="zh-CN"/>
                    </w:rPr>
                  </w:pPr>
                  <w:r>
                    <w:rPr>
                      <w:rFonts w:hint="eastAsia"/>
                      <w:b w:val="0"/>
                      <w:bCs w:val="0"/>
                      <w:sz w:val="24"/>
                      <w:szCs w:val="24"/>
                      <w:lang w:eastAsia="zh-CN"/>
                    </w:rPr>
                    <w:t>检测</w:t>
                  </w:r>
                </w:p>
                <w:p>
                  <w:pPr>
                    <w:ind w:right="-101" w:rightChars="-48"/>
                    <w:jc w:val="center"/>
                    <w:rPr>
                      <w:rFonts w:hint="eastAsia"/>
                      <w:b w:val="0"/>
                      <w:bCs w:val="0"/>
                      <w:sz w:val="24"/>
                      <w:szCs w:val="24"/>
                      <w:lang w:eastAsia="zh-CN"/>
                    </w:rPr>
                  </w:pPr>
                  <w:r>
                    <w:rPr>
                      <w:rFonts w:hint="eastAsia"/>
                      <w:b w:val="0"/>
                      <w:bCs w:val="0"/>
                      <w:sz w:val="24"/>
                      <w:szCs w:val="24"/>
                      <w:lang w:eastAsia="zh-CN"/>
                    </w:rPr>
                    <w:t>项目</w:t>
                  </w:r>
                </w:p>
              </w:tc>
              <w:tc>
                <w:tcPr>
                  <w:tcW w:w="1094" w:type="pct"/>
                  <w:noWrap w:val="0"/>
                  <w:vAlign w:val="center"/>
                </w:tcPr>
                <w:p>
                  <w:pPr>
                    <w:ind w:right="-101" w:rightChars="-48"/>
                    <w:jc w:val="center"/>
                    <w:rPr>
                      <w:rFonts w:hint="eastAsia"/>
                      <w:b w:val="0"/>
                      <w:bCs w:val="0"/>
                      <w:sz w:val="24"/>
                      <w:szCs w:val="24"/>
                    </w:rPr>
                  </w:pPr>
                  <w:r>
                    <w:rPr>
                      <w:rFonts w:hint="eastAsia"/>
                      <w:b w:val="0"/>
                      <w:bCs w:val="0"/>
                      <w:sz w:val="24"/>
                      <w:szCs w:val="24"/>
                      <w:lang w:eastAsia="zh-CN"/>
                    </w:rPr>
                    <w:t>监测</w:t>
                  </w:r>
                  <w:r>
                    <w:rPr>
                      <w:rFonts w:hint="eastAsia"/>
                      <w:b w:val="0"/>
                      <w:bCs w:val="0"/>
                      <w:sz w:val="24"/>
                      <w:szCs w:val="24"/>
                    </w:rPr>
                    <w:t>点位</w:t>
                  </w:r>
                </w:p>
                <w:p>
                  <w:pPr>
                    <w:ind w:right="-101" w:rightChars="-48"/>
                    <w:jc w:val="center"/>
                    <w:rPr>
                      <w:rFonts w:hint="eastAsia"/>
                      <w:b w:val="0"/>
                      <w:bCs w:val="0"/>
                      <w:sz w:val="24"/>
                      <w:szCs w:val="24"/>
                    </w:rPr>
                  </w:pPr>
                  <w:r>
                    <w:rPr>
                      <w:rFonts w:hint="eastAsia"/>
                      <w:b w:val="0"/>
                      <w:bCs w:val="0"/>
                      <w:sz w:val="24"/>
                      <w:szCs w:val="24"/>
                      <w:lang w:eastAsia="zh-CN"/>
                    </w:rPr>
                    <w:t>（经纬度）</w:t>
                  </w:r>
                </w:p>
              </w:tc>
              <w:tc>
                <w:tcPr>
                  <w:tcW w:w="826" w:type="pct"/>
                  <w:noWrap w:val="0"/>
                  <w:vAlign w:val="center"/>
                </w:tcPr>
                <w:p>
                  <w:pPr>
                    <w:jc w:val="center"/>
                    <w:rPr>
                      <w:b w:val="0"/>
                      <w:bCs w:val="0"/>
                      <w:sz w:val="24"/>
                      <w:szCs w:val="24"/>
                    </w:rPr>
                  </w:pPr>
                  <w:r>
                    <w:rPr>
                      <w:b w:val="0"/>
                      <w:bCs w:val="0"/>
                      <w:sz w:val="24"/>
                      <w:szCs w:val="24"/>
                    </w:rPr>
                    <w:t>采样</w:t>
                  </w:r>
                  <w:r>
                    <w:rPr>
                      <w:rFonts w:hint="eastAsia"/>
                      <w:b w:val="0"/>
                      <w:bCs w:val="0"/>
                      <w:sz w:val="24"/>
                      <w:szCs w:val="24"/>
                    </w:rPr>
                    <w:t>日期</w:t>
                  </w:r>
                </w:p>
              </w:tc>
              <w:tc>
                <w:tcPr>
                  <w:tcW w:w="918" w:type="pct"/>
                  <w:noWrap w:val="0"/>
                  <w:vAlign w:val="center"/>
                </w:tcPr>
                <w:p>
                  <w:pPr>
                    <w:jc w:val="center"/>
                    <w:rPr>
                      <w:b w:val="0"/>
                      <w:bCs w:val="0"/>
                      <w:sz w:val="24"/>
                      <w:szCs w:val="24"/>
                    </w:rPr>
                  </w:pPr>
                  <w:r>
                    <w:rPr>
                      <w:rFonts w:hint="eastAsia"/>
                      <w:b w:val="0"/>
                      <w:bCs w:val="0"/>
                      <w:sz w:val="24"/>
                      <w:szCs w:val="24"/>
                    </w:rPr>
                    <w:t>采样时段</w:t>
                  </w:r>
                </w:p>
              </w:tc>
              <w:tc>
                <w:tcPr>
                  <w:tcW w:w="997" w:type="pct"/>
                  <w:noWrap w:val="0"/>
                  <w:vAlign w:val="center"/>
                </w:tcPr>
                <w:p>
                  <w:pPr>
                    <w:jc w:val="center"/>
                    <w:rPr>
                      <w:b w:val="0"/>
                      <w:bCs w:val="0"/>
                      <w:sz w:val="24"/>
                      <w:szCs w:val="24"/>
                    </w:rPr>
                  </w:pPr>
                  <w:r>
                    <w:rPr>
                      <w:rFonts w:hint="eastAsia"/>
                      <w:b w:val="0"/>
                      <w:bCs w:val="0"/>
                      <w:sz w:val="24"/>
                      <w:szCs w:val="24"/>
                      <w:lang w:eastAsia="zh-CN"/>
                    </w:rPr>
                    <w:t>样品</w:t>
                  </w:r>
                  <w:r>
                    <w:rPr>
                      <w:b w:val="0"/>
                      <w:bCs w:val="0"/>
                      <w:sz w:val="24"/>
                      <w:szCs w:val="24"/>
                    </w:rPr>
                    <w:t>编号</w:t>
                  </w:r>
                </w:p>
              </w:tc>
              <w:tc>
                <w:tcPr>
                  <w:tcW w:w="851" w:type="pct"/>
                  <w:noWrap w:val="0"/>
                  <w:vAlign w:val="center"/>
                </w:tcPr>
                <w:p>
                  <w:pPr>
                    <w:jc w:val="center"/>
                    <w:rPr>
                      <w:rFonts w:hint="eastAsia" w:cs="Times New Roman"/>
                      <w:b w:val="0"/>
                      <w:bCs w:val="0"/>
                      <w:sz w:val="24"/>
                      <w:szCs w:val="24"/>
                      <w:lang w:eastAsia="zh-CN"/>
                    </w:rPr>
                  </w:pPr>
                  <w:r>
                    <w:rPr>
                      <w:rFonts w:hint="eastAsia" w:cs="Times New Roman"/>
                      <w:b w:val="0"/>
                      <w:bCs w:val="0"/>
                      <w:sz w:val="24"/>
                      <w:szCs w:val="24"/>
                      <w:lang w:eastAsia="zh-CN"/>
                    </w:rPr>
                    <w:t>检测结果</w:t>
                  </w:r>
                </w:p>
                <w:p>
                  <w:pPr>
                    <w:jc w:val="center"/>
                    <w:rPr>
                      <w:rFonts w:hint="eastAsia" w:eastAsia="宋体" w:cs="Times New Roman"/>
                      <w:b w:val="0"/>
                      <w:bCs w:val="0"/>
                      <w:sz w:val="24"/>
                      <w:szCs w:val="24"/>
                      <w:lang w:eastAsia="zh-CN"/>
                    </w:rPr>
                  </w:pPr>
                  <w:r>
                    <w:rPr>
                      <w:rFonts w:eastAsia="宋体" w:cs="Times New Roman"/>
                      <w:b w:val="0"/>
                      <w:bCs w:val="0"/>
                      <w:sz w:val="24"/>
                      <w:szCs w:val="24"/>
                    </w:rPr>
                    <w:t>（mg/m</w:t>
                  </w:r>
                  <w:r>
                    <w:rPr>
                      <w:rFonts w:eastAsia="宋体" w:cs="Times New Roman"/>
                      <w:b w:val="0"/>
                      <w:bCs w:val="0"/>
                      <w:sz w:val="24"/>
                      <w:szCs w:val="24"/>
                      <w:vertAlign w:val="superscript"/>
                    </w:rPr>
                    <w:t>3</w:t>
                  </w:r>
                  <w:r>
                    <w:rPr>
                      <w:rFonts w:eastAsia="宋体" w:cs="Times New Roman"/>
                      <w:b w:val="0"/>
                      <w:bCs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restart"/>
                  <w:noWrap w:val="0"/>
                  <w:vAlign w:val="center"/>
                </w:tcPr>
                <w:p>
                  <w:pPr>
                    <w:jc w:val="center"/>
                    <w:rPr>
                      <w:rFonts w:hint="eastAsia" w:eastAsia="宋体"/>
                      <w:sz w:val="24"/>
                      <w:szCs w:val="24"/>
                      <w:lang w:eastAsia="zh-CN"/>
                    </w:rPr>
                  </w:pPr>
                  <w:r>
                    <w:rPr>
                      <w:rFonts w:hint="eastAsia"/>
                      <w:sz w:val="24"/>
                      <w:szCs w:val="24"/>
                      <w:lang w:eastAsia="zh-CN"/>
                    </w:rPr>
                    <w:t>总悬浮颗粒物</w:t>
                  </w:r>
                </w:p>
              </w:tc>
              <w:tc>
                <w:tcPr>
                  <w:tcW w:w="1094" w:type="pct"/>
                  <w:vMerge w:val="restart"/>
                  <w:noWrap w:val="0"/>
                  <w:vAlign w:val="center"/>
                </w:tcPr>
                <w:p>
                  <w:pPr>
                    <w:pStyle w:val="1075"/>
                    <w:spacing w:line="240" w:lineRule="auto"/>
                    <w:jc w:val="center"/>
                    <w:rPr>
                      <w:sz w:val="24"/>
                      <w:szCs w:val="24"/>
                    </w:rPr>
                  </w:pPr>
                  <w:r>
                    <w:rPr>
                      <w:rFonts w:hint="eastAsia" w:ascii="Times New Roman" w:hAnsi="Times New Roman" w:eastAsia="宋体" w:cs="Times New Roman"/>
                      <w:color w:val="000000"/>
                      <w:kern w:val="2"/>
                      <w:sz w:val="24"/>
                      <w:szCs w:val="24"/>
                      <w:highlight w:val="none"/>
                      <w:lang w:val="en-US" w:eastAsia="zh-CN" w:bidi="ar-SA"/>
                    </w:rPr>
                    <w:t>G</w:t>
                  </w:r>
                  <w:r>
                    <w:rPr>
                      <w:rFonts w:hint="eastAsia" w:ascii="Times New Roman" w:hAnsi="Times New Roman" w:cs="Times New Roman"/>
                      <w:color w:val="000000"/>
                      <w:kern w:val="2"/>
                      <w:sz w:val="24"/>
                      <w:szCs w:val="24"/>
                      <w:highlight w:val="none"/>
                      <w:lang w:val="en-US" w:eastAsia="zh-CN" w:bidi="ar-SA"/>
                    </w:rPr>
                    <w:t>1</w:t>
                  </w:r>
                  <w:r>
                    <w:rPr>
                      <w:rFonts w:hint="eastAsia" w:ascii="Times New Roman" w:hAnsi="Times New Roman" w:cs="Times New Roman"/>
                      <w:color w:val="000000"/>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bidi="ar-SA"/>
                    </w:rPr>
                    <w:t>对照点（上风向）</w:t>
                  </w:r>
                </w:p>
              </w:tc>
              <w:tc>
                <w:tcPr>
                  <w:tcW w:w="826" w:type="pct"/>
                  <w:vMerge w:val="restart"/>
                  <w:noWrap w:val="0"/>
                  <w:vAlign w:val="center"/>
                </w:tcPr>
                <w:p>
                  <w:pPr>
                    <w:jc w:val="center"/>
                    <w:rPr>
                      <w:rFonts w:hint="default" w:eastAsia="宋体"/>
                      <w:sz w:val="24"/>
                      <w:szCs w:val="24"/>
                      <w:lang w:val="en-US" w:eastAsia="zh-CN"/>
                    </w:rPr>
                  </w:pPr>
                  <w:r>
                    <w:rPr>
                      <w:rFonts w:hint="eastAsia" w:eastAsia="宋体"/>
                      <w:sz w:val="24"/>
                      <w:szCs w:val="24"/>
                      <w:lang w:val="en-US" w:eastAsia="zh-CN"/>
                    </w:rPr>
                    <w:t>202</w:t>
                  </w:r>
                  <w:r>
                    <w:rPr>
                      <w:rFonts w:hint="eastAsia"/>
                      <w:sz w:val="24"/>
                      <w:szCs w:val="24"/>
                      <w:lang w:val="en-US" w:eastAsia="zh-CN"/>
                    </w:rPr>
                    <w:t>3.07.20</w:t>
                  </w:r>
                </w:p>
              </w:tc>
              <w:tc>
                <w:tcPr>
                  <w:tcW w:w="918" w:type="pct"/>
                  <w:noWrap w:val="0"/>
                  <w:vAlign w:val="center"/>
                </w:tcPr>
                <w:p>
                  <w:pPr>
                    <w:spacing w:line="240" w:lineRule="auto"/>
                    <w:jc w:val="center"/>
                    <w:rPr>
                      <w:rFonts w:hint="default" w:ascii="Times New Roman" w:hAnsi="Times New Roman" w:eastAsia="宋体" w:cs="Times New Roman"/>
                      <w:spacing w:val="-9"/>
                      <w:kern w:val="2"/>
                      <w:sz w:val="24"/>
                      <w:szCs w:val="24"/>
                      <w:lang w:val="en-US" w:eastAsia="zh-CN" w:bidi="ar-SA"/>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8</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09</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30720M01</w:t>
                  </w:r>
                </w:p>
              </w:tc>
              <w:tc>
                <w:tcPr>
                  <w:tcW w:w="85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cs="Times New Roman"/>
                      <w:sz w:val="24"/>
                      <w:szCs w:val="24"/>
                      <w:lang w:val="en-US" w:eastAsia="zh-CN"/>
                    </w:rPr>
                    <w:t>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default" w:ascii="Times New Roman" w:hAnsi="Times New Roman" w:eastAsia="宋体" w:cs="Times New Roman"/>
                      <w:spacing w:val="-9"/>
                      <w:kern w:val="2"/>
                      <w:sz w:val="24"/>
                      <w:szCs w:val="24"/>
                      <w:lang w:val="en-US" w:eastAsia="zh-CN" w:bidi="ar-SA"/>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0</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bidi="ar"/>
                    </w:rPr>
                  </w:pPr>
                  <w:r>
                    <w:rPr>
                      <w:rFonts w:hint="eastAsia" w:eastAsia="宋体"/>
                      <w:sz w:val="24"/>
                      <w:szCs w:val="24"/>
                      <w:lang w:val="en-US" w:eastAsia="zh-CN"/>
                    </w:rPr>
                    <w:t>Q2</w:t>
                  </w:r>
                  <w:r>
                    <w:rPr>
                      <w:rFonts w:hint="eastAsia"/>
                      <w:sz w:val="24"/>
                      <w:szCs w:val="24"/>
                      <w:lang w:val="en-US" w:eastAsia="zh-CN"/>
                    </w:rPr>
                    <w:t>30720M02</w:t>
                  </w:r>
                </w:p>
              </w:tc>
              <w:tc>
                <w:tcPr>
                  <w:tcW w:w="85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cs="Times New Roman"/>
                      <w:sz w:val="24"/>
                      <w:szCs w:val="24"/>
                      <w:lang w:val="en-US" w:eastAsia="zh-CN"/>
                    </w:rPr>
                    <w:t>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3</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30720M03</w:t>
                  </w:r>
                </w:p>
              </w:tc>
              <w:tc>
                <w:tcPr>
                  <w:tcW w:w="85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cs="Times New Roman"/>
                      <w:sz w:val="24"/>
                      <w:szCs w:val="24"/>
                      <w:lang w:val="en-US" w:eastAsia="zh-CN"/>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default" w:ascii="Times New Roman" w:hAnsi="Times New Roman" w:eastAsia="宋体" w:cs="Times New Roman"/>
                      <w:spacing w:val="-9"/>
                      <w:kern w:val="2"/>
                      <w:sz w:val="24"/>
                      <w:szCs w:val="24"/>
                      <w:lang w:val="en-US" w:eastAsia="zh-CN" w:bidi="ar-SA"/>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4</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bidi="ar"/>
                    </w:rPr>
                  </w:pPr>
                  <w:r>
                    <w:rPr>
                      <w:rFonts w:hint="eastAsia" w:eastAsia="宋体"/>
                      <w:sz w:val="24"/>
                      <w:szCs w:val="24"/>
                      <w:lang w:val="en-US" w:eastAsia="zh-CN"/>
                    </w:rPr>
                    <w:t>Q2</w:t>
                  </w:r>
                  <w:r>
                    <w:rPr>
                      <w:rFonts w:hint="eastAsia"/>
                      <w:sz w:val="24"/>
                      <w:szCs w:val="24"/>
                      <w:lang w:val="en-US" w:eastAsia="zh-CN"/>
                    </w:rPr>
                    <w:t>30720M04</w:t>
                  </w:r>
                </w:p>
              </w:tc>
              <w:tc>
                <w:tcPr>
                  <w:tcW w:w="85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eastAsia" w:cs="Times New Roman"/>
                      <w:sz w:val="24"/>
                      <w:szCs w:val="24"/>
                      <w:lang w:val="en-US" w:eastAsia="zh-CN"/>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1915" w:type="pct"/>
                  <w:gridSpan w:val="2"/>
                  <w:noWrap w:val="0"/>
                  <w:vAlign w:val="center"/>
                </w:tcPr>
                <w:p>
                  <w:pPr>
                    <w:spacing w:line="240" w:lineRule="atLeast"/>
                    <w:jc w:val="center"/>
                    <w:rPr>
                      <w:rFonts w:hint="eastAsia" w:eastAsia="宋体"/>
                      <w:sz w:val="24"/>
                      <w:szCs w:val="24"/>
                      <w:lang w:val="en-US" w:eastAsia="zh-CN"/>
                    </w:rPr>
                  </w:pPr>
                  <w:r>
                    <w:rPr>
                      <w:rFonts w:hint="eastAsia"/>
                      <w:sz w:val="24"/>
                      <w:szCs w:val="24"/>
                      <w:lang w:val="en-US" w:eastAsia="zh-CN"/>
                    </w:rPr>
                    <w:t>平均值</w:t>
                  </w:r>
                </w:p>
              </w:tc>
              <w:tc>
                <w:tcPr>
                  <w:tcW w:w="851" w:type="pct"/>
                  <w:noWrap w:val="0"/>
                  <w:vAlign w:val="center"/>
                </w:tcPr>
                <w:p>
                  <w:pPr>
                    <w:widowControl/>
                    <w:spacing w:line="24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 average(F2:F5) \* MERGEFORMAT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0.225</w:t>
                  </w:r>
                  <w:r>
                    <w:rPr>
                      <w:rFonts w:hint="default" w:ascii="Times New Roman" w:hAnsi="Times New Roman" w:cs="Times New Roman"/>
                      <w:sz w:val="24"/>
                      <w:szCs w:val="24"/>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sz w:val="24"/>
                      <w:szCs w:val="24"/>
                    </w:rPr>
                  </w:pPr>
                </w:p>
              </w:tc>
              <w:tc>
                <w:tcPr>
                  <w:tcW w:w="1094" w:type="pct"/>
                  <w:vMerge w:val="restart"/>
                  <w:noWrap w:val="0"/>
                  <w:vAlign w:val="center"/>
                </w:tcPr>
                <w:p>
                  <w:pPr>
                    <w:pStyle w:val="1075"/>
                    <w:spacing w:line="240" w:lineRule="auto"/>
                    <w:jc w:val="center"/>
                    <w:rPr>
                      <w:rFonts w:hint="eastAsia"/>
                      <w:sz w:val="24"/>
                      <w:szCs w:val="24"/>
                    </w:rPr>
                  </w:pPr>
                  <w:r>
                    <w:rPr>
                      <w:rFonts w:hint="eastAsia" w:ascii="Times New Roman" w:hAnsi="Times New Roman" w:eastAsia="宋体" w:cs="Times New Roman"/>
                      <w:color w:val="000000"/>
                      <w:kern w:val="2"/>
                      <w:sz w:val="24"/>
                      <w:szCs w:val="24"/>
                      <w:highlight w:val="none"/>
                      <w:lang w:val="en-US" w:eastAsia="zh-CN" w:bidi="ar-SA"/>
                    </w:rPr>
                    <w:t>G2</w:t>
                  </w:r>
                  <w:r>
                    <w:rPr>
                      <w:rFonts w:hint="eastAsia" w:ascii="Times New Roman" w:hAnsi="Times New Roman" w:cs="Times New Roman"/>
                      <w:color w:val="000000"/>
                      <w:sz w:val="24"/>
                      <w:szCs w:val="24"/>
                      <w:highlight w:val="none"/>
                      <w:lang w:val="en-US" w:eastAsia="zh-CN"/>
                    </w:rPr>
                    <w:t>：监测点</w:t>
                  </w:r>
                  <w:r>
                    <w:rPr>
                      <w:rFonts w:hint="eastAsia" w:ascii="Times New Roman" w:hAnsi="Times New Roman" w:eastAsia="宋体" w:cs="Times New Roman"/>
                      <w:color w:val="000000"/>
                      <w:kern w:val="2"/>
                      <w:sz w:val="24"/>
                      <w:szCs w:val="24"/>
                      <w:highlight w:val="none"/>
                      <w:lang w:val="en-US" w:eastAsia="zh-CN" w:bidi="ar-SA"/>
                    </w:rPr>
                    <w:t>1#（下风向）</w:t>
                  </w: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8</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09</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30720M05</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0</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30720M06</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3</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30720M07</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4</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30720M08</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1915" w:type="pct"/>
                  <w:gridSpan w:val="2"/>
                  <w:noWrap w:val="0"/>
                  <w:vAlign w:val="center"/>
                </w:tcPr>
                <w:p>
                  <w:pPr>
                    <w:spacing w:line="240" w:lineRule="atLeast"/>
                    <w:jc w:val="center"/>
                    <w:rPr>
                      <w:rFonts w:hint="default"/>
                      <w:sz w:val="24"/>
                      <w:szCs w:val="24"/>
                      <w:lang w:val="en-US" w:eastAsia="zh-CN"/>
                    </w:rPr>
                  </w:pPr>
                  <w:r>
                    <w:rPr>
                      <w:rFonts w:hint="eastAsia"/>
                      <w:sz w:val="24"/>
                      <w:szCs w:val="24"/>
                      <w:lang w:val="en-US" w:eastAsia="zh-CN"/>
                    </w:rPr>
                    <w:t>平均值</w:t>
                  </w:r>
                </w:p>
              </w:tc>
              <w:tc>
                <w:tcPr>
                  <w:tcW w:w="851" w:type="pct"/>
                  <w:noWrap w:val="0"/>
                  <w:vAlign w:val="center"/>
                </w:tcPr>
                <w:p>
                  <w:pPr>
                    <w:widowControl/>
                    <w:spacing w:line="240" w:lineRule="auto"/>
                    <w:jc w:val="center"/>
                    <w:rPr>
                      <w:rFonts w:hint="default" w:ascii="Times New Roman" w:hAnsi="Times New Roman"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sz w:val="24"/>
                      <w:szCs w:val="24"/>
                    </w:rPr>
                  </w:pPr>
                </w:p>
              </w:tc>
              <w:tc>
                <w:tcPr>
                  <w:tcW w:w="1094" w:type="pct"/>
                  <w:vMerge w:val="restart"/>
                  <w:noWrap w:val="0"/>
                  <w:vAlign w:val="center"/>
                </w:tcPr>
                <w:p>
                  <w:pPr>
                    <w:pStyle w:val="1075"/>
                    <w:spacing w:line="240" w:lineRule="auto"/>
                    <w:jc w:val="center"/>
                    <w:rPr>
                      <w:rFonts w:hint="eastAsia"/>
                      <w:sz w:val="24"/>
                      <w:szCs w:val="24"/>
                    </w:rPr>
                  </w:pPr>
                  <w:r>
                    <w:rPr>
                      <w:rFonts w:hint="eastAsia" w:ascii="Times New Roman" w:hAnsi="Times New Roman" w:eastAsia="宋体" w:cs="Times New Roman"/>
                      <w:color w:val="000000"/>
                      <w:kern w:val="2"/>
                      <w:sz w:val="24"/>
                      <w:szCs w:val="24"/>
                      <w:highlight w:val="none"/>
                      <w:lang w:val="en-US" w:eastAsia="zh-CN" w:bidi="ar-SA"/>
                    </w:rPr>
                    <w:t>G3</w:t>
                  </w:r>
                  <w:r>
                    <w:rPr>
                      <w:rFonts w:hint="eastAsia" w:ascii="Times New Roman" w:hAnsi="Times New Roman" w:cs="Times New Roman"/>
                      <w:color w:val="000000"/>
                      <w:sz w:val="24"/>
                      <w:szCs w:val="24"/>
                      <w:highlight w:val="none"/>
                      <w:lang w:val="en-US" w:eastAsia="zh-CN"/>
                    </w:rPr>
                    <w:t>：监测点2</w:t>
                  </w:r>
                  <w:r>
                    <w:rPr>
                      <w:rFonts w:hint="eastAsia" w:ascii="Times New Roman" w:hAnsi="Times New Roman" w:eastAsia="宋体" w:cs="Times New Roman"/>
                      <w:color w:val="000000"/>
                      <w:kern w:val="2"/>
                      <w:sz w:val="24"/>
                      <w:szCs w:val="24"/>
                      <w:highlight w:val="none"/>
                      <w:lang w:val="en-US" w:eastAsia="zh-CN" w:bidi="ar-SA"/>
                    </w:rPr>
                    <w:t>#（下风向）</w:t>
                  </w: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8</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09</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30720M09</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0</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30720M10</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3</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30720M11</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4</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olor w:val="000000"/>
                      <w:kern w:val="0"/>
                      <w:sz w:val="24"/>
                      <w:szCs w:val="24"/>
                      <w:lang w:val="en-US" w:eastAsia="zh-CN" w:bidi="ar"/>
                    </w:rPr>
                  </w:pPr>
                  <w:r>
                    <w:rPr>
                      <w:rFonts w:hint="eastAsia" w:eastAsia="宋体"/>
                      <w:sz w:val="24"/>
                      <w:szCs w:val="24"/>
                      <w:lang w:val="en-US" w:eastAsia="zh-CN"/>
                    </w:rPr>
                    <w:t>Q2</w:t>
                  </w:r>
                  <w:r>
                    <w:rPr>
                      <w:rFonts w:hint="eastAsia"/>
                      <w:sz w:val="24"/>
                      <w:szCs w:val="24"/>
                      <w:lang w:val="en-US" w:eastAsia="zh-CN"/>
                    </w:rPr>
                    <w:t>30720M12</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1915" w:type="pct"/>
                  <w:gridSpan w:val="2"/>
                  <w:noWrap w:val="0"/>
                  <w:vAlign w:val="center"/>
                </w:tcPr>
                <w:p>
                  <w:pPr>
                    <w:spacing w:line="240" w:lineRule="atLeast"/>
                    <w:jc w:val="center"/>
                    <w:rPr>
                      <w:rFonts w:hint="eastAsia"/>
                      <w:sz w:val="24"/>
                      <w:szCs w:val="24"/>
                      <w:lang w:val="en-US" w:eastAsia="zh-CN"/>
                    </w:rPr>
                  </w:pPr>
                  <w:r>
                    <w:rPr>
                      <w:rFonts w:hint="eastAsia"/>
                      <w:sz w:val="24"/>
                      <w:szCs w:val="24"/>
                      <w:lang w:val="en-US" w:eastAsia="zh-CN"/>
                    </w:rPr>
                    <w:t>平均值</w:t>
                  </w:r>
                </w:p>
              </w:tc>
              <w:tc>
                <w:tcPr>
                  <w:tcW w:w="851" w:type="pct"/>
                  <w:noWrap w:val="0"/>
                  <w:vAlign w:val="center"/>
                </w:tcPr>
                <w:p>
                  <w:pPr>
                    <w:widowControl/>
                    <w:spacing w:line="240" w:lineRule="auto"/>
                    <w:jc w:val="center"/>
                    <w:rPr>
                      <w:rFonts w:hint="default" w:ascii="Times New Roman" w:hAnsi="Times New Roman"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restart"/>
                  <w:noWrap w:val="0"/>
                  <w:vAlign w:val="center"/>
                </w:tcPr>
                <w:p>
                  <w:pPr>
                    <w:pStyle w:val="1075"/>
                    <w:spacing w:line="240" w:lineRule="auto"/>
                    <w:jc w:val="center"/>
                    <w:rPr>
                      <w:rFonts w:hint="eastAsia"/>
                      <w:bCs/>
                      <w:sz w:val="24"/>
                      <w:szCs w:val="24"/>
                    </w:rPr>
                  </w:pPr>
                  <w:r>
                    <w:rPr>
                      <w:rFonts w:hint="eastAsia" w:ascii="Times New Roman" w:hAnsi="Times New Roman" w:eastAsia="宋体" w:cs="Times New Roman"/>
                      <w:color w:val="000000"/>
                      <w:kern w:val="2"/>
                      <w:sz w:val="24"/>
                      <w:szCs w:val="24"/>
                      <w:highlight w:val="none"/>
                      <w:lang w:val="en-US" w:eastAsia="zh-CN" w:bidi="ar-SA"/>
                    </w:rPr>
                    <w:t>G4</w:t>
                  </w:r>
                  <w:r>
                    <w:rPr>
                      <w:rFonts w:hint="eastAsia" w:ascii="Times New Roman" w:hAnsi="Times New Roman" w:cs="Times New Roman"/>
                      <w:color w:val="000000"/>
                      <w:sz w:val="24"/>
                      <w:szCs w:val="24"/>
                      <w:highlight w:val="none"/>
                      <w:lang w:val="en-US" w:eastAsia="zh-CN"/>
                    </w:rPr>
                    <w:t>：监测点3</w:t>
                  </w:r>
                  <w:r>
                    <w:rPr>
                      <w:rFonts w:hint="eastAsia" w:ascii="Times New Roman" w:hAnsi="Times New Roman" w:eastAsia="宋体" w:cs="Times New Roman"/>
                      <w:color w:val="000000"/>
                      <w:kern w:val="2"/>
                      <w:sz w:val="24"/>
                      <w:szCs w:val="24"/>
                      <w:highlight w:val="none"/>
                      <w:lang w:val="en-US" w:eastAsia="zh-CN" w:bidi="ar-SA"/>
                    </w:rPr>
                    <w:t>#（下风向）</w:t>
                  </w: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0</w:t>
                  </w:r>
                  <w:r>
                    <w:rPr>
                      <w:rFonts w:hint="eastAsia" w:cs="Times New Roman"/>
                      <w:color w:val="auto"/>
                      <w:sz w:val="24"/>
                      <w:szCs w:val="24"/>
                      <w:lang w:val="en-US" w:eastAsia="zh-CN"/>
                    </w:rPr>
                    <w:t>8</w:t>
                  </w:r>
                  <w:r>
                    <w:rPr>
                      <w:rFonts w:hint="eastAsia" w:eastAsia="宋体" w:cs="Times New Roman"/>
                      <w:color w:val="auto"/>
                      <w:sz w:val="24"/>
                      <w:szCs w:val="24"/>
                      <w:lang w:val="en-US" w:eastAsia="zh-CN"/>
                    </w:rPr>
                    <w:t>:00~</w:t>
                  </w:r>
                  <w:r>
                    <w:rPr>
                      <w:rFonts w:hint="eastAsia" w:cs="Times New Roman"/>
                      <w:color w:val="auto"/>
                      <w:sz w:val="24"/>
                      <w:szCs w:val="24"/>
                      <w:lang w:val="en-US" w:eastAsia="zh-CN"/>
                    </w:rPr>
                    <w:t>09</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s="Times New Roman"/>
                      <w:i w:val="0"/>
                      <w:color w:val="000000"/>
                      <w:kern w:val="0"/>
                      <w:sz w:val="24"/>
                      <w:szCs w:val="24"/>
                      <w:u w:val="none"/>
                      <w:lang w:val="en-US" w:eastAsia="zh-CN" w:bidi="ar"/>
                    </w:rPr>
                  </w:pPr>
                  <w:r>
                    <w:rPr>
                      <w:rFonts w:hint="eastAsia" w:eastAsia="宋体"/>
                      <w:sz w:val="24"/>
                      <w:szCs w:val="24"/>
                      <w:lang w:val="en-US" w:eastAsia="zh-CN"/>
                    </w:rPr>
                    <w:t>Q2</w:t>
                  </w:r>
                  <w:r>
                    <w:rPr>
                      <w:rFonts w:hint="eastAsia"/>
                      <w:sz w:val="24"/>
                      <w:szCs w:val="24"/>
                      <w:lang w:val="en-US" w:eastAsia="zh-CN"/>
                    </w:rPr>
                    <w:t>30720M13</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0</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1</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s="Times New Roman"/>
                      <w:i w:val="0"/>
                      <w:color w:val="000000"/>
                      <w:kern w:val="0"/>
                      <w:sz w:val="24"/>
                      <w:szCs w:val="24"/>
                      <w:u w:val="none"/>
                      <w:lang w:val="en-US" w:eastAsia="zh-CN" w:bidi="ar"/>
                    </w:rPr>
                  </w:pPr>
                  <w:r>
                    <w:rPr>
                      <w:rFonts w:hint="eastAsia" w:eastAsia="宋体"/>
                      <w:sz w:val="24"/>
                      <w:szCs w:val="24"/>
                      <w:lang w:val="en-US" w:eastAsia="zh-CN"/>
                    </w:rPr>
                    <w:t>Q2</w:t>
                  </w:r>
                  <w:r>
                    <w:rPr>
                      <w:rFonts w:hint="eastAsia"/>
                      <w:sz w:val="24"/>
                      <w:szCs w:val="24"/>
                      <w:lang w:val="en-US" w:eastAsia="zh-CN"/>
                    </w:rPr>
                    <w:t>30720M14</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2</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3</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eastAsia="宋体"/>
                      <w:sz w:val="24"/>
                      <w:szCs w:val="24"/>
                      <w:lang w:val="en-US" w:eastAsia="zh-CN"/>
                    </w:rPr>
                  </w:pPr>
                  <w:r>
                    <w:rPr>
                      <w:rFonts w:hint="eastAsia" w:eastAsia="宋体"/>
                      <w:sz w:val="24"/>
                      <w:szCs w:val="24"/>
                      <w:lang w:val="en-US" w:eastAsia="zh-CN"/>
                    </w:rPr>
                    <w:t>Q2</w:t>
                  </w:r>
                  <w:r>
                    <w:rPr>
                      <w:rFonts w:hint="eastAsia"/>
                      <w:sz w:val="24"/>
                      <w:szCs w:val="24"/>
                      <w:lang w:val="en-US" w:eastAsia="zh-CN"/>
                    </w:rPr>
                    <w:t>30720M15</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918" w:type="pct"/>
                  <w:noWrap w:val="0"/>
                  <w:vAlign w:val="center"/>
                </w:tcPr>
                <w:p>
                  <w:pPr>
                    <w:spacing w:line="240" w:lineRule="auto"/>
                    <w:jc w:val="center"/>
                    <w:rPr>
                      <w:rFonts w:hint="eastAsia" w:ascii="Times New Roman" w:hAnsi="Times New Roman" w:cs="Times New Roman"/>
                      <w:color w:val="auto"/>
                      <w:spacing w:val="0"/>
                      <w:sz w:val="24"/>
                      <w:szCs w:val="24"/>
                      <w:lang w:val="en-US" w:eastAsia="zh-CN"/>
                    </w:rPr>
                  </w:pPr>
                  <w:r>
                    <w:rPr>
                      <w:rFonts w:hint="eastAsia" w:eastAsia="宋体" w:cs="Times New Roman"/>
                      <w:color w:val="auto"/>
                      <w:sz w:val="24"/>
                      <w:szCs w:val="24"/>
                      <w:lang w:val="en-US" w:eastAsia="zh-CN"/>
                    </w:rPr>
                    <w:t>1</w:t>
                  </w:r>
                  <w:r>
                    <w:rPr>
                      <w:rFonts w:hint="eastAsia" w:cs="Times New Roman"/>
                      <w:color w:val="auto"/>
                      <w:sz w:val="24"/>
                      <w:szCs w:val="24"/>
                      <w:lang w:val="en-US" w:eastAsia="zh-CN"/>
                    </w:rPr>
                    <w:t>4</w:t>
                  </w:r>
                  <w:r>
                    <w:rPr>
                      <w:rFonts w:hint="eastAsia" w:eastAsia="宋体" w:cs="Times New Roman"/>
                      <w:color w:val="auto"/>
                      <w:sz w:val="24"/>
                      <w:szCs w:val="24"/>
                      <w:lang w:val="en-US" w:eastAsia="zh-CN"/>
                    </w:rPr>
                    <w:t>:00~1</w:t>
                  </w:r>
                  <w:r>
                    <w:rPr>
                      <w:rFonts w:hint="eastAsia" w:cs="Times New Roman"/>
                      <w:color w:val="auto"/>
                      <w:sz w:val="24"/>
                      <w:szCs w:val="24"/>
                      <w:lang w:val="en-US" w:eastAsia="zh-CN"/>
                    </w:rPr>
                    <w:t>5</w:t>
                  </w:r>
                  <w:r>
                    <w:rPr>
                      <w:rFonts w:hint="eastAsia" w:eastAsia="宋体" w:cs="Times New Roman"/>
                      <w:color w:val="auto"/>
                      <w:sz w:val="24"/>
                      <w:szCs w:val="24"/>
                      <w:lang w:val="en-US" w:eastAsia="zh-CN"/>
                    </w:rPr>
                    <w:t>:00</w:t>
                  </w:r>
                </w:p>
              </w:tc>
              <w:tc>
                <w:tcPr>
                  <w:tcW w:w="997" w:type="pct"/>
                  <w:noWrap w:val="0"/>
                  <w:vAlign w:val="center"/>
                </w:tcPr>
                <w:p>
                  <w:pPr>
                    <w:spacing w:line="240" w:lineRule="atLeast"/>
                    <w:jc w:val="center"/>
                    <w:rPr>
                      <w:rFonts w:hint="default" w:cs="Times New Roman"/>
                      <w:i w:val="0"/>
                      <w:color w:val="000000"/>
                      <w:kern w:val="0"/>
                      <w:sz w:val="24"/>
                      <w:szCs w:val="24"/>
                      <w:u w:val="none"/>
                      <w:lang w:val="en-US" w:eastAsia="zh-CN" w:bidi="ar"/>
                    </w:rPr>
                  </w:pPr>
                  <w:r>
                    <w:rPr>
                      <w:rFonts w:hint="eastAsia" w:eastAsia="宋体"/>
                      <w:sz w:val="24"/>
                      <w:szCs w:val="24"/>
                      <w:lang w:val="en-US" w:eastAsia="zh-CN"/>
                    </w:rPr>
                    <w:t>Q2</w:t>
                  </w:r>
                  <w:r>
                    <w:rPr>
                      <w:rFonts w:hint="eastAsia"/>
                      <w:sz w:val="24"/>
                      <w:szCs w:val="24"/>
                      <w:lang w:val="en-US" w:eastAsia="zh-CN"/>
                    </w:rPr>
                    <w:t>30720M16</w:t>
                  </w:r>
                </w:p>
              </w:tc>
              <w:tc>
                <w:tcPr>
                  <w:tcW w:w="851" w:type="pct"/>
                  <w:noWrap w:val="0"/>
                  <w:vAlign w:val="center"/>
                </w:tcPr>
                <w:p>
                  <w:pPr>
                    <w:widowControl/>
                    <w:spacing w:line="240" w:lineRule="auto"/>
                    <w:jc w:val="center"/>
                    <w:rPr>
                      <w:rFonts w:hint="default" w:ascii="Times New Roman" w:hAnsi="Times New Roman" w:eastAsia="宋体"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vMerge w:val="continue"/>
                  <w:noWrap w:val="0"/>
                  <w:vAlign w:val="center"/>
                </w:tcPr>
                <w:p>
                  <w:pPr>
                    <w:jc w:val="center"/>
                    <w:rPr>
                      <w:rFonts w:hint="eastAsia"/>
                      <w:bCs/>
                      <w:sz w:val="24"/>
                      <w:szCs w:val="24"/>
                    </w:rPr>
                  </w:pPr>
                </w:p>
              </w:tc>
              <w:tc>
                <w:tcPr>
                  <w:tcW w:w="1094" w:type="pct"/>
                  <w:vMerge w:val="continue"/>
                  <w:noWrap w:val="0"/>
                  <w:vAlign w:val="center"/>
                </w:tcPr>
                <w:p>
                  <w:pPr>
                    <w:jc w:val="center"/>
                    <w:rPr>
                      <w:rFonts w:hint="eastAsia"/>
                      <w:bCs/>
                      <w:sz w:val="24"/>
                      <w:szCs w:val="24"/>
                    </w:rPr>
                  </w:pPr>
                </w:p>
              </w:tc>
              <w:tc>
                <w:tcPr>
                  <w:tcW w:w="826" w:type="pct"/>
                  <w:vMerge w:val="continue"/>
                  <w:noWrap w:val="0"/>
                  <w:vAlign w:val="center"/>
                </w:tcPr>
                <w:p>
                  <w:pPr>
                    <w:jc w:val="center"/>
                    <w:rPr>
                      <w:rFonts w:hint="eastAsia"/>
                      <w:sz w:val="24"/>
                      <w:szCs w:val="24"/>
                    </w:rPr>
                  </w:pPr>
                </w:p>
              </w:tc>
              <w:tc>
                <w:tcPr>
                  <w:tcW w:w="1915" w:type="pct"/>
                  <w:gridSpan w:val="2"/>
                  <w:noWrap w:val="0"/>
                  <w:vAlign w:val="center"/>
                </w:tcPr>
                <w:p>
                  <w:pPr>
                    <w:spacing w:line="240" w:lineRule="atLeast"/>
                    <w:jc w:val="center"/>
                    <w:rPr>
                      <w:rFonts w:hint="eastAsia"/>
                      <w:sz w:val="24"/>
                      <w:szCs w:val="24"/>
                      <w:lang w:val="en-US" w:eastAsia="zh-CN"/>
                    </w:rPr>
                  </w:pPr>
                  <w:r>
                    <w:rPr>
                      <w:rFonts w:hint="eastAsia"/>
                      <w:sz w:val="24"/>
                      <w:szCs w:val="24"/>
                      <w:lang w:val="en-US" w:eastAsia="zh-CN"/>
                    </w:rPr>
                    <w:t>平均值</w:t>
                  </w:r>
                </w:p>
              </w:tc>
              <w:tc>
                <w:tcPr>
                  <w:tcW w:w="851" w:type="pct"/>
                  <w:noWrap w:val="0"/>
                  <w:vAlign w:val="center"/>
                </w:tcPr>
                <w:p>
                  <w:pPr>
                    <w:widowControl/>
                    <w:spacing w:line="240" w:lineRule="auto"/>
                    <w:jc w:val="center"/>
                    <w:rPr>
                      <w:rFonts w:hint="default" w:ascii="Times New Roman" w:hAnsi="Times New Roman" w:cs="Times New Roman"/>
                      <w:i w:val="0"/>
                      <w:color w:val="000000"/>
                      <w:kern w:val="0"/>
                      <w:sz w:val="24"/>
                      <w:szCs w:val="24"/>
                      <w:u w:val="none"/>
                      <w:lang w:val="en-US" w:eastAsia="zh-CN" w:bidi="ar"/>
                    </w:rPr>
                  </w:pPr>
                  <w:r>
                    <w:rPr>
                      <w:rFonts w:hint="eastAsia" w:cs="Times New Roman"/>
                      <w:i w:val="0"/>
                      <w:color w:val="000000"/>
                      <w:kern w:val="0"/>
                      <w:sz w:val="24"/>
                      <w:szCs w:val="24"/>
                      <w:u w:val="none"/>
                      <w:lang w:val="en-US" w:eastAsia="zh-CN" w:bidi="ar"/>
                    </w:rPr>
                    <w:t>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1" w:type="pct"/>
                  <w:noWrap w:val="0"/>
                  <w:vAlign w:val="center"/>
                </w:tcPr>
                <w:p>
                  <w:pPr>
                    <w:jc w:val="center"/>
                    <w:rPr>
                      <w:rFonts w:hint="eastAsia" w:ascii="Times New Roman" w:hAnsi="Times New Roman" w:eastAsia="宋体" w:cs="Times New Roman"/>
                      <w:bCs/>
                      <w:kern w:val="2"/>
                      <w:sz w:val="24"/>
                      <w:szCs w:val="24"/>
                      <w:lang w:val="en-US" w:eastAsia="zh-CN" w:bidi="ar-SA"/>
                    </w:rPr>
                  </w:pPr>
                  <w:r>
                    <w:rPr>
                      <w:rFonts w:hint="eastAsia"/>
                      <w:bCs/>
                      <w:sz w:val="24"/>
                      <w:szCs w:val="24"/>
                      <w:lang w:eastAsia="zh-CN"/>
                    </w:rPr>
                    <w:t>备注</w:t>
                  </w:r>
                </w:p>
              </w:tc>
              <w:tc>
                <w:tcPr>
                  <w:tcW w:w="4688" w:type="pct"/>
                  <w:gridSpan w:val="5"/>
                  <w:noWrap w:val="0"/>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eastAsia"/>
                      <w:sz w:val="24"/>
                      <w:szCs w:val="24"/>
                      <w:lang w:val="en-US" w:eastAsia="zh-CN"/>
                    </w:rPr>
                    <w:t>执行标准：参考</w:t>
                  </w:r>
                  <w:r>
                    <w:rPr>
                      <w:rFonts w:hint="eastAsia" w:ascii="Times New Roman" w:hAnsi="Times New Roman" w:eastAsia="宋体" w:cs="Times New Roman"/>
                      <w:sz w:val="24"/>
                      <w:szCs w:val="24"/>
                      <w:lang w:val="en-US" w:eastAsia="zh-CN"/>
                    </w:rPr>
                    <w:t>《水泥工业大气污染物排放标准》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-2013</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表3限值，即</w:t>
                  </w:r>
                  <w:r>
                    <w:rPr>
                      <w:rFonts w:hint="eastAsia"/>
                      <w:sz w:val="24"/>
                      <w:szCs w:val="24"/>
                      <w:lang w:eastAsia="zh-CN"/>
                    </w:rPr>
                    <w:t>总悬浮颗粒物</w:t>
                  </w:r>
                  <w:r>
                    <w:rPr>
                      <w:rFonts w:hint="default" w:ascii="Times New Roman" w:hAnsi="Times New Roman" w:eastAsia="宋体" w:cs="Times New Roman"/>
                      <w:sz w:val="24"/>
                      <w:szCs w:val="24"/>
                      <w:lang w:val="en-US" w:eastAsia="zh-CN"/>
                    </w:rPr>
                    <w:t>≤0.5mg/m</w:t>
                  </w:r>
                  <w:r>
                    <w:rPr>
                      <w:rFonts w:hint="default" w:ascii="Times New Roman" w:hAnsi="Times New Roman" w:eastAsia="宋体" w:cs="Times New Roman"/>
                      <w:sz w:val="24"/>
                      <w:szCs w:val="24"/>
                      <w:vertAlign w:val="superscript"/>
                      <w:lang w:val="en-US" w:eastAsia="zh-CN"/>
                    </w:rPr>
                    <w:t>3</w:t>
                  </w:r>
                  <w:r>
                    <w:rPr>
                      <w:rFonts w:hint="eastAsia" w:eastAsiaTheme="minorEastAsia"/>
                      <w:sz w:val="24"/>
                      <w:szCs w:val="24"/>
                      <w:vertAlign w:val="baseline"/>
                      <w:lang w:eastAsia="zh-CN"/>
                    </w:rPr>
                    <w:t>。</w:t>
                  </w:r>
                </w:p>
              </w:tc>
            </w:tr>
          </w:tbl>
          <w:p>
            <w:pPr>
              <w:snapToGrid w:val="0"/>
              <w:spacing w:line="360" w:lineRule="auto"/>
              <w:jc w:val="center"/>
              <w:rPr>
                <w:rFonts w:hint="eastAsia" w:cs="Times New Roman"/>
                <w:b/>
                <w:bCs/>
                <w:sz w:val="21"/>
                <w:szCs w:val="21"/>
                <w:vertAlign w:val="baseline"/>
                <w:lang w:val="en-US" w:eastAsia="zh-CN"/>
              </w:rPr>
            </w:pPr>
            <w:r>
              <w:rPr>
                <w:rFonts w:hint="eastAsia" w:ascii="宋体" w:hAnsi="宋体" w:cs="宋体"/>
                <w:b/>
                <w:bCs/>
                <w:color w:val="000000"/>
                <w:kern w:val="0"/>
                <w:sz w:val="21"/>
                <w:szCs w:val="21"/>
                <w:lang w:val="en-US" w:eastAsia="zh-CN" w:bidi="ar"/>
              </w:rPr>
              <w:t>表4-4 监控点与参照点</w:t>
            </w:r>
            <w:r>
              <w:rPr>
                <w:rFonts w:hint="eastAsia" w:cs="Times New Roman"/>
                <w:b/>
                <w:bCs/>
                <w:sz w:val="21"/>
                <w:szCs w:val="21"/>
                <w:vertAlign w:val="baseline"/>
                <w:lang w:val="en-US" w:eastAsia="zh-CN"/>
              </w:rPr>
              <w:t>总悬浮颗粒物（TSP）1小时浓度值的差值</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2067"/>
              <w:gridCol w:w="1136"/>
              <w:gridCol w:w="1136"/>
              <w:gridCol w:w="1137"/>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2095" w:type="pct"/>
                  <w:gridSpan w:val="2"/>
                  <w:vMerge w:val="restar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时间</w:t>
                  </w:r>
                </w:p>
              </w:tc>
              <w:tc>
                <w:tcPr>
                  <w:tcW w:w="2904" w:type="pct"/>
                  <w:gridSpan w:val="4"/>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与参照点浓度值差值（</w:t>
                  </w: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095" w:type="pct"/>
                  <w:gridSpan w:val="2"/>
                  <w:vMerge w:val="continue"/>
                </w:tcPr>
                <w:p>
                  <w:pPr>
                    <w:pStyle w:val="47"/>
                    <w:ind w:left="0" w:leftChars="0" w:firstLine="0" w:firstLineChars="0"/>
                    <w:jc w:val="center"/>
                    <w:rPr>
                      <w:rFonts w:hint="default" w:ascii="Times New Roman" w:hAnsi="Times New Roman" w:eastAsia="宋体" w:cs="Times New Roman"/>
                      <w:sz w:val="21"/>
                      <w:szCs w:val="21"/>
                    </w:rPr>
                  </w:pPr>
                </w:p>
              </w:tc>
              <w:tc>
                <w:tcPr>
                  <w:tcW w:w="725" w:type="pc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G1</w:t>
                  </w:r>
                </w:p>
              </w:tc>
              <w:tc>
                <w:tcPr>
                  <w:tcW w:w="725" w:type="pc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G2</w:t>
                  </w:r>
                </w:p>
              </w:tc>
              <w:tc>
                <w:tcPr>
                  <w:tcW w:w="725" w:type="pc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G3</w:t>
                  </w:r>
                </w:p>
              </w:tc>
              <w:tc>
                <w:tcPr>
                  <w:tcW w:w="728" w:type="pc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restar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7.19</w:t>
                  </w: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09:00~10:00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0.083</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0.189</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0.164</w:t>
                  </w:r>
                </w:p>
              </w:tc>
              <w:tc>
                <w:tcPr>
                  <w:tcW w:w="728" w:type="pc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pct"/>
                  <w:vMerge w:val="continue"/>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11:00~12:00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0.042</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0.019</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continue"/>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13:00~14:00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0.244</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0.237</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continue"/>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15:00~16:00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0.244</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0.207</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0.071</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restart"/>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7.20</w:t>
                  </w: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08:00~09:00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0.052</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0.045</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0.113</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pct"/>
                  <w:vMerge w:val="continue"/>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10:00~11:00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0.049</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0.246</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pct"/>
                  <w:vMerge w:val="continue"/>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12:00~13:00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0.244</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0.244</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0.192</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pct"/>
                  <w:vMerge w:val="continue"/>
                </w:tcPr>
                <w:p>
                  <w:pPr>
                    <w:pStyle w:val="47"/>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319" w:type="pct"/>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sz w:val="21"/>
                      <w:szCs w:val="21"/>
                      <w:lang w:val="en-US" w:eastAsia="zh-CN"/>
                    </w:rPr>
                    <w:t>14:00~15:00</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0.202</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0.074</w:t>
                  </w:r>
                </w:p>
              </w:tc>
              <w:tc>
                <w:tcPr>
                  <w:tcW w:w="725"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0.235</w:t>
                  </w:r>
                </w:p>
              </w:tc>
              <w:tc>
                <w:tcPr>
                  <w:tcW w:w="728" w:type="pct"/>
                </w:tcPr>
                <w:p>
                  <w:pPr>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Pr>
                <w:p>
                  <w:pPr>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eastAsia" w:cs="Times New Roman"/>
                      <w:color w:val="000000"/>
                      <w:kern w:val="0"/>
                      <w:sz w:val="21"/>
                      <w:szCs w:val="21"/>
                      <w:lang w:val="en-US" w:eastAsia="zh-CN" w:bidi="ar"/>
                    </w:rPr>
                    <w:t>注：执行</w:t>
                  </w:r>
                  <w:r>
                    <w:rPr>
                      <w:rFonts w:hint="default" w:ascii="Times New Roman" w:hAnsi="Times New Roman" w:cs="Times New Roman"/>
                      <w:color w:val="000000"/>
                      <w:kern w:val="0"/>
                      <w:sz w:val="21"/>
                      <w:szCs w:val="21"/>
                      <w:lang w:bidi="ar"/>
                    </w:rPr>
                    <w:t>《水泥工业大气污染物排放标准》（GB</w:t>
                  </w:r>
                  <w:r>
                    <w:rPr>
                      <w:rFonts w:hint="eastAsia" w:cs="Times New Roman"/>
                      <w:color w:val="000000"/>
                      <w:kern w:val="0"/>
                      <w:sz w:val="21"/>
                      <w:szCs w:val="21"/>
                      <w:lang w:eastAsia="zh-CN" w:bidi="ar"/>
                    </w:rPr>
                    <w:t>****</w:t>
                  </w:r>
                  <w:r>
                    <w:rPr>
                      <w:rFonts w:hint="default" w:ascii="Times New Roman" w:hAnsi="Times New Roman" w:cs="Times New Roman"/>
                      <w:color w:val="000000"/>
                      <w:kern w:val="0"/>
                      <w:sz w:val="21"/>
                      <w:szCs w:val="21"/>
                      <w:lang w:bidi="ar"/>
                    </w:rPr>
                    <w:t>-2013）</w:t>
                  </w:r>
                  <w:r>
                    <w:rPr>
                      <w:rFonts w:hint="default" w:ascii="Times New Roman" w:hAnsi="Times New Roman" w:cs="Times New Roman"/>
                      <w:color w:val="000000"/>
                      <w:sz w:val="21"/>
                      <w:szCs w:val="21"/>
                    </w:rPr>
                    <w:t>表3大气污染物无组织排放限值</w:t>
                  </w:r>
                  <w:r>
                    <w:rPr>
                      <w:rFonts w:hint="default" w:ascii="Times New Roman" w:hAnsi="Times New Roman" w:cs="Times New Roman"/>
                      <w:color w:val="000000"/>
                      <w:kern w:val="0"/>
                      <w:sz w:val="21"/>
                      <w:szCs w:val="21"/>
                      <w:lang w:bidi="ar"/>
                    </w:rPr>
                    <w:t>要求</w:t>
                  </w:r>
                  <w:r>
                    <w:rPr>
                      <w:rFonts w:hint="eastAsia" w:ascii="Times New Roman" w:hAnsi="Times New Roman" w:cs="Times New Roman"/>
                      <w:color w:val="000000"/>
                      <w:kern w:val="0"/>
                      <w:sz w:val="21"/>
                      <w:szCs w:val="21"/>
                      <w:lang w:eastAsia="zh-CN" w:bidi="ar"/>
                    </w:rPr>
                    <w:t>，</w:t>
                  </w:r>
                  <w:r>
                    <w:rPr>
                      <w:rFonts w:hint="eastAsia" w:ascii="Times New Roman" w:hAnsi="Times New Roman" w:cs="Times New Roman"/>
                      <w:color w:val="000000"/>
                      <w:kern w:val="0"/>
                      <w:sz w:val="21"/>
                      <w:szCs w:val="21"/>
                      <w:lang w:val="en-US" w:eastAsia="zh-CN" w:bidi="ar"/>
                    </w:rPr>
                    <w:t>即：</w:t>
                  </w:r>
                  <w:r>
                    <w:rPr>
                      <w:rFonts w:hint="eastAsia"/>
                      <w:sz w:val="21"/>
                      <w:szCs w:val="21"/>
                      <w:lang w:eastAsia="zh-CN"/>
                    </w:rPr>
                    <w:t>总悬浮颗粒物</w:t>
                  </w:r>
                  <w:r>
                    <w:rPr>
                      <w:rFonts w:hint="default" w:ascii="Times New Roman" w:hAnsi="Times New Roman" w:eastAsia="宋体" w:cs="Times New Roman"/>
                      <w:sz w:val="21"/>
                      <w:szCs w:val="21"/>
                      <w:lang w:val="en-US" w:eastAsia="zh-CN"/>
                    </w:rPr>
                    <w:t>≤0.5mg/m</w:t>
                  </w:r>
                  <w:r>
                    <w:rPr>
                      <w:rFonts w:hint="default"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（限制含义：监控点与参照点总悬浮颗粒物（TSP）1小时浓度值的差值）。</w:t>
                  </w:r>
                </w:p>
              </w:tc>
            </w:tr>
          </w:tbl>
          <w:p>
            <w:pPr>
              <w:snapToGrid w:val="0"/>
              <w:spacing w:line="360" w:lineRule="auto"/>
              <w:rPr>
                <w:rFonts w:hint="default" w:ascii="Times New Roman" w:hAnsi="Times New Roman" w:cs="Times New Roman"/>
                <w:color w:val="000000"/>
                <w:kern w:val="0"/>
                <w:sz w:val="24"/>
                <w:lang w:val="en-US" w:eastAsia="zh-CN" w:bidi="ar"/>
              </w:rPr>
            </w:pPr>
          </w:p>
          <w:p>
            <w:pPr>
              <w:snapToGrid w:val="0"/>
              <w:spacing w:line="360" w:lineRule="auto"/>
              <w:ind w:firstLine="480" w:firstLineChars="200"/>
              <w:rPr>
                <w:rFonts w:hint="default" w:ascii="Times New Roman" w:hAnsi="Times New Roman" w:cs="Times New Roman"/>
                <w:color w:val="000000"/>
                <w:kern w:val="0"/>
                <w:sz w:val="24"/>
                <w:lang w:val="en-US" w:eastAsia="zh-CN" w:bidi="ar"/>
              </w:rPr>
            </w:pPr>
            <w:r>
              <w:rPr>
                <w:rFonts w:hint="eastAsia" w:ascii="Times New Roman" w:hAnsi="Times New Roman" w:cs="Times New Roman"/>
                <w:color w:val="000000"/>
                <w:kern w:val="0"/>
                <w:sz w:val="24"/>
                <w:lang w:val="en-US" w:eastAsia="zh-CN" w:bidi="ar"/>
              </w:rPr>
              <w:t>由表4-4可知，</w:t>
            </w:r>
            <w:r>
              <w:rPr>
                <w:rFonts w:hint="default" w:ascii="Times New Roman" w:hAnsi="Times New Roman" w:cs="Times New Roman"/>
                <w:color w:val="000000"/>
                <w:kern w:val="0"/>
                <w:sz w:val="24"/>
                <w:lang w:val="en-US" w:eastAsia="zh-CN" w:bidi="ar"/>
              </w:rPr>
              <w:t>厂界无组织废气监控点与参照点总悬浮颗粒物（TSP）1小时浓度值的差值</w:t>
            </w:r>
            <w:r>
              <w:rPr>
                <w:rFonts w:hint="eastAsia" w:ascii="Times New Roman" w:hAnsi="Times New Roman" w:cs="Times New Roman"/>
                <w:color w:val="000000"/>
                <w:kern w:val="0"/>
                <w:sz w:val="24"/>
                <w:lang w:val="en-US" w:eastAsia="zh-CN" w:bidi="ar"/>
              </w:rPr>
              <w:t>最大值为0.246mg/m³，</w:t>
            </w:r>
            <w:r>
              <w:rPr>
                <w:rFonts w:hint="default" w:ascii="Times New Roman" w:hAnsi="Times New Roman" w:cs="Times New Roman"/>
                <w:color w:val="000000"/>
                <w:kern w:val="0"/>
                <w:sz w:val="24"/>
                <w:lang w:val="en-US" w:eastAsia="zh-CN" w:bidi="ar"/>
              </w:rPr>
              <w:t>可达</w:t>
            </w:r>
            <w:r>
              <w:rPr>
                <w:rFonts w:hint="eastAsia" w:ascii="Times New Roman" w:hAnsi="Times New Roman" w:cs="Times New Roman"/>
                <w:color w:val="000000"/>
                <w:kern w:val="0"/>
                <w:sz w:val="24"/>
                <w:lang w:val="en-US" w:eastAsia="zh-CN" w:bidi="ar"/>
              </w:rPr>
              <w:t>到</w:t>
            </w:r>
            <w:r>
              <w:rPr>
                <w:rFonts w:hint="default" w:ascii="Times New Roman" w:hAnsi="Times New Roman" w:cs="Times New Roman"/>
                <w:color w:val="000000"/>
                <w:kern w:val="0"/>
                <w:sz w:val="24"/>
                <w:lang w:bidi="ar"/>
              </w:rPr>
              <w:t>《水泥工业大气污染物排放标准》（GB</w:t>
            </w:r>
            <w:r>
              <w:rPr>
                <w:rFonts w:hint="eastAsia" w:cs="Times New Roman"/>
                <w:color w:val="000000"/>
                <w:kern w:val="0"/>
                <w:sz w:val="24"/>
                <w:lang w:eastAsia="zh-CN" w:bidi="ar"/>
              </w:rPr>
              <w:t>****</w:t>
            </w:r>
            <w:r>
              <w:rPr>
                <w:rFonts w:hint="default" w:ascii="Times New Roman" w:hAnsi="Times New Roman" w:cs="Times New Roman"/>
                <w:color w:val="000000"/>
                <w:kern w:val="0"/>
                <w:sz w:val="24"/>
                <w:lang w:bidi="ar"/>
              </w:rPr>
              <w:t>-2013）</w:t>
            </w:r>
            <w:r>
              <w:rPr>
                <w:rFonts w:hint="default" w:ascii="Times New Roman" w:hAnsi="Times New Roman" w:cs="Times New Roman"/>
                <w:color w:val="000000"/>
                <w:sz w:val="24"/>
              </w:rPr>
              <w:t>表3大气污染物无组织排放限值</w:t>
            </w:r>
            <w:r>
              <w:rPr>
                <w:rFonts w:hint="default" w:ascii="Times New Roman" w:hAnsi="Times New Roman" w:cs="Times New Roman"/>
                <w:color w:val="000000"/>
                <w:kern w:val="0"/>
                <w:sz w:val="24"/>
                <w:lang w:bidi="ar"/>
              </w:rPr>
              <w:t>要求</w:t>
            </w:r>
            <w:r>
              <w:rPr>
                <w:rFonts w:hint="eastAsia" w:ascii="Times New Roman" w:hAnsi="Times New Roman" w:cs="Times New Roman"/>
                <w:color w:val="000000"/>
                <w:kern w:val="0"/>
                <w:sz w:val="24"/>
                <w:lang w:eastAsia="zh-CN" w:bidi="ar"/>
              </w:rPr>
              <w:t>，</w:t>
            </w:r>
            <w:r>
              <w:rPr>
                <w:rFonts w:hint="eastAsia" w:ascii="Times New Roman" w:hAnsi="Times New Roman" w:cs="Times New Roman"/>
                <w:color w:val="000000"/>
                <w:kern w:val="0"/>
                <w:sz w:val="24"/>
                <w:lang w:val="en-US" w:eastAsia="zh-CN" w:bidi="ar"/>
              </w:rPr>
              <w:t>即：</w:t>
            </w:r>
            <w:r>
              <w:rPr>
                <w:rFonts w:hint="eastAsia"/>
                <w:sz w:val="24"/>
                <w:szCs w:val="24"/>
                <w:lang w:eastAsia="zh-CN"/>
              </w:rPr>
              <w:t>总悬浮颗粒物</w:t>
            </w:r>
            <w:r>
              <w:rPr>
                <w:rFonts w:hint="default" w:ascii="Times New Roman" w:hAnsi="Times New Roman" w:eastAsia="宋体" w:cs="Times New Roman"/>
                <w:sz w:val="24"/>
                <w:szCs w:val="24"/>
                <w:lang w:val="en-US" w:eastAsia="zh-CN"/>
              </w:rPr>
              <w:t>≤0.5mg/m</w:t>
            </w:r>
            <w:r>
              <w:rPr>
                <w:rFonts w:hint="default" w:ascii="Times New Roman" w:hAnsi="Times New Roman" w:eastAsia="宋体" w:cs="Times New Roman"/>
                <w:sz w:val="24"/>
                <w:szCs w:val="24"/>
                <w:vertAlign w:val="superscript"/>
                <w:lang w:val="en-US" w:eastAsia="zh-CN"/>
              </w:rPr>
              <w:t>3</w:t>
            </w:r>
            <w:r>
              <w:rPr>
                <w:rFonts w:hint="eastAsia" w:cs="Times New Roman"/>
                <w:sz w:val="24"/>
                <w:szCs w:val="24"/>
                <w:vertAlign w:val="baseline"/>
                <w:lang w:val="en-US" w:eastAsia="zh-CN"/>
              </w:rPr>
              <w:t>（限制含义：监控点与参照点总悬浮颗粒物（TSP）1小时浓度值的差值）</w:t>
            </w:r>
            <w:r>
              <w:rPr>
                <w:rFonts w:hint="default" w:ascii="Times New Roman" w:hAnsi="Times New Roman" w:cs="Times New Roman"/>
                <w:color w:val="000000"/>
                <w:kern w:val="0"/>
                <w:sz w:val="24"/>
                <w:lang w:bidi="ar"/>
              </w:rPr>
              <w:t>。</w:t>
            </w:r>
          </w:p>
          <w:p>
            <w:pPr>
              <w:snapToGrid w:val="0"/>
              <w:spacing w:line="360" w:lineRule="auto"/>
              <w:ind w:firstLine="480" w:firstLineChars="200"/>
              <w:rPr>
                <w:rFonts w:hint="eastAsia" w:ascii="Times New Roman" w:hAnsi="Times New Roman" w:eastAsia="宋体" w:cs="Times New Roman"/>
                <w:color w:val="000000"/>
                <w:kern w:val="0"/>
                <w:sz w:val="24"/>
                <w:lang w:val="en-US" w:eastAsia="zh-CN" w:bidi="ar"/>
              </w:rPr>
            </w:pPr>
            <w:r>
              <w:rPr>
                <w:rFonts w:hint="eastAsia"/>
                <w:color w:val="000000"/>
                <w:kern w:val="0"/>
                <w:sz w:val="24"/>
                <w:lang w:val="en-US" w:eastAsia="zh-CN" w:bidi="ar"/>
              </w:rPr>
              <w:t>综上，项目在采取一系列大气污染防治措施后，废气排放可达到</w:t>
            </w:r>
            <w:r>
              <w:rPr>
                <w:rFonts w:hint="default" w:ascii="Times New Roman" w:hAnsi="Times New Roman" w:cs="Times New Roman"/>
                <w:color w:val="000000"/>
                <w:kern w:val="0"/>
                <w:sz w:val="24"/>
                <w:lang w:val="en-US" w:eastAsia="zh-CN" w:bidi="ar"/>
              </w:rPr>
              <w:t>可达</w:t>
            </w:r>
            <w:r>
              <w:rPr>
                <w:rFonts w:hint="eastAsia" w:ascii="Times New Roman" w:hAnsi="Times New Roman" w:cs="Times New Roman"/>
                <w:color w:val="000000"/>
                <w:kern w:val="0"/>
                <w:sz w:val="24"/>
                <w:lang w:val="en-US" w:eastAsia="zh-CN" w:bidi="ar"/>
              </w:rPr>
              <w:t>到</w:t>
            </w:r>
            <w:r>
              <w:rPr>
                <w:rFonts w:hint="default" w:ascii="Times New Roman" w:hAnsi="Times New Roman" w:cs="Times New Roman"/>
                <w:color w:val="000000"/>
                <w:kern w:val="0"/>
                <w:sz w:val="24"/>
                <w:lang w:bidi="ar"/>
              </w:rPr>
              <w:t>《水泥工业大气污染物排放标准》（GB</w:t>
            </w:r>
            <w:r>
              <w:rPr>
                <w:rFonts w:hint="eastAsia" w:cs="Times New Roman"/>
                <w:color w:val="000000"/>
                <w:kern w:val="0"/>
                <w:sz w:val="24"/>
                <w:lang w:eastAsia="zh-CN" w:bidi="ar"/>
              </w:rPr>
              <w:t>****</w:t>
            </w:r>
            <w:r>
              <w:rPr>
                <w:rFonts w:hint="default" w:ascii="Times New Roman" w:hAnsi="Times New Roman" w:cs="Times New Roman"/>
                <w:color w:val="000000"/>
                <w:kern w:val="0"/>
                <w:sz w:val="24"/>
                <w:lang w:bidi="ar"/>
              </w:rPr>
              <w:t>-2013）</w:t>
            </w:r>
            <w:r>
              <w:rPr>
                <w:rFonts w:hint="default" w:ascii="Times New Roman" w:hAnsi="Times New Roman" w:cs="Times New Roman"/>
                <w:color w:val="000000"/>
                <w:sz w:val="24"/>
              </w:rPr>
              <w:t>表3大气污染物无组织排放限值</w:t>
            </w:r>
            <w:r>
              <w:rPr>
                <w:rFonts w:hint="default" w:ascii="Times New Roman" w:hAnsi="Times New Roman" w:cs="Times New Roman"/>
                <w:color w:val="000000"/>
                <w:kern w:val="0"/>
                <w:sz w:val="24"/>
                <w:lang w:bidi="ar"/>
              </w:rPr>
              <w:t>要求</w:t>
            </w:r>
            <w:r>
              <w:rPr>
                <w:rFonts w:hint="eastAsia" w:ascii="Times New Roman" w:hAnsi="Times New Roman" w:cs="Times New Roman"/>
                <w:color w:val="000000"/>
                <w:kern w:val="0"/>
                <w:sz w:val="24"/>
                <w:lang w:eastAsia="zh-CN" w:bidi="ar"/>
              </w:rPr>
              <w:t>，</w:t>
            </w:r>
            <w:r>
              <w:rPr>
                <w:rFonts w:hint="eastAsia" w:ascii="Times New Roman" w:hAnsi="Times New Roman" w:cs="Times New Roman"/>
                <w:color w:val="000000"/>
                <w:kern w:val="0"/>
                <w:sz w:val="24"/>
                <w:lang w:val="en-US" w:eastAsia="zh-CN" w:bidi="ar"/>
              </w:rPr>
              <w:t>即：</w:t>
            </w:r>
            <w:r>
              <w:rPr>
                <w:rFonts w:hint="eastAsia"/>
                <w:sz w:val="24"/>
                <w:szCs w:val="24"/>
                <w:lang w:eastAsia="zh-CN"/>
              </w:rPr>
              <w:t>总悬浮颗粒物</w:t>
            </w:r>
            <w:r>
              <w:rPr>
                <w:rFonts w:hint="default" w:ascii="Times New Roman" w:hAnsi="Times New Roman" w:eastAsia="宋体" w:cs="Times New Roman"/>
                <w:sz w:val="24"/>
                <w:szCs w:val="24"/>
                <w:lang w:val="en-US" w:eastAsia="zh-CN"/>
              </w:rPr>
              <w:t>≤0.5mg/m</w:t>
            </w:r>
            <w:r>
              <w:rPr>
                <w:rFonts w:hint="default" w:ascii="Times New Roman" w:hAnsi="Times New Roman" w:eastAsia="宋体" w:cs="Times New Roman"/>
                <w:sz w:val="24"/>
                <w:szCs w:val="24"/>
                <w:vertAlign w:val="superscript"/>
                <w:lang w:val="en-US" w:eastAsia="zh-CN"/>
              </w:rPr>
              <w:t>3</w:t>
            </w:r>
            <w:r>
              <w:rPr>
                <w:rFonts w:hint="eastAsia" w:cs="Times New Roman"/>
                <w:sz w:val="24"/>
                <w:szCs w:val="24"/>
                <w:vertAlign w:val="baseline"/>
                <w:lang w:val="en-US" w:eastAsia="zh-CN"/>
              </w:rPr>
              <w:t>（限制含义：监控点与参照点总悬浮颗粒物（TSP）1小时浓度值的差值），</w:t>
            </w:r>
            <w:r>
              <w:rPr>
                <w:color w:val="000000"/>
                <w:sz w:val="24"/>
              </w:rPr>
              <w:t>对区域环境影响空气影响</w:t>
            </w:r>
            <w:r>
              <w:rPr>
                <w:rFonts w:hint="eastAsia"/>
                <w:color w:val="000000"/>
                <w:sz w:val="24"/>
                <w:lang w:val="en-US" w:eastAsia="zh-CN"/>
              </w:rPr>
              <w:t>较小。</w:t>
            </w:r>
          </w:p>
          <w:p>
            <w:pPr>
              <w:pStyle w:val="150"/>
              <w:ind w:firstLine="0" w:firstLineChars="0"/>
              <w:jc w:val="both"/>
              <w:rPr>
                <w:rFonts w:ascii="Times New Roman" w:hAnsi="Times New Roman" w:cs="Times New Roman"/>
                <w:bCs/>
                <w:snapToGrid w:val="0"/>
                <w:color w:val="000000"/>
                <w:szCs w:val="28"/>
              </w:rPr>
            </w:pPr>
            <w:r>
              <w:rPr>
                <w:rFonts w:ascii="Times New Roman" w:hAnsi="Times New Roman" w:cs="Times New Roman"/>
                <w:bCs/>
                <w:snapToGrid w:val="0"/>
                <w:color w:val="000000"/>
                <w:szCs w:val="28"/>
              </w:rPr>
              <w:t>（3）监测要求</w:t>
            </w:r>
          </w:p>
          <w:p>
            <w:pPr>
              <w:pStyle w:val="150"/>
              <w:snapToGrid w:val="0"/>
              <w:ind w:firstLine="480"/>
              <w:rPr>
                <w:rFonts w:ascii="Times New Roman" w:hAnsi="Times New Roman" w:cs="Times New Roman"/>
                <w:color w:val="000000"/>
                <w:kern w:val="0"/>
                <w:lang w:bidi="ar"/>
              </w:rPr>
            </w:pPr>
            <w:r>
              <w:rPr>
                <w:rFonts w:ascii="Times New Roman" w:hAnsi="Times New Roman" w:cs="Times New Roman"/>
                <w:color w:val="000000"/>
                <w:kern w:val="0"/>
                <w:lang w:bidi="ar"/>
              </w:rPr>
              <w:t>根据《排污单位自行监测技术指南</w:t>
            </w:r>
            <w:r>
              <w:rPr>
                <w:rFonts w:hint="eastAsia" w:ascii="Times New Roman" w:hAnsi="Times New Roman" w:cs="Times New Roman"/>
                <w:color w:val="000000"/>
                <w:kern w:val="0"/>
                <w:lang w:bidi="ar"/>
              </w:rPr>
              <w:t xml:space="preserve"> </w:t>
            </w:r>
            <w:r>
              <w:rPr>
                <w:rFonts w:ascii="Times New Roman" w:hAnsi="Times New Roman" w:cs="Times New Roman"/>
                <w:color w:val="000000"/>
                <w:kern w:val="0"/>
                <w:lang w:bidi="ar"/>
              </w:rPr>
              <w:t>总则》（HJ</w:t>
            </w:r>
            <w:r>
              <w:rPr>
                <w:rFonts w:hint="eastAsia" w:ascii="Times New Roman" w:hAnsi="Times New Roman" w:cs="Times New Roman"/>
                <w:color w:val="000000"/>
                <w:kern w:val="0"/>
                <w:lang w:eastAsia="zh-CN" w:bidi="ar"/>
              </w:rPr>
              <w:t>***</w:t>
            </w:r>
            <w:r>
              <w:rPr>
                <w:rFonts w:ascii="Times New Roman" w:hAnsi="Times New Roman" w:cs="Times New Roman"/>
                <w:color w:val="000000"/>
                <w:kern w:val="0"/>
                <w:lang w:bidi="ar"/>
              </w:rPr>
              <w:t>-2017）、《排污许可证申请与核发技术规范 总则》（HJ</w:t>
            </w:r>
            <w:r>
              <w:rPr>
                <w:rFonts w:hint="eastAsia" w:ascii="Times New Roman" w:hAnsi="Times New Roman" w:cs="Times New Roman"/>
                <w:color w:val="000000"/>
                <w:kern w:val="0"/>
                <w:lang w:eastAsia="zh-CN" w:bidi="ar"/>
              </w:rPr>
              <w:t>***</w:t>
            </w:r>
            <w:r>
              <w:rPr>
                <w:rFonts w:ascii="Times New Roman" w:hAnsi="Times New Roman" w:cs="Times New Roman"/>
                <w:color w:val="000000"/>
                <w:kern w:val="0"/>
                <w:lang w:bidi="ar"/>
              </w:rPr>
              <w:t>-2018），结合项目情况</w:t>
            </w:r>
            <w:r>
              <w:rPr>
                <w:rFonts w:hint="eastAsia" w:ascii="Times New Roman" w:hAnsi="Times New Roman" w:cs="Times New Roman"/>
                <w:color w:val="000000"/>
                <w:kern w:val="0"/>
                <w:lang w:bidi="ar"/>
              </w:rPr>
              <w:t>，</w:t>
            </w:r>
            <w:r>
              <w:rPr>
                <w:rFonts w:ascii="Times New Roman" w:hAnsi="Times New Roman" w:cs="Times New Roman"/>
                <w:color w:val="000000"/>
                <w:kern w:val="0"/>
                <w:lang w:bidi="ar"/>
              </w:rPr>
              <w:t>提出大气环境监测计划见表4-</w:t>
            </w:r>
            <w:r>
              <w:rPr>
                <w:rFonts w:hint="eastAsia" w:ascii="Times New Roman" w:hAnsi="Times New Roman" w:cs="Times New Roman"/>
                <w:color w:val="000000"/>
                <w:kern w:val="0"/>
                <w:lang w:val="en-US" w:eastAsia="zh-CN" w:bidi="ar"/>
              </w:rPr>
              <w:t>5</w:t>
            </w:r>
            <w:r>
              <w:rPr>
                <w:rFonts w:ascii="Times New Roman" w:hAnsi="Times New Roman" w:cs="Times New Roman"/>
                <w:color w:val="000000"/>
                <w:kern w:val="0"/>
                <w:lang w:bidi="ar"/>
              </w:rPr>
              <w:t>。</w:t>
            </w:r>
          </w:p>
          <w:p>
            <w:pPr>
              <w:snapToGrid w:val="0"/>
              <w:spacing w:line="360" w:lineRule="auto"/>
              <w:jc w:val="center"/>
              <w:rPr>
                <w:b/>
                <w:color w:val="000000"/>
                <w:szCs w:val="21"/>
              </w:rPr>
            </w:pPr>
            <w:r>
              <w:rPr>
                <w:b/>
                <w:color w:val="000000"/>
                <w:szCs w:val="21"/>
              </w:rPr>
              <w:t>表4-</w:t>
            </w:r>
            <w:r>
              <w:rPr>
                <w:rFonts w:hint="eastAsia"/>
                <w:b/>
                <w:color w:val="000000"/>
                <w:szCs w:val="21"/>
                <w:lang w:val="en-US" w:eastAsia="zh-CN"/>
              </w:rPr>
              <w:t>5</w:t>
            </w:r>
            <w:r>
              <w:rPr>
                <w:b/>
                <w:color w:val="000000"/>
                <w:szCs w:val="21"/>
              </w:rPr>
              <w:t xml:space="preserve">  废气监测计划一览表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399"/>
              <w:gridCol w:w="853"/>
              <w:gridCol w:w="2626"/>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7" w:type="pct"/>
                  <w:vAlign w:val="center"/>
                </w:tcPr>
                <w:p>
                  <w:pPr>
                    <w:snapToGrid w:val="0"/>
                    <w:jc w:val="center"/>
                    <w:rPr>
                      <w:color w:val="000000"/>
                      <w:kern w:val="24"/>
                      <w:szCs w:val="20"/>
                    </w:rPr>
                  </w:pPr>
                  <w:r>
                    <w:rPr>
                      <w:color w:val="000000"/>
                      <w:kern w:val="24"/>
                      <w:szCs w:val="20"/>
                    </w:rPr>
                    <w:t>监测</w:t>
                  </w:r>
                </w:p>
                <w:p>
                  <w:pPr>
                    <w:snapToGrid w:val="0"/>
                    <w:jc w:val="center"/>
                    <w:rPr>
                      <w:color w:val="000000"/>
                      <w:kern w:val="24"/>
                      <w:szCs w:val="20"/>
                    </w:rPr>
                  </w:pPr>
                  <w:r>
                    <w:rPr>
                      <w:color w:val="000000"/>
                      <w:kern w:val="24"/>
                      <w:szCs w:val="20"/>
                    </w:rPr>
                    <w:t>项目</w:t>
                  </w:r>
                </w:p>
              </w:tc>
              <w:tc>
                <w:tcPr>
                  <w:tcW w:w="892" w:type="pct"/>
                  <w:vAlign w:val="center"/>
                </w:tcPr>
                <w:p>
                  <w:pPr>
                    <w:snapToGrid w:val="0"/>
                    <w:jc w:val="center"/>
                    <w:rPr>
                      <w:color w:val="000000"/>
                      <w:kern w:val="24"/>
                      <w:szCs w:val="20"/>
                    </w:rPr>
                  </w:pPr>
                  <w:r>
                    <w:rPr>
                      <w:color w:val="000000"/>
                      <w:kern w:val="24"/>
                      <w:szCs w:val="20"/>
                    </w:rPr>
                    <w:t>点位</w:t>
                  </w:r>
                </w:p>
              </w:tc>
              <w:tc>
                <w:tcPr>
                  <w:tcW w:w="544" w:type="pct"/>
                  <w:vAlign w:val="center"/>
                </w:tcPr>
                <w:p>
                  <w:pPr>
                    <w:snapToGrid w:val="0"/>
                    <w:jc w:val="center"/>
                    <w:rPr>
                      <w:color w:val="000000"/>
                      <w:kern w:val="24"/>
                      <w:szCs w:val="20"/>
                    </w:rPr>
                  </w:pPr>
                  <w:r>
                    <w:rPr>
                      <w:color w:val="000000"/>
                      <w:kern w:val="24"/>
                      <w:szCs w:val="20"/>
                    </w:rPr>
                    <w:t>监测</w:t>
                  </w:r>
                </w:p>
                <w:p>
                  <w:pPr>
                    <w:snapToGrid w:val="0"/>
                    <w:jc w:val="center"/>
                    <w:rPr>
                      <w:color w:val="000000"/>
                      <w:kern w:val="24"/>
                      <w:szCs w:val="20"/>
                    </w:rPr>
                  </w:pPr>
                  <w:r>
                    <w:rPr>
                      <w:color w:val="000000"/>
                      <w:kern w:val="24"/>
                      <w:szCs w:val="20"/>
                    </w:rPr>
                    <w:t>参数</w:t>
                  </w:r>
                </w:p>
              </w:tc>
              <w:tc>
                <w:tcPr>
                  <w:tcW w:w="1674" w:type="pct"/>
                  <w:vAlign w:val="center"/>
                </w:tcPr>
                <w:p>
                  <w:pPr>
                    <w:snapToGrid w:val="0"/>
                    <w:jc w:val="center"/>
                    <w:rPr>
                      <w:color w:val="000000"/>
                      <w:kern w:val="24"/>
                      <w:szCs w:val="20"/>
                    </w:rPr>
                  </w:pPr>
                  <w:r>
                    <w:rPr>
                      <w:color w:val="000000"/>
                      <w:kern w:val="24"/>
                      <w:szCs w:val="20"/>
                    </w:rPr>
                    <w:t>监测频率</w:t>
                  </w:r>
                </w:p>
              </w:tc>
              <w:tc>
                <w:tcPr>
                  <w:tcW w:w="1401" w:type="pct"/>
                  <w:vAlign w:val="center"/>
                </w:tcPr>
                <w:p>
                  <w:pPr>
                    <w:snapToGrid w:val="0"/>
                    <w:jc w:val="center"/>
                    <w:rPr>
                      <w:color w:val="000000"/>
                      <w:kern w:val="24"/>
                      <w:szCs w:val="20"/>
                    </w:rPr>
                  </w:pPr>
                  <w:r>
                    <w:rPr>
                      <w:color w:val="000000"/>
                      <w:kern w:val="24"/>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87" w:type="pct"/>
                  <w:tcBorders>
                    <w:bottom w:val="single" w:color="auto" w:sz="4" w:space="0"/>
                  </w:tcBorders>
                  <w:vAlign w:val="center"/>
                </w:tcPr>
                <w:p>
                  <w:pPr>
                    <w:snapToGrid w:val="0"/>
                    <w:jc w:val="center"/>
                    <w:rPr>
                      <w:rFonts w:hint="default" w:eastAsia="宋体"/>
                      <w:color w:val="000000"/>
                      <w:kern w:val="24"/>
                      <w:szCs w:val="20"/>
                      <w:lang w:val="en-US" w:eastAsia="zh-CN"/>
                    </w:rPr>
                  </w:pPr>
                  <w:r>
                    <w:rPr>
                      <w:rFonts w:hint="eastAsia"/>
                      <w:color w:val="000000"/>
                      <w:kern w:val="24"/>
                      <w:szCs w:val="20"/>
                      <w:lang w:val="en-US" w:eastAsia="zh-CN"/>
                    </w:rPr>
                    <w:t>TSP</w:t>
                  </w:r>
                </w:p>
              </w:tc>
              <w:tc>
                <w:tcPr>
                  <w:tcW w:w="892" w:type="pct"/>
                  <w:tcBorders>
                    <w:bottom w:val="single" w:color="auto" w:sz="4" w:space="0"/>
                  </w:tcBorders>
                  <w:vAlign w:val="center"/>
                </w:tcPr>
                <w:p>
                  <w:pPr>
                    <w:snapToGrid w:val="0"/>
                    <w:rPr>
                      <w:color w:val="000000"/>
                      <w:kern w:val="24"/>
                      <w:szCs w:val="20"/>
                      <w:highlight w:val="yellow"/>
                    </w:rPr>
                  </w:pPr>
                  <w:r>
                    <w:rPr>
                      <w:color w:val="000000"/>
                      <w:kern w:val="24"/>
                      <w:szCs w:val="20"/>
                    </w:rPr>
                    <w:t>在厂址上风向设1个参照点，厂址下风向20m处设3个监控点</w:t>
                  </w:r>
                </w:p>
              </w:tc>
              <w:tc>
                <w:tcPr>
                  <w:tcW w:w="544" w:type="pct"/>
                  <w:vAlign w:val="center"/>
                </w:tcPr>
                <w:p>
                  <w:pPr>
                    <w:snapToGrid w:val="0"/>
                    <w:jc w:val="center"/>
                    <w:rPr>
                      <w:color w:val="000000"/>
                      <w:kern w:val="24"/>
                      <w:szCs w:val="20"/>
                    </w:rPr>
                  </w:pPr>
                  <w:r>
                    <w:rPr>
                      <w:color w:val="000000"/>
                      <w:kern w:val="24"/>
                      <w:szCs w:val="20"/>
                    </w:rPr>
                    <w:t>无组织粉尘</w:t>
                  </w:r>
                </w:p>
              </w:tc>
              <w:tc>
                <w:tcPr>
                  <w:tcW w:w="1674" w:type="pct"/>
                  <w:tcBorders>
                    <w:bottom w:val="single" w:color="auto" w:sz="4" w:space="0"/>
                  </w:tcBorders>
                  <w:vAlign w:val="center"/>
                </w:tcPr>
                <w:p>
                  <w:pPr>
                    <w:snapToGrid w:val="0"/>
                    <w:rPr>
                      <w:color w:val="000000"/>
                      <w:kern w:val="24"/>
                      <w:szCs w:val="20"/>
                    </w:rPr>
                  </w:pPr>
                  <w:r>
                    <w:rPr>
                      <w:color w:val="000000"/>
                      <w:kern w:val="24"/>
                      <w:szCs w:val="20"/>
                    </w:rPr>
                    <w:t>验收时监测1次，每次连续监测2天，每天采样3次；验收后纳入当地环境保护局的正常监测管理，每</w:t>
                  </w:r>
                  <w:r>
                    <w:rPr>
                      <w:rFonts w:hint="eastAsia"/>
                      <w:color w:val="000000"/>
                      <w:kern w:val="24"/>
                      <w:szCs w:val="20"/>
                    </w:rPr>
                    <w:t>季度</w:t>
                  </w:r>
                  <w:r>
                    <w:rPr>
                      <w:color w:val="000000"/>
                      <w:kern w:val="24"/>
                      <w:szCs w:val="20"/>
                    </w:rPr>
                    <w:t>监测1次，每次连续监测2天，每天采样3次</w:t>
                  </w:r>
                  <w:r>
                    <w:rPr>
                      <w:rFonts w:hint="eastAsia"/>
                      <w:color w:val="000000"/>
                      <w:kern w:val="24"/>
                      <w:szCs w:val="20"/>
                    </w:rPr>
                    <w:t>。</w:t>
                  </w:r>
                </w:p>
              </w:tc>
              <w:tc>
                <w:tcPr>
                  <w:tcW w:w="1401" w:type="pct"/>
                  <w:vAlign w:val="center"/>
                </w:tcPr>
                <w:p>
                  <w:pPr>
                    <w:snapToGrid w:val="0"/>
                    <w:rPr>
                      <w:rFonts w:hint="eastAsia" w:eastAsia="宋体"/>
                      <w:color w:val="000000"/>
                      <w:kern w:val="24"/>
                      <w:szCs w:val="20"/>
                      <w:lang w:eastAsia="zh-CN"/>
                    </w:rPr>
                  </w:pPr>
                  <w:r>
                    <w:rPr>
                      <w:color w:val="000000"/>
                      <w:kern w:val="24"/>
                      <w:szCs w:val="20"/>
                    </w:rPr>
                    <w:t>达《水泥工业大气污染物排放标准》（GB</w:t>
                  </w:r>
                  <w:r>
                    <w:rPr>
                      <w:rFonts w:hint="eastAsia"/>
                      <w:color w:val="000000"/>
                      <w:kern w:val="24"/>
                      <w:szCs w:val="20"/>
                      <w:lang w:eastAsia="zh-CN"/>
                    </w:rPr>
                    <w:t>****</w:t>
                  </w:r>
                  <w:r>
                    <w:rPr>
                      <w:color w:val="000000"/>
                      <w:kern w:val="24"/>
                      <w:szCs w:val="20"/>
                    </w:rPr>
                    <w:t>-2013）表3中大气污染物无组织排放限值</w:t>
                  </w:r>
                  <w:r>
                    <w:rPr>
                      <w:rFonts w:hint="eastAsia"/>
                      <w:color w:val="000000"/>
                      <w:kern w:val="24"/>
                      <w:szCs w:val="20"/>
                      <w:lang w:eastAsia="zh-CN"/>
                    </w:rPr>
                    <w:t>。</w:t>
                  </w:r>
                </w:p>
              </w:tc>
            </w:tr>
          </w:tbl>
          <w:p>
            <w:pPr>
              <w:spacing w:line="360" w:lineRule="auto"/>
              <w:rPr>
                <w:b/>
                <w:bCs/>
                <w:sz w:val="24"/>
              </w:rPr>
            </w:pPr>
            <w:r>
              <w:rPr>
                <w:b/>
                <w:bCs/>
                <w:sz w:val="24"/>
              </w:rPr>
              <w:t>2、运营期水环境影响与保护措施</w:t>
            </w:r>
          </w:p>
          <w:p>
            <w:pPr>
              <w:spacing w:line="360" w:lineRule="auto"/>
              <w:ind w:firstLine="480" w:firstLineChars="200"/>
              <w:rPr>
                <w:sz w:val="24"/>
              </w:rPr>
            </w:pPr>
            <w:r>
              <w:rPr>
                <w:sz w:val="24"/>
              </w:rPr>
              <w:t>（1）废水产生及排放情况</w:t>
            </w:r>
          </w:p>
          <w:p>
            <w:pPr>
              <w:spacing w:line="360" w:lineRule="auto"/>
              <w:ind w:firstLine="480" w:firstLineChars="200"/>
              <w:rPr>
                <w:sz w:val="24"/>
              </w:rPr>
            </w:pPr>
            <w:r>
              <w:rPr>
                <w:sz w:val="24"/>
              </w:rPr>
              <w:t>项目运营期期间用水主要包括：生产用水、生活用水。生产用水包括搅拌工艺用水、搅拌机清洗水、混凝土运输车辆清洗用水、降尘用水等。项目生产时进行物料搅拌使用的水均由混凝土带走，项目定期对搅拌主机及运输车辆内部及外部进行清洗，因此，运营期废水主要为：搅拌机清洗废水、混凝土运输罐车清洗废水、试验废水（不涉及化学实验）及生活污水（主要为工作人员盥洗废水及餐饮废水）。</w:t>
            </w:r>
          </w:p>
          <w:p>
            <w:pPr>
              <w:spacing w:line="360" w:lineRule="auto"/>
              <w:ind w:firstLine="480" w:firstLineChars="200"/>
              <w:rPr>
                <w:sz w:val="24"/>
              </w:rPr>
            </w:pPr>
            <w:r>
              <w:rPr>
                <w:sz w:val="24"/>
              </w:rPr>
              <w:t>1）生产用水</w:t>
            </w:r>
          </w:p>
          <w:p>
            <w:pPr>
              <w:spacing w:line="360" w:lineRule="auto"/>
              <w:ind w:firstLine="480" w:firstLineChars="200"/>
              <w:rPr>
                <w:sz w:val="24"/>
              </w:rPr>
            </w:pPr>
            <w:r>
              <w:rPr>
                <w:rFonts w:hint="eastAsia" w:ascii="宋体" w:hAnsi="宋体" w:cs="宋体"/>
                <w:sz w:val="24"/>
              </w:rPr>
              <w:t>①</w:t>
            </w:r>
            <w:r>
              <w:rPr>
                <w:sz w:val="24"/>
              </w:rPr>
              <w:t>混凝土生产用水</w:t>
            </w:r>
          </w:p>
          <w:p>
            <w:pPr>
              <w:spacing w:line="360" w:lineRule="auto"/>
              <w:ind w:firstLine="480" w:firstLineChars="200"/>
              <w:rPr>
                <w:sz w:val="24"/>
              </w:rPr>
            </w:pPr>
            <w:r>
              <w:rPr>
                <w:sz w:val="24"/>
              </w:rPr>
              <w:t>混凝土生产过程中，搅拌工段需加入一定比例的水，根据建设单位提供的资料，平均每立方混凝土用水量约0.15m</w:t>
            </w:r>
            <w:r>
              <w:rPr>
                <w:sz w:val="24"/>
                <w:vertAlign w:val="superscript"/>
              </w:rPr>
              <w:t>3</w:t>
            </w:r>
            <w:r>
              <w:rPr>
                <w:sz w:val="24"/>
              </w:rPr>
              <w:t>，在搅拌过程中约有10%的水量自然蒸发损失，项目年产混凝土6万m</w:t>
            </w:r>
            <w:r>
              <w:rPr>
                <w:sz w:val="24"/>
                <w:vertAlign w:val="superscript"/>
              </w:rPr>
              <w:t>3</w:t>
            </w:r>
            <w:r>
              <w:rPr>
                <w:sz w:val="24"/>
              </w:rPr>
              <w:t>，则项目生产工艺用水量为30m</w:t>
            </w:r>
            <w:r>
              <w:rPr>
                <w:sz w:val="24"/>
                <w:vertAlign w:val="superscript"/>
              </w:rPr>
              <w:t>3</w:t>
            </w:r>
            <w:r>
              <w:rPr>
                <w:sz w:val="24"/>
              </w:rPr>
              <w:t>/d（</w:t>
            </w:r>
            <w:r>
              <w:rPr>
                <w:rFonts w:hint="eastAsia"/>
                <w:sz w:val="24"/>
              </w:rPr>
              <w:t>9</w:t>
            </w:r>
            <w:r>
              <w:rPr>
                <w:sz w:val="24"/>
              </w:rPr>
              <w:t>000m</w:t>
            </w:r>
            <w:r>
              <w:rPr>
                <w:sz w:val="24"/>
                <w:vertAlign w:val="superscript"/>
              </w:rPr>
              <w:t>3</w:t>
            </w:r>
            <w:r>
              <w:rPr>
                <w:sz w:val="24"/>
              </w:rPr>
              <w:t>/a），该部分用水作为成品的有效成分运出厂外用于建筑工程建设使用，无废水外排。</w:t>
            </w:r>
          </w:p>
          <w:p>
            <w:pPr>
              <w:spacing w:line="360" w:lineRule="auto"/>
              <w:ind w:firstLine="480" w:firstLineChars="200"/>
              <w:rPr>
                <w:sz w:val="24"/>
              </w:rPr>
            </w:pPr>
            <w:r>
              <w:rPr>
                <w:rFonts w:hint="eastAsia" w:ascii="宋体" w:hAnsi="宋体" w:cs="宋体"/>
                <w:sz w:val="24"/>
              </w:rPr>
              <w:t>②</w:t>
            </w:r>
            <w:r>
              <w:rPr>
                <w:sz w:val="24"/>
              </w:rPr>
              <w:t>清洗用水</w:t>
            </w:r>
          </w:p>
          <w:p>
            <w:pPr>
              <w:spacing w:line="360" w:lineRule="auto"/>
              <w:ind w:firstLine="480" w:firstLineChars="200"/>
              <w:rPr>
                <w:sz w:val="24"/>
              </w:rPr>
            </w:pPr>
            <w:r>
              <w:rPr>
                <w:sz w:val="24"/>
              </w:rPr>
              <w:t>a.搅拌机清洗用水</w:t>
            </w:r>
          </w:p>
          <w:p>
            <w:pPr>
              <w:spacing w:line="360" w:lineRule="auto"/>
              <w:ind w:firstLine="480" w:firstLineChars="200"/>
              <w:rPr>
                <w:sz w:val="24"/>
              </w:rPr>
            </w:pPr>
            <w:r>
              <w:rPr>
                <w:sz w:val="24"/>
              </w:rPr>
              <w:t>根据建设单位提供资料，搅拌机主机每天冲洗1次，搅拌机清洗用水量为1m</w:t>
            </w:r>
            <w:r>
              <w:rPr>
                <w:sz w:val="24"/>
                <w:vertAlign w:val="superscript"/>
              </w:rPr>
              <w:t>3</w:t>
            </w:r>
            <w:r>
              <w:rPr>
                <w:sz w:val="24"/>
              </w:rPr>
              <w:t>/d（300m</w:t>
            </w:r>
            <w:r>
              <w:rPr>
                <w:sz w:val="24"/>
                <w:vertAlign w:val="superscript"/>
              </w:rPr>
              <w:t>3/</w:t>
            </w:r>
            <w:r>
              <w:rPr>
                <w:sz w:val="24"/>
              </w:rPr>
              <w:t>a），产污系数为0.9，则搅拌机清洗废水产生量为0.9m</w:t>
            </w:r>
            <w:r>
              <w:rPr>
                <w:sz w:val="24"/>
                <w:vertAlign w:val="superscript"/>
              </w:rPr>
              <w:t>3</w:t>
            </w:r>
            <w:r>
              <w:rPr>
                <w:sz w:val="24"/>
              </w:rPr>
              <w:t>/d（270m</w:t>
            </w:r>
            <w:r>
              <w:rPr>
                <w:sz w:val="24"/>
                <w:vertAlign w:val="superscript"/>
              </w:rPr>
              <w:t>3</w:t>
            </w:r>
            <w:r>
              <w:rPr>
                <w:sz w:val="24"/>
              </w:rPr>
              <w:t>/a），其主要水质污染因子为SS，根据对同类型企业的类比调查，SS的浓度约为3000mg/L。</w:t>
            </w:r>
          </w:p>
          <w:p>
            <w:pPr>
              <w:spacing w:line="360" w:lineRule="auto"/>
              <w:ind w:firstLine="480" w:firstLineChars="200"/>
              <w:rPr>
                <w:sz w:val="24"/>
              </w:rPr>
            </w:pPr>
            <w:r>
              <w:rPr>
                <w:sz w:val="24"/>
              </w:rPr>
              <w:t>b.混凝土运输车辆清洗废水</w:t>
            </w:r>
          </w:p>
          <w:p>
            <w:pPr>
              <w:spacing w:line="360" w:lineRule="auto"/>
              <w:ind w:firstLine="480" w:firstLineChars="200"/>
              <w:rPr>
                <w:sz w:val="24"/>
              </w:rPr>
            </w:pPr>
            <w:r>
              <w:rPr>
                <w:sz w:val="24"/>
              </w:rPr>
              <w:t>混凝土运输车辆清洗废水分为罐体清洗废水和车辆外部清洗废水两部分。</w:t>
            </w:r>
          </w:p>
          <w:p>
            <w:pPr>
              <w:spacing w:line="360" w:lineRule="auto"/>
              <w:ind w:firstLine="480" w:firstLineChars="200"/>
              <w:rPr>
                <w:sz w:val="24"/>
              </w:rPr>
            </w:pPr>
            <w:r>
              <w:rPr>
                <w:sz w:val="24"/>
              </w:rPr>
              <w:t>罐体清洗废水：项目混凝土生产规模为6万m</w:t>
            </w:r>
            <w:r>
              <w:rPr>
                <w:sz w:val="24"/>
                <w:vertAlign w:val="superscript"/>
              </w:rPr>
              <w:t>3</w:t>
            </w:r>
            <w:r>
              <w:rPr>
                <w:sz w:val="24"/>
              </w:rPr>
              <w:t>/a，按每辆车每次运输10m</w:t>
            </w:r>
            <w:r>
              <w:rPr>
                <w:sz w:val="24"/>
                <w:vertAlign w:val="superscript"/>
              </w:rPr>
              <w:t>3</w:t>
            </w:r>
            <w:r>
              <w:rPr>
                <w:sz w:val="24"/>
              </w:rPr>
              <w:t>计，需0.6万辆次/a（20辆次/d）。根据建设单位提供的资料，每辆车罐清洗体用水量为0.15m</w:t>
            </w:r>
            <w:r>
              <w:rPr>
                <w:sz w:val="24"/>
                <w:vertAlign w:val="superscript"/>
              </w:rPr>
              <w:t>3</w:t>
            </w:r>
            <w:r>
              <w:rPr>
                <w:sz w:val="24"/>
              </w:rPr>
              <w:t>/（d•辆），则项目罐体清洗用水量为</w:t>
            </w:r>
            <w:r>
              <w:rPr>
                <w:rFonts w:hint="eastAsia"/>
                <w:sz w:val="24"/>
              </w:rPr>
              <w:t>3</w:t>
            </w:r>
            <w:r>
              <w:rPr>
                <w:sz w:val="24"/>
              </w:rPr>
              <w:t>m</w:t>
            </w:r>
            <w:r>
              <w:rPr>
                <w:sz w:val="24"/>
                <w:vertAlign w:val="superscript"/>
              </w:rPr>
              <w:t>3</w:t>
            </w:r>
            <w:r>
              <w:rPr>
                <w:sz w:val="24"/>
              </w:rPr>
              <w:t>/d（900m</w:t>
            </w:r>
            <w:r>
              <w:rPr>
                <w:sz w:val="24"/>
                <w:vertAlign w:val="superscript"/>
              </w:rPr>
              <w:t>3</w:t>
            </w:r>
            <w:r>
              <w:rPr>
                <w:sz w:val="24"/>
              </w:rPr>
              <w:t>/a），产污系数为0.9，则罐体清洗废水产生量为</w:t>
            </w:r>
            <w:r>
              <w:rPr>
                <w:rFonts w:hint="eastAsia"/>
                <w:sz w:val="24"/>
              </w:rPr>
              <w:t>2</w:t>
            </w:r>
            <w:r>
              <w:rPr>
                <w:sz w:val="24"/>
              </w:rPr>
              <w:t>.7m</w:t>
            </w:r>
            <w:r>
              <w:rPr>
                <w:sz w:val="24"/>
                <w:vertAlign w:val="superscript"/>
              </w:rPr>
              <w:t>3</w:t>
            </w:r>
            <w:r>
              <w:rPr>
                <w:sz w:val="24"/>
              </w:rPr>
              <w:t>/d（810m</w:t>
            </w:r>
            <w:r>
              <w:rPr>
                <w:sz w:val="24"/>
                <w:vertAlign w:val="superscript"/>
              </w:rPr>
              <w:t>3</w:t>
            </w:r>
            <w:r>
              <w:rPr>
                <w:sz w:val="24"/>
              </w:rPr>
              <w:t>/a）。废水汇入洗车平台旁的</w:t>
            </w:r>
            <w:r>
              <w:rPr>
                <w:rFonts w:hint="eastAsia"/>
                <w:sz w:val="24"/>
              </w:rPr>
              <w:t>三级</w:t>
            </w:r>
            <w:r>
              <w:rPr>
                <w:sz w:val="24"/>
              </w:rPr>
              <w:t>沉淀池处理。建设单东侧设置洗车区域，1个三级沉淀池（105m</w:t>
            </w:r>
            <w:r>
              <w:rPr>
                <w:sz w:val="24"/>
                <w:vertAlign w:val="superscript"/>
              </w:rPr>
              <w:t>3</w:t>
            </w:r>
            <w:r>
              <w:rPr>
                <w:sz w:val="24"/>
              </w:rPr>
              <w:t>），具体清洗方式为：混凝土罐车返回厂区后，在洗车区进行罐体清洗，先在罐内注入少量水，并让搅拌桶慢速转动，同时采用高压水枪清洗内壁，避免残余料渣附在桶壁和搅拌叶上，清洗结束后，通过导料槽将清洗废水及残留混凝土进行收集，清洗废水经收集后通过集水沟排至沉淀池处理。</w:t>
            </w:r>
          </w:p>
          <w:p>
            <w:pPr>
              <w:spacing w:line="360" w:lineRule="auto"/>
              <w:ind w:firstLine="480" w:firstLineChars="200"/>
              <w:rPr>
                <w:sz w:val="24"/>
              </w:rPr>
            </w:pPr>
            <w:r>
              <w:rPr>
                <w:sz w:val="24"/>
              </w:rPr>
              <w:t>车辆外部清洗废水：混凝土运输车辆每次装料后需要对其表面进行冲洗，避免装料过程逸散出来的料渣附在外部，混凝土运输车在门式洗车区进行清洗。根据建设单位介绍，混凝土运输车辆外部清洗用水量约0.05m</w:t>
            </w:r>
            <w:r>
              <w:rPr>
                <w:sz w:val="24"/>
                <w:vertAlign w:val="superscript"/>
              </w:rPr>
              <w:t>3</w:t>
            </w:r>
            <w:r>
              <w:rPr>
                <w:sz w:val="24"/>
              </w:rPr>
              <w:t>/（d•辆），混凝土需运输罐车0.6万辆次/a（20辆次/d），即清洗用水量约1m</w:t>
            </w:r>
            <w:r>
              <w:rPr>
                <w:sz w:val="24"/>
                <w:vertAlign w:val="superscript"/>
              </w:rPr>
              <w:t>3</w:t>
            </w:r>
            <w:r>
              <w:rPr>
                <w:sz w:val="24"/>
              </w:rPr>
              <w:t>/d（</w:t>
            </w:r>
            <w:r>
              <w:rPr>
                <w:rFonts w:hint="eastAsia"/>
                <w:sz w:val="24"/>
              </w:rPr>
              <w:t>3</w:t>
            </w:r>
            <w:r>
              <w:rPr>
                <w:sz w:val="24"/>
              </w:rPr>
              <w:t>00m</w:t>
            </w:r>
            <w:r>
              <w:rPr>
                <w:sz w:val="24"/>
                <w:vertAlign w:val="superscript"/>
              </w:rPr>
              <w:t>3</w:t>
            </w:r>
            <w:r>
              <w:rPr>
                <w:sz w:val="24"/>
              </w:rPr>
              <w:t>/a），产污系数为0.9，则混凝土运输车辆外部清洗废水产生量为</w:t>
            </w:r>
            <w:r>
              <w:rPr>
                <w:rFonts w:hint="eastAsia"/>
                <w:sz w:val="24"/>
              </w:rPr>
              <w:t>0</w:t>
            </w:r>
            <w:r>
              <w:rPr>
                <w:sz w:val="24"/>
              </w:rPr>
              <w:t>.9m</w:t>
            </w:r>
            <w:r>
              <w:rPr>
                <w:sz w:val="24"/>
                <w:vertAlign w:val="superscript"/>
              </w:rPr>
              <w:t>3</w:t>
            </w:r>
            <w:r>
              <w:rPr>
                <w:sz w:val="24"/>
              </w:rPr>
              <w:t>/d（270m</w:t>
            </w:r>
            <w:r>
              <w:rPr>
                <w:sz w:val="24"/>
                <w:vertAlign w:val="superscript"/>
              </w:rPr>
              <w:t>3</w:t>
            </w:r>
            <w:r>
              <w:rPr>
                <w:sz w:val="24"/>
              </w:rPr>
              <w:t>/a），车辆外部清洗废水汇入沉淀池处理。</w:t>
            </w:r>
          </w:p>
          <w:p>
            <w:pPr>
              <w:spacing w:line="360" w:lineRule="auto"/>
              <w:ind w:firstLine="480" w:firstLineChars="200"/>
              <w:rPr>
                <w:sz w:val="24"/>
              </w:rPr>
            </w:pPr>
            <w:r>
              <w:rPr>
                <w:rFonts w:hint="eastAsia" w:ascii="宋体" w:hAnsi="宋体" w:cs="宋体"/>
                <w:sz w:val="24"/>
              </w:rPr>
              <w:t>③</w:t>
            </w:r>
            <w:r>
              <w:rPr>
                <w:sz w:val="24"/>
              </w:rPr>
              <w:t>降尘用水</w:t>
            </w:r>
          </w:p>
          <w:p>
            <w:pPr>
              <w:spacing w:line="360" w:lineRule="auto"/>
              <w:ind w:firstLine="480" w:firstLineChars="200"/>
              <w:rPr>
                <w:sz w:val="24"/>
              </w:rPr>
            </w:pPr>
            <w:r>
              <w:rPr>
                <w:sz w:val="24"/>
              </w:rPr>
              <w:t>项目降尘用水主要用于原料库喷雾降尘用水、厂区炮雾机、洒水车降尘用水。</w:t>
            </w:r>
          </w:p>
          <w:p>
            <w:pPr>
              <w:spacing w:line="360" w:lineRule="auto"/>
              <w:ind w:firstLine="480" w:firstLineChars="200"/>
              <w:rPr>
                <w:sz w:val="24"/>
              </w:rPr>
            </w:pPr>
            <w:r>
              <w:rPr>
                <w:sz w:val="24"/>
              </w:rPr>
              <w:t>原料库喷雾降尘用水：项目在原料库设置自动喷淋设施，适时对原料库无组织粉尘进行喷雾降尘，喷雾用水量按1.5L/m</w:t>
            </w:r>
            <w:r>
              <w:rPr>
                <w:sz w:val="24"/>
                <w:vertAlign w:val="superscript"/>
              </w:rPr>
              <w:t>2</w:t>
            </w:r>
            <w:r>
              <w:rPr>
                <w:sz w:val="24"/>
              </w:rPr>
              <w:t>•天计，原料库面积约为2070m</w:t>
            </w:r>
            <w:r>
              <w:rPr>
                <w:sz w:val="24"/>
                <w:vertAlign w:val="superscript"/>
              </w:rPr>
              <w:t>2</w:t>
            </w:r>
            <w:r>
              <w:rPr>
                <w:sz w:val="24"/>
              </w:rPr>
              <w:t>，则用水量为</w:t>
            </w:r>
            <w:r>
              <w:rPr>
                <w:rFonts w:hint="eastAsia"/>
                <w:sz w:val="24"/>
              </w:rPr>
              <w:t>3</w:t>
            </w:r>
            <w:r>
              <w:rPr>
                <w:sz w:val="24"/>
              </w:rPr>
              <w:t>.1m</w:t>
            </w:r>
            <w:r>
              <w:rPr>
                <w:sz w:val="24"/>
                <w:vertAlign w:val="superscript"/>
              </w:rPr>
              <w:t>3</w:t>
            </w:r>
            <w:r>
              <w:rPr>
                <w:sz w:val="24"/>
              </w:rPr>
              <w:t>/d（</w:t>
            </w:r>
            <w:r>
              <w:rPr>
                <w:rFonts w:hint="eastAsia"/>
                <w:sz w:val="24"/>
              </w:rPr>
              <w:t>9</w:t>
            </w:r>
            <w:r>
              <w:rPr>
                <w:sz w:val="24"/>
              </w:rPr>
              <w:t>30m</w:t>
            </w:r>
            <w:r>
              <w:rPr>
                <w:sz w:val="24"/>
                <w:vertAlign w:val="superscript"/>
              </w:rPr>
              <w:t>3</w:t>
            </w:r>
            <w:r>
              <w:rPr>
                <w:sz w:val="24"/>
              </w:rPr>
              <w:t>/a），该部分水均自然蒸发，无废水产生。</w:t>
            </w:r>
          </w:p>
          <w:p>
            <w:pPr>
              <w:spacing w:line="360" w:lineRule="auto"/>
              <w:ind w:firstLine="480" w:firstLineChars="200"/>
              <w:rPr>
                <w:sz w:val="24"/>
              </w:rPr>
            </w:pPr>
            <w:r>
              <w:rPr>
                <w:sz w:val="24"/>
              </w:rPr>
              <w:t>厂区炮雾机及洒水车降尘用水：</w:t>
            </w:r>
            <w:r>
              <w:rPr>
                <w:rFonts w:hint="eastAsia"/>
                <w:sz w:val="24"/>
              </w:rPr>
              <w:t>在车辆行驶频繁的运输处分别设两台炮雾机，生活区域面向生产区域设两台炮雾机，进行不定期降尘，该部分用水平均为2m³/</w:t>
            </w:r>
            <w:r>
              <w:rPr>
                <w:sz w:val="24"/>
              </w:rPr>
              <w:t>d</w:t>
            </w:r>
            <w:r>
              <w:rPr>
                <w:rFonts w:hint="eastAsia"/>
                <w:sz w:val="24"/>
              </w:rPr>
              <w:t>，设一洒水车对项目区域内硬化地区进行</w:t>
            </w:r>
            <w:r>
              <w:rPr>
                <w:sz w:val="24"/>
              </w:rPr>
              <w:t>进行</w:t>
            </w:r>
            <w:r>
              <w:rPr>
                <w:rFonts w:hint="eastAsia"/>
                <w:sz w:val="24"/>
              </w:rPr>
              <w:t>每天两次</w:t>
            </w:r>
            <w:r>
              <w:rPr>
                <w:sz w:val="24"/>
              </w:rPr>
              <w:t>洒水降尘，</w:t>
            </w:r>
            <w:r>
              <w:rPr>
                <w:rFonts w:hint="eastAsia"/>
                <w:sz w:val="24"/>
              </w:rPr>
              <w:t>用水量为3m³/</w:t>
            </w:r>
            <w:r>
              <w:rPr>
                <w:sz w:val="24"/>
              </w:rPr>
              <w:t>d</w:t>
            </w:r>
            <w:r>
              <w:rPr>
                <w:rFonts w:hint="eastAsia"/>
                <w:sz w:val="24"/>
              </w:rPr>
              <w:t>，合计5m³/</w:t>
            </w:r>
            <w:r>
              <w:rPr>
                <w:sz w:val="24"/>
              </w:rPr>
              <w:t>d</w:t>
            </w:r>
            <w:r>
              <w:rPr>
                <w:rFonts w:hint="eastAsia"/>
                <w:sz w:val="24"/>
              </w:rPr>
              <w:t>，用水时间以每年非雨天2</w:t>
            </w:r>
            <w:r>
              <w:rPr>
                <w:sz w:val="24"/>
              </w:rPr>
              <w:t>00</w:t>
            </w:r>
            <w:r>
              <w:rPr>
                <w:rFonts w:hint="eastAsia"/>
                <w:sz w:val="24"/>
              </w:rPr>
              <w:t>天计，则每年用水量为1</w:t>
            </w:r>
            <w:r>
              <w:rPr>
                <w:sz w:val="24"/>
              </w:rPr>
              <w:t>000</w:t>
            </w:r>
            <w:r>
              <w:rPr>
                <w:rFonts w:hint="eastAsia"/>
                <w:sz w:val="24"/>
              </w:rPr>
              <w:t>m³</w:t>
            </w:r>
            <w:r>
              <w:rPr>
                <w:sz w:val="24"/>
              </w:rPr>
              <w:t>/a</w:t>
            </w:r>
            <w:r>
              <w:rPr>
                <w:rFonts w:hint="eastAsia"/>
                <w:sz w:val="24"/>
              </w:rPr>
              <w:t>。</w:t>
            </w:r>
            <w:r>
              <w:rPr>
                <w:sz w:val="24"/>
              </w:rPr>
              <w:t>该部分水均自然蒸发，无废水产生。</w:t>
            </w:r>
          </w:p>
          <w:p>
            <w:pPr>
              <w:spacing w:line="360" w:lineRule="auto"/>
              <w:ind w:firstLine="480" w:firstLineChars="200"/>
              <w:rPr>
                <w:sz w:val="24"/>
              </w:rPr>
            </w:pPr>
            <w:r>
              <w:rPr>
                <w:rFonts w:hint="eastAsia" w:ascii="宋体" w:hAnsi="宋体" w:cs="宋体"/>
                <w:sz w:val="24"/>
              </w:rPr>
              <w:t>③</w:t>
            </w:r>
            <w:r>
              <w:rPr>
                <w:sz w:val="24"/>
              </w:rPr>
              <w:t>试验设备清洗废水</w:t>
            </w:r>
          </w:p>
          <w:p>
            <w:pPr>
              <w:spacing w:line="360" w:lineRule="auto"/>
              <w:ind w:firstLine="480" w:firstLineChars="200"/>
              <w:rPr>
                <w:sz w:val="24"/>
              </w:rPr>
            </w:pPr>
            <w:r>
              <w:rPr>
                <w:sz w:val="24"/>
              </w:rPr>
              <w:t>项目设置1个试验室，对混凝土进行强度等物理检测，不涉及化学实验。根据建设单位提供资料，试验设备清洗用水量为0.1m</w:t>
            </w:r>
            <w:r>
              <w:rPr>
                <w:sz w:val="24"/>
                <w:vertAlign w:val="superscript"/>
              </w:rPr>
              <w:t>3</w:t>
            </w:r>
            <w:r>
              <w:rPr>
                <w:sz w:val="24"/>
              </w:rPr>
              <w:t>/d，排水量按80%计，故排水量为0.08m</w:t>
            </w:r>
            <w:r>
              <w:rPr>
                <w:sz w:val="24"/>
                <w:vertAlign w:val="superscript"/>
              </w:rPr>
              <w:t>3</w:t>
            </w:r>
            <w:r>
              <w:rPr>
                <w:sz w:val="24"/>
              </w:rPr>
              <w:t>/d。</w:t>
            </w:r>
          </w:p>
          <w:p>
            <w:pPr>
              <w:spacing w:line="360" w:lineRule="auto"/>
              <w:ind w:firstLine="480" w:firstLineChars="200"/>
              <w:rPr>
                <w:sz w:val="24"/>
              </w:rPr>
            </w:pPr>
            <w:r>
              <w:rPr>
                <w:sz w:val="24"/>
              </w:rPr>
              <w:t>2）生活用水</w:t>
            </w:r>
          </w:p>
          <w:p>
            <w:pPr>
              <w:spacing w:line="360" w:lineRule="auto"/>
              <w:ind w:firstLine="480" w:firstLineChars="200"/>
              <w:rPr>
                <w:sz w:val="24"/>
              </w:rPr>
            </w:pPr>
            <w:r>
              <w:rPr>
                <w:sz w:val="24"/>
              </w:rPr>
              <w:t>运营期间工作人员共32人，年工作300天，均在项目内食宿，员工生活用水主要为食堂餐饮用水和盥洗用水。</w:t>
            </w:r>
          </w:p>
          <w:p>
            <w:pPr>
              <w:spacing w:line="360" w:lineRule="auto"/>
              <w:ind w:firstLine="480" w:firstLineChars="200"/>
              <w:rPr>
                <w:sz w:val="24"/>
              </w:rPr>
            </w:pPr>
            <w:r>
              <w:rPr>
                <w:sz w:val="24"/>
              </w:rPr>
              <w:t>根据《云南省地方标准用水定额》（DB53/T168-2019），本项目住宿员工32人，生活用水量按100L/（人·d）计，其中餐饮用水为20L/（人·d），则住宿员工生活盥洗用水量3.2m</w:t>
            </w:r>
            <w:r>
              <w:rPr>
                <w:sz w:val="24"/>
                <w:vertAlign w:val="superscript"/>
              </w:rPr>
              <w:t>3</w:t>
            </w:r>
            <w:r>
              <w:rPr>
                <w:sz w:val="24"/>
              </w:rPr>
              <w:t>/d、960m</w:t>
            </w:r>
            <w:r>
              <w:rPr>
                <w:sz w:val="24"/>
                <w:vertAlign w:val="superscript"/>
              </w:rPr>
              <w:t>3</w:t>
            </w:r>
            <w:r>
              <w:rPr>
                <w:sz w:val="24"/>
              </w:rPr>
              <w:t>/a，其中餐饮用水量为0.64m</w:t>
            </w:r>
            <w:r>
              <w:rPr>
                <w:sz w:val="24"/>
                <w:vertAlign w:val="superscript"/>
              </w:rPr>
              <w:t>3</w:t>
            </w:r>
            <w:r>
              <w:rPr>
                <w:sz w:val="24"/>
              </w:rPr>
              <w:t>/d，192m</w:t>
            </w:r>
            <w:r>
              <w:rPr>
                <w:sz w:val="24"/>
                <w:vertAlign w:val="superscript"/>
              </w:rPr>
              <w:t>3</w:t>
            </w:r>
            <w:r>
              <w:rPr>
                <w:sz w:val="24"/>
              </w:rPr>
              <w:t>/a，废水按用水量为80%计，则住宿员工废水量约为2.56m</w:t>
            </w:r>
            <w:r>
              <w:rPr>
                <w:sz w:val="24"/>
                <w:vertAlign w:val="superscript"/>
              </w:rPr>
              <w:t>3</w:t>
            </w:r>
            <w:r>
              <w:rPr>
                <w:sz w:val="24"/>
              </w:rPr>
              <w:t>/d，768m</w:t>
            </w:r>
            <w:r>
              <w:rPr>
                <w:sz w:val="24"/>
                <w:vertAlign w:val="superscript"/>
              </w:rPr>
              <w:t>3</w:t>
            </w:r>
            <w:r>
              <w:rPr>
                <w:sz w:val="24"/>
              </w:rPr>
              <w:t>/a，其中餐饮废水量为0.512m</w:t>
            </w:r>
            <w:r>
              <w:rPr>
                <w:sz w:val="24"/>
                <w:vertAlign w:val="superscript"/>
              </w:rPr>
              <w:t>3</w:t>
            </w:r>
            <w:r>
              <w:rPr>
                <w:sz w:val="24"/>
              </w:rPr>
              <w:t>/d，153.6m</w:t>
            </w:r>
            <w:r>
              <w:rPr>
                <w:sz w:val="24"/>
                <w:vertAlign w:val="superscript"/>
              </w:rPr>
              <w:t>3</w:t>
            </w:r>
            <w:r>
              <w:rPr>
                <w:sz w:val="24"/>
              </w:rPr>
              <w:t>/a。</w:t>
            </w:r>
          </w:p>
          <w:p>
            <w:pPr>
              <w:spacing w:line="360" w:lineRule="auto"/>
              <w:ind w:firstLine="480" w:firstLineChars="200"/>
              <w:rPr>
                <w:sz w:val="24"/>
              </w:rPr>
            </w:pPr>
            <w:r>
              <w:rPr>
                <w:sz w:val="24"/>
              </w:rPr>
              <w:t>生活废水中污染物浓度约为CODcr350mg/L、BOD250mg/L、SS200mg/L、氨氮30mg/L、动植物油25mg/L、磷酸盐8mg/L。项目食堂废水先经隔油池处理后，再同生活污水排入办公区域的化粪池，经化粪池处理后</w:t>
            </w:r>
            <w:r>
              <w:rPr>
                <w:rFonts w:hint="eastAsia"/>
                <w:sz w:val="24"/>
              </w:rPr>
              <w:t>用槽罐车外送污水处理厂处理</w:t>
            </w:r>
            <w:r>
              <w:rPr>
                <w:sz w:val="24"/>
              </w:rPr>
              <w:t>。</w:t>
            </w:r>
          </w:p>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3）初期雨水</w:t>
            </w:r>
          </w:p>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项目生活区域实行雨污分流制，生活区域雨水采用屋檐下排水沟排水，雨水最终进入小江。生产区域废水主要为清洗废水，因此不进行分流。生产区域散落有砂石粉尘等，需将雨水进行收集沉淀，设置雨水收集沟道，将雨水进行收集后引入三级沉淀池进行沉淀处理后作为生产使用或用于洒水降尘。项目初期雨水按照以下公式进行计算：</w:t>
            </w:r>
          </w:p>
          <w:p>
            <w:pPr>
              <w:autoSpaceDE w:val="0"/>
              <w:autoSpaceDN w:val="0"/>
              <w:adjustRightInd w:val="0"/>
              <w:snapToGrid w:val="0"/>
              <w:spacing w:line="360" w:lineRule="auto"/>
              <w:jc w:val="center"/>
              <w:rPr>
                <w:color w:val="000000"/>
                <w:kern w:val="0"/>
                <w:sz w:val="24"/>
              </w:rPr>
            </w:pPr>
            <w:r>
              <w:rPr>
                <w:color w:val="000000"/>
                <w:kern w:val="0"/>
                <w:sz w:val="24"/>
              </w:rPr>
              <w:t>Q=Ψ×q×F</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式中：Q——雨水流量（L/s）；</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Ψ——径流系数（混凝土和沥青路面取0.9）；</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q——设计暴雨强度（L/s·hm</w:t>
            </w:r>
            <w:r>
              <w:rPr>
                <w:color w:val="000000"/>
                <w:kern w:val="0"/>
                <w:sz w:val="24"/>
                <w:vertAlign w:val="superscript"/>
                <w:lang w:bidi="ar"/>
              </w:rPr>
              <w:t>2</w:t>
            </w:r>
            <w:r>
              <w:rPr>
                <w:color w:val="000000"/>
                <w:kern w:val="0"/>
                <w:sz w:val="24"/>
                <w:lang w:bidi="ar"/>
              </w:rPr>
              <w:t>）</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F——汇水面积（hm</w:t>
            </w:r>
            <w:r>
              <w:rPr>
                <w:color w:val="000000"/>
                <w:kern w:val="0"/>
                <w:sz w:val="24"/>
                <w:vertAlign w:val="superscript"/>
                <w:lang w:bidi="ar"/>
              </w:rPr>
              <w:t>2</w:t>
            </w:r>
            <w:r>
              <w:rPr>
                <w:color w:val="000000"/>
                <w:kern w:val="0"/>
                <w:sz w:val="24"/>
                <w:lang w:bidi="ar"/>
              </w:rPr>
              <w:t>，项目生产区面积0.1hm</w:t>
            </w:r>
            <w:r>
              <w:rPr>
                <w:color w:val="000000"/>
                <w:kern w:val="0"/>
                <w:sz w:val="24"/>
                <w:vertAlign w:val="superscript"/>
                <w:lang w:bidi="ar"/>
              </w:rPr>
              <w:t>2</w:t>
            </w:r>
            <w:r>
              <w:rPr>
                <w:color w:val="000000"/>
                <w:kern w:val="0"/>
                <w:sz w:val="24"/>
                <w:lang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降雨强度按昆明市暴雨强度公式计算：</w:t>
            </w:r>
          </w:p>
          <w:p>
            <w:pPr>
              <w:autoSpaceDE w:val="0"/>
              <w:autoSpaceDN w:val="0"/>
              <w:adjustRightInd w:val="0"/>
              <w:snapToGrid w:val="0"/>
              <w:spacing w:line="360" w:lineRule="auto"/>
              <w:jc w:val="center"/>
              <w:rPr>
                <w:color w:val="000000"/>
                <w:kern w:val="0"/>
                <w:sz w:val="24"/>
                <w:lang w:bidi="ar"/>
              </w:rPr>
            </w:pPr>
            <w:r>
              <w:rPr>
                <w:color w:val="000000"/>
                <w:kern w:val="0"/>
                <w:sz w:val="24"/>
                <w:lang w:bidi="ar"/>
              </w:rPr>
              <w:t>q=700（1+0.775lgP）/（t</w:t>
            </w:r>
            <w:r>
              <w:rPr>
                <w:color w:val="000000"/>
                <w:kern w:val="0"/>
                <w:sz w:val="24"/>
                <w:vertAlign w:val="superscript"/>
                <w:lang w:bidi="ar"/>
              </w:rPr>
              <w:t>0.496</w:t>
            </w:r>
            <w:r>
              <w:rPr>
                <w:color w:val="000000"/>
                <w:kern w:val="0"/>
                <w:sz w:val="24"/>
                <w:lang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式中：P——设计降雨重现期2</w:t>
            </w:r>
            <w:r>
              <w:rPr>
                <w:rFonts w:hint="eastAsia"/>
                <w:color w:val="000000"/>
                <w:kern w:val="0"/>
                <w:sz w:val="24"/>
                <w:lang w:bidi="ar"/>
              </w:rPr>
              <w:t>年</w:t>
            </w:r>
            <w:r>
              <w:rPr>
                <w:color w:val="000000"/>
                <w:kern w:val="0"/>
                <w:sz w:val="24"/>
                <w:lang w:bidi="ar"/>
              </w:rPr>
              <w:t>；</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t——降雨历时（min）；本次核算取降雨前15min；</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按照上述公式进行计算，项目暴雨天气时设计暴雨强度225.33L/s·hm</w:t>
            </w:r>
            <w:r>
              <w:rPr>
                <w:color w:val="000000"/>
                <w:kern w:val="0"/>
                <w:sz w:val="24"/>
                <w:vertAlign w:val="superscript"/>
                <w:lang w:bidi="ar"/>
              </w:rPr>
              <w:t>2</w:t>
            </w:r>
            <w:r>
              <w:rPr>
                <w:color w:val="000000"/>
                <w:kern w:val="0"/>
                <w:sz w:val="24"/>
                <w:lang w:bidi="ar"/>
              </w:rPr>
              <w:t>，即初期降雨15min汇水量为20.28m</w:t>
            </w:r>
            <w:r>
              <w:rPr>
                <w:color w:val="000000"/>
                <w:kern w:val="0"/>
                <w:sz w:val="24"/>
                <w:vertAlign w:val="superscript"/>
                <w:lang w:bidi="ar"/>
              </w:rPr>
              <w:t>3</w:t>
            </w:r>
            <w:r>
              <w:rPr>
                <w:color w:val="000000"/>
                <w:kern w:val="0"/>
                <w:sz w:val="24"/>
                <w:lang w:bidi="ar"/>
              </w:rPr>
              <w:t>/次。</w:t>
            </w:r>
          </w:p>
          <w:p>
            <w:pPr>
              <w:spacing w:line="360" w:lineRule="auto"/>
              <w:ind w:firstLine="480" w:firstLineChars="200"/>
              <w:rPr>
                <w:color w:val="000000"/>
                <w:kern w:val="0"/>
                <w:sz w:val="24"/>
                <w:lang w:bidi="ar"/>
              </w:rPr>
            </w:pPr>
            <w:r>
              <w:rPr>
                <w:color w:val="000000"/>
                <w:kern w:val="0"/>
                <w:sz w:val="24"/>
                <w:lang w:bidi="ar"/>
              </w:rPr>
              <w:t>经过计算，项目初期雨水量为20.28m</w:t>
            </w:r>
            <w:r>
              <w:rPr>
                <w:color w:val="000000"/>
                <w:kern w:val="0"/>
                <w:sz w:val="24"/>
                <w:vertAlign w:val="superscript"/>
                <w:lang w:bidi="ar"/>
              </w:rPr>
              <w:t>3</w:t>
            </w:r>
            <w:r>
              <w:rPr>
                <w:color w:val="000000"/>
                <w:kern w:val="0"/>
                <w:sz w:val="24"/>
                <w:lang w:bidi="ar"/>
              </w:rPr>
              <w:t>/次，初期雨水经过沉淀处理后可优先回用于生产过程或用于洒水降尘。</w:t>
            </w:r>
          </w:p>
          <w:p>
            <w:pPr>
              <w:spacing w:line="360" w:lineRule="auto"/>
              <w:ind w:firstLine="480" w:firstLineChars="200"/>
              <w:rPr>
                <w:color w:val="000000"/>
                <w:kern w:val="0"/>
                <w:sz w:val="24"/>
                <w:lang w:bidi="ar"/>
              </w:rPr>
            </w:pPr>
            <w:r>
              <w:rPr>
                <w:color w:val="000000"/>
                <w:kern w:val="0"/>
                <w:sz w:val="24"/>
                <w:lang w:bidi="ar"/>
              </w:rPr>
              <w:t>4）废水产排情况</w:t>
            </w:r>
          </w:p>
          <w:p>
            <w:pPr>
              <w:spacing w:line="360" w:lineRule="auto"/>
              <w:ind w:firstLine="480" w:firstLineChars="200"/>
              <w:rPr>
                <w:sz w:val="24"/>
              </w:rPr>
            </w:pPr>
            <w:r>
              <w:rPr>
                <w:sz w:val="24"/>
              </w:rPr>
              <w:t>项目用水及废水产生情况见表4-8。</w:t>
            </w:r>
          </w:p>
          <w:p>
            <w:pPr>
              <w:spacing w:line="360" w:lineRule="auto"/>
              <w:ind w:firstLine="422" w:firstLineChars="200"/>
              <w:jc w:val="center"/>
              <w:rPr>
                <w:b/>
                <w:bCs/>
              </w:rPr>
            </w:pPr>
            <w:r>
              <w:rPr>
                <w:b/>
                <w:bCs/>
              </w:rPr>
              <w:t>表4-</w:t>
            </w:r>
            <w:r>
              <w:rPr>
                <w:rFonts w:hint="eastAsia"/>
                <w:b/>
                <w:bCs/>
                <w:lang w:val="en-US" w:eastAsia="zh-CN"/>
              </w:rPr>
              <w:t>6</w:t>
            </w:r>
            <w:r>
              <w:rPr>
                <w:b/>
                <w:bCs/>
              </w:rPr>
              <w:t xml:space="preserve">  项目用水及废水产生情况统计表</w:t>
            </w:r>
          </w:p>
          <w:tbl>
            <w:tblPr>
              <w:tblStyle w:val="89"/>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72"/>
              <w:gridCol w:w="1073"/>
              <w:gridCol w:w="1332"/>
              <w:gridCol w:w="1311"/>
              <w:gridCol w:w="1145"/>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right"/>
              </w:trPr>
              <w:tc>
                <w:tcPr>
                  <w:tcW w:w="455" w:type="pct"/>
                  <w:shd w:val="clear" w:color="auto" w:fill="auto"/>
                  <w:vAlign w:val="center"/>
                </w:tcPr>
                <w:p>
                  <w:pPr>
                    <w:autoSpaceDE w:val="0"/>
                    <w:autoSpaceDN w:val="0"/>
                    <w:adjustRightInd w:val="0"/>
                    <w:snapToGrid w:val="0"/>
                    <w:jc w:val="center"/>
                    <w:rPr>
                      <w:color w:val="000000"/>
                      <w:kern w:val="0"/>
                      <w:szCs w:val="21"/>
                    </w:rPr>
                  </w:pPr>
                  <w:r>
                    <w:rPr>
                      <w:color w:val="000000"/>
                      <w:kern w:val="0"/>
                      <w:szCs w:val="21"/>
                    </w:rPr>
                    <w:t>用水</w:t>
                  </w:r>
                </w:p>
                <w:p>
                  <w:pPr>
                    <w:autoSpaceDE w:val="0"/>
                    <w:autoSpaceDN w:val="0"/>
                    <w:adjustRightInd w:val="0"/>
                    <w:snapToGrid w:val="0"/>
                    <w:jc w:val="center"/>
                    <w:rPr>
                      <w:color w:val="000000"/>
                      <w:spacing w:val="20"/>
                      <w:szCs w:val="21"/>
                    </w:rPr>
                  </w:pPr>
                  <w:r>
                    <w:rPr>
                      <w:color w:val="000000"/>
                      <w:kern w:val="0"/>
                      <w:szCs w:val="21"/>
                    </w:rPr>
                    <w:t>类别</w:t>
                  </w: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用水单位</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规模</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用水标准</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用水量</w:t>
                  </w:r>
                </w:p>
                <w:p>
                  <w:pPr>
                    <w:adjustRightInd w:val="0"/>
                    <w:snapToGrid w:val="0"/>
                    <w:jc w:val="center"/>
                    <w:rPr>
                      <w:color w:val="000000"/>
                      <w:spacing w:val="20"/>
                      <w:szCs w:val="21"/>
                    </w:rPr>
                  </w:pPr>
                  <w:r>
                    <w:rPr>
                      <w:color w:val="000000"/>
                      <w:spacing w:val="20"/>
                      <w:szCs w:val="21"/>
                    </w:rPr>
                    <w:t>m</w:t>
                  </w:r>
                  <w:r>
                    <w:rPr>
                      <w:color w:val="000000"/>
                      <w:spacing w:val="20"/>
                      <w:szCs w:val="21"/>
                      <w:vertAlign w:val="superscript"/>
                    </w:rPr>
                    <w:t>3</w:t>
                  </w:r>
                  <w:r>
                    <w:rPr>
                      <w:color w:val="000000"/>
                      <w:spacing w:val="20"/>
                      <w:szCs w:val="21"/>
                    </w:rPr>
                    <w:t>/d</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废水量</w:t>
                  </w:r>
                </w:p>
                <w:p>
                  <w:pPr>
                    <w:adjustRightInd w:val="0"/>
                    <w:snapToGrid w:val="0"/>
                    <w:jc w:val="center"/>
                    <w:rPr>
                      <w:color w:val="000000"/>
                      <w:spacing w:val="20"/>
                      <w:szCs w:val="21"/>
                    </w:rPr>
                  </w:pPr>
                  <w:r>
                    <w:rPr>
                      <w:color w:val="000000"/>
                      <w:spacing w:val="20"/>
                      <w:szCs w:val="21"/>
                    </w:rPr>
                    <w:t>m</w:t>
                  </w:r>
                  <w:r>
                    <w:rPr>
                      <w:color w:val="000000"/>
                      <w:spacing w:val="20"/>
                      <w:szCs w:val="21"/>
                      <w:vertAlign w:val="superscript"/>
                    </w:rPr>
                    <w:t>3</w:t>
                  </w:r>
                  <w:r>
                    <w:rPr>
                      <w:color w:val="000000"/>
                      <w:spacing w:val="20"/>
                      <w:szCs w:val="21"/>
                    </w:rPr>
                    <w:t>/d</w:t>
                  </w:r>
                </w:p>
              </w:tc>
              <w:tc>
                <w:tcPr>
                  <w:tcW w:w="570" w:type="pct"/>
                  <w:shd w:val="clear" w:color="auto" w:fill="auto"/>
                  <w:vAlign w:val="center"/>
                </w:tcPr>
                <w:p>
                  <w:pPr>
                    <w:adjustRightInd w:val="0"/>
                    <w:snapToGrid w:val="0"/>
                    <w:jc w:val="center"/>
                    <w:rPr>
                      <w:color w:val="000000"/>
                      <w:spacing w:val="20"/>
                      <w:szCs w:val="21"/>
                    </w:rPr>
                  </w:pPr>
                  <w:r>
                    <w:rPr>
                      <w:color w:val="000000"/>
                      <w:spacing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restart"/>
                  <w:shd w:val="clear" w:color="auto" w:fill="auto"/>
                  <w:vAlign w:val="center"/>
                </w:tcPr>
                <w:p>
                  <w:pPr>
                    <w:autoSpaceDE w:val="0"/>
                    <w:autoSpaceDN w:val="0"/>
                    <w:adjustRightInd w:val="0"/>
                    <w:jc w:val="center"/>
                    <w:rPr>
                      <w:color w:val="000000"/>
                      <w:kern w:val="0"/>
                      <w:szCs w:val="21"/>
                    </w:rPr>
                  </w:pPr>
                  <w:bookmarkStart w:id="32" w:name="_Hlk113279032"/>
                  <w:r>
                    <w:rPr>
                      <w:color w:val="000000"/>
                      <w:kern w:val="0"/>
                      <w:szCs w:val="21"/>
                    </w:rPr>
                    <w:t>生产</w:t>
                  </w:r>
                </w:p>
                <w:p>
                  <w:pPr>
                    <w:autoSpaceDE w:val="0"/>
                    <w:autoSpaceDN w:val="0"/>
                    <w:adjustRightInd w:val="0"/>
                    <w:jc w:val="center"/>
                    <w:rPr>
                      <w:snapToGrid w:val="0"/>
                      <w:color w:val="000000"/>
                      <w:kern w:val="21"/>
                      <w:sz w:val="24"/>
                    </w:rPr>
                  </w:pPr>
                  <w:r>
                    <w:rPr>
                      <w:color w:val="000000"/>
                      <w:kern w:val="0"/>
                      <w:szCs w:val="21"/>
                    </w:rPr>
                    <w:t>用水</w:t>
                  </w: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搅拌工艺用水</w:t>
                  </w:r>
                </w:p>
              </w:tc>
              <w:tc>
                <w:tcPr>
                  <w:tcW w:w="684" w:type="pct"/>
                  <w:shd w:val="clear" w:color="auto" w:fill="auto"/>
                  <w:vAlign w:val="center"/>
                </w:tcPr>
                <w:p>
                  <w:pPr>
                    <w:adjustRightInd w:val="0"/>
                    <w:snapToGrid w:val="0"/>
                    <w:jc w:val="center"/>
                    <w:rPr>
                      <w:snapToGrid w:val="0"/>
                      <w:color w:val="000000"/>
                      <w:kern w:val="21"/>
                      <w:sz w:val="24"/>
                    </w:rPr>
                  </w:pPr>
                  <w:r>
                    <w:rPr>
                      <w:color w:val="000000"/>
                      <w:spacing w:val="20"/>
                      <w:szCs w:val="21"/>
                    </w:rPr>
                    <w:t>6万m</w:t>
                  </w:r>
                  <w:r>
                    <w:rPr>
                      <w:color w:val="000000"/>
                      <w:spacing w:val="20"/>
                      <w:szCs w:val="21"/>
                      <w:vertAlign w:val="superscript"/>
                    </w:rPr>
                    <w:t>3</w:t>
                  </w:r>
                  <w:r>
                    <w:rPr>
                      <w:color w:val="000000"/>
                      <w:spacing w:val="20"/>
                      <w:szCs w:val="21"/>
                    </w:rPr>
                    <w:t>/a</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0.15m</w:t>
                  </w:r>
                  <w:r>
                    <w:rPr>
                      <w:color w:val="000000"/>
                      <w:spacing w:val="20"/>
                      <w:szCs w:val="21"/>
                      <w:vertAlign w:val="superscript"/>
                    </w:rPr>
                    <w:t>3</w:t>
                  </w:r>
                  <w:r>
                    <w:rPr>
                      <w:color w:val="000000"/>
                      <w:spacing w:val="20"/>
                      <w:szCs w:val="21"/>
                    </w:rPr>
                    <w:t>/m</w:t>
                  </w:r>
                  <w:r>
                    <w:rPr>
                      <w:color w:val="000000"/>
                      <w:spacing w:val="20"/>
                      <w:szCs w:val="21"/>
                      <w:vertAlign w:val="superscript"/>
                    </w:rPr>
                    <w:t>3</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30</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w:t>
                  </w:r>
                </w:p>
              </w:tc>
              <w:tc>
                <w:tcPr>
                  <w:tcW w:w="570" w:type="pct"/>
                  <w:shd w:val="clear" w:color="auto" w:fill="auto"/>
                  <w:vAlign w:val="center"/>
                </w:tcPr>
                <w:p>
                  <w:pPr>
                    <w:adjustRightInd w:val="0"/>
                    <w:snapToGrid w:val="0"/>
                    <w:jc w:val="center"/>
                    <w:rPr>
                      <w:snapToGrid w:val="0"/>
                      <w:color w:val="000000"/>
                      <w:kern w:val="21"/>
                      <w:sz w:val="24"/>
                    </w:rPr>
                  </w:pPr>
                  <w:r>
                    <w:rPr>
                      <w:color w:val="000000"/>
                      <w:spacing w:val="20"/>
                      <w:szCs w:val="21"/>
                    </w:rPr>
                    <w:t>产品带走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搅拌机清洗用水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1台搅拌机</w:t>
                  </w:r>
                </w:p>
              </w:tc>
              <w:tc>
                <w:tcPr>
                  <w:tcW w:w="849" w:type="pct"/>
                  <w:shd w:val="clear" w:color="auto" w:fill="auto"/>
                  <w:vAlign w:val="center"/>
                </w:tcPr>
                <w:p>
                  <w:pPr>
                    <w:autoSpaceDE w:val="0"/>
                    <w:autoSpaceDN w:val="0"/>
                    <w:adjustRightInd w:val="0"/>
                    <w:jc w:val="center"/>
                    <w:rPr>
                      <w:color w:val="000000"/>
                      <w:spacing w:val="20"/>
                      <w:szCs w:val="21"/>
                    </w:rPr>
                  </w:pPr>
                  <w:r>
                    <w:rPr>
                      <w:color w:val="000000"/>
                      <w:spacing w:val="20"/>
                      <w:szCs w:val="21"/>
                    </w:rPr>
                    <w:t>1m</w:t>
                  </w:r>
                  <w:r>
                    <w:rPr>
                      <w:color w:val="000000"/>
                      <w:spacing w:val="20"/>
                      <w:szCs w:val="21"/>
                      <w:vertAlign w:val="superscript"/>
                    </w:rPr>
                    <w:t>3</w:t>
                  </w:r>
                  <w:r>
                    <w:rPr>
                      <w:color w:val="000000"/>
                      <w:spacing w:val="20"/>
                      <w:szCs w:val="21"/>
                    </w:rPr>
                    <w:t>/次•d</w:t>
                  </w:r>
                </w:p>
                <w:p>
                  <w:pPr>
                    <w:adjustRightInd w:val="0"/>
                    <w:snapToGrid w:val="0"/>
                    <w:jc w:val="center"/>
                    <w:rPr>
                      <w:color w:val="000000"/>
                      <w:spacing w:val="20"/>
                      <w:szCs w:val="21"/>
                    </w:rPr>
                  </w:pPr>
                  <w:r>
                    <w:rPr>
                      <w:color w:val="000000"/>
                      <w:spacing w:val="20"/>
                      <w:szCs w:val="21"/>
                    </w:rPr>
                    <w:t>每天1次</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0.9</w:t>
                  </w:r>
                </w:p>
              </w:tc>
              <w:tc>
                <w:tcPr>
                  <w:tcW w:w="570" w:type="pct"/>
                  <w:vMerge w:val="restart"/>
                  <w:shd w:val="clear" w:color="auto" w:fill="auto"/>
                  <w:vAlign w:val="center"/>
                </w:tcPr>
                <w:p>
                  <w:pPr>
                    <w:autoSpaceDE w:val="0"/>
                    <w:autoSpaceDN w:val="0"/>
                    <w:adjustRightInd w:val="0"/>
                    <w:jc w:val="left"/>
                    <w:rPr>
                      <w:color w:val="000000"/>
                      <w:spacing w:val="20"/>
                      <w:szCs w:val="21"/>
                    </w:rPr>
                  </w:pPr>
                  <w:r>
                    <w:rPr>
                      <w:color w:val="000000"/>
                      <w:kern w:val="0"/>
                      <w:szCs w:val="21"/>
                    </w:rPr>
                    <w:t>处理后回用于生产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罐体清洗用水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20辆次/d</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0.15m</w:t>
                  </w:r>
                  <w:r>
                    <w:rPr>
                      <w:color w:val="000000"/>
                      <w:spacing w:val="20"/>
                      <w:szCs w:val="21"/>
                      <w:vertAlign w:val="superscript"/>
                    </w:rPr>
                    <w:t>3</w:t>
                  </w:r>
                  <w:r>
                    <w:rPr>
                      <w:color w:val="000000"/>
                      <w:spacing w:val="20"/>
                      <w:szCs w:val="21"/>
                    </w:rPr>
                    <w:t>/d•辆</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3</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2.7</w:t>
                  </w:r>
                </w:p>
              </w:tc>
              <w:tc>
                <w:tcPr>
                  <w:tcW w:w="570" w:type="pct"/>
                  <w:vMerge w:val="continue"/>
                  <w:shd w:val="clear" w:color="auto" w:fill="auto"/>
                  <w:vAlign w:val="center"/>
                </w:tcPr>
                <w:p>
                  <w:pPr>
                    <w:adjustRightInd w:val="0"/>
                    <w:snapToGrid w:val="0"/>
                    <w:jc w:val="center"/>
                    <w:rPr>
                      <w:snapToGrid w:val="0"/>
                      <w:color w:val="000000"/>
                      <w:kern w:val="2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utoSpaceDE w:val="0"/>
                    <w:autoSpaceDN w:val="0"/>
                    <w:adjustRightInd w:val="0"/>
                    <w:snapToGrid w:val="0"/>
                    <w:jc w:val="center"/>
                    <w:rPr>
                      <w:color w:val="000000"/>
                      <w:spacing w:val="20"/>
                      <w:szCs w:val="21"/>
                    </w:rPr>
                  </w:pPr>
                  <w:r>
                    <w:rPr>
                      <w:color w:val="000000"/>
                      <w:spacing w:val="20"/>
                      <w:szCs w:val="21"/>
                    </w:rPr>
                    <w:t>车辆外部清洗用水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20辆次/d</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0.05m</w:t>
                  </w:r>
                  <w:r>
                    <w:rPr>
                      <w:color w:val="000000"/>
                      <w:spacing w:val="20"/>
                      <w:szCs w:val="21"/>
                      <w:vertAlign w:val="superscript"/>
                    </w:rPr>
                    <w:t>3</w:t>
                  </w:r>
                  <w:r>
                    <w:rPr>
                      <w:color w:val="000000"/>
                      <w:spacing w:val="20"/>
                      <w:szCs w:val="21"/>
                    </w:rPr>
                    <w:t>/d•辆</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0.9</w:t>
                  </w:r>
                </w:p>
              </w:tc>
              <w:tc>
                <w:tcPr>
                  <w:tcW w:w="570" w:type="pct"/>
                  <w:vMerge w:val="continue"/>
                  <w:shd w:val="clear" w:color="auto" w:fill="auto"/>
                  <w:vAlign w:val="center"/>
                </w:tcPr>
                <w:p>
                  <w:pPr>
                    <w:adjustRightInd w:val="0"/>
                    <w:snapToGrid w:val="0"/>
                    <w:jc w:val="center"/>
                    <w:rPr>
                      <w:snapToGrid w:val="0"/>
                      <w:color w:val="000000"/>
                      <w:kern w:val="2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原料库喷雾降尘用水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2070m</w:t>
                  </w:r>
                  <w:r>
                    <w:rPr>
                      <w:color w:val="000000"/>
                      <w:spacing w:val="20"/>
                      <w:szCs w:val="21"/>
                      <w:vertAlign w:val="superscript"/>
                    </w:rPr>
                    <w:t>2</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1.5L/m</w:t>
                  </w:r>
                  <w:r>
                    <w:rPr>
                      <w:color w:val="000000"/>
                      <w:spacing w:val="20"/>
                      <w:szCs w:val="21"/>
                      <w:vertAlign w:val="superscript"/>
                    </w:rPr>
                    <w:t>2</w:t>
                  </w:r>
                  <w:r>
                    <w:rPr>
                      <w:color w:val="000000"/>
                      <w:spacing w:val="20"/>
                      <w:szCs w:val="21"/>
                    </w:rPr>
                    <w:t>•d</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3.1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w:t>
                  </w:r>
                </w:p>
              </w:tc>
              <w:tc>
                <w:tcPr>
                  <w:tcW w:w="570" w:type="pct"/>
                  <w:vMerge w:val="restart"/>
                  <w:shd w:val="clear" w:color="auto" w:fill="auto"/>
                  <w:vAlign w:val="center"/>
                </w:tcPr>
                <w:p>
                  <w:pPr>
                    <w:autoSpaceDE w:val="0"/>
                    <w:autoSpaceDN w:val="0"/>
                    <w:adjustRightInd w:val="0"/>
                    <w:jc w:val="center"/>
                    <w:rPr>
                      <w:color w:val="000000"/>
                      <w:kern w:val="0"/>
                      <w:szCs w:val="21"/>
                    </w:rPr>
                  </w:pPr>
                  <w:r>
                    <w:rPr>
                      <w:color w:val="000000"/>
                      <w:kern w:val="0"/>
                      <w:szCs w:val="21"/>
                    </w:rPr>
                    <w:t>自然</w:t>
                  </w:r>
                </w:p>
                <w:p>
                  <w:pPr>
                    <w:autoSpaceDE w:val="0"/>
                    <w:autoSpaceDN w:val="0"/>
                    <w:adjustRightInd w:val="0"/>
                    <w:jc w:val="center"/>
                    <w:rPr>
                      <w:snapToGrid w:val="0"/>
                      <w:color w:val="000000"/>
                      <w:kern w:val="21"/>
                      <w:sz w:val="24"/>
                    </w:rPr>
                  </w:pPr>
                  <w:r>
                    <w:rPr>
                      <w:color w:val="000000"/>
                      <w:kern w:val="0"/>
                      <w:szCs w:val="21"/>
                    </w:rPr>
                    <w:t>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厂区</w:t>
                  </w:r>
                  <w:r>
                    <w:rPr>
                      <w:rFonts w:hint="eastAsia"/>
                      <w:color w:val="000000"/>
                      <w:spacing w:val="20"/>
                      <w:szCs w:val="21"/>
                    </w:rPr>
                    <w:t>洒水</w:t>
                  </w:r>
                  <w:r>
                    <w:rPr>
                      <w:color w:val="000000"/>
                      <w:spacing w:val="20"/>
                      <w:szCs w:val="21"/>
                    </w:rPr>
                    <w:t>尘用水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3000m</w:t>
                  </w:r>
                  <w:r>
                    <w:rPr>
                      <w:color w:val="000000"/>
                      <w:spacing w:val="20"/>
                      <w:szCs w:val="21"/>
                      <w:vertAlign w:val="superscript"/>
                    </w:rPr>
                    <w:t>2</w:t>
                  </w:r>
                </w:p>
              </w:tc>
              <w:tc>
                <w:tcPr>
                  <w:tcW w:w="849"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5</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w:t>
                  </w:r>
                </w:p>
              </w:tc>
              <w:tc>
                <w:tcPr>
                  <w:tcW w:w="570" w:type="pct"/>
                  <w:vMerge w:val="continue"/>
                  <w:shd w:val="clear" w:color="auto" w:fill="auto"/>
                  <w:vAlign w:val="center"/>
                </w:tcPr>
                <w:p>
                  <w:pPr>
                    <w:adjustRightInd w:val="0"/>
                    <w:snapToGrid w:val="0"/>
                    <w:jc w:val="center"/>
                    <w:rPr>
                      <w:snapToGrid w:val="0"/>
                      <w:color w:val="000000"/>
                      <w:kern w:val="2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试验设备清洗用水</w:t>
                  </w:r>
                </w:p>
              </w:tc>
              <w:tc>
                <w:tcPr>
                  <w:tcW w:w="684"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c>
                <w:tcPr>
                  <w:tcW w:w="849" w:type="pct"/>
                  <w:shd w:val="clear" w:color="auto" w:fill="auto"/>
                  <w:vAlign w:val="center"/>
                </w:tcPr>
                <w:p>
                  <w:pPr>
                    <w:adjustRightInd w:val="0"/>
                    <w:snapToGrid w:val="0"/>
                    <w:jc w:val="center"/>
                    <w:rPr>
                      <w:color w:val="000000"/>
                      <w:spacing w:val="20"/>
                      <w:szCs w:val="21"/>
                    </w:rPr>
                  </w:pPr>
                  <w:r>
                    <w:rPr>
                      <w:snapToGrid w:val="0"/>
                      <w:color w:val="000000"/>
                      <w:kern w:val="21"/>
                      <w:sz w:val="24"/>
                    </w:rPr>
                    <w:t>—</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0.1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0.08</w:t>
                  </w:r>
                </w:p>
              </w:tc>
              <w:tc>
                <w:tcPr>
                  <w:tcW w:w="570" w:type="pct"/>
                  <w:shd w:val="clear" w:color="auto" w:fill="auto"/>
                  <w:vAlign w:val="center"/>
                </w:tcPr>
                <w:p>
                  <w:pPr>
                    <w:autoSpaceDE w:val="0"/>
                    <w:autoSpaceDN w:val="0"/>
                    <w:adjustRightInd w:val="0"/>
                    <w:jc w:val="left"/>
                    <w:rPr>
                      <w:snapToGrid w:val="0"/>
                      <w:color w:val="000000"/>
                      <w:kern w:val="21"/>
                      <w:sz w:val="24"/>
                    </w:rPr>
                  </w:pPr>
                  <w:r>
                    <w:rPr>
                      <w:color w:val="000000"/>
                      <w:kern w:val="0"/>
                      <w:szCs w:val="21"/>
                    </w:rPr>
                    <w:t>处理后回用于生产</w:t>
                  </w:r>
                </w:p>
              </w:tc>
            </w:tr>
            <w:bookmarkEnd w:id="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小计</w:t>
                  </w:r>
                </w:p>
              </w:tc>
              <w:tc>
                <w:tcPr>
                  <w:tcW w:w="684"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c>
                <w:tcPr>
                  <w:tcW w:w="849"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4</w:t>
                  </w:r>
                  <w:r>
                    <w:rPr>
                      <w:color w:val="000000"/>
                      <w:spacing w:val="20"/>
                      <w:szCs w:val="21"/>
                    </w:rPr>
                    <w:t>3.2</w:t>
                  </w:r>
                </w:p>
              </w:tc>
              <w:tc>
                <w:tcPr>
                  <w:tcW w:w="730"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4</w:t>
                  </w:r>
                  <w:r>
                    <w:rPr>
                      <w:color w:val="000000"/>
                      <w:spacing w:val="20"/>
                      <w:szCs w:val="21"/>
                    </w:rPr>
                    <w:t>.58</w:t>
                  </w:r>
                </w:p>
              </w:tc>
              <w:tc>
                <w:tcPr>
                  <w:tcW w:w="570"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restart"/>
                  <w:shd w:val="clear" w:color="auto" w:fill="auto"/>
                  <w:vAlign w:val="center"/>
                </w:tcPr>
                <w:p>
                  <w:pPr>
                    <w:autoSpaceDE w:val="0"/>
                    <w:autoSpaceDN w:val="0"/>
                    <w:adjustRightInd w:val="0"/>
                    <w:jc w:val="center"/>
                    <w:rPr>
                      <w:color w:val="000000"/>
                      <w:kern w:val="0"/>
                      <w:szCs w:val="21"/>
                    </w:rPr>
                  </w:pPr>
                  <w:r>
                    <w:rPr>
                      <w:color w:val="000000"/>
                      <w:kern w:val="0"/>
                      <w:szCs w:val="21"/>
                    </w:rPr>
                    <w:t>生活</w:t>
                  </w:r>
                </w:p>
                <w:p>
                  <w:pPr>
                    <w:adjustRightInd w:val="0"/>
                    <w:snapToGrid w:val="0"/>
                    <w:jc w:val="center"/>
                    <w:rPr>
                      <w:snapToGrid w:val="0"/>
                      <w:color w:val="000000"/>
                      <w:kern w:val="21"/>
                      <w:sz w:val="24"/>
                    </w:rPr>
                  </w:pPr>
                  <w:r>
                    <w:rPr>
                      <w:color w:val="000000"/>
                      <w:kern w:val="0"/>
                      <w:szCs w:val="21"/>
                    </w:rPr>
                    <w:t>用水</w:t>
                  </w: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盥洗</w:t>
                  </w:r>
                </w:p>
                <w:p>
                  <w:pPr>
                    <w:adjustRightInd w:val="0"/>
                    <w:snapToGrid w:val="0"/>
                    <w:jc w:val="center"/>
                    <w:rPr>
                      <w:color w:val="000000"/>
                      <w:spacing w:val="20"/>
                      <w:szCs w:val="21"/>
                    </w:rPr>
                  </w:pPr>
                  <w:r>
                    <w:rPr>
                      <w:color w:val="000000"/>
                      <w:spacing w:val="20"/>
                      <w:szCs w:val="21"/>
                    </w:rPr>
                    <w:t>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32人</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80L/人•d</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2</w:t>
                  </w:r>
                  <w:r>
                    <w:rPr>
                      <w:color w:val="000000"/>
                      <w:spacing w:val="20"/>
                      <w:szCs w:val="21"/>
                    </w:rPr>
                    <w:t>.56</w:t>
                  </w:r>
                </w:p>
              </w:tc>
              <w:tc>
                <w:tcPr>
                  <w:tcW w:w="730"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2</w:t>
                  </w:r>
                  <w:r>
                    <w:rPr>
                      <w:color w:val="000000"/>
                      <w:spacing w:val="20"/>
                      <w:szCs w:val="21"/>
                    </w:rPr>
                    <w:t>.048</w:t>
                  </w:r>
                </w:p>
              </w:tc>
              <w:tc>
                <w:tcPr>
                  <w:tcW w:w="570" w:type="pct"/>
                  <w:vMerge w:val="restart"/>
                  <w:shd w:val="clear" w:color="auto" w:fill="auto"/>
                  <w:vAlign w:val="center"/>
                </w:tcPr>
                <w:p>
                  <w:pPr>
                    <w:autoSpaceDE w:val="0"/>
                    <w:autoSpaceDN w:val="0"/>
                    <w:adjustRightInd w:val="0"/>
                    <w:jc w:val="left"/>
                    <w:rPr>
                      <w:color w:val="000000"/>
                      <w:spacing w:val="20"/>
                      <w:szCs w:val="21"/>
                    </w:rPr>
                  </w:pPr>
                  <w:r>
                    <w:rPr>
                      <w:rFonts w:hint="eastAsia"/>
                      <w:color w:val="000000"/>
                      <w:kern w:val="0"/>
                      <w:szCs w:val="21"/>
                    </w:rPr>
                    <w:t>用槽罐车外送污水处理厂处理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left"/>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餐饮</w:t>
                  </w:r>
                </w:p>
                <w:p>
                  <w:pPr>
                    <w:adjustRightInd w:val="0"/>
                    <w:snapToGrid w:val="0"/>
                    <w:jc w:val="center"/>
                    <w:rPr>
                      <w:color w:val="000000"/>
                      <w:spacing w:val="20"/>
                      <w:szCs w:val="21"/>
                    </w:rPr>
                  </w:pPr>
                  <w:r>
                    <w:rPr>
                      <w:color w:val="000000"/>
                      <w:spacing w:val="20"/>
                      <w:szCs w:val="21"/>
                    </w:rPr>
                    <w:t>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32人</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20L/人•d</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0</w:t>
                  </w:r>
                  <w:r>
                    <w:rPr>
                      <w:color w:val="000000"/>
                      <w:spacing w:val="20"/>
                      <w:szCs w:val="21"/>
                    </w:rPr>
                    <w:t>.64</w:t>
                  </w:r>
                </w:p>
              </w:tc>
              <w:tc>
                <w:tcPr>
                  <w:tcW w:w="730"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0</w:t>
                  </w:r>
                  <w:r>
                    <w:rPr>
                      <w:color w:val="000000"/>
                      <w:spacing w:val="20"/>
                      <w:szCs w:val="21"/>
                    </w:rPr>
                    <w:t>.512</w:t>
                  </w:r>
                </w:p>
              </w:tc>
              <w:tc>
                <w:tcPr>
                  <w:tcW w:w="570" w:type="pct"/>
                  <w:vMerge w:val="continue"/>
                  <w:shd w:val="clear" w:color="auto" w:fill="auto"/>
                  <w:vAlign w:val="center"/>
                </w:tcPr>
                <w:p>
                  <w:pPr>
                    <w:adjustRightInd w:val="0"/>
                    <w:snapToGrid w:val="0"/>
                    <w:jc w:val="center"/>
                    <w:rPr>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shd w:val="clear" w:color="auto" w:fill="auto"/>
                </w:tcPr>
                <w:p>
                  <w:pPr>
                    <w:autoSpaceDE w:val="0"/>
                    <w:autoSpaceDN w:val="0"/>
                    <w:adjustRightInd w:val="0"/>
                    <w:jc w:val="left"/>
                    <w:rPr>
                      <w:color w:val="000000"/>
                      <w:kern w:val="0"/>
                      <w:szCs w:val="21"/>
                    </w:rPr>
                  </w:pPr>
                  <w:r>
                    <w:rPr>
                      <w:rFonts w:hint="eastAsia"/>
                      <w:color w:val="000000"/>
                      <w:kern w:val="0"/>
                      <w:szCs w:val="21"/>
                    </w:rPr>
                    <w:t>合计</w:t>
                  </w:r>
                </w:p>
              </w:tc>
              <w:tc>
                <w:tcPr>
                  <w:tcW w:w="875"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684"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849"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4</w:t>
                  </w:r>
                  <w:r>
                    <w:rPr>
                      <w:color w:val="000000"/>
                      <w:spacing w:val="20"/>
                      <w:szCs w:val="21"/>
                    </w:rPr>
                    <w:t>6.4</w:t>
                  </w:r>
                </w:p>
              </w:tc>
              <w:tc>
                <w:tcPr>
                  <w:tcW w:w="730" w:type="pct"/>
                  <w:shd w:val="clear" w:color="auto" w:fill="auto"/>
                  <w:vAlign w:val="center"/>
                </w:tcPr>
                <w:p>
                  <w:pPr>
                    <w:adjustRightInd w:val="0"/>
                    <w:snapToGrid w:val="0"/>
                    <w:jc w:val="center"/>
                    <w:rPr>
                      <w:color w:val="000000"/>
                      <w:spacing w:val="20"/>
                      <w:szCs w:val="21"/>
                    </w:rPr>
                  </w:pPr>
                </w:p>
              </w:tc>
              <w:tc>
                <w:tcPr>
                  <w:tcW w:w="570" w:type="pct"/>
                  <w:shd w:val="clear" w:color="auto" w:fill="auto"/>
                  <w:vAlign w:val="center"/>
                </w:tcPr>
                <w:p>
                  <w:pPr>
                    <w:adjustRightInd w:val="0"/>
                    <w:snapToGrid w:val="0"/>
                    <w:jc w:val="center"/>
                    <w:rPr>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1330" w:type="pct"/>
                  <w:gridSpan w:val="2"/>
                  <w:shd w:val="clear" w:color="auto" w:fill="auto"/>
                  <w:vAlign w:val="center"/>
                </w:tcPr>
                <w:p>
                  <w:pPr>
                    <w:adjustRightInd w:val="0"/>
                    <w:snapToGrid w:val="0"/>
                    <w:jc w:val="center"/>
                    <w:rPr>
                      <w:color w:val="000000"/>
                      <w:spacing w:val="20"/>
                      <w:szCs w:val="21"/>
                    </w:rPr>
                  </w:pPr>
                  <w:r>
                    <w:rPr>
                      <w:color w:val="000000"/>
                      <w:kern w:val="0"/>
                      <w:szCs w:val="21"/>
                    </w:rPr>
                    <w:t>初期雨水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0.3</w:t>
                  </w:r>
                </w:p>
                <w:p>
                  <w:pPr>
                    <w:adjustRightInd w:val="0"/>
                    <w:snapToGrid w:val="0"/>
                    <w:jc w:val="center"/>
                    <w:rPr>
                      <w:color w:val="000000"/>
                      <w:spacing w:val="20"/>
                      <w:szCs w:val="21"/>
                    </w:rPr>
                  </w:pPr>
                  <w:r>
                    <w:rPr>
                      <w:color w:val="000000"/>
                      <w:spacing w:val="20"/>
                      <w:szCs w:val="21"/>
                    </w:rPr>
                    <w:t>hm</w:t>
                  </w:r>
                  <w:r>
                    <w:rPr>
                      <w:color w:val="000000"/>
                      <w:spacing w:val="20"/>
                      <w:szCs w:val="21"/>
                      <w:vertAlign w:val="superscript"/>
                    </w:rPr>
                    <w:t>2</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225.33</w:t>
                  </w:r>
                </w:p>
                <w:p>
                  <w:pPr>
                    <w:adjustRightInd w:val="0"/>
                    <w:snapToGrid w:val="0"/>
                    <w:jc w:val="center"/>
                    <w:rPr>
                      <w:color w:val="000000"/>
                      <w:spacing w:val="20"/>
                      <w:szCs w:val="21"/>
                    </w:rPr>
                  </w:pPr>
                  <w:r>
                    <w:rPr>
                      <w:color w:val="000000"/>
                      <w:spacing w:val="20"/>
                      <w:szCs w:val="21"/>
                    </w:rPr>
                    <w:t>L/s·hm</w:t>
                  </w:r>
                  <w:r>
                    <w:rPr>
                      <w:color w:val="000000"/>
                      <w:spacing w:val="20"/>
                      <w:szCs w:val="21"/>
                      <w:vertAlign w:val="superscript"/>
                    </w:rPr>
                    <w:t>2</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20.28/次</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w:t>
                  </w:r>
                </w:p>
              </w:tc>
              <w:tc>
                <w:tcPr>
                  <w:tcW w:w="570" w:type="pct"/>
                  <w:shd w:val="clear" w:color="auto" w:fill="auto"/>
                  <w:vAlign w:val="center"/>
                </w:tcPr>
                <w:p>
                  <w:pPr>
                    <w:autoSpaceDE w:val="0"/>
                    <w:autoSpaceDN w:val="0"/>
                    <w:adjustRightInd w:val="0"/>
                    <w:snapToGrid w:val="0"/>
                    <w:jc w:val="center"/>
                    <w:rPr>
                      <w:color w:val="000000"/>
                      <w:kern w:val="0"/>
                      <w:szCs w:val="21"/>
                    </w:rPr>
                  </w:pPr>
                  <w:r>
                    <w:rPr>
                      <w:rFonts w:hint="eastAsia"/>
                      <w:color w:val="000000"/>
                      <w:kern w:val="0"/>
                      <w:szCs w:val="21"/>
                    </w:rPr>
                    <w:t>沉淀后回用生产</w:t>
                  </w:r>
                </w:p>
              </w:tc>
            </w:tr>
          </w:tbl>
          <w:p>
            <w:pPr>
              <w:spacing w:line="360" w:lineRule="auto"/>
              <w:ind w:firstLine="480" w:firstLineChars="200"/>
              <w:rPr>
                <w:sz w:val="24"/>
              </w:rPr>
            </w:pPr>
            <w:r>
              <w:rPr>
                <w:sz w:val="24"/>
              </w:rPr>
              <w:t>5）项目水平衡</w:t>
            </w:r>
          </w:p>
          <w:p>
            <w:pPr>
              <w:spacing w:line="360" w:lineRule="auto"/>
              <w:ind w:firstLine="480" w:firstLineChars="200"/>
              <w:rPr>
                <w:sz w:val="24"/>
              </w:rPr>
            </w:pPr>
            <w:r>
              <w:rPr>
                <w:sz w:val="24"/>
              </w:rPr>
              <w:t>项目水平衡图见图4-1</w:t>
            </w:r>
            <w:r>
              <w:rPr>
                <w:rFonts w:hint="eastAsia"/>
                <w:sz w:val="24"/>
              </w:rPr>
              <w:t>、4-</w:t>
            </w:r>
            <w:r>
              <w:rPr>
                <w:sz w:val="24"/>
              </w:rPr>
              <w:t>2。</w:t>
            </w:r>
          </w:p>
          <w:p>
            <w:pPr>
              <w:spacing w:line="360" w:lineRule="auto"/>
              <w:jc w:val="center"/>
              <w:rPr>
                <w:b/>
                <w:bCs/>
              </w:rPr>
            </w:pPr>
            <w:r>
              <w:rPr>
                <w:b/>
                <w:bCs/>
              </w:rPr>
              <w:drawing>
                <wp:inline distT="0" distB="0" distL="0" distR="0">
                  <wp:extent cx="4929505" cy="507682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4788" cy="5092560"/>
                          </a:xfrm>
                          <a:prstGeom prst="rect">
                            <a:avLst/>
                          </a:prstGeom>
                        </pic:spPr>
                      </pic:pic>
                    </a:graphicData>
                  </a:graphic>
                </wp:inline>
              </w:drawing>
            </w:r>
          </w:p>
          <w:p>
            <w:pPr>
              <w:spacing w:line="360" w:lineRule="auto"/>
              <w:jc w:val="center"/>
              <w:rPr>
                <w:b/>
                <w:bCs/>
              </w:rPr>
            </w:pPr>
            <w:r>
              <w:rPr>
                <w:b/>
                <w:bCs/>
              </w:rPr>
              <w:t>图4-1  项目</w:t>
            </w:r>
            <w:r>
              <w:rPr>
                <w:rFonts w:hint="eastAsia"/>
                <w:b/>
                <w:bCs/>
              </w:rPr>
              <w:t>非雨天</w:t>
            </w:r>
            <w:r>
              <w:rPr>
                <w:b/>
                <w:bCs/>
              </w:rPr>
              <w:t>用水水平衡图单位</w:t>
            </w:r>
            <w:r>
              <w:rPr>
                <w:rFonts w:hint="eastAsia"/>
                <w:b/>
                <w:bCs/>
              </w:rPr>
              <w:t xml:space="preserve"> </w:t>
            </w:r>
            <w:r>
              <w:rPr>
                <w:b/>
                <w:bCs/>
              </w:rPr>
              <w:t xml:space="preserve"> m</w:t>
            </w:r>
            <w:r>
              <w:rPr>
                <w:b/>
                <w:bCs/>
                <w:vertAlign w:val="superscript"/>
              </w:rPr>
              <w:t>3</w:t>
            </w:r>
            <w:r>
              <w:rPr>
                <w:b/>
                <w:bCs/>
              </w:rPr>
              <w:t>/d</w:t>
            </w:r>
          </w:p>
          <w:p>
            <w:pPr>
              <w:spacing w:line="360" w:lineRule="auto"/>
              <w:jc w:val="center"/>
              <w:rPr>
                <w:b/>
                <w:bCs/>
              </w:rPr>
            </w:pPr>
            <w:r>
              <w:rPr>
                <w:b/>
                <w:bCs/>
              </w:rPr>
              <w:drawing>
                <wp:inline distT="0" distB="0" distL="0" distR="0">
                  <wp:extent cx="4800600" cy="5361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9898" cy="5371879"/>
                          </a:xfrm>
                          <a:prstGeom prst="rect">
                            <a:avLst/>
                          </a:prstGeom>
                        </pic:spPr>
                      </pic:pic>
                    </a:graphicData>
                  </a:graphic>
                </wp:inline>
              </w:drawing>
            </w:r>
          </w:p>
          <w:p>
            <w:pPr>
              <w:spacing w:line="360" w:lineRule="auto"/>
              <w:jc w:val="center"/>
              <w:rPr>
                <w:b/>
                <w:bCs/>
              </w:rPr>
            </w:pPr>
            <w:r>
              <w:rPr>
                <w:b/>
                <w:bCs/>
              </w:rPr>
              <w:t>图4-2  项目</w:t>
            </w:r>
            <w:r>
              <w:rPr>
                <w:rFonts w:hint="eastAsia"/>
                <w:b/>
                <w:bCs/>
              </w:rPr>
              <w:t>雨天</w:t>
            </w:r>
            <w:r>
              <w:rPr>
                <w:b/>
                <w:bCs/>
              </w:rPr>
              <w:t>用水水平衡图</w:t>
            </w:r>
            <w:r>
              <w:rPr>
                <w:rFonts w:hint="eastAsia"/>
                <w:b/>
                <w:bCs/>
              </w:rPr>
              <w:t xml:space="preserve"> </w:t>
            </w:r>
            <w:r>
              <w:rPr>
                <w:b/>
                <w:bCs/>
              </w:rPr>
              <w:t xml:space="preserve"> 单位m</w:t>
            </w:r>
            <w:r>
              <w:rPr>
                <w:b/>
                <w:bCs/>
                <w:vertAlign w:val="superscript"/>
              </w:rPr>
              <w:t>3</w:t>
            </w:r>
            <w:r>
              <w:rPr>
                <w:b/>
                <w:bCs/>
              </w:rPr>
              <w:t>/d</w:t>
            </w:r>
          </w:p>
          <w:p>
            <w:pPr>
              <w:spacing w:line="360" w:lineRule="auto"/>
              <w:ind w:firstLine="480" w:firstLineChars="200"/>
              <w:rPr>
                <w:sz w:val="24"/>
              </w:rPr>
            </w:pPr>
            <w:r>
              <w:rPr>
                <w:sz w:val="24"/>
              </w:rPr>
              <w:t>（2）水环境影响分析</w:t>
            </w:r>
          </w:p>
          <w:p>
            <w:pPr>
              <w:spacing w:line="360" w:lineRule="auto"/>
              <w:ind w:firstLine="480" w:firstLineChars="200"/>
              <w:rPr>
                <w:sz w:val="24"/>
              </w:rPr>
            </w:pPr>
            <w:r>
              <w:rPr>
                <w:rFonts w:hint="eastAsia" w:ascii="宋体" w:hAnsi="宋体"/>
                <w:sz w:val="24"/>
              </w:rPr>
              <w:t>①</w:t>
            </w:r>
            <w:r>
              <w:rPr>
                <w:rFonts w:hint="eastAsia"/>
                <w:sz w:val="24"/>
              </w:rPr>
              <w:t>项目废水处置设施的合理性分析</w:t>
            </w:r>
          </w:p>
          <w:p>
            <w:pPr>
              <w:spacing w:line="360" w:lineRule="auto"/>
              <w:ind w:firstLine="480" w:firstLineChars="200"/>
              <w:rPr>
                <w:sz w:val="24"/>
              </w:rPr>
            </w:pPr>
            <w:r>
              <w:rPr>
                <w:rFonts w:hint="eastAsia"/>
                <w:sz w:val="24"/>
              </w:rPr>
              <w:t>a</w:t>
            </w:r>
            <w:r>
              <w:rPr>
                <w:sz w:val="24"/>
              </w:rPr>
              <w:t>.</w:t>
            </w:r>
            <w:r>
              <w:rPr>
                <w:rFonts w:hint="eastAsia"/>
                <w:sz w:val="24"/>
              </w:rPr>
              <w:t>化粪池设置合理性分析</w:t>
            </w:r>
          </w:p>
          <w:p>
            <w:pPr>
              <w:spacing w:line="360" w:lineRule="auto"/>
              <w:ind w:firstLine="480" w:firstLineChars="200"/>
              <w:rPr>
                <w:sz w:val="24"/>
              </w:rPr>
            </w:pPr>
            <w:r>
              <w:rPr>
                <w:rFonts w:hint="eastAsia"/>
                <w:sz w:val="24"/>
              </w:rPr>
              <w:t>根据工程分析，项目生活污水产生量为</w:t>
            </w:r>
            <w:r>
              <w:rPr>
                <w:sz w:val="24"/>
              </w:rPr>
              <w:t>2.56</w:t>
            </w:r>
            <w:r>
              <w:rPr>
                <w:rFonts w:hint="eastAsia"/>
                <w:sz w:val="24"/>
              </w:rPr>
              <w:t>m</w:t>
            </w:r>
            <w:r>
              <w:rPr>
                <w:rFonts w:hint="eastAsia"/>
                <w:sz w:val="24"/>
                <w:vertAlign w:val="superscript"/>
              </w:rPr>
              <w:t>3</w:t>
            </w:r>
            <w:r>
              <w:rPr>
                <w:rFonts w:hint="eastAsia"/>
                <w:sz w:val="24"/>
              </w:rPr>
              <w:t>/d，根据《建筑给水排水设计规范（2009 版）》（GB</w:t>
            </w:r>
            <w:r>
              <w:rPr>
                <w:rFonts w:hint="eastAsia"/>
                <w:sz w:val="24"/>
                <w:lang w:eastAsia="zh-CN"/>
              </w:rPr>
              <w:t>*****</w:t>
            </w:r>
            <w:r>
              <w:rPr>
                <w:rFonts w:hint="eastAsia"/>
                <w:sz w:val="24"/>
              </w:rPr>
              <w:t>-2003）4.8.6中，化粪池停留时间为12~24小时，项目建设</w:t>
            </w:r>
            <w:r>
              <w:rPr>
                <w:sz w:val="24"/>
              </w:rPr>
              <w:t>2</w:t>
            </w:r>
            <w:r>
              <w:rPr>
                <w:rFonts w:hint="eastAsia"/>
                <w:sz w:val="24"/>
              </w:rPr>
              <w:t>个总容积为10</w:t>
            </w:r>
            <w:r>
              <w:rPr>
                <w:sz w:val="24"/>
              </w:rPr>
              <w:t>0</w:t>
            </w:r>
            <w:r>
              <w:rPr>
                <w:rFonts w:hint="eastAsia"/>
                <w:sz w:val="24"/>
              </w:rPr>
              <w:t>m</w:t>
            </w:r>
            <w:r>
              <w:rPr>
                <w:rFonts w:hint="eastAsia"/>
                <w:sz w:val="24"/>
                <w:vertAlign w:val="superscript"/>
              </w:rPr>
              <w:t>3</w:t>
            </w:r>
            <w:r>
              <w:rPr>
                <w:rFonts w:hint="eastAsia"/>
                <w:sz w:val="24"/>
              </w:rPr>
              <w:t>的化粪池，完全满足停留时间为24小时的要求。</w:t>
            </w:r>
          </w:p>
          <w:p>
            <w:pPr>
              <w:spacing w:line="360" w:lineRule="auto"/>
              <w:ind w:firstLine="480" w:firstLineChars="200"/>
              <w:rPr>
                <w:sz w:val="24"/>
              </w:rPr>
            </w:pPr>
            <w:r>
              <w:rPr>
                <w:rFonts w:hint="eastAsia"/>
                <w:sz w:val="24"/>
              </w:rPr>
              <w:t>b</w:t>
            </w:r>
            <w:r>
              <w:rPr>
                <w:sz w:val="24"/>
              </w:rPr>
              <w:t>.</w:t>
            </w:r>
            <w:r>
              <w:rPr>
                <w:rFonts w:hint="eastAsia"/>
                <w:sz w:val="24"/>
              </w:rPr>
              <w:t>隔油池设置合理性分析</w:t>
            </w:r>
          </w:p>
          <w:p>
            <w:pPr>
              <w:spacing w:line="360" w:lineRule="auto"/>
              <w:ind w:firstLine="480" w:firstLineChars="200"/>
              <w:rPr>
                <w:sz w:val="24"/>
              </w:rPr>
            </w:pPr>
            <w:r>
              <w:rPr>
                <w:rFonts w:hint="eastAsia"/>
                <w:sz w:val="24"/>
              </w:rPr>
              <w:t>项目食堂餐饮废水产生量为</w:t>
            </w:r>
            <w:r>
              <w:rPr>
                <w:sz w:val="24"/>
              </w:rPr>
              <w:t>0.512</w:t>
            </w:r>
            <w:r>
              <w:rPr>
                <w:rFonts w:hint="eastAsia"/>
                <w:sz w:val="24"/>
              </w:rPr>
              <w:t>m³/d，项目建设1个隔油池，用于接纳处理食堂废水，隔油池设计有效容积1m</w:t>
            </w:r>
            <w:r>
              <w:rPr>
                <w:rFonts w:hint="eastAsia"/>
                <w:sz w:val="24"/>
                <w:vertAlign w:val="superscript"/>
              </w:rPr>
              <w:t>3</w:t>
            </w:r>
            <w:r>
              <w:rPr>
                <w:rFonts w:hint="eastAsia"/>
                <w:sz w:val="24"/>
              </w:rPr>
              <w:t>。根据《饮食业环境保护技术规范》（HJ554-2010），隔油池设计符合下列规定：</w:t>
            </w:r>
          </w:p>
          <w:p>
            <w:pPr>
              <w:spacing w:line="360" w:lineRule="auto"/>
              <w:ind w:firstLine="480" w:firstLineChars="200"/>
              <w:rPr>
                <w:sz w:val="24"/>
              </w:rPr>
            </w:pPr>
            <w:r>
              <w:rPr>
                <w:rFonts w:hint="eastAsia"/>
                <w:sz w:val="24"/>
              </w:rPr>
              <w:t>A、含油污水的水力停留时间不宜小于0.5h；</w:t>
            </w:r>
          </w:p>
          <w:p>
            <w:pPr>
              <w:spacing w:line="360" w:lineRule="auto"/>
              <w:ind w:firstLine="480" w:firstLineChars="200"/>
              <w:rPr>
                <w:sz w:val="24"/>
              </w:rPr>
            </w:pPr>
            <w:r>
              <w:rPr>
                <w:rFonts w:hint="eastAsia"/>
                <w:sz w:val="24"/>
              </w:rPr>
              <w:t>B、池内水流流速不宜大于0.005m/s；</w:t>
            </w:r>
          </w:p>
          <w:p>
            <w:pPr>
              <w:spacing w:line="360" w:lineRule="auto"/>
              <w:ind w:firstLine="480" w:firstLineChars="200"/>
              <w:rPr>
                <w:sz w:val="24"/>
              </w:rPr>
            </w:pPr>
            <w:r>
              <w:rPr>
                <w:rFonts w:hint="eastAsia"/>
                <w:sz w:val="24"/>
              </w:rPr>
              <w:t>C、池内分格宜取两档三格；</w:t>
            </w:r>
          </w:p>
          <w:p>
            <w:pPr>
              <w:spacing w:line="360" w:lineRule="auto"/>
              <w:ind w:firstLine="480" w:firstLineChars="200"/>
              <w:rPr>
                <w:sz w:val="24"/>
              </w:rPr>
            </w:pPr>
            <w:r>
              <w:rPr>
                <w:rFonts w:hint="eastAsia"/>
                <w:sz w:val="24"/>
              </w:rPr>
              <w:t>D、人工除油的隔油池内存油部分的容积不得小于该池有效容积的25%，隔油池出水管管底至池底的深度，不得小于0.6m。</w:t>
            </w:r>
          </w:p>
          <w:p>
            <w:pPr>
              <w:spacing w:line="360" w:lineRule="auto"/>
              <w:ind w:firstLine="480" w:firstLineChars="200"/>
              <w:rPr>
                <w:sz w:val="24"/>
              </w:rPr>
            </w:pPr>
            <w:r>
              <w:rPr>
                <w:rFonts w:hint="eastAsia"/>
                <w:sz w:val="24"/>
              </w:rPr>
              <w:t>项目应建设1座容积不低于1m</w:t>
            </w:r>
            <w:r>
              <w:rPr>
                <w:rFonts w:hint="eastAsia"/>
                <w:sz w:val="24"/>
                <w:vertAlign w:val="superscript"/>
              </w:rPr>
              <w:t>3</w:t>
            </w:r>
            <w:r>
              <w:rPr>
                <w:rFonts w:hint="eastAsia"/>
                <w:sz w:val="24"/>
              </w:rPr>
              <w:t>的隔油池用于处理食堂餐饮废水完全可以满足要求。</w:t>
            </w:r>
          </w:p>
          <w:p>
            <w:pPr>
              <w:spacing w:line="360" w:lineRule="auto"/>
              <w:ind w:firstLine="480" w:firstLineChars="200"/>
              <w:rPr>
                <w:sz w:val="24"/>
              </w:rPr>
            </w:pPr>
            <w:r>
              <w:rPr>
                <w:sz w:val="24"/>
              </w:rPr>
              <w:t>c.</w:t>
            </w:r>
            <w:r>
              <w:rPr>
                <w:rFonts w:hint="eastAsia"/>
                <w:sz w:val="24"/>
              </w:rPr>
              <w:t>三级沉淀池设置合理性分析</w:t>
            </w:r>
          </w:p>
          <w:p>
            <w:pPr>
              <w:spacing w:line="360" w:lineRule="auto"/>
              <w:ind w:firstLine="480" w:firstLineChars="200"/>
              <w:rPr>
                <w:sz w:val="24"/>
              </w:rPr>
            </w:pPr>
            <w:r>
              <w:rPr>
                <w:rFonts w:hint="eastAsia"/>
                <w:sz w:val="24"/>
              </w:rPr>
              <w:t>根据工程分析，项目生产废水产生量为</w:t>
            </w:r>
            <w:r>
              <w:rPr>
                <w:sz w:val="24"/>
              </w:rPr>
              <w:t>4.58</w:t>
            </w:r>
            <w:r>
              <w:rPr>
                <w:rFonts w:hint="eastAsia"/>
                <w:sz w:val="24"/>
              </w:rPr>
              <w:t>m</w:t>
            </w:r>
            <w:r>
              <w:rPr>
                <w:rFonts w:hint="eastAsia"/>
                <w:sz w:val="24"/>
                <w:vertAlign w:val="superscript"/>
              </w:rPr>
              <w:t>3</w:t>
            </w:r>
            <w:r>
              <w:rPr>
                <w:rFonts w:hint="eastAsia"/>
                <w:sz w:val="24"/>
              </w:rPr>
              <w:t>/d，项目建设1个三级沉淀池（1</w:t>
            </w:r>
            <w:r>
              <w:rPr>
                <w:sz w:val="24"/>
              </w:rPr>
              <w:t>05</w:t>
            </w:r>
            <w:r>
              <w:rPr>
                <w:rFonts w:hint="eastAsia"/>
                <w:sz w:val="24"/>
              </w:rPr>
              <w:t>m</w:t>
            </w:r>
            <w:r>
              <w:rPr>
                <w:rFonts w:hint="eastAsia"/>
                <w:sz w:val="24"/>
                <w:vertAlign w:val="superscript"/>
              </w:rPr>
              <w:t>3</w:t>
            </w:r>
            <w:r>
              <w:rPr>
                <w:rFonts w:hint="eastAsia"/>
                <w:sz w:val="24"/>
              </w:rPr>
              <w:t>），沉淀池容积大于生产废水产生量，可以保证生产废水得到有效处理。同时生产区域初期雨水量为</w:t>
            </w:r>
            <w:r>
              <w:rPr>
                <w:sz w:val="24"/>
              </w:rPr>
              <w:t>20.28m</w:t>
            </w:r>
            <w:r>
              <w:rPr>
                <w:sz w:val="24"/>
                <w:vertAlign w:val="superscript"/>
              </w:rPr>
              <w:t>3</w:t>
            </w:r>
            <w:r>
              <w:rPr>
                <w:rFonts w:hint="eastAsia"/>
                <w:sz w:val="24"/>
              </w:rPr>
              <w:t>，生产废水及初期雨水量合计</w:t>
            </w:r>
            <w:r>
              <w:rPr>
                <w:sz w:val="24"/>
              </w:rPr>
              <w:t>24.86m</w:t>
            </w:r>
            <w:r>
              <w:rPr>
                <w:sz w:val="24"/>
                <w:vertAlign w:val="superscript"/>
              </w:rPr>
              <w:t>3</w:t>
            </w:r>
            <w:r>
              <w:rPr>
                <w:rFonts w:hint="eastAsia"/>
                <w:sz w:val="24"/>
              </w:rPr>
              <w:t>，因此项目建设一座1</w:t>
            </w:r>
            <w:r>
              <w:rPr>
                <w:sz w:val="24"/>
              </w:rPr>
              <w:t>05</w:t>
            </w:r>
            <w:r>
              <w:rPr>
                <w:rFonts w:hint="eastAsia"/>
                <w:sz w:val="24"/>
              </w:rPr>
              <w:t>m³的三级沉淀池用于生产废水收集沉淀和初期雨水收集是合理的。</w:t>
            </w:r>
          </w:p>
          <w:p>
            <w:pPr>
              <w:spacing w:line="360" w:lineRule="auto"/>
              <w:ind w:firstLine="480" w:firstLineChars="200"/>
              <w:rPr>
                <w:sz w:val="24"/>
              </w:rPr>
            </w:pPr>
            <w:r>
              <w:rPr>
                <w:rFonts w:hint="eastAsia" w:ascii="宋体" w:hAnsi="宋体"/>
                <w:sz w:val="24"/>
              </w:rPr>
              <w:t>②</w:t>
            </w:r>
            <w:r>
              <w:rPr>
                <w:rFonts w:hint="eastAsia"/>
                <w:sz w:val="24"/>
              </w:rPr>
              <w:t>生产废水及初期雨水回用可行性分析</w:t>
            </w:r>
          </w:p>
          <w:p>
            <w:pPr>
              <w:spacing w:line="360" w:lineRule="auto"/>
              <w:ind w:firstLine="480" w:firstLineChars="200"/>
              <w:rPr>
                <w:sz w:val="24"/>
              </w:rPr>
            </w:pPr>
            <w:r>
              <w:rPr>
                <w:rFonts w:hint="eastAsia"/>
                <w:sz w:val="24"/>
              </w:rPr>
              <w:t>项目对混凝土运输罐车罐体、混凝土运输车辆外部进行清洗；每日生产结束或暂时停止生产后，对搅拌机进行清洗。项目生产用水需水量为</w:t>
            </w:r>
            <w:r>
              <w:rPr>
                <w:sz w:val="24"/>
              </w:rPr>
              <w:t>43.2</w:t>
            </w:r>
            <w:r>
              <w:rPr>
                <w:rFonts w:hint="eastAsia"/>
                <w:sz w:val="24"/>
              </w:rPr>
              <w:t>m</w:t>
            </w:r>
            <w:r>
              <w:rPr>
                <w:rFonts w:hint="eastAsia"/>
                <w:sz w:val="24"/>
                <w:vertAlign w:val="superscript"/>
              </w:rPr>
              <w:t>3</w:t>
            </w:r>
            <w:r>
              <w:rPr>
                <w:rFonts w:hint="eastAsia"/>
                <w:sz w:val="24"/>
              </w:rPr>
              <w:t>/d，生产废水产生量为</w:t>
            </w:r>
            <w:r>
              <w:rPr>
                <w:sz w:val="24"/>
              </w:rPr>
              <w:t>4.58</w:t>
            </w:r>
            <w:r>
              <w:rPr>
                <w:rFonts w:hint="eastAsia"/>
                <w:sz w:val="24"/>
              </w:rPr>
              <w:t>m</w:t>
            </w:r>
            <w:r>
              <w:rPr>
                <w:rFonts w:hint="eastAsia"/>
                <w:sz w:val="24"/>
                <w:vertAlign w:val="superscript"/>
              </w:rPr>
              <w:t>3</w:t>
            </w:r>
            <w:r>
              <w:rPr>
                <w:rFonts w:hint="eastAsia"/>
                <w:sz w:val="24"/>
              </w:rPr>
              <w:t>/d，初期雨水量为</w:t>
            </w:r>
            <w:r>
              <w:rPr>
                <w:sz w:val="24"/>
              </w:rPr>
              <w:t>20.28</w:t>
            </w:r>
            <w:r>
              <w:rPr>
                <w:rFonts w:hint="eastAsia"/>
                <w:sz w:val="24"/>
              </w:rPr>
              <w:t>m³/次，生产用水量大于沉淀池水收集量；项目生产废水及初期雨水经沉淀处理后全部回用于生产是可行的。</w:t>
            </w:r>
          </w:p>
          <w:p>
            <w:pPr>
              <w:spacing w:line="360" w:lineRule="auto"/>
              <w:ind w:firstLine="480" w:firstLineChars="200"/>
              <w:rPr>
                <w:sz w:val="24"/>
              </w:rPr>
            </w:pPr>
            <w:r>
              <w:rPr>
                <w:rFonts w:hint="eastAsia"/>
                <w:sz w:val="24"/>
              </w:rPr>
              <w:t>经查阅《混凝土用水标准》（JGJ63-2006），混凝土拌合用水中pH≥5、不溶物≤2000mg/L、可溶物≤2000mg/L、氯化物≤500mg/L、硫酸盐≤600mg/L、碱含量≤1500mg/L，项目生产废水及初期雨水经沉淀处理后，水质能满足混凝土拌合用水标准；</w:t>
            </w:r>
          </w:p>
          <w:p>
            <w:pPr>
              <w:spacing w:line="360" w:lineRule="auto"/>
              <w:ind w:firstLine="480" w:firstLineChars="200"/>
              <w:rPr>
                <w:sz w:val="24"/>
              </w:rPr>
            </w:pPr>
            <w:r>
              <w:rPr>
                <w:rFonts w:hint="eastAsia"/>
                <w:sz w:val="24"/>
              </w:rPr>
              <w:t>综上所述，项目生产废水及初期雨水经处理后，从水量、水质角度均可用于生产，因此本项目生产废水经处理后回用于生产是可行的。</w:t>
            </w:r>
          </w:p>
          <w:p>
            <w:pPr>
              <w:spacing w:line="360" w:lineRule="auto"/>
              <w:ind w:firstLine="480" w:firstLineChars="200"/>
              <w:rPr>
                <w:sz w:val="24"/>
              </w:rPr>
            </w:pPr>
            <w:r>
              <w:rPr>
                <w:rFonts w:hint="eastAsia" w:ascii="宋体" w:hAnsi="宋体"/>
                <w:sz w:val="24"/>
              </w:rPr>
              <w:t>③</w:t>
            </w:r>
            <w:r>
              <w:rPr>
                <w:rFonts w:hint="eastAsia"/>
                <w:sz w:val="24"/>
              </w:rPr>
              <w:t>生活污水用槽罐车外送污水处理厂可行性分析</w:t>
            </w:r>
          </w:p>
          <w:p>
            <w:pPr>
              <w:spacing w:line="360" w:lineRule="auto"/>
              <w:ind w:firstLine="480" w:firstLineChars="200"/>
              <w:rPr>
                <w:sz w:val="24"/>
              </w:rPr>
            </w:pPr>
            <w:r>
              <w:rPr>
                <w:rFonts w:hint="eastAsia"/>
                <w:sz w:val="24"/>
              </w:rPr>
              <w:t>项目生活污水量不大，为2</w:t>
            </w:r>
            <w:r>
              <w:rPr>
                <w:sz w:val="24"/>
              </w:rPr>
              <w:t>.56</w:t>
            </w:r>
            <w:r>
              <w:rPr>
                <w:rFonts w:hint="eastAsia"/>
                <w:sz w:val="24"/>
              </w:rPr>
              <w:t>m³</w:t>
            </w:r>
            <w:r>
              <w:rPr>
                <w:sz w:val="24"/>
              </w:rPr>
              <w:t>/d</w:t>
            </w:r>
            <w:r>
              <w:rPr>
                <w:rFonts w:hint="eastAsia"/>
                <w:sz w:val="24"/>
              </w:rPr>
              <w:t>，且项目为临时性的，待东川港项目不再需要混凝土供应后，项目可以拆除，项目所产生的生活污水临时委托污水处理厂处理是可行的。</w:t>
            </w:r>
          </w:p>
          <w:p>
            <w:pPr>
              <w:pStyle w:val="150"/>
              <w:ind w:firstLine="0" w:firstLineChars="0"/>
              <w:jc w:val="both"/>
              <w:rPr>
                <w:rFonts w:ascii="Times New Roman" w:hAnsi="Times New Roman" w:cs="Times New Roman"/>
                <w:b/>
                <w:bCs/>
                <w:color w:val="000000"/>
                <w:szCs w:val="20"/>
              </w:rPr>
            </w:pPr>
            <w:r>
              <w:rPr>
                <w:rFonts w:ascii="Times New Roman" w:hAnsi="Times New Roman" w:cs="Times New Roman"/>
                <w:b/>
                <w:bCs/>
              </w:rPr>
              <w:t>3、</w:t>
            </w:r>
            <w:r>
              <w:rPr>
                <w:rFonts w:ascii="Times New Roman" w:hAnsi="Times New Roman" w:cs="Times New Roman"/>
                <w:b/>
                <w:bCs/>
                <w:color w:val="000000"/>
                <w:szCs w:val="20"/>
              </w:rPr>
              <w:t>运营期地下水环境影响分析和保护措施</w:t>
            </w:r>
          </w:p>
          <w:p>
            <w:pPr>
              <w:snapToGrid w:val="0"/>
              <w:spacing w:line="360" w:lineRule="auto"/>
              <w:ind w:firstLine="480" w:firstLineChars="200"/>
              <w:rPr>
                <w:bCs/>
                <w:snapToGrid w:val="0"/>
                <w:color w:val="000000"/>
                <w:sz w:val="24"/>
                <w:szCs w:val="28"/>
              </w:rPr>
            </w:pPr>
            <w:r>
              <w:rPr>
                <w:bCs/>
                <w:snapToGrid w:val="0"/>
                <w:color w:val="000000"/>
                <w:sz w:val="24"/>
                <w:szCs w:val="28"/>
              </w:rPr>
              <w:t>（1）地下水污染途径</w:t>
            </w:r>
          </w:p>
          <w:p>
            <w:pPr>
              <w:autoSpaceDE w:val="0"/>
              <w:autoSpaceDN w:val="0"/>
              <w:adjustRightInd w:val="0"/>
              <w:snapToGrid w:val="0"/>
              <w:spacing w:line="360" w:lineRule="auto"/>
              <w:ind w:firstLine="480" w:firstLineChars="200"/>
              <w:jc w:val="left"/>
              <w:rPr>
                <w:color w:val="000000"/>
                <w:kern w:val="0"/>
                <w:sz w:val="24"/>
              </w:rPr>
            </w:pPr>
            <w:r>
              <w:rPr>
                <w:color w:val="000000"/>
                <w:kern w:val="0"/>
                <w:sz w:val="24"/>
              </w:rPr>
              <w:t>项目区地下水主要靠大气降水补给，正常情况下，项目废水及固废合理处置，污染物不进入地下水，对地下水环境影响较小。项目地下水污染途径主要是发生事故时或非正常排放对地下水环境的影响。项目可能对地下水造成污染的途径主要有：</w:t>
            </w:r>
          </w:p>
          <w:p>
            <w:pPr>
              <w:autoSpaceDE w:val="0"/>
              <w:autoSpaceDN w:val="0"/>
              <w:adjustRightInd w:val="0"/>
              <w:snapToGrid w:val="0"/>
              <w:spacing w:line="360" w:lineRule="auto"/>
              <w:ind w:firstLine="480" w:firstLineChars="200"/>
              <w:jc w:val="left"/>
              <w:rPr>
                <w:color w:val="000000"/>
                <w:kern w:val="0"/>
                <w:sz w:val="24"/>
              </w:rPr>
            </w:pPr>
            <w:r>
              <w:rPr>
                <w:rFonts w:hint="eastAsia" w:ascii="宋体" w:hAnsi="宋体" w:cs="宋体"/>
                <w:color w:val="000000"/>
                <w:kern w:val="0"/>
                <w:sz w:val="24"/>
              </w:rPr>
              <w:t>①</w:t>
            </w:r>
            <w:r>
              <w:rPr>
                <w:color w:val="000000"/>
                <w:kern w:val="0"/>
                <w:sz w:val="24"/>
              </w:rPr>
              <w:t>危废暂存间的防渗层发生破损或破裂，则污染物会发生渗漏，对地下水环境造成污染。</w:t>
            </w:r>
          </w:p>
          <w:p>
            <w:pPr>
              <w:snapToGrid w:val="0"/>
              <w:spacing w:line="360" w:lineRule="auto"/>
              <w:ind w:firstLine="480" w:firstLineChars="200"/>
              <w:rPr>
                <w:bCs/>
                <w:color w:val="000000"/>
                <w:sz w:val="24"/>
              </w:rPr>
            </w:pPr>
            <w:r>
              <w:rPr>
                <w:rFonts w:hint="eastAsia" w:ascii="宋体" w:hAnsi="宋体" w:cs="宋体"/>
                <w:color w:val="000000"/>
                <w:kern w:val="0"/>
                <w:sz w:val="24"/>
              </w:rPr>
              <w:t>②</w:t>
            </w:r>
            <w:r>
              <w:rPr>
                <w:color w:val="000000"/>
                <w:kern w:val="0"/>
                <w:sz w:val="24"/>
              </w:rPr>
              <w:t>若污废水输送管道破裂发生泄漏，对地下水环境造成污染。</w:t>
            </w:r>
          </w:p>
          <w:p>
            <w:pPr>
              <w:snapToGrid w:val="0"/>
              <w:spacing w:line="360" w:lineRule="auto"/>
              <w:ind w:firstLine="480" w:firstLineChars="200"/>
              <w:rPr>
                <w:bCs/>
                <w:snapToGrid w:val="0"/>
                <w:color w:val="000000"/>
                <w:sz w:val="24"/>
                <w:szCs w:val="28"/>
              </w:rPr>
            </w:pPr>
            <w:r>
              <w:rPr>
                <w:bCs/>
                <w:snapToGrid w:val="0"/>
                <w:color w:val="000000"/>
                <w:sz w:val="24"/>
                <w:szCs w:val="28"/>
              </w:rPr>
              <w:t>（2）地下水污染防治措施</w:t>
            </w:r>
          </w:p>
          <w:p>
            <w:pPr>
              <w:snapToGrid w:val="0"/>
              <w:spacing w:line="360" w:lineRule="auto"/>
              <w:ind w:firstLine="480" w:firstLineChars="200"/>
              <w:rPr>
                <w:bCs/>
                <w:color w:val="000000"/>
                <w:sz w:val="24"/>
              </w:rPr>
            </w:pPr>
            <w:r>
              <w:rPr>
                <w:bCs/>
                <w:color w:val="000000"/>
                <w:sz w:val="24"/>
              </w:rPr>
              <w:t>参考《环境影响评价技术导则-地下水环境》（HJ</w:t>
            </w:r>
            <w:r>
              <w:rPr>
                <w:rFonts w:hint="eastAsia"/>
                <w:bCs/>
                <w:color w:val="000000"/>
                <w:sz w:val="24"/>
                <w:lang w:eastAsia="zh-CN"/>
              </w:rPr>
              <w:t>***</w:t>
            </w:r>
            <w:r>
              <w:rPr>
                <w:bCs/>
                <w:color w:val="000000"/>
                <w:sz w:val="24"/>
              </w:rPr>
              <w:t>-2016）的要求，厂区可划分为重点防渗区、一般防渗区。</w:t>
            </w:r>
          </w:p>
          <w:p>
            <w:pPr>
              <w:autoSpaceDE w:val="0"/>
              <w:autoSpaceDN w:val="0"/>
              <w:adjustRightInd w:val="0"/>
              <w:snapToGrid w:val="0"/>
              <w:spacing w:line="360" w:lineRule="auto"/>
              <w:ind w:firstLine="480" w:firstLineChars="200"/>
              <w:jc w:val="left"/>
              <w:rPr>
                <w:bCs/>
                <w:color w:val="000000"/>
                <w:sz w:val="24"/>
              </w:rPr>
            </w:pPr>
            <w:r>
              <w:rPr>
                <w:bCs/>
                <w:color w:val="000000"/>
                <w:sz w:val="24"/>
              </w:rPr>
              <w:fldChar w:fldCharType="begin"/>
            </w:r>
            <w:r>
              <w:rPr>
                <w:bCs/>
                <w:color w:val="000000"/>
                <w:sz w:val="24"/>
              </w:rPr>
              <w:instrText xml:space="preserve"> = 1 \* GB3 </w:instrText>
            </w:r>
            <w:r>
              <w:rPr>
                <w:bCs/>
                <w:color w:val="000000"/>
                <w:sz w:val="24"/>
              </w:rPr>
              <w:fldChar w:fldCharType="separate"/>
            </w:r>
            <w:r>
              <w:rPr>
                <w:rFonts w:hint="eastAsia" w:ascii="宋体" w:hAnsi="宋体" w:cs="宋体"/>
                <w:bCs/>
                <w:color w:val="000000"/>
                <w:sz w:val="24"/>
              </w:rPr>
              <w:t>①</w:t>
            </w:r>
            <w:r>
              <w:rPr>
                <w:bCs/>
                <w:color w:val="000000"/>
                <w:sz w:val="24"/>
              </w:rPr>
              <w:fldChar w:fldCharType="end"/>
            </w:r>
            <w:r>
              <w:rPr>
                <w:bCs/>
                <w:color w:val="000000"/>
                <w:sz w:val="24"/>
              </w:rPr>
              <w:t>重点防渗区</w:t>
            </w:r>
          </w:p>
          <w:p>
            <w:pPr>
              <w:autoSpaceDE w:val="0"/>
              <w:autoSpaceDN w:val="0"/>
              <w:adjustRightInd w:val="0"/>
              <w:snapToGrid w:val="0"/>
              <w:spacing w:line="360" w:lineRule="auto"/>
              <w:ind w:firstLine="480" w:firstLineChars="200"/>
              <w:jc w:val="left"/>
              <w:rPr>
                <w:bCs/>
                <w:color w:val="000000"/>
                <w:sz w:val="24"/>
              </w:rPr>
            </w:pPr>
            <w:r>
              <w:rPr>
                <w:bCs/>
                <w:color w:val="000000"/>
                <w:sz w:val="24"/>
              </w:rPr>
              <w:t>项目重点污染防治区主要是危废暂存间，按照《危险废物贮存污染控制标准》（GB</w:t>
            </w:r>
            <w:r>
              <w:rPr>
                <w:rFonts w:hint="eastAsia"/>
                <w:bCs/>
                <w:color w:val="000000"/>
                <w:sz w:val="24"/>
                <w:lang w:eastAsia="zh-CN"/>
              </w:rPr>
              <w:t>*****</w:t>
            </w:r>
            <w:r>
              <w:rPr>
                <w:bCs/>
                <w:color w:val="000000"/>
                <w:sz w:val="24"/>
              </w:rPr>
              <w:t>-2</w:t>
            </w:r>
            <w:r>
              <w:rPr>
                <w:rFonts w:hint="eastAsia"/>
                <w:bCs/>
                <w:color w:val="000000"/>
                <w:sz w:val="24"/>
                <w:lang w:val="en-US" w:eastAsia="zh-CN"/>
              </w:rPr>
              <w:t>023</w:t>
            </w:r>
            <w:r>
              <w:rPr>
                <w:bCs/>
                <w:color w:val="000000"/>
                <w:sz w:val="24"/>
              </w:rPr>
              <w:t>）进行防渗设计。重点污染区防渗要求：</w:t>
            </w:r>
          </w:p>
          <w:p>
            <w:pPr>
              <w:autoSpaceDE w:val="0"/>
              <w:autoSpaceDN w:val="0"/>
              <w:adjustRightInd w:val="0"/>
              <w:snapToGrid w:val="0"/>
              <w:spacing w:line="360" w:lineRule="auto"/>
              <w:ind w:firstLine="480" w:firstLineChars="200"/>
              <w:jc w:val="left"/>
              <w:rPr>
                <w:bCs/>
                <w:color w:val="000000"/>
                <w:sz w:val="24"/>
              </w:rPr>
            </w:pPr>
            <w:r>
              <w:rPr>
                <w:bCs/>
                <w:color w:val="000000"/>
                <w:sz w:val="24"/>
              </w:rPr>
              <w:t>操作条件下的单位面积渗透量不大于厚度为6m、饱和渗透系数&lt;l0</w:t>
            </w:r>
            <w:r>
              <w:rPr>
                <w:bCs/>
                <w:color w:val="000000"/>
                <w:sz w:val="24"/>
                <w:vertAlign w:val="superscript"/>
              </w:rPr>
              <w:t>-7</w:t>
            </w:r>
            <w:r>
              <w:rPr>
                <w:bCs/>
                <w:color w:val="000000"/>
                <w:sz w:val="24"/>
              </w:rPr>
              <w:t>cm/s 层的渗透量，防渗能力与《危险废物贮存污染控制标准》(GB</w:t>
            </w:r>
            <w:r>
              <w:rPr>
                <w:rFonts w:hint="eastAsia"/>
                <w:bCs/>
                <w:color w:val="000000"/>
                <w:sz w:val="24"/>
                <w:lang w:eastAsia="zh-CN"/>
              </w:rPr>
              <w:t>*****</w:t>
            </w:r>
            <w:r>
              <w:rPr>
                <w:bCs/>
                <w:color w:val="000000"/>
                <w:sz w:val="24"/>
              </w:rPr>
              <w:t>-20</w:t>
            </w:r>
            <w:r>
              <w:rPr>
                <w:rFonts w:hint="eastAsia"/>
                <w:bCs/>
                <w:color w:val="000000"/>
                <w:sz w:val="24"/>
                <w:lang w:val="en-US" w:eastAsia="zh-CN"/>
              </w:rPr>
              <w:t>23</w:t>
            </w:r>
            <w:r>
              <w:rPr>
                <w:bCs/>
                <w:color w:val="000000"/>
                <w:sz w:val="24"/>
              </w:rPr>
              <w:t>)第6.2.1条等效。防渗可参照一下规定进行防渗：</w:t>
            </w:r>
          </w:p>
          <w:p>
            <w:pPr>
              <w:autoSpaceDE w:val="0"/>
              <w:autoSpaceDN w:val="0"/>
              <w:adjustRightInd w:val="0"/>
              <w:snapToGrid w:val="0"/>
              <w:spacing w:line="360" w:lineRule="auto"/>
              <w:ind w:firstLine="480" w:firstLineChars="200"/>
              <w:jc w:val="left"/>
              <w:rPr>
                <w:bCs/>
                <w:color w:val="000000"/>
                <w:sz w:val="24"/>
              </w:rPr>
            </w:pPr>
            <w:r>
              <w:rPr>
                <w:bCs/>
                <w:color w:val="000000"/>
                <w:sz w:val="24"/>
              </w:rPr>
              <w:t>a.地面防渗层可采用黏土、抗渗混凝土、高密度聚乙烯（HDPE）膜、钠基膨润土防水毯或其他防渗性能等效的材料。</w:t>
            </w:r>
          </w:p>
          <w:p>
            <w:pPr>
              <w:autoSpaceDE w:val="0"/>
              <w:autoSpaceDN w:val="0"/>
              <w:adjustRightInd w:val="0"/>
              <w:snapToGrid w:val="0"/>
              <w:spacing w:line="360" w:lineRule="auto"/>
              <w:ind w:firstLine="480" w:firstLineChars="200"/>
              <w:jc w:val="left"/>
              <w:rPr>
                <w:bCs/>
                <w:color w:val="000000"/>
                <w:sz w:val="24"/>
              </w:rPr>
            </w:pPr>
            <w:r>
              <w:rPr>
                <w:bCs/>
                <w:color w:val="000000"/>
                <w:sz w:val="24"/>
              </w:rPr>
              <w:t>b.当建设场地具有符合要求的黏土时，地面防渗宜采用黏土防渗层，防渗层顶面宜采用混凝土地面或设置厚度不小于200mm的砂石层。</w:t>
            </w:r>
          </w:p>
          <w:p>
            <w:pPr>
              <w:autoSpaceDE w:val="0"/>
              <w:autoSpaceDN w:val="0"/>
              <w:adjustRightInd w:val="0"/>
              <w:snapToGrid w:val="0"/>
              <w:spacing w:line="360" w:lineRule="auto"/>
              <w:ind w:firstLine="480" w:firstLineChars="200"/>
              <w:jc w:val="left"/>
              <w:rPr>
                <w:bCs/>
                <w:color w:val="000000"/>
                <w:sz w:val="24"/>
              </w:rPr>
            </w:pPr>
            <w:r>
              <w:rPr>
                <w:bCs/>
                <w:color w:val="000000"/>
                <w:sz w:val="24"/>
              </w:rPr>
              <w:t>c.混凝土防渗层可采用抗渗钢纤维混凝土、抗渗合成纤维混凝土、抗渗钢筋混凝土和抗渗素混凝土。</w:t>
            </w:r>
          </w:p>
          <w:p>
            <w:pPr>
              <w:autoSpaceDE w:val="0"/>
              <w:autoSpaceDN w:val="0"/>
              <w:adjustRightInd w:val="0"/>
              <w:snapToGrid w:val="0"/>
              <w:spacing w:line="360" w:lineRule="auto"/>
              <w:ind w:firstLine="480" w:firstLineChars="200"/>
              <w:jc w:val="left"/>
              <w:rPr>
                <w:bCs/>
                <w:color w:val="000000"/>
                <w:sz w:val="24"/>
              </w:rPr>
            </w:pPr>
            <w:r>
              <w:rPr>
                <w:bCs/>
                <w:color w:val="000000"/>
                <w:sz w:val="24"/>
              </w:rPr>
              <w:fldChar w:fldCharType="begin"/>
            </w:r>
            <w:r>
              <w:rPr>
                <w:bCs/>
                <w:color w:val="000000"/>
                <w:sz w:val="24"/>
              </w:rPr>
              <w:instrText xml:space="preserve"> = 2 \* GB3 </w:instrText>
            </w:r>
            <w:r>
              <w:rPr>
                <w:bCs/>
                <w:color w:val="000000"/>
                <w:sz w:val="24"/>
              </w:rPr>
              <w:fldChar w:fldCharType="separate"/>
            </w:r>
            <w:r>
              <w:rPr>
                <w:rFonts w:hint="eastAsia" w:ascii="宋体" w:hAnsi="宋体" w:cs="宋体"/>
                <w:bCs/>
                <w:color w:val="000000"/>
                <w:sz w:val="24"/>
              </w:rPr>
              <w:t>②</w:t>
            </w:r>
            <w:r>
              <w:rPr>
                <w:bCs/>
                <w:color w:val="000000"/>
                <w:sz w:val="24"/>
              </w:rPr>
              <w:fldChar w:fldCharType="end"/>
            </w:r>
            <w:r>
              <w:rPr>
                <w:bCs/>
                <w:color w:val="000000"/>
                <w:sz w:val="24"/>
              </w:rPr>
              <w:t>一般防渗区</w:t>
            </w:r>
          </w:p>
          <w:p>
            <w:pPr>
              <w:autoSpaceDE w:val="0"/>
              <w:autoSpaceDN w:val="0"/>
              <w:adjustRightInd w:val="0"/>
              <w:snapToGrid w:val="0"/>
              <w:spacing w:line="360" w:lineRule="auto"/>
              <w:ind w:firstLine="480" w:firstLineChars="200"/>
              <w:jc w:val="left"/>
              <w:rPr>
                <w:bCs/>
                <w:color w:val="000000"/>
                <w:sz w:val="24"/>
              </w:rPr>
            </w:pPr>
            <w:r>
              <w:rPr>
                <w:bCs/>
                <w:color w:val="000000"/>
                <w:sz w:val="24"/>
              </w:rPr>
              <w:t>污染地下水环境的污废水、物料贮存或泄露不能及时发现或处理的区域，划分为一般防渗区，主要包括：生产车间、原料仓库等区域。参照《环境影响评价技术导则-地下水环境》（HJ</w:t>
            </w:r>
            <w:r>
              <w:rPr>
                <w:rFonts w:hint="eastAsia"/>
                <w:bCs/>
                <w:color w:val="000000"/>
                <w:sz w:val="24"/>
                <w:lang w:eastAsia="zh-CN"/>
              </w:rPr>
              <w:t>***</w:t>
            </w:r>
            <w:r>
              <w:rPr>
                <w:bCs/>
                <w:color w:val="000000"/>
                <w:sz w:val="24"/>
              </w:rPr>
              <w:t>-2016）中一般防渗区的防渗要求进行防渗设计，防渗层的防渗性能应等效于厚度≥1.5m，渗透系数≤1.0×10</w:t>
            </w:r>
            <w:r>
              <w:rPr>
                <w:bCs/>
                <w:color w:val="000000"/>
                <w:sz w:val="24"/>
                <w:vertAlign w:val="superscript"/>
              </w:rPr>
              <w:t>-7</w:t>
            </w:r>
            <w:r>
              <w:rPr>
                <w:bCs/>
                <w:color w:val="000000"/>
                <w:sz w:val="24"/>
              </w:rPr>
              <w:t>cm/s的黏土层的防渗性能。</w:t>
            </w:r>
          </w:p>
          <w:p>
            <w:pPr>
              <w:spacing w:line="360" w:lineRule="auto"/>
              <w:rPr>
                <w:b/>
                <w:bCs/>
                <w:sz w:val="24"/>
              </w:rPr>
            </w:pPr>
            <w:r>
              <w:rPr>
                <w:b/>
                <w:bCs/>
                <w:sz w:val="24"/>
              </w:rPr>
              <w:t>4、运营期声环境影响及保护措施</w:t>
            </w:r>
          </w:p>
          <w:p>
            <w:pPr>
              <w:spacing w:line="360" w:lineRule="auto"/>
              <w:ind w:firstLine="480" w:firstLineChars="200"/>
              <w:rPr>
                <w:sz w:val="24"/>
              </w:rPr>
            </w:pPr>
            <w:r>
              <w:rPr>
                <w:sz w:val="24"/>
              </w:rPr>
              <w:t>（1）噪声的产排情况</w:t>
            </w:r>
          </w:p>
          <w:p>
            <w:pPr>
              <w:spacing w:line="360" w:lineRule="auto"/>
              <w:ind w:firstLine="480" w:firstLineChars="200"/>
              <w:rPr>
                <w:sz w:val="24"/>
              </w:rPr>
            </w:pPr>
            <w:r>
              <w:rPr>
                <w:sz w:val="24"/>
              </w:rPr>
              <w:t>项目噪声主要来源于搅拌机、物料传输装置等产生的噪声。本项目噪声源强在通过选用低噪设备，固定设备安装减震垫，厂区建筑物隔声，车辆运输厂内限速禁鸣等措施后，</w:t>
            </w:r>
            <w:r>
              <w:rPr>
                <w:rFonts w:hint="eastAsia"/>
                <w:sz w:val="24"/>
              </w:rPr>
              <w:t>降低噪声对环境的影响</w:t>
            </w:r>
            <w:r>
              <w:rPr>
                <w:sz w:val="24"/>
              </w:rPr>
              <w:t>。</w:t>
            </w:r>
            <w:r>
              <w:rPr>
                <w:rFonts w:hint="eastAsia"/>
                <w:sz w:val="24"/>
              </w:rPr>
              <w:t>设备噪声源强及采取措施后衰减预测值见表4-</w:t>
            </w:r>
            <w:r>
              <w:rPr>
                <w:rFonts w:hint="eastAsia"/>
                <w:sz w:val="24"/>
                <w:lang w:val="en-US" w:eastAsia="zh-CN"/>
              </w:rPr>
              <w:t>7</w:t>
            </w:r>
            <w:r>
              <w:rPr>
                <w:rFonts w:hint="eastAsia"/>
                <w:sz w:val="24"/>
              </w:rPr>
              <w:t>。</w:t>
            </w:r>
          </w:p>
          <w:p>
            <w:pPr>
              <w:spacing w:line="360" w:lineRule="auto"/>
              <w:jc w:val="center"/>
              <w:rPr>
                <w:b/>
                <w:bCs/>
                <w:szCs w:val="21"/>
              </w:rPr>
            </w:pPr>
            <w:r>
              <w:rPr>
                <w:rFonts w:hint="eastAsia"/>
                <w:b/>
                <w:bCs/>
                <w:szCs w:val="21"/>
              </w:rPr>
              <w:t>表4-</w:t>
            </w:r>
            <w:r>
              <w:rPr>
                <w:rFonts w:hint="eastAsia"/>
                <w:b/>
                <w:bCs/>
                <w:szCs w:val="21"/>
                <w:lang w:val="en-US" w:eastAsia="zh-CN"/>
              </w:rPr>
              <w:t>7</w:t>
            </w:r>
            <w:r>
              <w:rPr>
                <w:b/>
                <w:bCs/>
                <w:szCs w:val="21"/>
              </w:rPr>
              <w:t xml:space="preserve">  </w:t>
            </w:r>
            <w:r>
              <w:rPr>
                <w:rFonts w:hint="eastAsia"/>
                <w:b/>
                <w:bCs/>
                <w:szCs w:val="21"/>
              </w:rPr>
              <w:t>项目设备噪声源强一览表</w:t>
            </w:r>
          </w:p>
          <w:tbl>
            <w:tblPr>
              <w:tblStyle w:val="89"/>
              <w:tblW w:w="0" w:type="auto"/>
              <w:tblInd w:w="0" w:type="dxa"/>
              <w:tblLayout w:type="autofit"/>
              <w:tblCellMar>
                <w:top w:w="0" w:type="dxa"/>
                <w:left w:w="108" w:type="dxa"/>
                <w:bottom w:w="0" w:type="dxa"/>
                <w:right w:w="108" w:type="dxa"/>
              </w:tblCellMar>
            </w:tblPr>
            <w:tblGrid>
              <w:gridCol w:w="756"/>
              <w:gridCol w:w="672"/>
              <w:gridCol w:w="509"/>
              <w:gridCol w:w="1238"/>
              <w:gridCol w:w="1944"/>
              <w:gridCol w:w="1138"/>
              <w:gridCol w:w="1588"/>
            </w:tblGrid>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b/>
                      <w:bCs/>
                    </w:rPr>
                  </w:pPr>
                  <w:r>
                    <w:rPr>
                      <w:rFonts w:ascii="Times New Roman" w:hAnsi="Times New Roman" w:cs="Times New Roman" w:eastAsiaTheme="minorEastAsia"/>
                      <w:b/>
                      <w:bCs/>
                    </w:rPr>
                    <w:t>主要噪声源</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b/>
                      <w:bCs/>
                    </w:rPr>
                  </w:pPr>
                  <w:r>
                    <w:rPr>
                      <w:rFonts w:ascii="Times New Roman" w:hAnsi="Times New Roman" w:cs="Times New Roman" w:eastAsiaTheme="minorEastAsia"/>
                      <w:b/>
                      <w:bCs/>
                    </w:rPr>
                    <w:t>位置</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b/>
                      <w:bCs/>
                    </w:rPr>
                  </w:pPr>
                  <w:r>
                    <w:rPr>
                      <w:rFonts w:ascii="Times New Roman" w:hAnsi="Times New Roman" w:cs="Times New Roman" w:eastAsiaTheme="minorEastAsia"/>
                      <w:b/>
                      <w:bCs/>
                    </w:rPr>
                    <w:t>数量</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b/>
                      <w:bCs/>
                    </w:rPr>
                  </w:pPr>
                  <w:r>
                    <w:rPr>
                      <w:rFonts w:ascii="Times New Roman" w:hAnsi="Times New Roman" w:cs="Times New Roman" w:eastAsiaTheme="minorEastAsia"/>
                      <w:b/>
                      <w:bCs/>
                    </w:rPr>
                    <w:t>声源声级dB（A）</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b/>
                      <w:bCs/>
                    </w:rPr>
                  </w:pPr>
                  <w:r>
                    <w:rPr>
                      <w:rFonts w:ascii="Times New Roman" w:hAnsi="Times New Roman" w:cs="Times New Roman" w:eastAsiaTheme="minorEastAsia"/>
                      <w:b/>
                      <w:bCs/>
                    </w:rPr>
                    <w:t>治理措施</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cs="Times New Roman" w:eastAsiaTheme="minorEastAsia"/>
                    </w:rPr>
                  </w:pPr>
                  <w:r>
                    <w:rPr>
                      <w:rFonts w:hint="eastAsia" w:ascii="Times New Roman" w:hAnsi="Times New Roman" w:cs="Times New Roman" w:eastAsiaTheme="minorEastAsia"/>
                    </w:rPr>
                    <w:t>降噪后噪声源强</w:t>
                  </w:r>
                </w:p>
                <w:p>
                  <w:pPr>
                    <w:pStyle w:val="581"/>
                    <w:spacing w:line="240" w:lineRule="auto"/>
                    <w:rPr>
                      <w:rFonts w:hint="eastAsia" w:ascii="Times New Roman" w:hAnsi="Times New Roman" w:cs="Times New Roman" w:eastAsiaTheme="minorEastAsia"/>
                      <w:b/>
                      <w:bCs/>
                      <w:lang w:eastAsia="zh-CN"/>
                    </w:rPr>
                  </w:pPr>
                  <w:r>
                    <w:rPr>
                      <w:rFonts w:ascii="Times New Roman" w:hAnsi="Times New Roman" w:cs="Times New Roman" w:eastAsiaTheme="minorEastAsia"/>
                    </w:rPr>
                    <w:t>dB（A</w:t>
                  </w:r>
                  <w:r>
                    <w:rPr>
                      <w:rFonts w:hint="eastAsia" w:ascii="Times New Roman" w:hAnsi="Times New Roman" w:cs="Times New Roman" w:eastAsiaTheme="minorEastAsia"/>
                      <w:lang w:eastAsia="zh-CN"/>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b/>
                      <w:bCs/>
                    </w:rPr>
                  </w:pPr>
                  <w:r>
                    <w:rPr>
                      <w:rFonts w:hint="eastAsia" w:ascii="Times New Roman" w:hAnsi="Times New Roman" w:cs="Times New Roman" w:eastAsiaTheme="minorEastAsia"/>
                    </w:rPr>
                    <w:t>叠加后噪声源强</w:t>
                  </w:r>
                  <w:r>
                    <w:rPr>
                      <w:rFonts w:ascii="Times New Roman" w:hAnsi="Times New Roman" w:cs="Times New Roman" w:eastAsiaTheme="minorEastAsia"/>
                    </w:rPr>
                    <w:t>dB（A</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搅拌机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搅拌机楼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85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基座减振、封闭搅拌楼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75</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空压机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搅拌机楼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80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基座减振、封闭搅拌楼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70</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皮带输送机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搅拌机楼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1套</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70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低噪声设备、封闭搅拌楼</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60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60</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螺旋输送机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筒仓</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6套</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70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低噪声设备、筒仓内</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70</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水泵</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水池旁</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80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选用低噪水泵，基座安装减振基础</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67.78</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hint="eastAsia" w:ascii="Times New Roman" w:hAnsi="Times New Roman" w:cs="Times New Roman" w:eastAsiaTheme="minorEastAsia"/>
                    </w:rPr>
                    <w:t>装载机</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hint="eastAsia" w:ascii="Times New Roman" w:hAnsi="Times New Roman" w:cs="Times New Roman" w:eastAsiaTheme="minorEastAsia"/>
                    </w:rPr>
                    <w:t>料仓前</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90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hint="eastAsia" w:ascii="Times New Roman" w:hAnsi="Times New Roman" w:cs="Times New Roman" w:eastAsiaTheme="minorEastAsia"/>
                    </w:rPr>
                    <w:t>料场修建围墙，防雨棚，装载机平稳运行</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80</w:t>
                  </w:r>
                </w:p>
              </w:tc>
            </w:tr>
            <w:tr>
              <w:tblPrEx>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车辆行驶</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厂内</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85～90</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ascii="Times New Roman" w:hAnsi="Times New Roman" w:cs="Times New Roman" w:eastAsiaTheme="minorEastAsia"/>
                    </w:rPr>
                  </w:pPr>
                  <w:r>
                    <w:rPr>
                      <w:rFonts w:ascii="Times New Roman" w:hAnsi="Times New Roman" w:cs="Times New Roman" w:eastAsiaTheme="minorEastAsia"/>
                    </w:rPr>
                    <w:t>加强车辆进出管理，禁止鸣笛，限制车速</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75</w:t>
                  </w:r>
                </w:p>
              </w:tc>
              <w:tc>
                <w:tcPr>
                  <w:tcW w:w="0" w:type="auto"/>
                  <w:tcBorders>
                    <w:top w:val="single" w:color="000000" w:sz="4" w:space="0"/>
                    <w:left w:val="single" w:color="000000" w:sz="4" w:space="0"/>
                    <w:bottom w:val="single" w:color="000000" w:sz="4" w:space="0"/>
                    <w:right w:val="single" w:color="000000" w:sz="4" w:space="0"/>
                  </w:tcBorders>
                  <w:vAlign w:val="center"/>
                </w:tcPr>
                <w:p>
                  <w:pPr>
                    <w:pStyle w:val="581"/>
                    <w:spacing w:line="240" w:lineRule="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81.02（以4辆车同时行驶计）</w:t>
                  </w:r>
                </w:p>
              </w:tc>
            </w:tr>
          </w:tbl>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预测模式</w:t>
            </w:r>
          </w:p>
          <w:p>
            <w:pPr>
              <w:spacing w:line="360" w:lineRule="auto"/>
              <w:ind w:firstLine="480" w:firstLineChars="200"/>
              <w:rPr>
                <w:sz w:val="24"/>
              </w:rPr>
            </w:pPr>
            <w:r>
              <w:rPr>
                <w:rFonts w:hint="eastAsia"/>
                <w:sz w:val="24"/>
              </w:rPr>
              <w:t>噪声传播到受声点，受传播距离，空气吸收，阻挡物的反射与屏障等因素的影响而产生衰减。其预测模式如下：</w:t>
            </w:r>
          </w:p>
          <w:p>
            <w:pPr>
              <w:spacing w:line="360" w:lineRule="auto"/>
              <w:ind w:firstLine="480" w:firstLineChars="200"/>
              <w:jc w:val="center"/>
              <w:rPr>
                <w:sz w:val="24"/>
              </w:rPr>
            </w:pPr>
            <w:r>
              <w:rPr>
                <w:rFonts w:hint="eastAsia"/>
                <w:sz w:val="24"/>
              </w:rPr>
              <w:t>LA（r）=LA（r</w:t>
            </w:r>
            <w:r>
              <w:rPr>
                <w:rFonts w:hint="eastAsia"/>
                <w:sz w:val="24"/>
                <w:vertAlign w:val="subscript"/>
              </w:rPr>
              <w:t>0</w:t>
            </w:r>
            <w:r>
              <w:rPr>
                <w:rFonts w:hint="eastAsia"/>
                <w:sz w:val="24"/>
              </w:rPr>
              <w:t>）－A</w:t>
            </w:r>
          </w:p>
          <w:p>
            <w:pPr>
              <w:spacing w:line="360" w:lineRule="auto"/>
              <w:ind w:firstLine="480" w:firstLineChars="200"/>
              <w:jc w:val="center"/>
              <w:rPr>
                <w:sz w:val="24"/>
              </w:rPr>
            </w:pPr>
            <w:r>
              <w:rPr>
                <w:sz w:val="24"/>
              </w:rPr>
              <w:t>A=Adiv+Abar+Aatm+Agr+Amisc</w:t>
            </w:r>
          </w:p>
          <w:p>
            <w:pPr>
              <w:spacing w:line="360" w:lineRule="auto"/>
              <w:ind w:firstLine="960" w:firstLineChars="400"/>
              <w:rPr>
                <w:sz w:val="24"/>
              </w:rPr>
            </w:pPr>
            <w:r>
              <w:rPr>
                <w:rFonts w:hint="eastAsia"/>
                <w:sz w:val="24"/>
              </w:rPr>
              <w:t>式中：LA(r)－距声源r处的A声级，dB（A）；</w:t>
            </w:r>
          </w:p>
          <w:p>
            <w:pPr>
              <w:spacing w:line="360" w:lineRule="auto"/>
              <w:ind w:firstLine="1680" w:firstLineChars="700"/>
              <w:rPr>
                <w:sz w:val="24"/>
              </w:rPr>
            </w:pPr>
            <w:r>
              <w:rPr>
                <w:rFonts w:hint="eastAsia"/>
                <w:sz w:val="24"/>
              </w:rPr>
              <w:t>LA(r</w:t>
            </w:r>
            <w:r>
              <w:rPr>
                <w:rFonts w:hint="eastAsia"/>
                <w:sz w:val="24"/>
                <w:vertAlign w:val="subscript"/>
              </w:rPr>
              <w:t>0</w:t>
            </w:r>
            <w:r>
              <w:rPr>
                <w:rFonts w:hint="eastAsia"/>
                <w:sz w:val="24"/>
              </w:rPr>
              <w:t>)－参考位置r</w:t>
            </w:r>
            <w:r>
              <w:rPr>
                <w:rFonts w:hint="eastAsia"/>
                <w:sz w:val="24"/>
                <w:vertAlign w:val="subscript"/>
              </w:rPr>
              <w:t>0</w:t>
            </w:r>
            <w:r>
              <w:rPr>
                <w:rFonts w:hint="eastAsia"/>
                <w:sz w:val="24"/>
              </w:rPr>
              <w:t>处的A声级，dB（A）；</w:t>
            </w:r>
          </w:p>
          <w:p>
            <w:pPr>
              <w:spacing w:line="360" w:lineRule="auto"/>
              <w:ind w:firstLine="1680" w:firstLineChars="700"/>
              <w:rPr>
                <w:sz w:val="24"/>
              </w:rPr>
            </w:pPr>
            <w:r>
              <w:rPr>
                <w:rFonts w:hint="eastAsia"/>
                <w:sz w:val="24"/>
              </w:rPr>
              <w:t>A—倍频带衰减，dB；</w:t>
            </w:r>
          </w:p>
          <w:p>
            <w:pPr>
              <w:spacing w:line="360" w:lineRule="auto"/>
              <w:ind w:firstLine="1680" w:firstLineChars="700"/>
              <w:rPr>
                <w:sz w:val="24"/>
              </w:rPr>
            </w:pPr>
            <w:r>
              <w:rPr>
                <w:rFonts w:hint="eastAsia"/>
                <w:sz w:val="24"/>
              </w:rPr>
              <w:t>Adiv－几何发散所引起的倍频带衰减，即距离所引起的衰减，无指向性点声源几何发散衰减的基本公式为：Adiv＝20lg(r/r</w:t>
            </w:r>
            <w:r>
              <w:rPr>
                <w:rFonts w:hint="eastAsia"/>
                <w:sz w:val="24"/>
                <w:vertAlign w:val="subscript"/>
              </w:rPr>
              <w:t>0</w:t>
            </w:r>
            <w:r>
              <w:rPr>
                <w:rFonts w:hint="eastAsia"/>
                <w:sz w:val="24"/>
              </w:rPr>
              <w:t>)；</w:t>
            </w:r>
          </w:p>
          <w:p>
            <w:pPr>
              <w:spacing w:line="360" w:lineRule="auto"/>
              <w:ind w:firstLine="1680" w:firstLineChars="700"/>
              <w:rPr>
                <w:sz w:val="24"/>
              </w:rPr>
            </w:pPr>
            <w:r>
              <w:rPr>
                <w:rFonts w:hint="eastAsia"/>
                <w:sz w:val="24"/>
              </w:rPr>
              <w:t>Abar－屏障物所引起的倍频带衰减。</w:t>
            </w:r>
          </w:p>
          <w:p>
            <w:pPr>
              <w:spacing w:line="360" w:lineRule="auto"/>
              <w:ind w:firstLine="1680" w:firstLineChars="700"/>
              <w:rPr>
                <w:sz w:val="24"/>
              </w:rPr>
            </w:pPr>
            <w:r>
              <w:rPr>
                <w:rFonts w:hint="eastAsia"/>
                <w:sz w:val="24"/>
              </w:rPr>
              <w:t>Aatm－空气吸收所引起的倍频带衰减，一般情况下可忽略不计。</w:t>
            </w:r>
          </w:p>
          <w:p>
            <w:pPr>
              <w:spacing w:line="360" w:lineRule="auto"/>
              <w:ind w:firstLine="1680" w:firstLineChars="700"/>
              <w:rPr>
                <w:sz w:val="24"/>
              </w:rPr>
            </w:pPr>
            <w:r>
              <w:rPr>
                <w:rFonts w:hint="eastAsia"/>
                <w:sz w:val="24"/>
              </w:rPr>
              <w:t>Agr－地面效应所引起的倍频带衰减，本项目不考虑地面效应。</w:t>
            </w:r>
          </w:p>
          <w:p>
            <w:pPr>
              <w:spacing w:line="360" w:lineRule="auto"/>
              <w:ind w:firstLine="1680" w:firstLineChars="700"/>
              <w:rPr>
                <w:sz w:val="24"/>
              </w:rPr>
            </w:pPr>
            <w:r>
              <w:rPr>
                <w:rFonts w:hint="eastAsia"/>
                <w:sz w:val="24"/>
              </w:rPr>
              <w:t>Amisc－其他多方面倍频带衰减，一般情况下的环境影响评价中，不需考虑附加影响。</w:t>
            </w:r>
          </w:p>
          <w:p>
            <w:pPr>
              <w:spacing w:line="360" w:lineRule="auto"/>
              <w:ind w:firstLine="480" w:firstLineChars="200"/>
              <w:rPr>
                <w:sz w:val="24"/>
              </w:rPr>
            </w:pPr>
            <w:r>
              <w:rPr>
                <w:rFonts w:hint="eastAsia"/>
                <w:sz w:val="24"/>
              </w:rPr>
              <w:t>各受声点的声源叠加按下列公式计算：</w:t>
            </w:r>
          </w:p>
          <w:p>
            <w:pPr>
              <w:spacing w:line="360" w:lineRule="auto"/>
              <w:jc w:val="center"/>
              <w:rPr>
                <w:sz w:val="24"/>
              </w:rPr>
            </w:pPr>
            <w:r>
              <w:rPr>
                <w:color w:val="000000"/>
                <w:position w:val="-30"/>
                <w:sz w:val="24"/>
              </w:rPr>
              <w:pict>
                <v:shape id="_x0000_i1026" o:spt="75" type="#_x0000_t75" style="height:45.75pt;width:126pt;" filled="f" o:preferrelative="t" stroked="f" coordsize="21600,21600">
                  <v:path/>
                  <v:fill on="f" focussize="0,0"/>
                  <v:stroke on="f" joinstyle="miter"/>
                  <v:imagedata r:id="rId19" o:title=""/>
                  <o:lock v:ext="edit" aspectratio="t"/>
                  <w10:wrap type="none"/>
                  <w10:anchorlock/>
                </v:shape>
              </w:pict>
            </w:r>
          </w:p>
          <w:p>
            <w:pPr>
              <w:spacing w:line="360" w:lineRule="auto"/>
              <w:ind w:firstLine="960" w:firstLineChars="400"/>
              <w:rPr>
                <w:sz w:val="24"/>
              </w:rPr>
            </w:pPr>
            <w:r>
              <w:rPr>
                <w:rFonts w:hint="eastAsia"/>
                <w:sz w:val="24"/>
              </w:rPr>
              <w:t>式中：LA——距声源r处的总A声级；</w:t>
            </w:r>
          </w:p>
          <w:p>
            <w:pPr>
              <w:spacing w:line="360" w:lineRule="auto"/>
              <w:ind w:firstLine="1680" w:firstLineChars="700"/>
              <w:rPr>
                <w:sz w:val="24"/>
              </w:rPr>
            </w:pPr>
            <w:r>
              <w:rPr>
                <w:rFonts w:hint="eastAsia"/>
                <w:sz w:val="24"/>
              </w:rPr>
              <w:t>n——声源数量；</w:t>
            </w:r>
          </w:p>
          <w:p>
            <w:pPr>
              <w:spacing w:line="360" w:lineRule="auto"/>
              <w:ind w:firstLine="1680" w:firstLineChars="700"/>
              <w:rPr>
                <w:sz w:val="24"/>
              </w:rPr>
            </w:pPr>
            <w:r>
              <w:rPr>
                <w:rFonts w:hint="eastAsia"/>
                <w:sz w:val="24"/>
              </w:rPr>
              <w:t>Li——第i个声源的A声级，dB（A）。</w:t>
            </w:r>
          </w:p>
          <w:p>
            <w:pPr>
              <w:spacing w:line="360" w:lineRule="auto"/>
              <w:ind w:firstLine="480" w:firstLineChars="200"/>
              <w:rPr>
                <w:sz w:val="24"/>
              </w:rPr>
            </w:pPr>
            <w:r>
              <w:rPr>
                <w:rFonts w:hint="eastAsia" w:ascii="宋体" w:hAnsi="宋体" w:cs="宋体"/>
                <w:sz w:val="24"/>
              </w:rPr>
              <w:t>②</w:t>
            </w:r>
            <w:r>
              <w:rPr>
                <w:sz w:val="24"/>
              </w:rPr>
              <w:t>预测结果与评价</w:t>
            </w:r>
          </w:p>
          <w:p>
            <w:pPr>
              <w:spacing w:line="360" w:lineRule="auto"/>
              <w:jc w:val="center"/>
              <w:rPr>
                <w:b/>
                <w:bCs/>
                <w:szCs w:val="21"/>
              </w:rPr>
            </w:pPr>
            <w:r>
              <w:rPr>
                <w:b/>
                <w:bCs/>
                <w:szCs w:val="21"/>
              </w:rPr>
              <w:t>表4-</w:t>
            </w:r>
            <w:r>
              <w:rPr>
                <w:rFonts w:hint="eastAsia"/>
                <w:b/>
                <w:bCs/>
                <w:szCs w:val="21"/>
                <w:lang w:val="en-US" w:eastAsia="zh-CN"/>
              </w:rPr>
              <w:t>8</w:t>
            </w:r>
            <w:r>
              <w:rPr>
                <w:b/>
                <w:bCs/>
                <w:szCs w:val="21"/>
              </w:rPr>
              <w:t xml:space="preserve">  生产区距离四周厂界的估算最近距离  单位：m</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346"/>
              <w:gridCol w:w="1299"/>
              <w:gridCol w:w="1299"/>
              <w:gridCol w:w="129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tcPr>
                <w:p>
                  <w:pPr>
                    <w:jc w:val="center"/>
                    <w:rPr>
                      <w:szCs w:val="21"/>
                    </w:rPr>
                  </w:pPr>
                  <w:r>
                    <w:rPr>
                      <w:szCs w:val="21"/>
                    </w:rPr>
                    <w:t>设备名称</w:t>
                  </w:r>
                </w:p>
              </w:tc>
              <w:tc>
                <w:tcPr>
                  <w:tcW w:w="1592" w:type="dxa"/>
                </w:tcPr>
                <w:p>
                  <w:pPr>
                    <w:jc w:val="center"/>
                    <w:rPr>
                      <w:szCs w:val="21"/>
                    </w:rPr>
                  </w:pPr>
                  <w:r>
                    <w:rPr>
                      <w:szCs w:val="21"/>
                    </w:rPr>
                    <w:t>北侧厂界</w:t>
                  </w:r>
                </w:p>
              </w:tc>
              <w:tc>
                <w:tcPr>
                  <w:tcW w:w="1562" w:type="dxa"/>
                </w:tcPr>
                <w:p>
                  <w:pPr>
                    <w:jc w:val="center"/>
                    <w:rPr>
                      <w:szCs w:val="21"/>
                    </w:rPr>
                  </w:pPr>
                  <w:r>
                    <w:rPr>
                      <w:szCs w:val="21"/>
                    </w:rPr>
                    <w:t>南侧厂界</w:t>
                  </w:r>
                </w:p>
              </w:tc>
              <w:tc>
                <w:tcPr>
                  <w:tcW w:w="1562" w:type="dxa"/>
                </w:tcPr>
                <w:p>
                  <w:pPr>
                    <w:jc w:val="center"/>
                    <w:rPr>
                      <w:szCs w:val="21"/>
                    </w:rPr>
                  </w:pPr>
                  <w:r>
                    <w:rPr>
                      <w:szCs w:val="21"/>
                    </w:rPr>
                    <w:t>西侧厂界</w:t>
                  </w:r>
                </w:p>
              </w:tc>
              <w:tc>
                <w:tcPr>
                  <w:tcW w:w="1562" w:type="dxa"/>
                </w:tcPr>
                <w:p>
                  <w:pPr>
                    <w:jc w:val="center"/>
                    <w:rPr>
                      <w:szCs w:val="21"/>
                    </w:rPr>
                  </w:pPr>
                  <w:r>
                    <w:rPr>
                      <w:szCs w:val="21"/>
                    </w:rPr>
                    <w:t>东侧厂界</w:t>
                  </w:r>
                </w:p>
              </w:tc>
              <w:tc>
                <w:tcPr>
                  <w:tcW w:w="1562" w:type="dxa"/>
                </w:tcPr>
                <w:p>
                  <w:pPr>
                    <w:jc w:val="center"/>
                    <w:rPr>
                      <w:szCs w:val="21"/>
                    </w:rPr>
                  </w:pPr>
                  <w:r>
                    <w:rPr>
                      <w:rFonts w:hint="eastAsia"/>
                      <w:szCs w:val="21"/>
                    </w:rPr>
                    <w:t>小坡组散户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szCs w:val="21"/>
                    </w:rPr>
                  </w:pPr>
                  <w:r>
                    <w:rPr>
                      <w:rFonts w:eastAsiaTheme="minorEastAsia"/>
                    </w:rPr>
                    <w:t>搅拌机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rFonts w:hint="eastAsia"/>
                      <w:szCs w:val="21"/>
                    </w:rPr>
                    <w:t>7</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szCs w:val="21"/>
                    </w:rPr>
                  </w:pPr>
                  <w:r>
                    <w:rPr>
                      <w:rFonts w:eastAsiaTheme="minorEastAsia"/>
                    </w:rPr>
                    <w:t>空压机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rFonts w:hint="eastAsia"/>
                      <w:szCs w:val="21"/>
                    </w:rPr>
                    <w:t>7</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szCs w:val="21"/>
                    </w:rPr>
                  </w:pPr>
                  <w:r>
                    <w:rPr>
                      <w:rFonts w:eastAsiaTheme="minorEastAsia"/>
                    </w:rPr>
                    <w:t>皮带输送机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pPr>
                  <w:r>
                    <w:rPr>
                      <w:rFonts w:eastAsiaTheme="minorEastAsia"/>
                    </w:rPr>
                    <w:t>水泵</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rFonts w:hint="eastAsia"/>
                      <w:szCs w:val="21"/>
                    </w:rPr>
                    <w:t>7</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pPr>
                  <w:r>
                    <w:rPr>
                      <w:rFonts w:eastAsiaTheme="minorEastAsia"/>
                    </w:rPr>
                    <w:t>螺旋输送机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szCs w:val="21"/>
                    </w:rPr>
                    <w:t>7</w:t>
                  </w: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rFonts w:hint="eastAsia" w:eastAsiaTheme="minorEastAsia"/>
                      <w:lang w:val="en-US" w:eastAsia="zh-CN"/>
                    </w:rPr>
                  </w:pPr>
                  <w:r>
                    <w:rPr>
                      <w:rFonts w:hint="eastAsia" w:eastAsiaTheme="minorEastAsia"/>
                      <w:lang w:val="en-US" w:eastAsia="zh-CN"/>
                    </w:rPr>
                    <w:t>装载机</w:t>
                  </w:r>
                </w:p>
              </w:tc>
              <w:tc>
                <w:tcPr>
                  <w:tcW w:w="1592" w:type="dxa"/>
                </w:tcPr>
                <w:p>
                  <w:pPr>
                    <w:jc w:val="center"/>
                    <w:rPr>
                      <w:rFonts w:hint="default" w:eastAsia="宋体"/>
                      <w:szCs w:val="21"/>
                      <w:lang w:val="en-US" w:eastAsia="zh-CN"/>
                    </w:rPr>
                  </w:pPr>
                  <w:r>
                    <w:rPr>
                      <w:rFonts w:hint="eastAsia"/>
                      <w:szCs w:val="21"/>
                      <w:lang w:val="en-US" w:eastAsia="zh-CN"/>
                    </w:rPr>
                    <w:t>150</w:t>
                  </w:r>
                </w:p>
              </w:tc>
              <w:tc>
                <w:tcPr>
                  <w:tcW w:w="1562" w:type="dxa"/>
                </w:tcPr>
                <w:p>
                  <w:pPr>
                    <w:jc w:val="center"/>
                    <w:rPr>
                      <w:rFonts w:hint="default" w:eastAsia="宋体"/>
                      <w:szCs w:val="21"/>
                      <w:lang w:val="en-US" w:eastAsia="zh-CN"/>
                    </w:rPr>
                  </w:pPr>
                  <w:r>
                    <w:rPr>
                      <w:rFonts w:hint="eastAsia"/>
                      <w:szCs w:val="21"/>
                      <w:lang w:val="en-US" w:eastAsia="zh-CN"/>
                    </w:rPr>
                    <w:t>30</w:t>
                  </w:r>
                </w:p>
              </w:tc>
              <w:tc>
                <w:tcPr>
                  <w:tcW w:w="1562" w:type="dxa"/>
                </w:tcPr>
                <w:p>
                  <w:pPr>
                    <w:jc w:val="center"/>
                    <w:rPr>
                      <w:rFonts w:hint="default" w:eastAsia="宋体"/>
                      <w:szCs w:val="21"/>
                      <w:lang w:val="en-US" w:eastAsia="zh-CN"/>
                    </w:rPr>
                  </w:pPr>
                  <w:r>
                    <w:rPr>
                      <w:rFonts w:hint="eastAsia"/>
                      <w:szCs w:val="21"/>
                      <w:lang w:val="en-US" w:eastAsia="zh-CN"/>
                    </w:rPr>
                    <w:t>50</w:t>
                  </w:r>
                </w:p>
              </w:tc>
              <w:tc>
                <w:tcPr>
                  <w:tcW w:w="1562" w:type="dxa"/>
                </w:tcPr>
                <w:p>
                  <w:pPr>
                    <w:jc w:val="center"/>
                    <w:rPr>
                      <w:rFonts w:hint="default" w:eastAsia="宋体"/>
                      <w:szCs w:val="21"/>
                      <w:lang w:val="en-US" w:eastAsia="zh-CN"/>
                    </w:rPr>
                  </w:pPr>
                  <w:r>
                    <w:rPr>
                      <w:rFonts w:hint="eastAsia"/>
                      <w:szCs w:val="21"/>
                      <w:lang w:val="en-US" w:eastAsia="zh-CN"/>
                    </w:rPr>
                    <w:t>40</w:t>
                  </w:r>
                </w:p>
              </w:tc>
              <w:tc>
                <w:tcPr>
                  <w:tcW w:w="1562" w:type="dxa"/>
                </w:tcPr>
                <w:p>
                  <w:pPr>
                    <w:jc w:val="center"/>
                    <w:rPr>
                      <w:rFonts w:hint="default" w:eastAsia="宋体"/>
                      <w:szCs w:val="21"/>
                      <w:lang w:val="en-US" w:eastAsia="zh-CN"/>
                    </w:rPr>
                  </w:pPr>
                  <w:r>
                    <w:rPr>
                      <w:rFonts w:hint="eastAsia"/>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rFonts w:hint="eastAsia" w:eastAsiaTheme="minorEastAsia"/>
                      <w:lang w:val="en-US" w:eastAsia="zh-CN"/>
                    </w:rPr>
                  </w:pPr>
                  <w:r>
                    <w:rPr>
                      <w:rFonts w:hint="eastAsia" w:eastAsiaTheme="minorEastAsia"/>
                      <w:lang w:val="en-US" w:eastAsia="zh-CN"/>
                    </w:rPr>
                    <w:t>车辆</w:t>
                  </w:r>
                </w:p>
              </w:tc>
              <w:tc>
                <w:tcPr>
                  <w:tcW w:w="1592" w:type="dxa"/>
                </w:tcPr>
                <w:p>
                  <w:pPr>
                    <w:jc w:val="center"/>
                    <w:rPr>
                      <w:rFonts w:hint="default" w:eastAsia="宋体"/>
                      <w:szCs w:val="21"/>
                      <w:lang w:val="en-US" w:eastAsia="zh-CN"/>
                    </w:rPr>
                  </w:pPr>
                  <w:r>
                    <w:rPr>
                      <w:rFonts w:hint="eastAsia"/>
                      <w:szCs w:val="21"/>
                      <w:lang w:val="en-US" w:eastAsia="zh-CN"/>
                    </w:rPr>
                    <w:t>100</w:t>
                  </w:r>
                </w:p>
              </w:tc>
              <w:tc>
                <w:tcPr>
                  <w:tcW w:w="1562" w:type="dxa"/>
                </w:tcPr>
                <w:p>
                  <w:pPr>
                    <w:jc w:val="center"/>
                    <w:rPr>
                      <w:rFonts w:hint="default" w:eastAsia="宋体"/>
                      <w:szCs w:val="21"/>
                      <w:lang w:val="en-US" w:eastAsia="zh-CN"/>
                    </w:rPr>
                  </w:pPr>
                  <w:r>
                    <w:rPr>
                      <w:rFonts w:hint="eastAsia"/>
                      <w:szCs w:val="21"/>
                      <w:lang w:val="en-US" w:eastAsia="zh-CN"/>
                    </w:rPr>
                    <w:t>55</w:t>
                  </w:r>
                </w:p>
              </w:tc>
              <w:tc>
                <w:tcPr>
                  <w:tcW w:w="1562" w:type="dxa"/>
                </w:tcPr>
                <w:p>
                  <w:pPr>
                    <w:jc w:val="center"/>
                    <w:rPr>
                      <w:rFonts w:hint="default" w:eastAsia="宋体"/>
                      <w:szCs w:val="21"/>
                      <w:lang w:val="en-US" w:eastAsia="zh-CN"/>
                    </w:rPr>
                  </w:pPr>
                  <w:r>
                    <w:rPr>
                      <w:rFonts w:hint="eastAsia"/>
                      <w:szCs w:val="21"/>
                      <w:lang w:val="en-US" w:eastAsia="zh-CN"/>
                    </w:rPr>
                    <w:t>45</w:t>
                  </w:r>
                </w:p>
              </w:tc>
              <w:tc>
                <w:tcPr>
                  <w:tcW w:w="1562" w:type="dxa"/>
                </w:tcPr>
                <w:p>
                  <w:pPr>
                    <w:jc w:val="center"/>
                    <w:rPr>
                      <w:rFonts w:hint="default" w:eastAsia="宋体"/>
                      <w:szCs w:val="21"/>
                      <w:lang w:val="en-US" w:eastAsia="zh-CN"/>
                    </w:rPr>
                  </w:pPr>
                  <w:r>
                    <w:rPr>
                      <w:rFonts w:hint="eastAsia"/>
                      <w:szCs w:val="21"/>
                      <w:lang w:val="en-US" w:eastAsia="zh-CN"/>
                    </w:rPr>
                    <w:t>40</w:t>
                  </w:r>
                </w:p>
              </w:tc>
              <w:tc>
                <w:tcPr>
                  <w:tcW w:w="1562" w:type="dxa"/>
                </w:tcPr>
                <w:p>
                  <w:pPr>
                    <w:jc w:val="center"/>
                    <w:rPr>
                      <w:rFonts w:hint="default" w:eastAsia="宋体"/>
                      <w:szCs w:val="21"/>
                      <w:lang w:val="en-US" w:eastAsia="zh-CN"/>
                    </w:rPr>
                  </w:pPr>
                  <w:r>
                    <w:rPr>
                      <w:rFonts w:hint="eastAsia"/>
                      <w:szCs w:val="21"/>
                      <w:lang w:val="en-US" w:eastAsia="zh-CN"/>
                    </w:rPr>
                    <w:t>75</w:t>
                  </w:r>
                </w:p>
              </w:tc>
            </w:tr>
          </w:tbl>
          <w:p>
            <w:pPr>
              <w:spacing w:line="360" w:lineRule="auto"/>
              <w:jc w:val="center"/>
              <w:rPr>
                <w:b/>
                <w:bCs/>
                <w:szCs w:val="21"/>
              </w:rPr>
            </w:pPr>
            <w:r>
              <w:rPr>
                <w:b/>
                <w:bCs/>
                <w:szCs w:val="21"/>
              </w:rPr>
              <w:t>表4-</w:t>
            </w:r>
            <w:r>
              <w:rPr>
                <w:rFonts w:hint="eastAsia"/>
                <w:b/>
                <w:bCs/>
                <w:szCs w:val="21"/>
                <w:lang w:val="en-US" w:eastAsia="zh-CN"/>
              </w:rPr>
              <w:t>9</w:t>
            </w:r>
            <w:r>
              <w:rPr>
                <w:b/>
                <w:bCs/>
                <w:szCs w:val="21"/>
              </w:rPr>
              <w:t xml:space="preserve">  厂界噪声预判结果分析</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919"/>
              <w:gridCol w:w="1160"/>
              <w:gridCol w:w="1159"/>
              <w:gridCol w:w="1159"/>
              <w:gridCol w:w="115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szCs w:val="21"/>
                    </w:rPr>
                    <w:t>名称</w:t>
                  </w:r>
                </w:p>
              </w:tc>
              <w:tc>
                <w:tcPr>
                  <w:tcW w:w="919" w:type="dxa"/>
                  <w:vAlign w:val="center"/>
                </w:tcPr>
                <w:p>
                  <w:pPr>
                    <w:spacing w:line="360" w:lineRule="auto"/>
                    <w:jc w:val="center"/>
                    <w:rPr>
                      <w:szCs w:val="21"/>
                    </w:rPr>
                  </w:pPr>
                  <w:r>
                    <w:rPr>
                      <w:szCs w:val="21"/>
                    </w:rPr>
                    <w:t>时段</w:t>
                  </w:r>
                </w:p>
              </w:tc>
              <w:tc>
                <w:tcPr>
                  <w:tcW w:w="1160" w:type="dxa"/>
                  <w:vAlign w:val="center"/>
                </w:tcPr>
                <w:p>
                  <w:pPr>
                    <w:spacing w:line="360" w:lineRule="auto"/>
                    <w:jc w:val="center"/>
                    <w:rPr>
                      <w:szCs w:val="21"/>
                    </w:rPr>
                  </w:pPr>
                  <w:r>
                    <w:rPr>
                      <w:szCs w:val="21"/>
                    </w:rPr>
                    <w:t>厂界北侧</w:t>
                  </w:r>
                </w:p>
              </w:tc>
              <w:tc>
                <w:tcPr>
                  <w:tcW w:w="1159" w:type="dxa"/>
                  <w:vAlign w:val="center"/>
                </w:tcPr>
                <w:p>
                  <w:pPr>
                    <w:spacing w:line="360" w:lineRule="auto"/>
                    <w:jc w:val="center"/>
                    <w:rPr>
                      <w:szCs w:val="21"/>
                    </w:rPr>
                  </w:pPr>
                  <w:r>
                    <w:rPr>
                      <w:szCs w:val="21"/>
                    </w:rPr>
                    <w:t>厂界南侧</w:t>
                  </w:r>
                </w:p>
              </w:tc>
              <w:tc>
                <w:tcPr>
                  <w:tcW w:w="1159" w:type="dxa"/>
                  <w:vAlign w:val="center"/>
                </w:tcPr>
                <w:p>
                  <w:pPr>
                    <w:spacing w:line="360" w:lineRule="auto"/>
                    <w:jc w:val="center"/>
                    <w:rPr>
                      <w:szCs w:val="21"/>
                    </w:rPr>
                  </w:pPr>
                  <w:r>
                    <w:rPr>
                      <w:szCs w:val="21"/>
                    </w:rPr>
                    <w:t>厂界西侧</w:t>
                  </w:r>
                </w:p>
              </w:tc>
              <w:tc>
                <w:tcPr>
                  <w:tcW w:w="1159" w:type="dxa"/>
                  <w:vAlign w:val="center"/>
                </w:tcPr>
                <w:p>
                  <w:pPr>
                    <w:spacing w:line="360" w:lineRule="auto"/>
                    <w:jc w:val="center"/>
                    <w:rPr>
                      <w:szCs w:val="21"/>
                    </w:rPr>
                  </w:pPr>
                  <w:r>
                    <w:rPr>
                      <w:szCs w:val="21"/>
                    </w:rPr>
                    <w:t>厂界东侧</w:t>
                  </w:r>
                </w:p>
              </w:tc>
              <w:tc>
                <w:tcPr>
                  <w:tcW w:w="1159" w:type="dxa"/>
                </w:tcPr>
                <w:p>
                  <w:pPr>
                    <w:spacing w:line="360" w:lineRule="auto"/>
                    <w:jc w:val="center"/>
                    <w:rPr>
                      <w:szCs w:val="21"/>
                    </w:rPr>
                  </w:pPr>
                  <w:r>
                    <w:rPr>
                      <w:rFonts w:hint="eastAsia"/>
                      <w:szCs w:val="21"/>
                    </w:rPr>
                    <w:t>小坡组散户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rFonts w:eastAsiaTheme="minorEastAsia"/>
                    </w:rPr>
                    <w:t>搅拌机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35</w:t>
                  </w:r>
                </w:p>
              </w:tc>
              <w:tc>
                <w:tcPr>
                  <w:tcW w:w="1159" w:type="dxa"/>
                  <w:vAlign w:val="center"/>
                </w:tcPr>
                <w:p>
                  <w:pPr>
                    <w:spacing w:line="360" w:lineRule="auto"/>
                    <w:jc w:val="center"/>
                    <w:rPr>
                      <w:szCs w:val="21"/>
                    </w:rPr>
                  </w:pPr>
                  <w:r>
                    <w:rPr>
                      <w:szCs w:val="21"/>
                    </w:rPr>
                    <w:t>40.19</w:t>
                  </w:r>
                </w:p>
              </w:tc>
              <w:tc>
                <w:tcPr>
                  <w:tcW w:w="1159" w:type="dxa"/>
                  <w:vAlign w:val="center"/>
                </w:tcPr>
                <w:p>
                  <w:pPr>
                    <w:spacing w:line="360" w:lineRule="auto"/>
                    <w:jc w:val="center"/>
                    <w:rPr>
                      <w:szCs w:val="21"/>
                    </w:rPr>
                  </w:pPr>
                  <w:r>
                    <w:rPr>
                      <w:szCs w:val="21"/>
                    </w:rPr>
                    <w:t>41.94</w:t>
                  </w:r>
                </w:p>
              </w:tc>
              <w:tc>
                <w:tcPr>
                  <w:tcW w:w="1159" w:type="dxa"/>
                  <w:vAlign w:val="center"/>
                </w:tcPr>
                <w:p>
                  <w:pPr>
                    <w:spacing w:line="360" w:lineRule="auto"/>
                    <w:jc w:val="center"/>
                    <w:rPr>
                      <w:szCs w:val="21"/>
                    </w:rPr>
                  </w:pPr>
                  <w:r>
                    <w:rPr>
                      <w:szCs w:val="21"/>
                    </w:rPr>
                    <w:t>42.96</w:t>
                  </w:r>
                </w:p>
              </w:tc>
              <w:tc>
                <w:tcPr>
                  <w:tcW w:w="1159" w:type="dxa"/>
                </w:tcPr>
                <w:p>
                  <w:pPr>
                    <w:spacing w:line="360" w:lineRule="auto"/>
                    <w:jc w:val="center"/>
                    <w:rPr>
                      <w:szCs w:val="21"/>
                    </w:rPr>
                  </w:pPr>
                  <w:r>
                    <w:rPr>
                      <w:rFonts w:hint="eastAsia"/>
                      <w:szCs w:val="21"/>
                    </w:rPr>
                    <w:t>3</w:t>
                  </w:r>
                  <w:r>
                    <w:rPr>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rFonts w:eastAsiaTheme="minorEastAsia"/>
                    </w:rPr>
                    <w:t>空压机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30</w:t>
                  </w:r>
                </w:p>
              </w:tc>
              <w:tc>
                <w:tcPr>
                  <w:tcW w:w="1159" w:type="dxa"/>
                  <w:vAlign w:val="center"/>
                </w:tcPr>
                <w:p>
                  <w:pPr>
                    <w:spacing w:line="360" w:lineRule="auto"/>
                    <w:jc w:val="center"/>
                    <w:rPr>
                      <w:szCs w:val="21"/>
                    </w:rPr>
                  </w:pPr>
                  <w:r>
                    <w:rPr>
                      <w:szCs w:val="21"/>
                    </w:rPr>
                    <w:t>35.19</w:t>
                  </w:r>
                </w:p>
              </w:tc>
              <w:tc>
                <w:tcPr>
                  <w:tcW w:w="1159" w:type="dxa"/>
                  <w:vAlign w:val="center"/>
                </w:tcPr>
                <w:p>
                  <w:pPr>
                    <w:spacing w:line="360" w:lineRule="auto"/>
                    <w:jc w:val="center"/>
                    <w:rPr>
                      <w:szCs w:val="21"/>
                    </w:rPr>
                  </w:pPr>
                  <w:r>
                    <w:rPr>
                      <w:szCs w:val="21"/>
                    </w:rPr>
                    <w:t>36.94</w:t>
                  </w:r>
                </w:p>
              </w:tc>
              <w:tc>
                <w:tcPr>
                  <w:tcW w:w="1159" w:type="dxa"/>
                  <w:vAlign w:val="center"/>
                </w:tcPr>
                <w:p>
                  <w:pPr>
                    <w:spacing w:line="360" w:lineRule="auto"/>
                    <w:jc w:val="center"/>
                    <w:rPr>
                      <w:szCs w:val="21"/>
                    </w:rPr>
                  </w:pPr>
                  <w:r>
                    <w:rPr>
                      <w:szCs w:val="21"/>
                    </w:rPr>
                    <w:t>37.96</w:t>
                  </w:r>
                </w:p>
              </w:tc>
              <w:tc>
                <w:tcPr>
                  <w:tcW w:w="1159" w:type="dxa"/>
                </w:tcPr>
                <w:p>
                  <w:pPr>
                    <w:spacing w:line="360" w:lineRule="auto"/>
                    <w:jc w:val="center"/>
                    <w:rPr>
                      <w:szCs w:val="21"/>
                    </w:rPr>
                  </w:pPr>
                  <w:r>
                    <w:rPr>
                      <w:rFonts w:hint="eastAsia"/>
                      <w:szCs w:val="21"/>
                    </w:rPr>
                    <w:t>3</w:t>
                  </w: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rFonts w:eastAsiaTheme="minorEastAsia"/>
                    </w:rPr>
                    <w:t>皮带输送机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20</w:t>
                  </w:r>
                </w:p>
              </w:tc>
              <w:tc>
                <w:tcPr>
                  <w:tcW w:w="1159" w:type="dxa"/>
                  <w:vAlign w:val="center"/>
                </w:tcPr>
                <w:p>
                  <w:pPr>
                    <w:spacing w:line="360" w:lineRule="auto"/>
                    <w:jc w:val="center"/>
                    <w:rPr>
                      <w:szCs w:val="21"/>
                    </w:rPr>
                  </w:pPr>
                  <w:r>
                    <w:rPr>
                      <w:szCs w:val="21"/>
                    </w:rPr>
                    <w:t>25.19</w:t>
                  </w:r>
                </w:p>
              </w:tc>
              <w:tc>
                <w:tcPr>
                  <w:tcW w:w="1159" w:type="dxa"/>
                  <w:vAlign w:val="center"/>
                </w:tcPr>
                <w:p>
                  <w:pPr>
                    <w:spacing w:line="360" w:lineRule="auto"/>
                    <w:jc w:val="center"/>
                    <w:rPr>
                      <w:szCs w:val="21"/>
                    </w:rPr>
                  </w:pPr>
                  <w:r>
                    <w:rPr>
                      <w:szCs w:val="21"/>
                    </w:rPr>
                    <w:t>26.94</w:t>
                  </w:r>
                </w:p>
              </w:tc>
              <w:tc>
                <w:tcPr>
                  <w:tcW w:w="1159" w:type="dxa"/>
                  <w:vAlign w:val="center"/>
                </w:tcPr>
                <w:p>
                  <w:pPr>
                    <w:spacing w:line="360" w:lineRule="auto"/>
                    <w:jc w:val="center"/>
                    <w:rPr>
                      <w:szCs w:val="21"/>
                    </w:rPr>
                  </w:pPr>
                  <w:r>
                    <w:rPr>
                      <w:szCs w:val="21"/>
                    </w:rPr>
                    <w:t>27.96</w:t>
                  </w:r>
                </w:p>
              </w:tc>
              <w:tc>
                <w:tcPr>
                  <w:tcW w:w="1159" w:type="dxa"/>
                </w:tcPr>
                <w:p>
                  <w:pPr>
                    <w:spacing w:line="360" w:lineRule="auto"/>
                    <w:jc w:val="center"/>
                    <w:rPr>
                      <w:szCs w:val="21"/>
                    </w:rPr>
                  </w:pPr>
                  <w:r>
                    <w:rPr>
                      <w:rFonts w:hint="eastAsia"/>
                      <w:szCs w:val="21"/>
                    </w:rPr>
                    <w:t>2</w:t>
                  </w: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jc w:val="center"/>
                  </w:pPr>
                  <w:r>
                    <w:rPr>
                      <w:rFonts w:eastAsiaTheme="minorEastAsia"/>
                    </w:rPr>
                    <w:t>水泵</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30</w:t>
                  </w:r>
                </w:p>
              </w:tc>
              <w:tc>
                <w:tcPr>
                  <w:tcW w:w="1159" w:type="dxa"/>
                  <w:vAlign w:val="center"/>
                </w:tcPr>
                <w:p>
                  <w:pPr>
                    <w:spacing w:line="360" w:lineRule="auto"/>
                    <w:jc w:val="center"/>
                    <w:rPr>
                      <w:szCs w:val="21"/>
                    </w:rPr>
                  </w:pPr>
                  <w:r>
                    <w:rPr>
                      <w:szCs w:val="21"/>
                    </w:rPr>
                    <w:t>35.19</w:t>
                  </w:r>
                </w:p>
              </w:tc>
              <w:tc>
                <w:tcPr>
                  <w:tcW w:w="1159" w:type="dxa"/>
                  <w:vAlign w:val="center"/>
                </w:tcPr>
                <w:p>
                  <w:pPr>
                    <w:spacing w:line="360" w:lineRule="auto"/>
                    <w:jc w:val="center"/>
                    <w:rPr>
                      <w:szCs w:val="21"/>
                    </w:rPr>
                  </w:pPr>
                  <w:r>
                    <w:rPr>
                      <w:szCs w:val="21"/>
                    </w:rPr>
                    <w:t>36.94</w:t>
                  </w:r>
                </w:p>
              </w:tc>
              <w:tc>
                <w:tcPr>
                  <w:tcW w:w="1159" w:type="dxa"/>
                  <w:vAlign w:val="center"/>
                </w:tcPr>
                <w:p>
                  <w:pPr>
                    <w:spacing w:line="360" w:lineRule="auto"/>
                    <w:jc w:val="center"/>
                    <w:rPr>
                      <w:szCs w:val="21"/>
                    </w:rPr>
                  </w:pPr>
                  <w:r>
                    <w:rPr>
                      <w:szCs w:val="21"/>
                    </w:rPr>
                    <w:t>37.96</w:t>
                  </w:r>
                </w:p>
              </w:tc>
              <w:tc>
                <w:tcPr>
                  <w:tcW w:w="1159" w:type="dxa"/>
                </w:tcPr>
                <w:p>
                  <w:pPr>
                    <w:spacing w:line="360" w:lineRule="auto"/>
                    <w:jc w:val="center"/>
                    <w:rPr>
                      <w:szCs w:val="21"/>
                    </w:rPr>
                  </w:pPr>
                  <w:r>
                    <w:rPr>
                      <w:rFonts w:hint="eastAsia"/>
                      <w:szCs w:val="21"/>
                    </w:rPr>
                    <w:t>3</w:t>
                  </w: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jc w:val="center"/>
                  </w:pPr>
                  <w:r>
                    <w:rPr>
                      <w:rFonts w:eastAsiaTheme="minorEastAsia"/>
                    </w:rPr>
                    <w:t>螺旋输送机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27.78</w:t>
                  </w:r>
                </w:p>
              </w:tc>
              <w:tc>
                <w:tcPr>
                  <w:tcW w:w="1159" w:type="dxa"/>
                  <w:vAlign w:val="center"/>
                </w:tcPr>
                <w:p>
                  <w:pPr>
                    <w:spacing w:line="360" w:lineRule="auto"/>
                    <w:jc w:val="center"/>
                    <w:rPr>
                      <w:szCs w:val="21"/>
                    </w:rPr>
                  </w:pPr>
                  <w:r>
                    <w:rPr>
                      <w:szCs w:val="21"/>
                    </w:rPr>
                    <w:t>32.97</w:t>
                  </w:r>
                </w:p>
              </w:tc>
              <w:tc>
                <w:tcPr>
                  <w:tcW w:w="1159" w:type="dxa"/>
                  <w:vAlign w:val="center"/>
                </w:tcPr>
                <w:p>
                  <w:pPr>
                    <w:spacing w:line="360" w:lineRule="auto"/>
                    <w:jc w:val="center"/>
                    <w:rPr>
                      <w:szCs w:val="21"/>
                    </w:rPr>
                  </w:pPr>
                  <w:r>
                    <w:rPr>
                      <w:szCs w:val="21"/>
                    </w:rPr>
                    <w:t>34.72</w:t>
                  </w:r>
                </w:p>
              </w:tc>
              <w:tc>
                <w:tcPr>
                  <w:tcW w:w="1159" w:type="dxa"/>
                  <w:vAlign w:val="center"/>
                </w:tcPr>
                <w:p>
                  <w:pPr>
                    <w:spacing w:line="360" w:lineRule="auto"/>
                    <w:jc w:val="center"/>
                    <w:rPr>
                      <w:szCs w:val="21"/>
                    </w:rPr>
                  </w:pPr>
                  <w:r>
                    <w:rPr>
                      <w:szCs w:val="21"/>
                    </w:rPr>
                    <w:t>35.74</w:t>
                  </w:r>
                </w:p>
              </w:tc>
              <w:tc>
                <w:tcPr>
                  <w:tcW w:w="1159" w:type="dxa"/>
                </w:tcPr>
                <w:p>
                  <w:pPr>
                    <w:spacing w:line="360" w:lineRule="auto"/>
                    <w:jc w:val="center"/>
                    <w:rPr>
                      <w:szCs w:val="21"/>
                    </w:rPr>
                  </w:pPr>
                  <w:r>
                    <w:rPr>
                      <w:rFonts w:hint="eastAsia"/>
                      <w:szCs w:val="21"/>
                    </w:rPr>
                    <w:t>3</w:t>
                  </w:r>
                  <w:r>
                    <w:rPr>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jc w:val="center"/>
                    <w:rPr>
                      <w:rFonts w:hint="eastAsia" w:eastAsiaTheme="minorEastAsia"/>
                      <w:lang w:val="en-US" w:eastAsia="zh-CN"/>
                    </w:rPr>
                  </w:pPr>
                  <w:r>
                    <w:rPr>
                      <w:rFonts w:hint="eastAsia" w:eastAsiaTheme="minorEastAsia"/>
                      <w:lang w:val="en-US" w:eastAsia="zh-CN"/>
                    </w:rPr>
                    <w:t>装载机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rFonts w:hint="default" w:eastAsia="宋体"/>
                      <w:szCs w:val="21"/>
                      <w:lang w:val="en-US" w:eastAsia="zh-CN"/>
                    </w:rPr>
                  </w:pPr>
                  <w:r>
                    <w:rPr>
                      <w:rFonts w:hint="eastAsia"/>
                      <w:szCs w:val="21"/>
                      <w:lang w:val="en-US" w:eastAsia="zh-CN"/>
                    </w:rPr>
                    <w:t>36.48</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50.46</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46.02</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47.96</w:t>
                  </w:r>
                </w:p>
              </w:tc>
              <w:tc>
                <w:tcPr>
                  <w:tcW w:w="1159" w:type="dxa"/>
                  <w:vAlign w:val="center"/>
                </w:tcPr>
                <w:p>
                  <w:pPr>
                    <w:spacing w:line="360" w:lineRule="auto"/>
                    <w:jc w:val="center"/>
                    <w:rPr>
                      <w:rFonts w:hint="eastAsia"/>
                      <w:szCs w:val="21"/>
                    </w:rPr>
                  </w:pPr>
                  <w:r>
                    <w:rPr>
                      <w:rFonts w:hint="eastAsia"/>
                      <w:szCs w:val="21"/>
                      <w:lang w:val="en-US" w:eastAsia="zh-CN"/>
                    </w:rPr>
                    <w:t>41.94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jc w:val="center"/>
                    <w:rPr>
                      <w:rFonts w:hint="default" w:eastAsiaTheme="minorEastAsia"/>
                      <w:lang w:val="en-US" w:eastAsia="zh-CN"/>
                    </w:rPr>
                  </w:pPr>
                  <w:r>
                    <w:rPr>
                      <w:rFonts w:hint="eastAsia" w:eastAsiaTheme="minorEastAsia"/>
                      <w:lang w:val="en-US" w:eastAsia="zh-CN"/>
                    </w:rPr>
                    <w:t>车辆行驶</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rFonts w:hint="default" w:eastAsia="宋体"/>
                      <w:szCs w:val="21"/>
                      <w:lang w:val="en-US" w:eastAsia="zh-CN"/>
                    </w:rPr>
                  </w:pPr>
                  <w:r>
                    <w:rPr>
                      <w:rFonts w:hint="eastAsia"/>
                      <w:szCs w:val="21"/>
                      <w:lang w:val="en-US" w:eastAsia="zh-CN"/>
                    </w:rPr>
                    <w:t>41.02</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46.21</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47.96</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48.98</w:t>
                  </w:r>
                </w:p>
              </w:tc>
              <w:tc>
                <w:tcPr>
                  <w:tcW w:w="1159" w:type="dxa"/>
                </w:tcPr>
                <w:p>
                  <w:pPr>
                    <w:spacing w:line="360" w:lineRule="auto"/>
                    <w:jc w:val="center"/>
                    <w:rPr>
                      <w:rFonts w:hint="default" w:eastAsia="宋体"/>
                      <w:szCs w:val="21"/>
                      <w:lang w:val="en-US" w:eastAsia="zh-CN"/>
                    </w:rPr>
                  </w:pPr>
                  <w:r>
                    <w:rPr>
                      <w:rFonts w:hint="eastAsia"/>
                      <w:szCs w:val="21"/>
                      <w:lang w:val="en-US" w:eastAsia="zh-CN"/>
                    </w:rPr>
                    <w:t>43.52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szCs w:val="21"/>
                    </w:rPr>
                    <w:t>预测值</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rFonts w:hint="default" w:eastAsia="宋体"/>
                      <w:szCs w:val="21"/>
                      <w:lang w:val="en-US" w:eastAsia="zh-CN"/>
                    </w:rPr>
                  </w:pPr>
                  <w:r>
                    <w:rPr>
                      <w:rFonts w:hint="eastAsia"/>
                      <w:szCs w:val="21"/>
                      <w:lang w:val="en-US" w:eastAsia="zh-CN"/>
                    </w:rPr>
                    <w:t>43.61</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52.36</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51.19</w:t>
                  </w:r>
                </w:p>
              </w:tc>
              <w:tc>
                <w:tcPr>
                  <w:tcW w:w="1159" w:type="dxa"/>
                  <w:vAlign w:val="center"/>
                </w:tcPr>
                <w:p>
                  <w:pPr>
                    <w:spacing w:line="360" w:lineRule="auto"/>
                    <w:jc w:val="center"/>
                    <w:rPr>
                      <w:rFonts w:hint="default" w:eastAsia="宋体"/>
                      <w:szCs w:val="21"/>
                      <w:lang w:val="en-US" w:eastAsia="zh-CN"/>
                    </w:rPr>
                  </w:pPr>
                  <w:r>
                    <w:rPr>
                      <w:rFonts w:hint="eastAsia"/>
                      <w:szCs w:val="21"/>
                      <w:lang w:val="en-US" w:eastAsia="zh-CN"/>
                    </w:rPr>
                    <w:t>52.51</w:t>
                  </w:r>
                </w:p>
              </w:tc>
              <w:tc>
                <w:tcPr>
                  <w:tcW w:w="1159" w:type="dxa"/>
                </w:tcPr>
                <w:p>
                  <w:pPr>
                    <w:spacing w:line="360" w:lineRule="auto"/>
                    <w:jc w:val="center"/>
                    <w:rPr>
                      <w:rFonts w:hint="default" w:eastAsia="宋体"/>
                      <w:szCs w:val="21"/>
                      <w:lang w:val="en-US" w:eastAsia="zh-CN"/>
                    </w:rPr>
                  </w:pPr>
                  <w:r>
                    <w:rPr>
                      <w:rFonts w:hint="eastAsia"/>
                      <w:szCs w:val="21"/>
                      <w:lang w:val="en-US" w:eastAsia="zh-CN"/>
                    </w:rPr>
                    <w:t>46.86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szCs w:val="21"/>
                    </w:rPr>
                    <w:t>标准值</w:t>
                  </w:r>
                </w:p>
              </w:tc>
              <w:tc>
                <w:tcPr>
                  <w:tcW w:w="919" w:type="dxa"/>
                  <w:vAlign w:val="center"/>
                </w:tcPr>
                <w:p>
                  <w:pPr>
                    <w:spacing w:line="360" w:lineRule="auto"/>
                    <w:jc w:val="center"/>
                    <w:rPr>
                      <w:szCs w:val="21"/>
                    </w:rPr>
                  </w:pPr>
                  <w:r>
                    <w:rPr>
                      <w:szCs w:val="21"/>
                    </w:rPr>
                    <w:t>昼间</w:t>
                  </w:r>
                </w:p>
              </w:tc>
              <w:tc>
                <w:tcPr>
                  <w:tcW w:w="5796" w:type="dxa"/>
                  <w:gridSpan w:val="5"/>
                  <w:vAlign w:val="center"/>
                </w:tcPr>
                <w:p>
                  <w:pPr>
                    <w:spacing w:line="360" w:lineRule="auto"/>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szCs w:val="21"/>
                    </w:rPr>
                    <w:t>达标情况</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达标</w:t>
                  </w:r>
                </w:p>
              </w:tc>
              <w:tc>
                <w:tcPr>
                  <w:tcW w:w="1159" w:type="dxa"/>
                  <w:vAlign w:val="center"/>
                </w:tcPr>
                <w:p>
                  <w:pPr>
                    <w:spacing w:line="360" w:lineRule="auto"/>
                    <w:jc w:val="center"/>
                    <w:rPr>
                      <w:szCs w:val="21"/>
                    </w:rPr>
                  </w:pPr>
                  <w:r>
                    <w:rPr>
                      <w:szCs w:val="21"/>
                    </w:rPr>
                    <w:t>达标</w:t>
                  </w:r>
                </w:p>
              </w:tc>
              <w:tc>
                <w:tcPr>
                  <w:tcW w:w="1159" w:type="dxa"/>
                  <w:vAlign w:val="center"/>
                </w:tcPr>
                <w:p>
                  <w:pPr>
                    <w:spacing w:line="360" w:lineRule="auto"/>
                    <w:jc w:val="center"/>
                    <w:rPr>
                      <w:szCs w:val="21"/>
                    </w:rPr>
                  </w:pPr>
                  <w:r>
                    <w:rPr>
                      <w:szCs w:val="21"/>
                    </w:rPr>
                    <w:t>达标</w:t>
                  </w:r>
                </w:p>
              </w:tc>
              <w:tc>
                <w:tcPr>
                  <w:tcW w:w="1159" w:type="dxa"/>
                  <w:vAlign w:val="center"/>
                </w:tcPr>
                <w:p>
                  <w:pPr>
                    <w:spacing w:line="360" w:lineRule="auto"/>
                    <w:jc w:val="center"/>
                    <w:rPr>
                      <w:szCs w:val="21"/>
                    </w:rPr>
                  </w:pPr>
                  <w:r>
                    <w:rPr>
                      <w:szCs w:val="21"/>
                    </w:rPr>
                    <w:t>达标</w:t>
                  </w:r>
                </w:p>
              </w:tc>
              <w:tc>
                <w:tcPr>
                  <w:tcW w:w="1159" w:type="dxa"/>
                </w:tcPr>
                <w:p>
                  <w:pPr>
                    <w:spacing w:line="360" w:lineRule="auto"/>
                    <w:jc w:val="center"/>
                    <w:rPr>
                      <w:szCs w:val="21"/>
                    </w:rPr>
                  </w:pPr>
                  <w:r>
                    <w:rPr>
                      <w:rFonts w:hint="eastAsia"/>
                      <w:szCs w:val="21"/>
                    </w:rPr>
                    <w:t>达标</w:t>
                  </w:r>
                </w:p>
              </w:tc>
            </w:tr>
          </w:tbl>
          <w:p>
            <w:pPr>
              <w:spacing w:line="360" w:lineRule="auto"/>
              <w:ind w:firstLine="480" w:firstLineChars="200"/>
              <w:rPr>
                <w:sz w:val="24"/>
              </w:rPr>
            </w:pPr>
            <w:r>
              <w:rPr>
                <w:sz w:val="24"/>
              </w:rPr>
              <w:t>由表4-9可看出，项目运营期间，昼间正产活动所产生的噪声在东南西北四个方向厂界均能达到《工业企业厂界环境噪声排放标准》（GB</w:t>
            </w:r>
            <w:r>
              <w:rPr>
                <w:rFonts w:hint="eastAsia"/>
                <w:sz w:val="24"/>
                <w:lang w:eastAsia="zh-CN"/>
              </w:rPr>
              <w:t>*****</w:t>
            </w:r>
            <w:r>
              <w:rPr>
                <w:sz w:val="24"/>
              </w:rPr>
              <w:t>-2008）2类标准，即昼间≤60dB（A），项目夜间不进行生产活动，则夜间对外环境噪声影响，通过尽量选用低噪设备、夜间不施工等措施后，施工厂界噪声能达标。</w:t>
            </w:r>
            <w:r>
              <w:rPr>
                <w:rFonts w:hint="eastAsia"/>
                <w:sz w:val="24"/>
              </w:rPr>
              <w:t>因此</w:t>
            </w:r>
            <w:r>
              <w:rPr>
                <w:sz w:val="24"/>
              </w:rPr>
              <w:t>项目施工噪声对周围敏感点的影响是可以接受的。</w:t>
            </w:r>
          </w:p>
          <w:p>
            <w:pPr>
              <w:spacing w:line="360" w:lineRule="auto"/>
              <w:ind w:firstLine="480" w:firstLineChars="200"/>
              <w:rPr>
                <w:sz w:val="24"/>
              </w:rPr>
            </w:pPr>
            <w:r>
              <w:rPr>
                <w:sz w:val="24"/>
              </w:rPr>
              <w:t>为了减小噪声对区域声环境的不利影响，本环评要求采取如下噪声防治措施：</w:t>
            </w:r>
          </w:p>
          <w:p>
            <w:pPr>
              <w:spacing w:line="360" w:lineRule="auto"/>
              <w:ind w:firstLine="480" w:firstLineChars="200"/>
              <w:rPr>
                <w:sz w:val="24"/>
              </w:rPr>
            </w:pPr>
            <w:r>
              <w:rPr>
                <w:rFonts w:hint="eastAsia" w:ascii="宋体" w:hAnsi="宋体" w:cs="宋体"/>
                <w:sz w:val="24"/>
              </w:rPr>
              <w:t>a</w:t>
            </w:r>
            <w:r>
              <w:rPr>
                <w:rFonts w:ascii="宋体" w:hAnsi="宋体" w:cs="宋体"/>
                <w:sz w:val="24"/>
              </w:rPr>
              <w:t>.</w:t>
            </w:r>
            <w:r>
              <w:rPr>
                <w:sz w:val="24"/>
              </w:rPr>
              <w:t>优化厂区布局，将产生噪声较高的搅拌楼布置于场地中部，在东侧应考虑增加项目围挡；</w:t>
            </w:r>
          </w:p>
          <w:p>
            <w:pPr>
              <w:spacing w:line="360" w:lineRule="auto"/>
              <w:ind w:firstLine="480" w:firstLineChars="200"/>
              <w:rPr>
                <w:sz w:val="24"/>
              </w:rPr>
            </w:pPr>
            <w:r>
              <w:rPr>
                <w:rFonts w:ascii="宋体" w:hAnsi="宋体" w:cs="宋体"/>
                <w:sz w:val="24"/>
              </w:rPr>
              <w:t>b.</w:t>
            </w:r>
            <w:r>
              <w:rPr>
                <w:sz w:val="24"/>
              </w:rPr>
              <w:t>对于空气动力性噪声的机械设备，出风口加装消声器，并将空压机布置在封闭机房内；</w:t>
            </w:r>
          </w:p>
          <w:p>
            <w:pPr>
              <w:spacing w:line="360" w:lineRule="auto"/>
              <w:ind w:firstLine="480" w:firstLineChars="200"/>
              <w:rPr>
                <w:sz w:val="24"/>
              </w:rPr>
            </w:pPr>
            <w:r>
              <w:rPr>
                <w:rFonts w:ascii="宋体" w:hAnsi="宋体" w:cs="宋体"/>
                <w:sz w:val="24"/>
              </w:rPr>
              <w:t>c.</w:t>
            </w:r>
            <w:r>
              <w:rPr>
                <w:sz w:val="24"/>
              </w:rPr>
              <w:t>皮带输送机采用封闭输送；</w:t>
            </w:r>
          </w:p>
          <w:p>
            <w:pPr>
              <w:spacing w:line="360" w:lineRule="auto"/>
              <w:ind w:firstLine="480" w:firstLineChars="200"/>
              <w:rPr>
                <w:sz w:val="24"/>
              </w:rPr>
            </w:pPr>
            <w:r>
              <w:rPr>
                <w:rFonts w:ascii="宋体" w:hAnsi="宋体" w:cs="宋体"/>
                <w:sz w:val="24"/>
              </w:rPr>
              <w:t>d.</w:t>
            </w:r>
            <w:r>
              <w:rPr>
                <w:sz w:val="24"/>
              </w:rPr>
              <w:t>强化行车管理制度，厂区内严禁鸣号，进入厂区低速行驶，最大限度减少流动噪声源；</w:t>
            </w:r>
          </w:p>
          <w:p>
            <w:pPr>
              <w:spacing w:line="360" w:lineRule="auto"/>
              <w:ind w:firstLine="480" w:firstLineChars="200"/>
              <w:rPr>
                <w:sz w:val="24"/>
              </w:rPr>
            </w:pPr>
            <w:r>
              <w:rPr>
                <w:rFonts w:ascii="宋体" w:hAnsi="宋体" w:cs="宋体"/>
                <w:sz w:val="24"/>
              </w:rPr>
              <w:t>e.</w:t>
            </w:r>
            <w:r>
              <w:rPr>
                <w:sz w:val="24"/>
              </w:rPr>
              <w:t>合理安排生产时间，若因生产需要存在夜间连续生产，须上报当地环保部门备案；</w:t>
            </w:r>
          </w:p>
          <w:p>
            <w:pPr>
              <w:spacing w:line="360" w:lineRule="auto"/>
              <w:ind w:firstLine="480" w:firstLineChars="200"/>
              <w:rPr>
                <w:sz w:val="24"/>
              </w:rPr>
            </w:pPr>
            <w:r>
              <w:rPr>
                <w:rFonts w:ascii="宋体" w:hAnsi="宋体" w:cs="宋体"/>
                <w:sz w:val="24"/>
              </w:rPr>
              <w:t>f.</w:t>
            </w:r>
            <w:r>
              <w:rPr>
                <w:sz w:val="24"/>
              </w:rPr>
              <w:t>建立设备定期维护、保养的管理制度，避免设备运转非正常噪声。</w:t>
            </w:r>
          </w:p>
          <w:p>
            <w:pPr>
              <w:spacing w:line="360" w:lineRule="auto"/>
              <w:ind w:firstLine="480" w:firstLineChars="200"/>
              <w:rPr>
                <w:sz w:val="24"/>
              </w:rPr>
            </w:pPr>
            <w:r>
              <w:rPr>
                <w:rFonts w:hint="eastAsia"/>
                <w:sz w:val="24"/>
              </w:rPr>
              <w:t>（2）</w:t>
            </w:r>
            <w:r>
              <w:rPr>
                <w:color w:val="000000"/>
                <w:sz w:val="24"/>
              </w:rPr>
              <w:t>监测要求</w:t>
            </w:r>
          </w:p>
          <w:p>
            <w:pPr>
              <w:pStyle w:val="150"/>
              <w:snapToGrid w:val="0"/>
              <w:ind w:firstLine="480"/>
              <w:rPr>
                <w:color w:val="000000"/>
                <w:kern w:val="0"/>
                <w:lang w:bidi="ar"/>
              </w:rPr>
            </w:pPr>
            <w:r>
              <w:rPr>
                <w:rFonts w:hint="eastAsia"/>
                <w:color w:val="000000"/>
                <w:kern w:val="0"/>
                <w:lang w:bidi="ar"/>
              </w:rPr>
              <w:t>根据《排污单位自行监测技术指南总则》（HJ</w:t>
            </w:r>
            <w:r>
              <w:rPr>
                <w:rFonts w:hint="eastAsia"/>
                <w:color w:val="000000"/>
                <w:kern w:val="0"/>
                <w:lang w:eastAsia="zh-CN" w:bidi="ar"/>
              </w:rPr>
              <w:t>***</w:t>
            </w:r>
            <w:r>
              <w:rPr>
                <w:rFonts w:hint="eastAsia"/>
                <w:color w:val="000000"/>
                <w:kern w:val="0"/>
                <w:lang w:bidi="ar"/>
              </w:rPr>
              <w:t>-2017）、《排污许可证申请与核发技术规范 总则》（HJ</w:t>
            </w:r>
            <w:r>
              <w:rPr>
                <w:rFonts w:hint="eastAsia"/>
                <w:color w:val="000000"/>
                <w:kern w:val="0"/>
                <w:lang w:eastAsia="zh-CN" w:bidi="ar"/>
              </w:rPr>
              <w:t>***</w:t>
            </w:r>
            <w:r>
              <w:rPr>
                <w:rFonts w:hint="eastAsia"/>
                <w:color w:val="000000"/>
                <w:kern w:val="0"/>
                <w:lang w:bidi="ar"/>
              </w:rPr>
              <w:t>-2018），结合项目情况，提出声环境监测计划见表4-</w:t>
            </w:r>
            <w:r>
              <w:rPr>
                <w:color w:val="000000"/>
                <w:kern w:val="0"/>
                <w:lang w:bidi="ar"/>
              </w:rPr>
              <w:t>10</w:t>
            </w:r>
            <w:r>
              <w:rPr>
                <w:rFonts w:hint="eastAsia"/>
                <w:color w:val="000000"/>
                <w:kern w:val="0"/>
                <w:lang w:bidi="ar"/>
              </w:rPr>
              <w:t>。</w:t>
            </w:r>
          </w:p>
          <w:p>
            <w:pPr>
              <w:snapToGrid w:val="0"/>
              <w:spacing w:line="360" w:lineRule="auto"/>
              <w:jc w:val="center"/>
              <w:rPr>
                <w:b/>
                <w:color w:val="000000"/>
                <w:szCs w:val="21"/>
              </w:rPr>
            </w:pPr>
            <w:r>
              <w:rPr>
                <w:b/>
                <w:color w:val="000000"/>
                <w:szCs w:val="21"/>
              </w:rPr>
              <w:t>表4-1</w:t>
            </w:r>
            <w:r>
              <w:rPr>
                <w:rFonts w:hint="eastAsia"/>
                <w:b/>
                <w:color w:val="000000"/>
                <w:szCs w:val="21"/>
                <w:lang w:val="en-US" w:eastAsia="zh-CN"/>
              </w:rPr>
              <w:t>0</w:t>
            </w:r>
            <w:r>
              <w:rPr>
                <w:b/>
                <w:color w:val="000000"/>
                <w:szCs w:val="21"/>
              </w:rPr>
              <w:t xml:space="preserve">  </w:t>
            </w:r>
            <w:r>
              <w:rPr>
                <w:rFonts w:hint="eastAsia"/>
                <w:b/>
                <w:color w:val="000000"/>
                <w:szCs w:val="21"/>
              </w:rPr>
              <w:t>厂界噪声</w:t>
            </w:r>
            <w:r>
              <w:rPr>
                <w:b/>
                <w:color w:val="000000"/>
                <w:szCs w:val="21"/>
              </w:rPr>
              <w:t>监测计划</w:t>
            </w:r>
            <w:r>
              <w:rPr>
                <w:rFonts w:hint="eastAsia"/>
                <w:b/>
                <w:color w:val="000000"/>
                <w:szCs w:val="21"/>
              </w:rPr>
              <w:t>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92"/>
              <w:gridCol w:w="978"/>
              <w:gridCol w:w="339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6" w:type="pct"/>
                  <w:shd w:val="clear" w:color="auto" w:fill="auto"/>
                  <w:vAlign w:val="center"/>
                </w:tcPr>
                <w:p>
                  <w:pPr>
                    <w:adjustRightInd w:val="0"/>
                    <w:snapToGrid w:val="0"/>
                    <w:jc w:val="center"/>
                    <w:rPr>
                      <w:color w:val="000000"/>
                      <w:kern w:val="0"/>
                      <w:szCs w:val="21"/>
                    </w:rPr>
                  </w:pPr>
                  <w:r>
                    <w:rPr>
                      <w:rFonts w:hint="eastAsia"/>
                      <w:color w:val="000000"/>
                      <w:kern w:val="0"/>
                      <w:szCs w:val="21"/>
                    </w:rPr>
                    <w:t>环境要素</w:t>
                  </w:r>
                </w:p>
              </w:tc>
              <w:tc>
                <w:tcPr>
                  <w:tcW w:w="506" w:type="pct"/>
                  <w:shd w:val="clear" w:color="auto" w:fill="auto"/>
                  <w:vAlign w:val="center"/>
                </w:tcPr>
                <w:p>
                  <w:pPr>
                    <w:adjustRightInd w:val="0"/>
                    <w:snapToGrid w:val="0"/>
                    <w:jc w:val="center"/>
                    <w:rPr>
                      <w:color w:val="000000"/>
                      <w:kern w:val="0"/>
                      <w:szCs w:val="21"/>
                    </w:rPr>
                  </w:pPr>
                  <w:r>
                    <w:rPr>
                      <w:rFonts w:hint="eastAsia"/>
                      <w:color w:val="000000"/>
                      <w:kern w:val="0"/>
                      <w:szCs w:val="21"/>
                    </w:rPr>
                    <w:t>监测项目</w:t>
                  </w:r>
                </w:p>
              </w:tc>
              <w:tc>
                <w:tcPr>
                  <w:tcW w:w="625" w:type="pct"/>
                  <w:shd w:val="clear" w:color="auto" w:fill="auto"/>
                  <w:vAlign w:val="center"/>
                </w:tcPr>
                <w:p>
                  <w:pPr>
                    <w:adjustRightInd w:val="0"/>
                    <w:snapToGrid w:val="0"/>
                    <w:jc w:val="center"/>
                    <w:rPr>
                      <w:color w:val="000000"/>
                      <w:kern w:val="0"/>
                      <w:szCs w:val="21"/>
                    </w:rPr>
                  </w:pPr>
                  <w:r>
                    <w:rPr>
                      <w:rFonts w:hint="eastAsia"/>
                      <w:color w:val="000000"/>
                      <w:kern w:val="0"/>
                      <w:szCs w:val="21"/>
                    </w:rPr>
                    <w:t>监测</w:t>
                  </w:r>
                </w:p>
                <w:p>
                  <w:pPr>
                    <w:adjustRightInd w:val="0"/>
                    <w:snapToGrid w:val="0"/>
                    <w:jc w:val="center"/>
                    <w:rPr>
                      <w:color w:val="000000"/>
                      <w:kern w:val="0"/>
                      <w:szCs w:val="21"/>
                    </w:rPr>
                  </w:pPr>
                  <w:r>
                    <w:rPr>
                      <w:rFonts w:hint="eastAsia"/>
                      <w:color w:val="000000"/>
                      <w:kern w:val="0"/>
                      <w:szCs w:val="21"/>
                    </w:rPr>
                    <w:t>点位</w:t>
                  </w:r>
                </w:p>
              </w:tc>
              <w:tc>
                <w:tcPr>
                  <w:tcW w:w="2167" w:type="pct"/>
                  <w:shd w:val="clear" w:color="auto" w:fill="auto"/>
                  <w:vAlign w:val="center"/>
                </w:tcPr>
                <w:p>
                  <w:pPr>
                    <w:adjustRightInd w:val="0"/>
                    <w:snapToGrid w:val="0"/>
                    <w:jc w:val="center"/>
                    <w:rPr>
                      <w:color w:val="000000"/>
                      <w:kern w:val="0"/>
                      <w:szCs w:val="21"/>
                    </w:rPr>
                  </w:pPr>
                  <w:r>
                    <w:rPr>
                      <w:rFonts w:hint="eastAsia"/>
                      <w:color w:val="000000"/>
                      <w:kern w:val="0"/>
                      <w:szCs w:val="21"/>
                    </w:rPr>
                    <w:t>监测频率</w:t>
                  </w:r>
                </w:p>
              </w:tc>
              <w:tc>
                <w:tcPr>
                  <w:tcW w:w="1235" w:type="pct"/>
                  <w:shd w:val="clear" w:color="auto" w:fill="auto"/>
                  <w:vAlign w:val="center"/>
                </w:tcPr>
                <w:p>
                  <w:pPr>
                    <w:adjustRightInd w:val="0"/>
                    <w:snapToGrid w:val="0"/>
                    <w:jc w:val="center"/>
                    <w:rPr>
                      <w:color w:val="000000"/>
                      <w:kern w:val="0"/>
                      <w:szCs w:val="21"/>
                    </w:rPr>
                  </w:pPr>
                  <w:r>
                    <w:rPr>
                      <w:rFonts w:hint="eastAsia"/>
                      <w:color w:val="000000"/>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466" w:type="pct"/>
                  <w:shd w:val="clear" w:color="auto" w:fill="auto"/>
                  <w:vAlign w:val="center"/>
                </w:tcPr>
                <w:p>
                  <w:pPr>
                    <w:adjustRightInd w:val="0"/>
                    <w:snapToGrid w:val="0"/>
                    <w:jc w:val="center"/>
                    <w:rPr>
                      <w:color w:val="000000"/>
                      <w:kern w:val="0"/>
                      <w:szCs w:val="21"/>
                    </w:rPr>
                  </w:pPr>
                  <w:r>
                    <w:rPr>
                      <w:rFonts w:hint="eastAsia"/>
                      <w:color w:val="000000"/>
                      <w:kern w:val="0"/>
                      <w:szCs w:val="21"/>
                    </w:rPr>
                    <w:t>噪声</w:t>
                  </w:r>
                </w:p>
              </w:tc>
              <w:tc>
                <w:tcPr>
                  <w:tcW w:w="506" w:type="pct"/>
                  <w:shd w:val="clear" w:color="auto" w:fill="auto"/>
                  <w:vAlign w:val="center"/>
                </w:tcPr>
                <w:p>
                  <w:pPr>
                    <w:adjustRightInd w:val="0"/>
                    <w:snapToGrid w:val="0"/>
                    <w:jc w:val="center"/>
                    <w:rPr>
                      <w:color w:val="000000"/>
                      <w:kern w:val="0"/>
                      <w:szCs w:val="21"/>
                    </w:rPr>
                  </w:pPr>
                  <w:r>
                    <w:rPr>
                      <w:rFonts w:hint="eastAsia"/>
                      <w:color w:val="000000"/>
                      <w:kern w:val="0"/>
                      <w:szCs w:val="21"/>
                    </w:rPr>
                    <w:t>等效声级</w:t>
                  </w:r>
                </w:p>
              </w:tc>
              <w:tc>
                <w:tcPr>
                  <w:tcW w:w="625" w:type="pct"/>
                  <w:shd w:val="clear" w:color="auto" w:fill="auto"/>
                  <w:vAlign w:val="center"/>
                </w:tcPr>
                <w:p>
                  <w:pPr>
                    <w:adjustRightInd w:val="0"/>
                    <w:snapToGrid w:val="0"/>
                    <w:jc w:val="center"/>
                    <w:rPr>
                      <w:color w:val="000000"/>
                      <w:kern w:val="0"/>
                      <w:szCs w:val="21"/>
                    </w:rPr>
                  </w:pPr>
                  <w:r>
                    <w:rPr>
                      <w:rFonts w:hint="eastAsia"/>
                      <w:color w:val="000000"/>
                      <w:kern w:val="0"/>
                      <w:szCs w:val="21"/>
                    </w:rPr>
                    <w:t>项目东、南、西、北厂界1m处</w:t>
                  </w:r>
                </w:p>
              </w:tc>
              <w:tc>
                <w:tcPr>
                  <w:tcW w:w="2167" w:type="pct"/>
                  <w:shd w:val="clear" w:color="auto" w:fill="auto"/>
                  <w:vAlign w:val="center"/>
                </w:tcPr>
                <w:p>
                  <w:pPr>
                    <w:adjustRightInd w:val="0"/>
                    <w:snapToGrid w:val="0"/>
                    <w:jc w:val="center"/>
                    <w:rPr>
                      <w:color w:val="000000"/>
                      <w:kern w:val="0"/>
                      <w:szCs w:val="21"/>
                    </w:rPr>
                  </w:pPr>
                  <w:r>
                    <w:rPr>
                      <w:rFonts w:hint="eastAsia"/>
                      <w:color w:val="000000"/>
                      <w:kern w:val="0"/>
                      <w:szCs w:val="21"/>
                    </w:rPr>
                    <w:t>验收时监测1次，每次连续监测2天，每天昼夜各监测1次；验收后纳入当地环境保护局的正常监测管理，每季度监测1次，每次连续监测2天，每天昼夜各监测1次；</w:t>
                  </w:r>
                </w:p>
              </w:tc>
              <w:tc>
                <w:tcPr>
                  <w:tcW w:w="1235" w:type="pct"/>
                  <w:shd w:val="clear" w:color="auto" w:fill="auto"/>
                  <w:vAlign w:val="center"/>
                </w:tcPr>
                <w:p>
                  <w:pPr>
                    <w:adjustRightInd w:val="0"/>
                    <w:snapToGrid w:val="0"/>
                    <w:jc w:val="center"/>
                    <w:rPr>
                      <w:color w:val="000000"/>
                      <w:kern w:val="0"/>
                      <w:szCs w:val="21"/>
                    </w:rPr>
                  </w:pPr>
                  <w:r>
                    <w:rPr>
                      <w:rFonts w:hint="eastAsia"/>
                      <w:color w:val="000000"/>
                      <w:kern w:val="0"/>
                      <w:szCs w:val="21"/>
                    </w:rPr>
                    <w:t>达到《工业企业厂界环境噪声排放标准》（GB</w:t>
                  </w:r>
                  <w:r>
                    <w:rPr>
                      <w:rFonts w:hint="eastAsia"/>
                      <w:color w:val="000000"/>
                      <w:kern w:val="0"/>
                      <w:szCs w:val="21"/>
                      <w:lang w:eastAsia="zh-CN"/>
                    </w:rPr>
                    <w:t>*****</w:t>
                  </w:r>
                  <w:r>
                    <w:rPr>
                      <w:rFonts w:hint="eastAsia"/>
                      <w:color w:val="000000"/>
                      <w:kern w:val="0"/>
                      <w:szCs w:val="21"/>
                    </w:rPr>
                    <w:t>-2008）中的</w:t>
                  </w:r>
                  <w:r>
                    <w:rPr>
                      <w:color w:val="000000"/>
                      <w:kern w:val="0"/>
                      <w:szCs w:val="21"/>
                    </w:rPr>
                    <w:t>2</w:t>
                  </w:r>
                  <w:r>
                    <w:rPr>
                      <w:rFonts w:hint="eastAsia"/>
                      <w:color w:val="000000"/>
                      <w:kern w:val="0"/>
                      <w:szCs w:val="21"/>
                    </w:rPr>
                    <w:t>类区标准</w:t>
                  </w:r>
                </w:p>
              </w:tc>
            </w:tr>
          </w:tbl>
          <w:p>
            <w:pPr>
              <w:spacing w:line="360" w:lineRule="auto"/>
              <w:rPr>
                <w:b/>
                <w:bCs/>
                <w:sz w:val="24"/>
              </w:rPr>
            </w:pPr>
            <w:r>
              <w:rPr>
                <w:b/>
                <w:bCs/>
                <w:sz w:val="24"/>
              </w:rPr>
              <w:t>5</w:t>
            </w:r>
            <w:r>
              <w:rPr>
                <w:rFonts w:hint="eastAsia"/>
                <w:b/>
                <w:bCs/>
                <w:sz w:val="24"/>
              </w:rPr>
              <w:t>、运营期固体废物环境影响及保护措施</w:t>
            </w:r>
          </w:p>
          <w:p>
            <w:pPr>
              <w:spacing w:line="360" w:lineRule="auto"/>
              <w:rPr>
                <w:b/>
                <w:bCs/>
                <w:sz w:val="24"/>
              </w:rPr>
            </w:pPr>
            <w:r>
              <w:rPr>
                <w:rFonts w:hint="eastAsia"/>
                <w:b/>
                <w:bCs/>
                <w:sz w:val="24"/>
              </w:rPr>
              <w:t>（</w:t>
            </w:r>
            <w:r>
              <w:rPr>
                <w:b/>
                <w:bCs/>
                <w:sz w:val="24"/>
              </w:rPr>
              <w:t>1</w:t>
            </w:r>
            <w:r>
              <w:rPr>
                <w:rFonts w:hint="eastAsia"/>
                <w:b/>
                <w:bCs/>
                <w:sz w:val="24"/>
              </w:rPr>
              <w:t>）固体废弃物产排情况</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运营期产生的固体废物主要为一般工业固废、危险废物、生活固废。一般工业固废：除尘设备收集粉尘、残余混凝土、试验室混凝土块、沉淀池沉渣；危险废物：废机油；生活固废：员工生活垃圾、食堂泔水、隔油池废油、化粪池污泥。</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1</w:t>
            </w:r>
            <w:r>
              <w:rPr>
                <w:rFonts w:hint="eastAsia" w:hAnsi="宋体"/>
                <w:color w:val="000000"/>
                <w:sz w:val="24"/>
              </w:rPr>
              <w:t>）一般工业固废</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①</w:t>
            </w:r>
            <w:r>
              <w:rPr>
                <w:rFonts w:hint="eastAsia" w:hAnsi="宋体"/>
                <w:color w:val="000000"/>
                <w:sz w:val="24"/>
              </w:rPr>
              <w:t>除尘设备收集粉尘</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项目储罐顶设置除尘器，储罐自带的布袋除尘器收集的粉尘直接送回储罐内作为项目生产原料继续使用。</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②</w:t>
            </w:r>
            <w:r>
              <w:rPr>
                <w:rFonts w:hint="eastAsia" w:hAnsi="宋体"/>
                <w:color w:val="000000"/>
                <w:sz w:val="24"/>
              </w:rPr>
              <w:t>残余混凝土</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a</w:t>
            </w:r>
            <w:r>
              <w:rPr>
                <w:rFonts w:hAnsi="宋体"/>
                <w:color w:val="000000"/>
                <w:sz w:val="24"/>
              </w:rPr>
              <w:t>.</w:t>
            </w:r>
            <w:r>
              <w:rPr>
                <w:rFonts w:hint="eastAsia" w:hAnsi="宋体"/>
                <w:color w:val="000000"/>
                <w:sz w:val="24"/>
              </w:rPr>
              <w:t>搅拌机产生残余混凝土</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根据建设单位提供的资料，项目搅拌机混凝土残留量平均为</w:t>
            </w:r>
            <w:r>
              <w:rPr>
                <w:rFonts w:hAnsi="宋体"/>
                <w:color w:val="000000"/>
                <w:sz w:val="24"/>
              </w:rPr>
              <w:t>50kg/</w:t>
            </w:r>
            <w:r>
              <w:rPr>
                <w:rFonts w:hint="eastAsia" w:hAnsi="宋体"/>
                <w:color w:val="000000"/>
                <w:sz w:val="24"/>
              </w:rPr>
              <w:t>台次，项目1搅拌机，平均每天清洗</w:t>
            </w:r>
            <w:r>
              <w:rPr>
                <w:rFonts w:hAnsi="宋体"/>
                <w:color w:val="000000"/>
                <w:sz w:val="24"/>
              </w:rPr>
              <w:t>1</w:t>
            </w:r>
            <w:r>
              <w:rPr>
                <w:rFonts w:hint="eastAsia" w:hAnsi="宋体"/>
                <w:color w:val="000000"/>
                <w:sz w:val="24"/>
              </w:rPr>
              <w:t>次搅拌机，则搅拌机清洗水夹带的残留混凝土总量为1</w:t>
            </w:r>
            <w:r>
              <w:rPr>
                <w:rFonts w:hAnsi="宋体"/>
                <w:color w:val="000000"/>
                <w:sz w:val="24"/>
              </w:rPr>
              <w:t>5t/a。</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b.</w:t>
            </w:r>
            <w:r>
              <w:rPr>
                <w:rFonts w:hint="eastAsia" w:hAnsi="宋体"/>
                <w:color w:val="000000"/>
                <w:sz w:val="24"/>
              </w:rPr>
              <w:t>混凝土运输罐车残余混凝土</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项目每天约需运输罐车</w:t>
            </w:r>
            <w:r>
              <w:rPr>
                <w:rFonts w:hAnsi="宋体"/>
                <w:color w:val="000000"/>
                <w:sz w:val="24"/>
              </w:rPr>
              <w:t>20</w:t>
            </w:r>
            <w:r>
              <w:rPr>
                <w:rFonts w:hint="eastAsia" w:hAnsi="宋体"/>
                <w:color w:val="000000"/>
                <w:sz w:val="24"/>
              </w:rPr>
              <w:t>，每辆车每次运输后混凝土残留量为</w:t>
            </w:r>
            <w:r>
              <w:rPr>
                <w:rFonts w:hAnsi="宋体"/>
                <w:color w:val="000000"/>
                <w:sz w:val="24"/>
              </w:rPr>
              <w:t>10kg/</w:t>
            </w:r>
            <w:r>
              <w:rPr>
                <w:rFonts w:hint="eastAsia" w:hAnsi="宋体"/>
                <w:color w:val="000000"/>
                <w:sz w:val="24"/>
              </w:rPr>
              <w:t>车次，则运输车辆清洗水夹带的残留混凝土总量为</w:t>
            </w:r>
            <w:r>
              <w:rPr>
                <w:rFonts w:hAnsi="宋体"/>
                <w:color w:val="000000"/>
                <w:sz w:val="24"/>
              </w:rPr>
              <w:t>60t/a</w:t>
            </w:r>
            <w:r>
              <w:rPr>
                <w:rFonts w:hint="eastAsia" w:hAnsi="宋体"/>
                <w:color w:val="000000"/>
                <w:sz w:val="24"/>
              </w:rPr>
              <w:t>。</w:t>
            </w:r>
          </w:p>
          <w:p>
            <w:pPr>
              <w:autoSpaceDE w:val="0"/>
              <w:autoSpaceDN w:val="0"/>
              <w:adjustRightInd w:val="0"/>
              <w:snapToGrid w:val="0"/>
              <w:spacing w:line="360" w:lineRule="auto"/>
              <w:ind w:firstLine="480" w:firstLineChars="200"/>
              <w:rPr>
                <w:rFonts w:hAnsi="宋体"/>
                <w:color w:val="000000"/>
                <w:sz w:val="24"/>
              </w:rPr>
            </w:pPr>
            <w:r>
              <w:rPr>
                <w:rFonts w:hint="eastAsia" w:hAnsi="宋体"/>
                <w:color w:val="000000"/>
                <w:sz w:val="24"/>
              </w:rPr>
              <w:t>根据建设单位提供资料，残留混凝土暂存于生产固废临时堆存场内，委托有资质单位定期清运处理。</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c</w:t>
            </w:r>
            <w:r>
              <w:rPr>
                <w:rFonts w:ascii="宋体" w:hAnsi="宋体"/>
                <w:color w:val="000000"/>
                <w:sz w:val="24"/>
              </w:rPr>
              <w:t>.</w:t>
            </w:r>
            <w:r>
              <w:rPr>
                <w:rFonts w:hint="eastAsia" w:hAnsi="宋体"/>
                <w:color w:val="000000"/>
                <w:sz w:val="24"/>
              </w:rPr>
              <w:t>试验室混凝土块</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根据建设单位提供的资料，试验室废弃混凝土块产生量为（</w:t>
            </w:r>
            <w:r>
              <w:rPr>
                <w:rFonts w:hAnsi="宋体"/>
                <w:color w:val="000000"/>
                <w:sz w:val="24"/>
              </w:rPr>
              <w:t>0.2t/</w:t>
            </w:r>
            <w:r>
              <w:rPr>
                <w:rFonts w:hint="eastAsia" w:hAnsi="宋体"/>
                <w:color w:val="000000"/>
                <w:sz w:val="24"/>
              </w:rPr>
              <w:t>月）</w:t>
            </w:r>
            <w:r>
              <w:rPr>
                <w:rFonts w:hAnsi="宋体"/>
                <w:color w:val="000000"/>
                <w:sz w:val="24"/>
              </w:rPr>
              <w:t>2.4t/a</w:t>
            </w:r>
            <w:r>
              <w:rPr>
                <w:rFonts w:hint="eastAsia" w:hAnsi="宋体"/>
                <w:color w:val="000000"/>
                <w:sz w:val="24"/>
              </w:rPr>
              <w:t>。该部分检验用混凝土凝固块堆存在生产固废临时堆存场所，委托有资质单位定期清运处理。</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d</w:t>
            </w:r>
            <w:r>
              <w:rPr>
                <w:rFonts w:ascii="宋体" w:hAnsi="宋体"/>
                <w:color w:val="000000"/>
                <w:sz w:val="24"/>
              </w:rPr>
              <w:t>.</w:t>
            </w:r>
            <w:r>
              <w:rPr>
                <w:rFonts w:hint="eastAsia" w:hAnsi="宋体"/>
                <w:color w:val="000000"/>
                <w:sz w:val="24"/>
              </w:rPr>
              <w:t>沉淀池沉渣</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生产废水沉淀池产生的沉渣主要为砂料，产生量按每沉淀</w:t>
            </w:r>
            <w:r>
              <w:rPr>
                <w:rFonts w:hAnsi="宋体"/>
                <w:color w:val="000000"/>
                <w:sz w:val="24"/>
              </w:rPr>
              <w:t>1m</w:t>
            </w:r>
            <w:r>
              <w:rPr>
                <w:rFonts w:hAnsi="宋体"/>
                <w:color w:val="000000"/>
                <w:sz w:val="24"/>
                <w:vertAlign w:val="superscript"/>
              </w:rPr>
              <w:t>3</w:t>
            </w:r>
            <w:r>
              <w:rPr>
                <w:rFonts w:hint="eastAsia" w:hAnsi="宋体"/>
                <w:color w:val="000000"/>
                <w:sz w:val="24"/>
              </w:rPr>
              <w:t>水产生</w:t>
            </w:r>
            <w:r>
              <w:rPr>
                <w:rFonts w:hAnsi="宋体"/>
                <w:color w:val="000000"/>
                <w:sz w:val="24"/>
              </w:rPr>
              <w:t>3kg</w:t>
            </w:r>
            <w:r>
              <w:rPr>
                <w:rFonts w:hint="eastAsia" w:hAnsi="宋体"/>
                <w:color w:val="000000"/>
                <w:sz w:val="24"/>
              </w:rPr>
              <w:t>计，根据项目水量平衡图，项目沉淀池每天沉淀生产废水量为</w:t>
            </w:r>
            <w:r>
              <w:rPr>
                <w:rFonts w:hAnsi="宋体"/>
                <w:color w:val="000000" w:themeColor="text1"/>
                <w:sz w:val="24"/>
                <w14:textFill>
                  <w14:solidFill>
                    <w14:schemeClr w14:val="tx1"/>
                  </w14:solidFill>
                </w14:textFill>
              </w:rPr>
              <w:t>4.58m</w:t>
            </w:r>
            <w:r>
              <w:rPr>
                <w:rFonts w:hAnsi="宋体"/>
                <w:color w:val="000000" w:themeColor="text1"/>
                <w:sz w:val="24"/>
                <w:vertAlign w:val="superscript"/>
                <w14:textFill>
                  <w14:solidFill>
                    <w14:schemeClr w14:val="tx1"/>
                  </w14:solidFill>
                </w14:textFill>
              </w:rPr>
              <w:t>3</w:t>
            </w:r>
            <w:r>
              <w:rPr>
                <w:rFonts w:hAnsi="宋体"/>
                <w:color w:val="000000" w:themeColor="text1"/>
                <w:sz w:val="24"/>
                <w14:textFill>
                  <w14:solidFill>
                    <w14:schemeClr w14:val="tx1"/>
                  </w14:solidFill>
                </w14:textFill>
              </w:rPr>
              <w:t>/d</w:t>
            </w:r>
            <w:r>
              <w:rPr>
                <w:rFonts w:hint="eastAsia" w:hAnsi="宋体"/>
                <w:color w:val="000000"/>
                <w:sz w:val="24"/>
              </w:rPr>
              <w:t>，则废水沉淀后沉淀产物为0</w:t>
            </w:r>
            <w:r>
              <w:rPr>
                <w:rFonts w:hAnsi="宋体"/>
                <w:color w:val="000000"/>
                <w:sz w:val="24"/>
              </w:rPr>
              <w:t>.014</w:t>
            </w:r>
            <w:r>
              <w:rPr>
                <w:rFonts w:hint="eastAsia" w:hAnsi="宋体"/>
                <w:color w:val="000000"/>
                <w:sz w:val="24"/>
              </w:rPr>
              <w:t>t</w:t>
            </w:r>
            <w:r>
              <w:rPr>
                <w:rFonts w:hAnsi="宋体"/>
                <w:color w:val="000000"/>
                <w:sz w:val="24"/>
              </w:rPr>
              <w:t>/d</w:t>
            </w:r>
            <w:r>
              <w:rPr>
                <w:rFonts w:hint="eastAsia" w:hAnsi="宋体"/>
                <w:color w:val="000000"/>
                <w:sz w:val="24"/>
              </w:rPr>
              <w:t>，年产量为4</w:t>
            </w:r>
            <w:r>
              <w:rPr>
                <w:rFonts w:hAnsi="宋体"/>
                <w:color w:val="000000"/>
                <w:sz w:val="24"/>
              </w:rPr>
              <w:t>.2t/a</w:t>
            </w:r>
            <w:r>
              <w:rPr>
                <w:rFonts w:hint="eastAsia" w:hAnsi="宋体"/>
                <w:color w:val="000000"/>
                <w:sz w:val="24"/>
              </w:rPr>
              <w:t>；初期雨水量为</w:t>
            </w:r>
            <w:r>
              <w:rPr>
                <w:rFonts w:hAnsi="宋体"/>
                <w:color w:val="000000"/>
                <w:sz w:val="24"/>
              </w:rPr>
              <w:t>20.28</w:t>
            </w:r>
            <w:r>
              <w:rPr>
                <w:rFonts w:hint="eastAsia" w:hAnsi="宋体"/>
                <w:color w:val="000000"/>
                <w:sz w:val="24"/>
              </w:rPr>
              <w:t>m³，雨水中含有砂石相对较少，产生量按</w:t>
            </w:r>
            <w:r>
              <w:rPr>
                <w:rFonts w:hAnsi="宋体"/>
                <w:color w:val="000000"/>
                <w:sz w:val="24"/>
              </w:rPr>
              <w:t>1m</w:t>
            </w:r>
            <w:r>
              <w:rPr>
                <w:rFonts w:hAnsi="宋体"/>
                <w:color w:val="000000"/>
                <w:sz w:val="24"/>
                <w:vertAlign w:val="superscript"/>
              </w:rPr>
              <w:t>3</w:t>
            </w:r>
            <w:r>
              <w:rPr>
                <w:rFonts w:hint="eastAsia" w:hAnsi="宋体"/>
                <w:color w:val="000000"/>
                <w:sz w:val="24"/>
              </w:rPr>
              <w:t>水产生</w:t>
            </w:r>
            <w:r>
              <w:rPr>
                <w:rFonts w:hAnsi="宋体"/>
                <w:color w:val="000000"/>
                <w:sz w:val="24"/>
              </w:rPr>
              <w:t>1kg</w:t>
            </w:r>
            <w:r>
              <w:rPr>
                <w:rFonts w:hint="eastAsia" w:hAnsi="宋体"/>
                <w:color w:val="000000"/>
                <w:sz w:val="24"/>
              </w:rPr>
              <w:t>计，则雨水中沉淀物产生量为</w:t>
            </w:r>
            <w:r>
              <w:rPr>
                <w:rFonts w:hAnsi="宋体"/>
                <w:color w:val="000000"/>
                <w:sz w:val="24"/>
              </w:rPr>
              <w:t>0.02t/d</w:t>
            </w:r>
            <w:r>
              <w:rPr>
                <w:rFonts w:hint="eastAsia" w:hAnsi="宋体"/>
                <w:color w:val="000000"/>
                <w:sz w:val="24"/>
              </w:rPr>
              <w:t>，年产生量为</w:t>
            </w:r>
            <w:r>
              <w:rPr>
                <w:rFonts w:hAnsi="宋体"/>
                <w:color w:val="000000"/>
                <w:sz w:val="24"/>
              </w:rPr>
              <w:t>6t/a</w:t>
            </w:r>
            <w:r>
              <w:rPr>
                <w:rFonts w:hint="eastAsia" w:hAnsi="宋体"/>
                <w:color w:val="000000"/>
                <w:sz w:val="24"/>
              </w:rPr>
              <w:t>。沉淀的泥沙采用污泥泵清理，并堆存在生产固废临时堆存场所，委托有资质单位定期清运处理。</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2</w:t>
            </w:r>
            <w:r>
              <w:rPr>
                <w:rFonts w:hint="eastAsia" w:hAnsi="宋体"/>
                <w:color w:val="000000"/>
                <w:sz w:val="24"/>
              </w:rPr>
              <w:t>）生活固废</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①</w:t>
            </w:r>
            <w:r>
              <w:rPr>
                <w:rFonts w:hint="eastAsia" w:hAnsi="宋体"/>
                <w:color w:val="000000"/>
                <w:sz w:val="24"/>
              </w:rPr>
              <w:t>食堂泔水</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w:t>
            </w:r>
            <w:r>
              <w:rPr>
                <w:rFonts w:hAnsi="宋体"/>
                <w:color w:val="000000"/>
                <w:sz w:val="24"/>
              </w:rPr>
              <w:t>32</w:t>
            </w:r>
            <w:r>
              <w:rPr>
                <w:rFonts w:hint="eastAsia" w:hAnsi="宋体"/>
                <w:color w:val="000000"/>
                <w:sz w:val="24"/>
              </w:rPr>
              <w:t>名员工在项目内就餐，食堂泔水产生量按</w:t>
            </w:r>
            <w:r>
              <w:rPr>
                <w:rFonts w:hAnsi="宋体"/>
                <w:color w:val="000000"/>
                <w:sz w:val="24"/>
              </w:rPr>
              <w:t>0.05kg/</w:t>
            </w:r>
            <w:r>
              <w:rPr>
                <w:rFonts w:hint="eastAsia" w:hAnsi="宋体"/>
                <w:color w:val="000000"/>
                <w:sz w:val="24"/>
              </w:rPr>
              <w:t>人·</w:t>
            </w:r>
            <w:r>
              <w:rPr>
                <w:rFonts w:hAnsi="宋体"/>
                <w:color w:val="000000"/>
                <w:sz w:val="24"/>
              </w:rPr>
              <w:t>d</w:t>
            </w:r>
            <w:r>
              <w:rPr>
                <w:rFonts w:hint="eastAsia" w:hAnsi="宋体"/>
                <w:color w:val="000000"/>
                <w:sz w:val="24"/>
              </w:rPr>
              <w:t>计，项目日产生泔水1</w:t>
            </w:r>
            <w:r>
              <w:rPr>
                <w:rFonts w:hAnsi="宋体"/>
                <w:color w:val="000000"/>
                <w:sz w:val="24"/>
              </w:rPr>
              <w:t>.6kg/d</w:t>
            </w:r>
            <w:r>
              <w:rPr>
                <w:rFonts w:hint="eastAsia" w:hAnsi="宋体"/>
                <w:color w:val="000000"/>
                <w:sz w:val="24"/>
              </w:rPr>
              <w:t>（</w:t>
            </w:r>
            <w:r>
              <w:rPr>
                <w:rFonts w:hAnsi="宋体"/>
                <w:color w:val="000000"/>
                <w:sz w:val="24"/>
              </w:rPr>
              <w:t>0.48t/a</w:t>
            </w:r>
            <w:r>
              <w:rPr>
                <w:rFonts w:hint="eastAsia" w:hAnsi="宋体"/>
                <w:color w:val="000000"/>
                <w:sz w:val="24"/>
              </w:rPr>
              <w:t>），收集在泔水桶内委托有资质单位清运处置。</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②</w:t>
            </w:r>
            <w:r>
              <w:rPr>
                <w:rFonts w:hint="eastAsia" w:hAnsi="宋体"/>
                <w:color w:val="000000"/>
                <w:sz w:val="24"/>
              </w:rPr>
              <w:t>隔油池废油</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项目3</w:t>
            </w:r>
            <w:r>
              <w:rPr>
                <w:rFonts w:hAnsi="宋体"/>
                <w:color w:val="000000"/>
                <w:sz w:val="24"/>
              </w:rPr>
              <w:t>2</w:t>
            </w:r>
            <w:r>
              <w:rPr>
                <w:rFonts w:hint="eastAsia" w:hAnsi="宋体"/>
                <w:color w:val="000000"/>
                <w:sz w:val="24"/>
              </w:rPr>
              <w:t>名员工在项目内就餐，食用油量为</w:t>
            </w:r>
            <w:r>
              <w:rPr>
                <w:rFonts w:hAnsi="宋体"/>
                <w:color w:val="000000"/>
                <w:sz w:val="24"/>
              </w:rPr>
              <w:t>30g/</w:t>
            </w:r>
            <w:r>
              <w:rPr>
                <w:rFonts w:hint="eastAsia" w:hAnsi="宋体"/>
                <w:color w:val="000000"/>
                <w:sz w:val="24"/>
              </w:rPr>
              <w:t>（人·</w:t>
            </w:r>
            <w:r>
              <w:rPr>
                <w:rFonts w:hAnsi="宋体"/>
                <w:color w:val="000000"/>
                <w:sz w:val="24"/>
              </w:rPr>
              <w:t>d</w:t>
            </w:r>
            <w:r>
              <w:rPr>
                <w:rFonts w:hint="eastAsia" w:hAnsi="宋体"/>
                <w:color w:val="000000"/>
                <w:sz w:val="24"/>
              </w:rPr>
              <w:t>）人，则食堂用油量为</w:t>
            </w:r>
            <w:r>
              <w:rPr>
                <w:rFonts w:hAnsi="宋体"/>
                <w:color w:val="000000"/>
                <w:sz w:val="24"/>
              </w:rPr>
              <w:t>0.96kg/d</w:t>
            </w:r>
            <w:r>
              <w:rPr>
                <w:rFonts w:hint="eastAsia" w:hAnsi="宋体"/>
                <w:color w:val="000000"/>
                <w:sz w:val="24"/>
              </w:rPr>
              <w:t>（</w:t>
            </w:r>
            <w:r>
              <w:rPr>
                <w:rFonts w:hAnsi="宋体"/>
                <w:color w:val="000000"/>
                <w:sz w:val="24"/>
              </w:rPr>
              <w:t>0.288t/a</w:t>
            </w:r>
            <w:r>
              <w:rPr>
                <w:rFonts w:hint="eastAsia" w:hAnsi="宋体"/>
                <w:color w:val="000000"/>
                <w:sz w:val="24"/>
              </w:rPr>
              <w:t>），隔油池产生的废油按用油量的</w:t>
            </w:r>
            <w:r>
              <w:rPr>
                <w:rFonts w:hAnsi="宋体"/>
                <w:color w:val="000000"/>
                <w:sz w:val="24"/>
              </w:rPr>
              <w:t>20%</w:t>
            </w:r>
            <w:r>
              <w:rPr>
                <w:rFonts w:hint="eastAsia" w:hAnsi="宋体"/>
                <w:color w:val="000000"/>
                <w:sz w:val="24"/>
              </w:rPr>
              <w:t>计，为</w:t>
            </w:r>
            <w:r>
              <w:rPr>
                <w:rFonts w:hAnsi="宋体"/>
                <w:color w:val="000000"/>
                <w:sz w:val="24"/>
              </w:rPr>
              <w:t>0.192kg/d</w:t>
            </w:r>
            <w:r>
              <w:rPr>
                <w:rFonts w:hint="eastAsia" w:hAnsi="宋体"/>
                <w:color w:val="000000"/>
                <w:sz w:val="24"/>
              </w:rPr>
              <w:t>（</w:t>
            </w:r>
            <w:r>
              <w:rPr>
                <w:rFonts w:hAnsi="宋体"/>
                <w:color w:val="000000"/>
                <w:sz w:val="24"/>
              </w:rPr>
              <w:t>0.058t/a</w:t>
            </w:r>
            <w:r>
              <w:rPr>
                <w:rFonts w:hint="eastAsia" w:hAnsi="宋体"/>
                <w:color w:val="000000"/>
                <w:sz w:val="24"/>
              </w:rPr>
              <w:t>），隔油池废油脂委托有资质单位定期清掏处置。</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③</w:t>
            </w:r>
            <w:r>
              <w:rPr>
                <w:rFonts w:hint="eastAsia" w:hAnsi="宋体"/>
                <w:color w:val="000000"/>
                <w:sz w:val="24"/>
              </w:rPr>
              <w:t>生活垃圾</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员工人数</w:t>
            </w:r>
            <w:r>
              <w:rPr>
                <w:rFonts w:hAnsi="宋体"/>
                <w:color w:val="000000"/>
                <w:sz w:val="24"/>
              </w:rPr>
              <w:t>32</w:t>
            </w:r>
            <w:r>
              <w:rPr>
                <w:rFonts w:hint="eastAsia" w:hAnsi="宋体"/>
                <w:color w:val="000000"/>
                <w:sz w:val="24"/>
              </w:rPr>
              <w:t>人，全部在项目内住宿，人均产生生活垃圾量按</w:t>
            </w:r>
            <w:r>
              <w:rPr>
                <w:rFonts w:hAnsi="宋体"/>
                <w:color w:val="000000"/>
                <w:sz w:val="24"/>
              </w:rPr>
              <w:t xml:space="preserve">1kg/d </w:t>
            </w:r>
            <w:r>
              <w:rPr>
                <w:rFonts w:hint="eastAsia" w:hAnsi="宋体"/>
                <w:color w:val="000000"/>
                <w:sz w:val="24"/>
              </w:rPr>
              <w:t>计，则员工生活垃圾产生量约为</w:t>
            </w:r>
            <w:r>
              <w:rPr>
                <w:rFonts w:hAnsi="宋体"/>
                <w:color w:val="000000"/>
                <w:sz w:val="24"/>
              </w:rPr>
              <w:t>32kg/d</w:t>
            </w:r>
            <w:r>
              <w:rPr>
                <w:rFonts w:hint="eastAsia" w:hAnsi="宋体"/>
                <w:color w:val="000000"/>
                <w:sz w:val="24"/>
              </w:rPr>
              <w:t>（9</w:t>
            </w:r>
            <w:r>
              <w:rPr>
                <w:rFonts w:hAnsi="宋体"/>
                <w:color w:val="000000"/>
                <w:sz w:val="24"/>
              </w:rPr>
              <w:t>.6t/a</w:t>
            </w:r>
            <w:r>
              <w:rPr>
                <w:rFonts w:hint="eastAsia" w:hAnsi="宋体"/>
                <w:color w:val="000000"/>
                <w:sz w:val="24"/>
              </w:rPr>
              <w:t>），生活垃圾统一收集于垃圾桶内，生活垃圾集中收集后由环卫部门统一清运。</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④</w:t>
            </w:r>
            <w:r>
              <w:rPr>
                <w:rFonts w:hint="eastAsia" w:hAnsi="宋体"/>
                <w:color w:val="000000"/>
                <w:sz w:val="24"/>
              </w:rPr>
              <w:t>污泥</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化粪池污泥一般占污水处理量的</w:t>
            </w:r>
            <w:r>
              <w:rPr>
                <w:rFonts w:hAnsi="宋体"/>
                <w:color w:val="000000"/>
                <w:sz w:val="24"/>
              </w:rPr>
              <w:t>0.2~0.5%</w:t>
            </w:r>
            <w:r>
              <w:rPr>
                <w:rFonts w:hint="eastAsia" w:hAnsi="宋体"/>
                <w:color w:val="000000"/>
                <w:sz w:val="24"/>
              </w:rPr>
              <w:t>（本环评取</w:t>
            </w:r>
            <w:r>
              <w:rPr>
                <w:rFonts w:hAnsi="宋体"/>
                <w:color w:val="000000"/>
                <w:sz w:val="24"/>
              </w:rPr>
              <w:t>0.3%</w:t>
            </w:r>
            <w:r>
              <w:rPr>
                <w:rFonts w:hint="eastAsia" w:hAnsi="宋体"/>
                <w:color w:val="000000"/>
                <w:sz w:val="24"/>
              </w:rPr>
              <w:t>），根据水平衡核算，项目化粪池处理量为</w:t>
            </w:r>
            <w:r>
              <w:rPr>
                <w:rFonts w:hAnsi="宋体"/>
                <w:color w:val="000000" w:themeColor="text1"/>
                <w:sz w:val="24"/>
                <w14:textFill>
                  <w14:solidFill>
                    <w14:schemeClr w14:val="tx1"/>
                  </w14:solidFill>
                </w14:textFill>
              </w:rPr>
              <w:t>768t/a</w:t>
            </w:r>
            <w:r>
              <w:rPr>
                <w:rFonts w:hint="eastAsia" w:hAnsi="宋体"/>
                <w:color w:val="000000"/>
                <w:sz w:val="24"/>
              </w:rPr>
              <w:t>，则污泥产生量约</w:t>
            </w:r>
            <w:r>
              <w:rPr>
                <w:rFonts w:hint="eastAsia" w:hAnsi="宋体"/>
                <w:color w:val="000000" w:themeColor="text1"/>
                <w:sz w:val="24"/>
                <w14:textFill>
                  <w14:solidFill>
                    <w14:schemeClr w14:val="tx1"/>
                  </w14:solidFill>
                </w14:textFill>
              </w:rPr>
              <w:t>为</w:t>
            </w:r>
            <w:r>
              <w:rPr>
                <w:rFonts w:hAnsi="宋体"/>
                <w:color w:val="000000" w:themeColor="text1"/>
                <w:sz w:val="24"/>
                <w14:textFill>
                  <w14:solidFill>
                    <w14:schemeClr w14:val="tx1"/>
                  </w14:solidFill>
                </w14:textFill>
              </w:rPr>
              <w:t>2.3t/a</w:t>
            </w:r>
            <w:r>
              <w:rPr>
                <w:rFonts w:hint="eastAsia" w:hAnsi="宋体"/>
                <w:color w:val="000000"/>
                <w:sz w:val="24"/>
              </w:rPr>
              <w:t>，由环卫部门定期清运处理。</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3</w:t>
            </w:r>
            <w:r>
              <w:rPr>
                <w:rFonts w:hint="eastAsia" w:hAnsi="宋体"/>
                <w:color w:val="000000"/>
                <w:sz w:val="24"/>
              </w:rPr>
              <w:t>）危险废物</w:t>
            </w:r>
          </w:p>
          <w:p>
            <w:pPr>
              <w:autoSpaceDE w:val="0"/>
              <w:autoSpaceDN w:val="0"/>
              <w:adjustRightInd w:val="0"/>
              <w:snapToGrid w:val="0"/>
              <w:spacing w:line="360" w:lineRule="auto"/>
              <w:ind w:firstLine="480" w:firstLineChars="200"/>
              <w:jc w:val="left"/>
              <w:rPr>
                <w:color w:val="000000"/>
                <w:sz w:val="24"/>
              </w:rPr>
            </w:pPr>
            <w:r>
              <w:rPr>
                <w:color w:val="000000"/>
                <w:sz w:val="24"/>
              </w:rPr>
              <w:t>项目</w:t>
            </w:r>
            <w:r>
              <w:rPr>
                <w:rFonts w:hint="eastAsia"/>
                <w:color w:val="000000"/>
                <w:sz w:val="24"/>
              </w:rPr>
              <w:t>设备维修</w:t>
            </w:r>
            <w:r>
              <w:rPr>
                <w:color w:val="000000"/>
                <w:sz w:val="24"/>
              </w:rPr>
              <w:t>过程产生的</w:t>
            </w:r>
            <w:r>
              <w:rPr>
                <w:rFonts w:hint="eastAsia"/>
                <w:color w:val="000000"/>
                <w:sz w:val="24"/>
              </w:rPr>
              <w:t>废机油，</w:t>
            </w:r>
            <w:r>
              <w:rPr>
                <w:rFonts w:hint="eastAsia" w:hAnsi="宋体"/>
                <w:color w:val="000000"/>
                <w:sz w:val="24"/>
              </w:rPr>
              <w:t>产生量约为</w:t>
            </w:r>
            <w:r>
              <w:rPr>
                <w:rFonts w:hAnsi="宋体"/>
                <w:color w:val="000000"/>
                <w:sz w:val="24"/>
              </w:rPr>
              <w:t>0.05t/a</w:t>
            </w:r>
            <w:r>
              <w:rPr>
                <w:rFonts w:hint="eastAsia" w:hAnsi="宋体"/>
                <w:color w:val="000000"/>
                <w:sz w:val="24"/>
              </w:rPr>
              <w:t>，属于《国家危险废物名录（</w:t>
            </w:r>
            <w:r>
              <w:rPr>
                <w:rFonts w:hAnsi="宋体"/>
                <w:color w:val="000000"/>
                <w:sz w:val="24"/>
              </w:rPr>
              <w:t>2021</w:t>
            </w:r>
            <w:r>
              <w:rPr>
                <w:rFonts w:hint="eastAsia" w:hAnsi="宋体"/>
                <w:color w:val="000000"/>
                <w:sz w:val="24"/>
              </w:rPr>
              <w:t>版）》中</w:t>
            </w:r>
            <w:r>
              <w:rPr>
                <w:rFonts w:hAnsi="宋体"/>
                <w:color w:val="000000"/>
                <w:sz w:val="24"/>
              </w:rPr>
              <w:t>HW08</w:t>
            </w:r>
            <w:r>
              <w:rPr>
                <w:rFonts w:hint="eastAsia" w:hAnsi="宋体"/>
                <w:color w:val="000000"/>
                <w:sz w:val="24"/>
              </w:rPr>
              <w:t>废矿物油与含矿物油废物中的其他生产、销售、使用过程中产生的废矿物油及含矿物油废物（编号：</w:t>
            </w:r>
            <w:r>
              <w:rPr>
                <w:rFonts w:hAnsi="宋体"/>
                <w:color w:val="000000"/>
                <w:sz w:val="24"/>
              </w:rPr>
              <w:t>900-</w:t>
            </w:r>
            <w:r>
              <w:rPr>
                <w:rFonts w:hint="eastAsia" w:hAnsi="宋体"/>
                <w:color w:val="000000"/>
                <w:sz w:val="24"/>
                <w:lang w:eastAsia="zh-CN"/>
              </w:rPr>
              <w:t>***</w:t>
            </w:r>
            <w:r>
              <w:rPr>
                <w:rFonts w:hAnsi="宋体"/>
                <w:color w:val="000000"/>
                <w:sz w:val="24"/>
              </w:rPr>
              <w:t>-08</w:t>
            </w:r>
            <w:r>
              <w:rPr>
                <w:rFonts w:hint="eastAsia" w:hAnsi="宋体"/>
                <w:color w:val="000000"/>
                <w:sz w:val="24"/>
              </w:rPr>
              <w:t>），经</w:t>
            </w:r>
            <w:r>
              <w:rPr>
                <w:color w:val="000000"/>
                <w:sz w:val="24"/>
              </w:rPr>
              <w:t>统一收集后，定点放置于危险废物暂存间内，</w:t>
            </w:r>
            <w:r>
              <w:rPr>
                <w:rFonts w:hint="eastAsia"/>
                <w:color w:val="000000"/>
                <w:sz w:val="24"/>
              </w:rPr>
              <w:t>定期</w:t>
            </w:r>
            <w:r>
              <w:rPr>
                <w:color w:val="000000"/>
                <w:sz w:val="24"/>
              </w:rPr>
              <w:t>有资质单位清运</w:t>
            </w:r>
            <w:r>
              <w:rPr>
                <w:rFonts w:hint="eastAsia"/>
                <w:color w:val="000000"/>
                <w:sz w:val="24"/>
              </w:rPr>
              <w:t>处置</w:t>
            </w:r>
            <w:r>
              <w:rPr>
                <w:color w:val="000000"/>
                <w:sz w:val="24"/>
              </w:rPr>
              <w:t>。</w:t>
            </w:r>
          </w:p>
          <w:p>
            <w:pPr>
              <w:autoSpaceDE w:val="0"/>
              <w:autoSpaceDN w:val="0"/>
              <w:adjustRightInd w:val="0"/>
              <w:snapToGrid w:val="0"/>
              <w:spacing w:line="360" w:lineRule="auto"/>
              <w:ind w:firstLine="480" w:firstLineChars="200"/>
              <w:jc w:val="left"/>
              <w:rPr>
                <w:color w:val="000000"/>
                <w:sz w:val="24"/>
              </w:rPr>
            </w:pPr>
            <w:r>
              <w:rPr>
                <w:rFonts w:hint="eastAsia"/>
                <w:color w:val="000000"/>
                <w:sz w:val="24"/>
              </w:rPr>
              <w:t>项目机械维护过程中会使用到一定量的含油手套以及含油抹布等，危废类别</w:t>
            </w:r>
            <w:r>
              <w:rPr>
                <w:color w:val="000000"/>
                <w:sz w:val="24"/>
              </w:rPr>
              <w:t>HW49</w:t>
            </w:r>
            <w:r>
              <w:rPr>
                <w:rFonts w:hint="eastAsia"/>
                <w:color w:val="000000"/>
                <w:sz w:val="24"/>
              </w:rPr>
              <w:t>，危废代码</w:t>
            </w:r>
            <w:r>
              <w:rPr>
                <w:color w:val="000000"/>
                <w:sz w:val="24"/>
              </w:rPr>
              <w:t>900-</w:t>
            </w:r>
            <w:r>
              <w:rPr>
                <w:rFonts w:hint="eastAsia"/>
                <w:color w:val="000000"/>
                <w:sz w:val="24"/>
                <w:lang w:eastAsia="zh-CN"/>
              </w:rPr>
              <w:t>***</w:t>
            </w:r>
            <w:r>
              <w:rPr>
                <w:color w:val="000000"/>
                <w:sz w:val="24"/>
              </w:rPr>
              <w:t>-49</w:t>
            </w:r>
            <w:r>
              <w:rPr>
                <w:rFonts w:hint="eastAsia"/>
                <w:color w:val="000000"/>
                <w:sz w:val="24"/>
              </w:rPr>
              <w:t>，其产生量约为</w:t>
            </w:r>
            <w:r>
              <w:rPr>
                <w:color w:val="000000"/>
                <w:sz w:val="24"/>
              </w:rPr>
              <w:t>0.02t/a，废含油抹布、含油手套均属于《国家危险废物名录（2021年版）》中危险废物豁免管理清单，因此收集后可随生活垃圾一并处理。</w:t>
            </w:r>
          </w:p>
          <w:p>
            <w:pPr>
              <w:adjustRightInd w:val="0"/>
              <w:snapToGrid w:val="0"/>
              <w:spacing w:line="360" w:lineRule="auto"/>
              <w:jc w:val="center"/>
              <w:rPr>
                <w:b/>
                <w:color w:val="000000"/>
              </w:rPr>
            </w:pPr>
            <w:bookmarkStart w:id="33" w:name="_Hlk131772664"/>
            <w:r>
              <w:rPr>
                <w:rFonts w:hint="eastAsia"/>
                <w:b/>
                <w:color w:val="000000"/>
              </w:rPr>
              <w:t>表</w:t>
            </w:r>
            <w:r>
              <w:rPr>
                <w:b/>
                <w:color w:val="000000"/>
              </w:rPr>
              <w:t>4-</w:t>
            </w:r>
            <w:r>
              <w:rPr>
                <w:rFonts w:hint="eastAsia"/>
                <w:b/>
                <w:color w:val="000000"/>
                <w:lang w:val="en-US" w:eastAsia="zh-CN"/>
              </w:rPr>
              <w:t>11</w:t>
            </w:r>
            <w:r>
              <w:rPr>
                <w:b/>
                <w:color w:val="000000"/>
              </w:rPr>
              <w:t xml:space="preserve">  </w:t>
            </w:r>
            <w:r>
              <w:rPr>
                <w:rFonts w:hint="eastAsia"/>
                <w:b/>
                <w:color w:val="000000"/>
              </w:rPr>
              <w:t>项目固废产生及处置情况一览表</w:t>
            </w:r>
          </w:p>
          <w:tbl>
            <w:tblPr>
              <w:tblStyle w:val="89"/>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378"/>
              <w:gridCol w:w="1325"/>
              <w:gridCol w:w="1005"/>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序号</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固废来源</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污染物名称</w:t>
                  </w:r>
                </w:p>
              </w:tc>
              <w:tc>
                <w:tcPr>
                  <w:tcW w:w="641" w:type="pct"/>
                  <w:shd w:val="clear" w:color="auto" w:fill="auto"/>
                  <w:vAlign w:val="center"/>
                </w:tcPr>
                <w:p>
                  <w:pPr>
                    <w:adjustRightInd w:val="0"/>
                    <w:snapToGrid w:val="0"/>
                    <w:jc w:val="center"/>
                    <w:rPr>
                      <w:color w:val="000000"/>
                      <w:szCs w:val="21"/>
                      <w:lang w:val="zh-CN"/>
                    </w:rPr>
                  </w:pPr>
                  <w:r>
                    <w:rPr>
                      <w:rFonts w:hint="eastAsia"/>
                      <w:color w:val="000000"/>
                      <w:szCs w:val="21"/>
                      <w:lang w:val="zh-CN"/>
                    </w:rPr>
                    <w:t>产生量</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5000" w:type="pct"/>
                  <w:gridSpan w:val="5"/>
                  <w:shd w:val="clear" w:color="auto" w:fill="auto"/>
                  <w:vAlign w:val="center"/>
                </w:tcPr>
                <w:p>
                  <w:pPr>
                    <w:adjustRightInd w:val="0"/>
                    <w:snapToGrid w:val="0"/>
                    <w:jc w:val="center"/>
                    <w:rPr>
                      <w:color w:val="000000"/>
                      <w:szCs w:val="21"/>
                      <w:lang w:val="zh-CN"/>
                    </w:rPr>
                  </w:pPr>
                  <w:r>
                    <w:rPr>
                      <w:rFonts w:hint="eastAsia"/>
                      <w:color w:val="000000"/>
                      <w:szCs w:val="21"/>
                      <w:lang w:val="zh-CN"/>
                    </w:rPr>
                    <w:t>一、生产固废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1</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搅拌机清洗</w:t>
                  </w:r>
                </w:p>
              </w:tc>
              <w:tc>
                <w:tcPr>
                  <w:tcW w:w="845" w:type="pct"/>
                  <w:shd w:val="clear" w:color="auto" w:fill="auto"/>
                  <w:vAlign w:val="center"/>
                </w:tcPr>
                <w:p>
                  <w:pPr>
                    <w:adjustRightInd w:val="0"/>
                    <w:snapToGrid w:val="0"/>
                    <w:jc w:val="center"/>
                    <w:rPr>
                      <w:color w:val="000000"/>
                      <w:szCs w:val="21"/>
                      <w:lang w:val="zh-CN"/>
                    </w:rPr>
                  </w:pPr>
                  <w:r>
                    <w:rPr>
                      <w:rFonts w:hint="eastAsia"/>
                      <w:color w:val="000000"/>
                      <w:kern w:val="0"/>
                      <w:szCs w:val="21"/>
                      <w:lang w:bidi="ar"/>
                    </w:rPr>
                    <w:t>残余</w:t>
                  </w:r>
                  <w:r>
                    <w:rPr>
                      <w:rFonts w:hint="eastAsia"/>
                      <w:color w:val="000000"/>
                      <w:szCs w:val="21"/>
                      <w:lang w:val="zh-CN"/>
                    </w:rPr>
                    <w:t>混凝土</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15t/a</w:t>
                  </w:r>
                </w:p>
              </w:tc>
              <w:tc>
                <w:tcPr>
                  <w:tcW w:w="2177" w:type="pct"/>
                  <w:vMerge w:val="restart"/>
                  <w:shd w:val="clear" w:color="auto" w:fill="auto"/>
                  <w:vAlign w:val="center"/>
                </w:tcPr>
                <w:p>
                  <w:pPr>
                    <w:adjustRightInd w:val="0"/>
                    <w:snapToGrid w:val="0"/>
                    <w:jc w:val="center"/>
                    <w:rPr>
                      <w:color w:val="000000"/>
                      <w:szCs w:val="21"/>
                      <w:lang w:val="zh-CN"/>
                    </w:rPr>
                  </w:pPr>
                  <w:r>
                    <w:rPr>
                      <w:rFonts w:hint="eastAsia"/>
                      <w:color w:val="000000"/>
                      <w:szCs w:val="21"/>
                      <w:lang w:val="zh-CN"/>
                    </w:rPr>
                    <w:t>堆存于生产固废临时堆存场所，委托有资质单位定期清运处理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2</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混凝土运输罐车清洗</w:t>
                  </w:r>
                </w:p>
              </w:tc>
              <w:tc>
                <w:tcPr>
                  <w:tcW w:w="845" w:type="pct"/>
                  <w:shd w:val="clear" w:color="auto" w:fill="auto"/>
                  <w:vAlign w:val="center"/>
                </w:tcPr>
                <w:p>
                  <w:pPr>
                    <w:adjustRightInd w:val="0"/>
                    <w:snapToGrid w:val="0"/>
                    <w:jc w:val="center"/>
                    <w:rPr>
                      <w:color w:val="000000"/>
                      <w:szCs w:val="21"/>
                      <w:lang w:val="zh-CN"/>
                    </w:rPr>
                  </w:pPr>
                  <w:r>
                    <w:rPr>
                      <w:rFonts w:hint="eastAsia"/>
                      <w:color w:val="000000"/>
                      <w:kern w:val="0"/>
                      <w:szCs w:val="21"/>
                      <w:lang w:bidi="ar"/>
                    </w:rPr>
                    <w:t>残余</w:t>
                  </w:r>
                  <w:r>
                    <w:rPr>
                      <w:rFonts w:hint="eastAsia"/>
                      <w:color w:val="000000"/>
                      <w:szCs w:val="21"/>
                      <w:lang w:val="zh-CN"/>
                    </w:rPr>
                    <w:t>混凝土</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60t/a</w:t>
                  </w:r>
                </w:p>
              </w:tc>
              <w:tc>
                <w:tcPr>
                  <w:tcW w:w="2177" w:type="pct"/>
                  <w:vMerge w:val="continue"/>
                  <w:shd w:val="clear" w:color="auto" w:fill="auto"/>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3</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试验固废</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混凝土块</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2.4t/a</w:t>
                  </w:r>
                </w:p>
              </w:tc>
              <w:tc>
                <w:tcPr>
                  <w:tcW w:w="2177" w:type="pct"/>
                  <w:vMerge w:val="continue"/>
                  <w:shd w:val="clear" w:color="auto" w:fill="auto"/>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4</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沉淀池沉渣</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沉淀砂料</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10.2t/a</w:t>
                  </w:r>
                </w:p>
              </w:tc>
              <w:tc>
                <w:tcPr>
                  <w:tcW w:w="2177" w:type="pct"/>
                  <w:vMerge w:val="continue"/>
                  <w:shd w:val="clear" w:color="auto" w:fill="auto"/>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5000" w:type="pct"/>
                  <w:gridSpan w:val="5"/>
                  <w:shd w:val="clear" w:color="auto" w:fill="auto"/>
                  <w:vAlign w:val="center"/>
                </w:tcPr>
                <w:p>
                  <w:pPr>
                    <w:adjustRightInd w:val="0"/>
                    <w:snapToGrid w:val="0"/>
                    <w:jc w:val="center"/>
                    <w:rPr>
                      <w:color w:val="000000"/>
                      <w:szCs w:val="21"/>
                      <w:lang w:val="zh-CN"/>
                    </w:rPr>
                  </w:pPr>
                  <w:r>
                    <w:rPr>
                      <w:rFonts w:hint="eastAsia"/>
                      <w:color w:val="000000"/>
                      <w:szCs w:val="21"/>
                      <w:lang w:val="zh-CN"/>
                    </w:rPr>
                    <w:t>二、生活固废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5</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食堂</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泔水</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0.48t/a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收集在泔水桶内委托有资质单位清运处置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6</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食堂</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隔油池废油</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0.058t/a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委托有资质单位定期清掏清运处置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7</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员工</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生活垃圾</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9.6t/a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统一收集后，</w:t>
                  </w:r>
                  <w:r>
                    <w:rPr>
                      <w:color w:val="000000"/>
                      <w:szCs w:val="21"/>
                      <w:lang w:val="zh-CN"/>
                    </w:rPr>
                    <w:t>定期</w:t>
                  </w:r>
                  <w:r>
                    <w:rPr>
                      <w:rFonts w:hint="eastAsia"/>
                      <w:color w:val="000000"/>
                      <w:szCs w:val="21"/>
                      <w:lang w:val="zh-CN"/>
                    </w:rPr>
                    <w:t>委托环卫部门清运处理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8</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化粪池</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污泥</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2.3t/a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委托环卫部门定期清运处理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5000" w:type="pct"/>
                  <w:gridSpan w:val="5"/>
                  <w:shd w:val="clear" w:color="auto" w:fill="auto"/>
                  <w:vAlign w:val="center"/>
                </w:tcPr>
                <w:p>
                  <w:pPr>
                    <w:adjustRightInd w:val="0"/>
                    <w:snapToGrid w:val="0"/>
                    <w:jc w:val="center"/>
                    <w:rPr>
                      <w:color w:val="000000"/>
                      <w:szCs w:val="21"/>
                      <w:lang w:val="zh-CN"/>
                    </w:rPr>
                  </w:pPr>
                  <w:r>
                    <w:rPr>
                      <w:rFonts w:hint="eastAsia"/>
                      <w:color w:val="000000"/>
                      <w:szCs w:val="21"/>
                      <w:lang w:val="zh-CN"/>
                    </w:rPr>
                    <w:t>三、危险固废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rPr>
                    <w:t>9</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rPr>
                    <w:t>维修</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rPr>
                    <w:t>废机油</w:t>
                  </w:r>
                </w:p>
              </w:tc>
              <w:tc>
                <w:tcPr>
                  <w:tcW w:w="641" w:type="pct"/>
                  <w:shd w:val="clear" w:color="auto" w:fill="auto"/>
                  <w:vAlign w:val="center"/>
                </w:tcPr>
                <w:p>
                  <w:pPr>
                    <w:adjustRightInd w:val="0"/>
                    <w:snapToGrid w:val="0"/>
                    <w:jc w:val="center"/>
                    <w:rPr>
                      <w:color w:val="000000"/>
                      <w:szCs w:val="21"/>
                      <w:lang w:val="zh-CN"/>
                    </w:rPr>
                  </w:pPr>
                  <w:r>
                    <w:rPr>
                      <w:color w:val="000000"/>
                      <w:szCs w:val="21"/>
                    </w:rPr>
                    <w:t>0.05</w:t>
                  </w:r>
                  <w:r>
                    <w:rPr>
                      <w:rFonts w:hint="eastAsia"/>
                      <w:color w:val="000000"/>
                      <w:szCs w:val="21"/>
                    </w:rPr>
                    <w:t>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统一收集后，定点放置于危险废物暂存间内，定期委托有资质单位清运处置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right"/>
              </w:trPr>
              <w:tc>
                <w:tcPr>
                  <w:tcW w:w="458" w:type="pct"/>
                  <w:shd w:val="clear" w:color="auto" w:fill="auto"/>
                  <w:vAlign w:val="center"/>
                </w:tcPr>
                <w:p>
                  <w:pPr>
                    <w:adjustRightInd w:val="0"/>
                    <w:snapToGrid w:val="0"/>
                    <w:jc w:val="center"/>
                    <w:rPr>
                      <w:color w:val="000000"/>
                      <w:szCs w:val="21"/>
                    </w:rPr>
                  </w:pPr>
                  <w:r>
                    <w:rPr>
                      <w:rFonts w:hint="eastAsia"/>
                      <w:color w:val="000000"/>
                      <w:szCs w:val="21"/>
                    </w:rPr>
                    <w:t>1</w:t>
                  </w:r>
                  <w:r>
                    <w:rPr>
                      <w:color w:val="000000"/>
                      <w:szCs w:val="21"/>
                    </w:rPr>
                    <w:t>0</w:t>
                  </w:r>
                </w:p>
              </w:tc>
              <w:tc>
                <w:tcPr>
                  <w:tcW w:w="879" w:type="pct"/>
                  <w:shd w:val="clear" w:color="auto" w:fill="auto"/>
                  <w:vAlign w:val="center"/>
                </w:tcPr>
                <w:p>
                  <w:pPr>
                    <w:adjustRightInd w:val="0"/>
                    <w:snapToGrid w:val="0"/>
                    <w:jc w:val="center"/>
                    <w:rPr>
                      <w:color w:val="000000"/>
                      <w:szCs w:val="21"/>
                    </w:rPr>
                  </w:pPr>
                  <w:r>
                    <w:rPr>
                      <w:rFonts w:hint="eastAsia"/>
                      <w:color w:val="000000"/>
                      <w:szCs w:val="21"/>
                    </w:rPr>
                    <w:t>维修</w:t>
                  </w:r>
                </w:p>
              </w:tc>
              <w:tc>
                <w:tcPr>
                  <w:tcW w:w="845" w:type="pct"/>
                  <w:shd w:val="clear" w:color="auto" w:fill="auto"/>
                  <w:vAlign w:val="center"/>
                </w:tcPr>
                <w:p>
                  <w:pPr>
                    <w:adjustRightInd w:val="0"/>
                    <w:snapToGrid w:val="0"/>
                    <w:jc w:val="center"/>
                    <w:rPr>
                      <w:color w:val="000000"/>
                      <w:szCs w:val="21"/>
                    </w:rPr>
                  </w:pPr>
                  <w:r>
                    <w:rPr>
                      <w:rFonts w:hint="eastAsia"/>
                      <w:color w:val="000000"/>
                      <w:szCs w:val="21"/>
                    </w:rPr>
                    <w:t>机修含油抹布、手套</w:t>
                  </w:r>
                </w:p>
              </w:tc>
              <w:tc>
                <w:tcPr>
                  <w:tcW w:w="641" w:type="pct"/>
                  <w:shd w:val="clear" w:color="auto" w:fill="auto"/>
                  <w:vAlign w:val="center"/>
                </w:tcPr>
                <w:p>
                  <w:pPr>
                    <w:adjustRightInd w:val="0"/>
                    <w:snapToGrid w:val="0"/>
                    <w:jc w:val="center"/>
                    <w:rPr>
                      <w:color w:val="000000"/>
                      <w:szCs w:val="21"/>
                    </w:rPr>
                  </w:pPr>
                  <w:r>
                    <w:rPr>
                      <w:rFonts w:hint="eastAsia"/>
                      <w:color w:val="000000"/>
                      <w:szCs w:val="21"/>
                    </w:rPr>
                    <w:t>0</w:t>
                  </w:r>
                  <w:r>
                    <w:rPr>
                      <w:color w:val="000000"/>
                      <w:szCs w:val="21"/>
                    </w:rPr>
                    <w:t>.1</w:t>
                  </w:r>
                  <w:r>
                    <w:rPr>
                      <w:rFonts w:hint="eastAsia"/>
                      <w:color w:val="000000"/>
                      <w:szCs w:val="21"/>
                    </w:rPr>
                    <w:t>t</w:t>
                  </w:r>
                  <w:r>
                    <w:rPr>
                      <w:color w:val="000000"/>
                      <w:szCs w:val="21"/>
                    </w:rPr>
                    <w: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经统一收集后与生活垃圾一同清运处置。</w:t>
                  </w:r>
                </w:p>
              </w:tc>
            </w:tr>
            <w:bookmarkEnd w:id="33"/>
          </w:tbl>
          <w:p>
            <w:pPr>
              <w:snapToGrid w:val="0"/>
              <w:spacing w:line="360" w:lineRule="auto"/>
              <w:rPr>
                <w:b/>
                <w:color w:val="000000"/>
                <w:sz w:val="24"/>
                <w:szCs w:val="20"/>
              </w:rPr>
            </w:pPr>
            <w:r>
              <w:rPr>
                <w:rFonts w:hint="eastAsia"/>
                <w:b/>
                <w:color w:val="000000"/>
                <w:sz w:val="24"/>
                <w:szCs w:val="20"/>
              </w:rPr>
              <w:t>（</w:t>
            </w:r>
            <w:r>
              <w:rPr>
                <w:b/>
                <w:color w:val="000000"/>
                <w:sz w:val="24"/>
                <w:szCs w:val="20"/>
              </w:rPr>
              <w:t>2</w:t>
            </w:r>
            <w:r>
              <w:rPr>
                <w:rFonts w:hint="eastAsia"/>
                <w:b/>
                <w:color w:val="000000"/>
                <w:sz w:val="24"/>
                <w:szCs w:val="20"/>
              </w:rPr>
              <w:t>）危险固废管理要求</w:t>
            </w:r>
          </w:p>
          <w:p>
            <w:pPr>
              <w:adjustRightInd w:val="0"/>
              <w:snapToGrid w:val="0"/>
              <w:spacing w:line="360" w:lineRule="auto"/>
              <w:ind w:firstLine="480" w:firstLineChars="200"/>
              <w:jc w:val="left"/>
              <w:rPr>
                <w:color w:val="000000"/>
                <w:sz w:val="24"/>
                <w:szCs w:val="28"/>
              </w:rPr>
            </w:pPr>
            <w:r>
              <w:rPr>
                <w:color w:val="000000"/>
                <w:sz w:val="24"/>
                <w:szCs w:val="28"/>
              </w:rPr>
              <w:t>环评要求厂区内的危险废物临时储存应按《危险废物贮存污染控制标准》（GB</w:t>
            </w:r>
            <w:r>
              <w:rPr>
                <w:rFonts w:hint="eastAsia"/>
                <w:color w:val="000000"/>
                <w:sz w:val="24"/>
                <w:szCs w:val="28"/>
                <w:lang w:eastAsia="zh-CN"/>
              </w:rPr>
              <w:t>*****</w:t>
            </w:r>
            <w:r>
              <w:rPr>
                <w:color w:val="000000"/>
                <w:sz w:val="24"/>
                <w:szCs w:val="28"/>
              </w:rPr>
              <w:t>-20</w:t>
            </w:r>
            <w:r>
              <w:rPr>
                <w:rFonts w:hint="eastAsia"/>
                <w:color w:val="000000"/>
                <w:sz w:val="24"/>
                <w:szCs w:val="28"/>
                <w:lang w:val="en-US" w:eastAsia="zh-CN"/>
              </w:rPr>
              <w:t>23</w:t>
            </w:r>
            <w:r>
              <w:rPr>
                <w:color w:val="000000"/>
                <w:sz w:val="24"/>
                <w:szCs w:val="28"/>
              </w:rPr>
              <w:t>）严格执行，外运时需要严格按照《危险废物转移联单管理办法》的相关规定报批危险废物转移计划，应做到沿途不抛洒。厂内危废临时贮存设施暂存后由有资质的单位处置，在转移行为发生时应执行危险废物转移联单制度。</w:t>
            </w:r>
          </w:p>
          <w:p>
            <w:pPr>
              <w:adjustRightInd w:val="0"/>
              <w:snapToGrid w:val="0"/>
              <w:spacing w:line="360" w:lineRule="auto"/>
              <w:ind w:firstLine="480" w:firstLineChars="200"/>
              <w:jc w:val="left"/>
              <w:rPr>
                <w:color w:val="000000"/>
                <w:sz w:val="24"/>
                <w:szCs w:val="28"/>
              </w:rPr>
            </w:pPr>
            <w:r>
              <w:rPr>
                <w:color w:val="000000"/>
                <w:sz w:val="24"/>
                <w:szCs w:val="28"/>
              </w:rPr>
              <w:t xml:space="preserve">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 </w:t>
            </w:r>
          </w:p>
          <w:p>
            <w:pPr>
              <w:autoSpaceDE w:val="0"/>
              <w:autoSpaceDN w:val="0"/>
              <w:snapToGrid w:val="0"/>
              <w:spacing w:line="360" w:lineRule="auto"/>
              <w:jc w:val="center"/>
              <w:rPr>
                <w:b/>
                <w:color w:val="000000"/>
                <w:kern w:val="24"/>
                <w:szCs w:val="20"/>
              </w:rPr>
            </w:pPr>
            <w:r>
              <w:rPr>
                <w:rFonts w:hint="eastAsia"/>
                <w:b/>
                <w:color w:val="000000"/>
                <w:kern w:val="24"/>
                <w:szCs w:val="20"/>
              </w:rPr>
              <w:t>表</w:t>
            </w:r>
            <w:r>
              <w:rPr>
                <w:b/>
                <w:color w:val="000000"/>
                <w:kern w:val="24"/>
                <w:szCs w:val="20"/>
              </w:rPr>
              <w:t>4</w:t>
            </w:r>
            <w:r>
              <w:rPr>
                <w:rFonts w:hint="eastAsia"/>
                <w:b/>
                <w:color w:val="000000"/>
                <w:kern w:val="24"/>
                <w:szCs w:val="20"/>
              </w:rPr>
              <w:t>-</w:t>
            </w:r>
            <w:r>
              <w:rPr>
                <w:b/>
                <w:color w:val="000000"/>
                <w:kern w:val="24"/>
                <w:szCs w:val="20"/>
              </w:rPr>
              <w:t>1</w:t>
            </w:r>
            <w:r>
              <w:rPr>
                <w:rFonts w:hint="eastAsia"/>
                <w:b/>
                <w:color w:val="000000"/>
                <w:kern w:val="24"/>
                <w:szCs w:val="20"/>
                <w:lang w:val="en-US" w:eastAsia="zh-CN"/>
              </w:rPr>
              <w:t>2</w:t>
            </w:r>
            <w:r>
              <w:rPr>
                <w:rFonts w:hint="eastAsia"/>
                <w:b/>
                <w:color w:val="000000"/>
                <w:kern w:val="24"/>
                <w:szCs w:val="20"/>
              </w:rPr>
              <w:t xml:space="preserve">  </w:t>
            </w:r>
            <w:r>
              <w:rPr>
                <w:b/>
                <w:color w:val="000000"/>
                <w:kern w:val="24"/>
                <w:szCs w:val="20"/>
              </w:rPr>
              <w:t>危废收集容器（塑料桶）和危险废物暂存间设计要求一览表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6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602" w:type="pct"/>
                  <w:shd w:val="clear" w:color="auto" w:fill="auto"/>
                  <w:vAlign w:val="center"/>
                </w:tcPr>
                <w:p>
                  <w:pPr>
                    <w:adjustRightInd w:val="0"/>
                    <w:snapToGrid w:val="0"/>
                    <w:jc w:val="center"/>
                    <w:rPr>
                      <w:color w:val="000000"/>
                      <w:kern w:val="0"/>
                      <w:sz w:val="24"/>
                      <w:lang w:bidi="ar"/>
                    </w:rPr>
                  </w:pPr>
                  <w:r>
                    <w:rPr>
                      <w:rFonts w:hint="eastAsia" w:ascii="宋体" w:hAnsi="宋体" w:cs="宋体"/>
                      <w:color w:val="000000"/>
                      <w:spacing w:val="1"/>
                      <w:szCs w:val="22"/>
                    </w:rPr>
                    <w:t>项目</w:t>
                  </w:r>
                </w:p>
              </w:tc>
              <w:tc>
                <w:tcPr>
                  <w:tcW w:w="4398" w:type="pct"/>
                  <w:shd w:val="clear" w:color="auto" w:fill="auto"/>
                  <w:vAlign w:val="center"/>
                </w:tcPr>
                <w:p>
                  <w:pPr>
                    <w:adjustRightInd w:val="0"/>
                    <w:snapToGrid w:val="0"/>
                    <w:jc w:val="center"/>
                    <w:rPr>
                      <w:color w:val="000000"/>
                      <w:kern w:val="0"/>
                      <w:sz w:val="24"/>
                      <w:lang w:bidi="ar"/>
                    </w:rPr>
                  </w:pPr>
                  <w:r>
                    <w:rPr>
                      <w:rFonts w:ascii="宋体" w:hAnsi="宋体" w:cs="宋体"/>
                      <w:color w:val="000000"/>
                      <w:spacing w:val="1"/>
                      <w:szCs w:val="22"/>
                      <w:lang w:eastAsia="en-US"/>
                    </w:rPr>
                    <w:t>设计</w:t>
                  </w:r>
                  <w:r>
                    <w:rPr>
                      <w:rFonts w:hint="eastAsia" w:ascii="宋体" w:hAnsi="宋体" w:cs="宋体"/>
                      <w:color w:val="000000"/>
                      <w:spacing w:val="1"/>
                      <w:szCs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shd w:val="clear" w:color="auto" w:fill="auto"/>
                  <w:vAlign w:val="center"/>
                </w:tcPr>
                <w:p>
                  <w:pPr>
                    <w:adjustRightInd w:val="0"/>
                    <w:snapToGrid w:val="0"/>
                    <w:jc w:val="center"/>
                    <w:rPr>
                      <w:color w:val="000000"/>
                      <w:kern w:val="24"/>
                      <w:szCs w:val="28"/>
                    </w:rPr>
                  </w:pPr>
                  <w:r>
                    <w:rPr>
                      <w:rFonts w:hint="eastAsia"/>
                      <w:color w:val="000000"/>
                      <w:kern w:val="24"/>
                      <w:szCs w:val="28"/>
                    </w:rPr>
                    <w:t>收集容器塑料桶要求</w:t>
                  </w:r>
                </w:p>
              </w:tc>
              <w:tc>
                <w:tcPr>
                  <w:tcW w:w="4398" w:type="pct"/>
                  <w:shd w:val="clear" w:color="auto" w:fill="auto"/>
                  <w:vAlign w:val="center"/>
                </w:tcPr>
                <w:p>
                  <w:pPr>
                    <w:autoSpaceDE w:val="0"/>
                    <w:autoSpaceDN w:val="0"/>
                    <w:adjustRightInd w:val="0"/>
                    <w:snapToGrid w:val="0"/>
                    <w:jc w:val="left"/>
                    <w:rPr>
                      <w:color w:val="000000"/>
                      <w:kern w:val="24"/>
                      <w:szCs w:val="28"/>
                    </w:rPr>
                  </w:pPr>
                  <w:r>
                    <w:rPr>
                      <w:color w:val="000000"/>
                      <w:kern w:val="24"/>
                      <w:szCs w:val="28"/>
                    </w:rPr>
                    <w:t>采用符合标准的专用塑料桶。</w:t>
                  </w:r>
                </w:p>
                <w:p>
                  <w:pPr>
                    <w:autoSpaceDE w:val="0"/>
                    <w:autoSpaceDN w:val="0"/>
                    <w:adjustRightInd w:val="0"/>
                    <w:snapToGrid w:val="0"/>
                    <w:jc w:val="left"/>
                    <w:rPr>
                      <w:color w:val="000000"/>
                      <w:kern w:val="24"/>
                      <w:szCs w:val="28"/>
                    </w:rPr>
                  </w:pPr>
                  <w:r>
                    <w:rPr>
                      <w:color w:val="000000"/>
                      <w:kern w:val="24"/>
                      <w:szCs w:val="28"/>
                    </w:rPr>
                    <w:t>收集塑料桶材质选用较高强度、完整的材料，不易破损。</w:t>
                  </w:r>
                </w:p>
                <w:p>
                  <w:pPr>
                    <w:autoSpaceDE w:val="0"/>
                    <w:autoSpaceDN w:val="0"/>
                    <w:adjustRightInd w:val="0"/>
                    <w:snapToGrid w:val="0"/>
                    <w:jc w:val="left"/>
                    <w:rPr>
                      <w:color w:val="000000"/>
                      <w:kern w:val="24"/>
                      <w:szCs w:val="28"/>
                    </w:rPr>
                  </w:pPr>
                  <w:r>
                    <w:rPr>
                      <w:color w:val="000000"/>
                      <w:kern w:val="24"/>
                      <w:szCs w:val="28"/>
                    </w:rPr>
                    <w:t>收集塑料桶完好无损。</w:t>
                  </w:r>
                </w:p>
                <w:p>
                  <w:pPr>
                    <w:autoSpaceDE w:val="0"/>
                    <w:autoSpaceDN w:val="0"/>
                    <w:adjustRightInd w:val="0"/>
                    <w:snapToGrid w:val="0"/>
                    <w:jc w:val="left"/>
                    <w:rPr>
                      <w:color w:val="000000"/>
                      <w:kern w:val="24"/>
                      <w:szCs w:val="28"/>
                    </w:rPr>
                  </w:pPr>
                  <w:r>
                    <w:rPr>
                      <w:color w:val="000000"/>
                      <w:kern w:val="24"/>
                      <w:szCs w:val="28"/>
                    </w:rPr>
                    <w:t>收集塑料桶顶部与废机油表面之间保留120mm的空间。</w:t>
                  </w:r>
                </w:p>
                <w:p>
                  <w:pPr>
                    <w:autoSpaceDE w:val="0"/>
                    <w:autoSpaceDN w:val="0"/>
                    <w:adjustRightInd w:val="0"/>
                    <w:snapToGrid w:val="0"/>
                    <w:jc w:val="left"/>
                    <w:rPr>
                      <w:b/>
                      <w:color w:val="000000"/>
                      <w:kern w:val="24"/>
                      <w:szCs w:val="28"/>
                    </w:rPr>
                  </w:pPr>
                  <w:r>
                    <w:rPr>
                      <w:color w:val="000000"/>
                      <w:kern w:val="24"/>
                      <w:szCs w:val="28"/>
                    </w:rPr>
                    <w:t>收集塑料桶外贴上符合《危险废物贮存污染控制标准》（GB</w:t>
                  </w:r>
                  <w:r>
                    <w:rPr>
                      <w:rFonts w:hint="eastAsia"/>
                      <w:color w:val="000000"/>
                      <w:kern w:val="24"/>
                      <w:szCs w:val="28"/>
                      <w:lang w:eastAsia="zh-CN"/>
                    </w:rPr>
                    <w:t>*****</w:t>
                  </w:r>
                  <w:r>
                    <w:rPr>
                      <w:color w:val="000000"/>
                      <w:kern w:val="24"/>
                      <w:szCs w:val="28"/>
                    </w:rPr>
                    <w:t>-20</w:t>
                  </w:r>
                  <w:r>
                    <w:rPr>
                      <w:rFonts w:hint="eastAsia"/>
                      <w:color w:val="000000"/>
                      <w:kern w:val="24"/>
                      <w:szCs w:val="28"/>
                      <w:lang w:val="en-US" w:eastAsia="zh-CN"/>
                    </w:rPr>
                    <w:t>23</w:t>
                  </w:r>
                  <w:r>
                    <w:rPr>
                      <w:color w:val="000000"/>
                      <w:kern w:val="24"/>
                      <w:szCs w:val="28"/>
                    </w:rPr>
                    <w:t>）附录A所示的（危险废物）标签。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shd w:val="clear" w:color="auto" w:fill="auto"/>
                  <w:vAlign w:val="center"/>
                </w:tcPr>
                <w:p>
                  <w:pPr>
                    <w:adjustRightInd w:val="0"/>
                    <w:snapToGrid w:val="0"/>
                    <w:jc w:val="center"/>
                    <w:rPr>
                      <w:color w:val="000000"/>
                      <w:kern w:val="24"/>
                      <w:szCs w:val="28"/>
                    </w:rPr>
                  </w:pPr>
                  <w:r>
                    <w:rPr>
                      <w:color w:val="000000"/>
                      <w:kern w:val="24"/>
                      <w:szCs w:val="28"/>
                    </w:rPr>
                    <w:t>危险废物暂存间要求</w:t>
                  </w:r>
                </w:p>
              </w:tc>
              <w:tc>
                <w:tcPr>
                  <w:tcW w:w="4398" w:type="pct"/>
                  <w:shd w:val="clear" w:color="auto" w:fill="auto"/>
                  <w:vAlign w:val="center"/>
                </w:tcPr>
                <w:p>
                  <w:pPr>
                    <w:adjustRightInd w:val="0"/>
                    <w:snapToGrid w:val="0"/>
                    <w:jc w:val="left"/>
                    <w:rPr>
                      <w:color w:val="000000"/>
                      <w:kern w:val="24"/>
                      <w:szCs w:val="28"/>
                    </w:rPr>
                  </w:pPr>
                  <w:r>
                    <w:rPr>
                      <w:color w:val="000000"/>
                      <w:kern w:val="24"/>
                      <w:szCs w:val="28"/>
                    </w:rPr>
                    <w:t>危险废物暂存间地面为硬化地面，且耐腐蚀，表面无裂隙；</w:t>
                  </w:r>
                </w:p>
                <w:p>
                  <w:pPr>
                    <w:adjustRightInd w:val="0"/>
                    <w:snapToGrid w:val="0"/>
                    <w:jc w:val="left"/>
                    <w:rPr>
                      <w:color w:val="000000"/>
                      <w:kern w:val="24"/>
                      <w:szCs w:val="28"/>
                    </w:rPr>
                  </w:pPr>
                  <w:r>
                    <w:rPr>
                      <w:color w:val="000000"/>
                      <w:kern w:val="24"/>
                      <w:szCs w:val="28"/>
                    </w:rPr>
                    <w:t>危险废物暂存间地面采用2mm厚的高密度聚乙烯或其他人工材料进行防渗处理，渗透系数≤10</w:t>
                  </w:r>
                  <w:r>
                    <w:rPr>
                      <w:color w:val="000000"/>
                      <w:kern w:val="24"/>
                      <w:szCs w:val="28"/>
                      <w:vertAlign w:val="superscript"/>
                    </w:rPr>
                    <w:t>-10</w:t>
                  </w:r>
                  <w:r>
                    <w:rPr>
                      <w:color w:val="000000"/>
                      <w:kern w:val="24"/>
                      <w:szCs w:val="28"/>
                    </w:rPr>
                    <w:t>cm/s；</w:t>
                  </w:r>
                </w:p>
                <w:p>
                  <w:pPr>
                    <w:adjustRightInd w:val="0"/>
                    <w:snapToGrid w:val="0"/>
                    <w:jc w:val="left"/>
                    <w:rPr>
                      <w:color w:val="000000"/>
                      <w:kern w:val="24"/>
                      <w:szCs w:val="28"/>
                    </w:rPr>
                  </w:pPr>
                  <w:r>
                    <w:rPr>
                      <w:color w:val="000000"/>
                      <w:kern w:val="24"/>
                      <w:szCs w:val="28"/>
                    </w:rPr>
                    <w:t>采用2mm厚防腐环氧树脂进行防腐处理与废机油相容；</w:t>
                  </w:r>
                </w:p>
                <w:p>
                  <w:pPr>
                    <w:adjustRightInd w:val="0"/>
                    <w:snapToGrid w:val="0"/>
                    <w:jc w:val="left"/>
                    <w:rPr>
                      <w:color w:val="000000"/>
                      <w:kern w:val="24"/>
                      <w:szCs w:val="28"/>
                    </w:rPr>
                  </w:pPr>
                  <w:r>
                    <w:rPr>
                      <w:color w:val="000000"/>
                      <w:kern w:val="24"/>
                      <w:szCs w:val="28"/>
                    </w:rPr>
                    <w:t>危险废物暂存间设置有安全照明设施和观察窗口。</w:t>
                  </w:r>
                </w:p>
              </w:tc>
            </w:tr>
          </w:tbl>
          <w:p>
            <w:pPr>
              <w:autoSpaceDE w:val="0"/>
              <w:autoSpaceDN w:val="0"/>
              <w:snapToGrid w:val="0"/>
              <w:spacing w:line="360" w:lineRule="auto"/>
              <w:jc w:val="center"/>
              <w:rPr>
                <w:color w:val="000000"/>
                <w:kern w:val="0"/>
                <w:sz w:val="24"/>
                <w:lang w:bidi="ar"/>
              </w:rPr>
            </w:pPr>
            <w:r>
              <w:rPr>
                <w:rFonts w:hint="eastAsia"/>
                <w:b/>
                <w:color w:val="000000"/>
                <w:kern w:val="24"/>
                <w:szCs w:val="20"/>
              </w:rPr>
              <w:t>表</w:t>
            </w:r>
            <w:r>
              <w:rPr>
                <w:b/>
                <w:color w:val="000000"/>
                <w:kern w:val="24"/>
                <w:szCs w:val="20"/>
              </w:rPr>
              <w:t>4</w:t>
            </w:r>
            <w:r>
              <w:rPr>
                <w:rFonts w:hint="eastAsia"/>
                <w:b/>
                <w:color w:val="000000"/>
                <w:kern w:val="24"/>
                <w:szCs w:val="20"/>
              </w:rPr>
              <w:t>-</w:t>
            </w:r>
            <w:r>
              <w:rPr>
                <w:b/>
                <w:color w:val="000000"/>
                <w:kern w:val="24"/>
                <w:szCs w:val="20"/>
              </w:rPr>
              <w:t>1</w:t>
            </w:r>
            <w:r>
              <w:rPr>
                <w:rFonts w:hint="eastAsia"/>
                <w:b/>
                <w:color w:val="000000"/>
                <w:kern w:val="24"/>
                <w:szCs w:val="20"/>
                <w:lang w:val="en-US" w:eastAsia="zh-CN"/>
              </w:rPr>
              <w:t>3</w:t>
            </w:r>
            <w:r>
              <w:rPr>
                <w:rFonts w:hint="eastAsia"/>
                <w:b/>
                <w:color w:val="000000"/>
                <w:kern w:val="24"/>
                <w:szCs w:val="20"/>
              </w:rPr>
              <w:t xml:space="preserve">  </w:t>
            </w:r>
            <w:r>
              <w:rPr>
                <w:b/>
                <w:color w:val="000000"/>
                <w:kern w:val="24"/>
                <w:szCs w:val="20"/>
              </w:rPr>
              <w:t>建设项目危险废物暂存间运行、管理、安全措施一览表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4" w:type="pct"/>
                  <w:shd w:val="clear" w:color="auto" w:fill="auto"/>
                  <w:vAlign w:val="center"/>
                </w:tcPr>
                <w:p>
                  <w:pPr>
                    <w:snapToGrid w:val="0"/>
                    <w:jc w:val="center"/>
                    <w:rPr>
                      <w:color w:val="000000"/>
                      <w:kern w:val="24"/>
                      <w:szCs w:val="28"/>
                    </w:rPr>
                  </w:pPr>
                  <w:r>
                    <w:rPr>
                      <w:rFonts w:hint="eastAsia"/>
                      <w:color w:val="000000"/>
                      <w:kern w:val="24"/>
                      <w:szCs w:val="28"/>
                    </w:rPr>
                    <w:t>项目</w:t>
                  </w:r>
                </w:p>
              </w:tc>
              <w:tc>
                <w:tcPr>
                  <w:tcW w:w="4406" w:type="pct"/>
                  <w:shd w:val="clear" w:color="auto" w:fill="auto"/>
                </w:tcPr>
                <w:p>
                  <w:pPr>
                    <w:snapToGrid w:val="0"/>
                    <w:jc w:val="center"/>
                    <w:rPr>
                      <w:color w:val="000000"/>
                      <w:kern w:val="24"/>
                      <w:szCs w:val="28"/>
                    </w:rPr>
                  </w:pPr>
                  <w:r>
                    <w:rPr>
                      <w:rFonts w:hint="eastAsia"/>
                      <w:color w:val="000000"/>
                      <w:kern w:val="24"/>
                      <w:szCs w:val="28"/>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4" w:type="pct"/>
                  <w:shd w:val="clear" w:color="auto" w:fill="auto"/>
                  <w:vAlign w:val="center"/>
                </w:tcPr>
                <w:p>
                  <w:pPr>
                    <w:snapToGrid w:val="0"/>
                    <w:jc w:val="center"/>
                    <w:rPr>
                      <w:color w:val="000000"/>
                      <w:kern w:val="24"/>
                      <w:szCs w:val="28"/>
                    </w:rPr>
                  </w:pPr>
                  <w:r>
                    <w:rPr>
                      <w:color w:val="000000"/>
                      <w:kern w:val="24"/>
                      <w:szCs w:val="28"/>
                    </w:rPr>
                    <w:t>危险废物暂存间的运行与管理</w:t>
                  </w:r>
                </w:p>
              </w:tc>
              <w:tc>
                <w:tcPr>
                  <w:tcW w:w="4406" w:type="pct"/>
                  <w:shd w:val="clear" w:color="auto" w:fill="auto"/>
                </w:tcPr>
                <w:p>
                  <w:pPr>
                    <w:snapToGrid w:val="0"/>
                    <w:jc w:val="left"/>
                    <w:rPr>
                      <w:color w:val="000000"/>
                      <w:kern w:val="24"/>
                      <w:szCs w:val="28"/>
                    </w:rPr>
                  </w:pPr>
                  <w:r>
                    <w:rPr>
                      <w:color w:val="000000"/>
                      <w:kern w:val="24"/>
                      <w:szCs w:val="28"/>
                    </w:rPr>
                    <w:t>盛装在容器内的同类危险废物可以堆叠存放。</w:t>
                  </w:r>
                </w:p>
                <w:p>
                  <w:pPr>
                    <w:snapToGrid w:val="0"/>
                    <w:jc w:val="left"/>
                    <w:rPr>
                      <w:color w:val="000000"/>
                      <w:kern w:val="24"/>
                      <w:szCs w:val="28"/>
                    </w:rPr>
                  </w:pPr>
                  <w:r>
                    <w:rPr>
                      <w:color w:val="000000"/>
                      <w:kern w:val="24"/>
                      <w:szCs w:val="28"/>
                    </w:rPr>
                    <w:t>建设单位须作好危险废物情况的记录，记录上须注明危险废物的名称、来源、数量、特性和包装容器的类别、入库日期、存放库位、废物出库日期及接收单位名称。</w:t>
                  </w:r>
                </w:p>
                <w:p>
                  <w:pPr>
                    <w:snapToGrid w:val="0"/>
                    <w:jc w:val="left"/>
                    <w:rPr>
                      <w:color w:val="000000"/>
                      <w:kern w:val="24"/>
                      <w:szCs w:val="28"/>
                    </w:rPr>
                  </w:pPr>
                  <w:r>
                    <w:rPr>
                      <w:color w:val="000000"/>
                      <w:kern w:val="24"/>
                      <w:szCs w:val="28"/>
                    </w:rPr>
                    <w:t>危险废物的记录和货单在危险废物回取后应继续保留三年。</w:t>
                  </w:r>
                </w:p>
                <w:p>
                  <w:pPr>
                    <w:snapToGrid w:val="0"/>
                    <w:jc w:val="left"/>
                    <w:rPr>
                      <w:color w:val="000000"/>
                      <w:kern w:val="24"/>
                      <w:szCs w:val="28"/>
                    </w:rPr>
                  </w:pPr>
                  <w:r>
                    <w:rPr>
                      <w:color w:val="000000"/>
                      <w:kern w:val="24"/>
                      <w:szCs w:val="28"/>
                    </w:rPr>
                    <w:t>必须定期对所贮存的危险废物包装容器及贮存设施进行检查，发现破损，应及时采取措施清理更换。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4" w:type="pct"/>
                  <w:shd w:val="clear" w:color="auto" w:fill="auto"/>
                  <w:vAlign w:val="center"/>
                </w:tcPr>
                <w:p>
                  <w:pPr>
                    <w:snapToGrid w:val="0"/>
                    <w:jc w:val="center"/>
                    <w:rPr>
                      <w:color w:val="000000"/>
                      <w:kern w:val="24"/>
                      <w:szCs w:val="28"/>
                    </w:rPr>
                  </w:pPr>
                  <w:r>
                    <w:rPr>
                      <w:color w:val="000000"/>
                      <w:kern w:val="24"/>
                      <w:szCs w:val="28"/>
                    </w:rPr>
                    <w:t>危险废物暂存间的安全防护</w:t>
                  </w:r>
                </w:p>
              </w:tc>
              <w:tc>
                <w:tcPr>
                  <w:tcW w:w="4406" w:type="pct"/>
                  <w:shd w:val="clear" w:color="auto" w:fill="auto"/>
                </w:tcPr>
                <w:p>
                  <w:pPr>
                    <w:snapToGrid w:val="0"/>
                    <w:jc w:val="left"/>
                    <w:rPr>
                      <w:color w:val="000000"/>
                      <w:kern w:val="24"/>
                      <w:szCs w:val="28"/>
                    </w:rPr>
                  </w:pPr>
                  <w:r>
                    <w:rPr>
                      <w:color w:val="000000"/>
                      <w:kern w:val="24"/>
                      <w:szCs w:val="28"/>
                    </w:rPr>
                    <w:t>必须按GB15562.2的规定设置警示标志。</w:t>
                  </w:r>
                </w:p>
                <w:p>
                  <w:pPr>
                    <w:snapToGrid w:val="0"/>
                    <w:jc w:val="left"/>
                    <w:rPr>
                      <w:color w:val="000000"/>
                      <w:kern w:val="24"/>
                      <w:szCs w:val="28"/>
                    </w:rPr>
                  </w:pPr>
                  <w:r>
                    <w:rPr>
                      <w:color w:val="000000"/>
                      <w:kern w:val="24"/>
                      <w:szCs w:val="28"/>
                    </w:rPr>
                    <w:t>周围应设置围墙或其它防护栅栏。</w:t>
                  </w:r>
                </w:p>
                <w:p>
                  <w:pPr>
                    <w:snapToGrid w:val="0"/>
                    <w:jc w:val="left"/>
                    <w:rPr>
                      <w:color w:val="000000"/>
                      <w:kern w:val="24"/>
                      <w:szCs w:val="28"/>
                    </w:rPr>
                  </w:pPr>
                  <w:r>
                    <w:rPr>
                      <w:color w:val="000000"/>
                      <w:kern w:val="24"/>
                      <w:szCs w:val="28"/>
                    </w:rPr>
                    <w:t>应配备通讯设备、照明设施、安全防护服装及工具，并设有应急防护设施。清理出来的泄漏物，一律按危险废物处理。</w:t>
                  </w:r>
                </w:p>
              </w:tc>
            </w:tr>
          </w:tbl>
          <w:p>
            <w:pPr>
              <w:widowControl/>
              <w:snapToGrid w:val="0"/>
              <w:spacing w:line="360" w:lineRule="auto"/>
              <w:jc w:val="left"/>
              <w:rPr>
                <w:rFonts w:hint="eastAsia"/>
                <w:b/>
                <w:color w:val="000000"/>
                <w:kern w:val="24"/>
                <w:sz w:val="24"/>
                <w:szCs w:val="28"/>
                <w:lang w:val="en-US" w:eastAsia="zh-CN"/>
              </w:rPr>
            </w:pPr>
          </w:p>
          <w:p>
            <w:pPr>
              <w:widowControl/>
              <w:snapToGrid w:val="0"/>
              <w:spacing w:line="360" w:lineRule="auto"/>
              <w:jc w:val="left"/>
              <w:rPr>
                <w:rFonts w:hint="eastAsia"/>
                <w:b/>
                <w:color w:val="000000"/>
                <w:kern w:val="24"/>
                <w:sz w:val="24"/>
                <w:szCs w:val="28"/>
                <w:lang w:val="en-US" w:eastAsia="zh-CN"/>
              </w:rPr>
            </w:pPr>
            <w:r>
              <w:rPr>
                <w:rFonts w:hint="eastAsia"/>
                <w:b/>
                <w:color w:val="000000"/>
                <w:kern w:val="24"/>
                <w:sz w:val="24"/>
                <w:szCs w:val="28"/>
                <w:lang w:val="en-US" w:eastAsia="zh-CN"/>
              </w:rPr>
              <w:t>6、运营期生态环境影响及保护措施</w:t>
            </w:r>
          </w:p>
          <w:p>
            <w:pPr>
              <w:adjustRightInd w:val="0"/>
              <w:snapToGrid w:val="0"/>
              <w:spacing w:line="360" w:lineRule="auto"/>
              <w:ind w:firstLine="480" w:firstLineChars="200"/>
              <w:jc w:val="left"/>
              <w:rPr>
                <w:rFonts w:hint="default" w:eastAsia="宋体"/>
                <w:color w:val="000000"/>
                <w:sz w:val="24"/>
                <w:szCs w:val="21"/>
                <w:lang w:val="en-US" w:eastAsia="zh-CN"/>
              </w:rPr>
            </w:pPr>
            <w:r>
              <w:rPr>
                <w:rFonts w:hint="eastAsia"/>
                <w:color w:val="000000"/>
                <w:sz w:val="24"/>
                <w:szCs w:val="21"/>
              </w:rPr>
              <w:t>项目位于云南省昆明市东川区拖布卡镇格勒村，地处农村区域。</w:t>
            </w:r>
            <w:r>
              <w:rPr>
                <w:rFonts w:hint="eastAsia"/>
                <w:color w:val="000000"/>
                <w:sz w:val="24"/>
                <w:szCs w:val="21"/>
                <w:lang w:val="en-US" w:eastAsia="zh-CN"/>
              </w:rPr>
              <w:t>本环评评价过程中通过昆明市东川区自然资源局查询“三区三线”，本项目不占用生态保护红线；不占用永久基本农田；不在城镇开发边界内；项目只涉及占用耕地保护目标面积约564.33平方米。且项目为临时性项目，在项目拆除后会对所占区域进行恢复</w:t>
            </w:r>
            <w:r>
              <w:rPr>
                <w:rFonts w:hint="eastAsia"/>
                <w:color w:val="000000"/>
                <w:sz w:val="24"/>
                <w:szCs w:val="21"/>
                <w:lang w:eastAsia="zh-CN"/>
              </w:rPr>
              <w:t>，“</w:t>
            </w:r>
            <w:r>
              <w:rPr>
                <w:rFonts w:hint="eastAsia"/>
                <w:color w:val="000000"/>
                <w:sz w:val="24"/>
                <w:szCs w:val="21"/>
                <w:lang w:val="en-US" w:eastAsia="zh-CN"/>
              </w:rPr>
              <w:t>三区三线</w:t>
            </w:r>
            <w:r>
              <w:rPr>
                <w:rFonts w:hint="eastAsia"/>
                <w:color w:val="000000"/>
                <w:sz w:val="24"/>
                <w:szCs w:val="21"/>
                <w:lang w:eastAsia="zh-CN"/>
              </w:rPr>
              <w:t>”</w:t>
            </w:r>
            <w:r>
              <w:rPr>
                <w:rFonts w:hint="eastAsia"/>
                <w:color w:val="000000"/>
                <w:sz w:val="24"/>
                <w:szCs w:val="21"/>
                <w:lang w:val="en-US" w:eastAsia="zh-CN"/>
              </w:rPr>
              <w:t>查询详情见附件6。</w:t>
            </w:r>
          </w:p>
          <w:p>
            <w:pPr>
              <w:adjustRightInd w:val="0"/>
              <w:snapToGrid w:val="0"/>
              <w:spacing w:line="360" w:lineRule="auto"/>
              <w:ind w:firstLine="480" w:firstLineChars="200"/>
              <w:jc w:val="left"/>
              <w:rPr>
                <w:rFonts w:hint="eastAsia"/>
                <w:color w:val="000000"/>
                <w:sz w:val="24"/>
                <w:szCs w:val="21"/>
                <w:lang w:eastAsia="zh-CN"/>
              </w:rPr>
            </w:pPr>
            <w:r>
              <w:rPr>
                <w:rFonts w:hint="eastAsia"/>
                <w:color w:val="000000"/>
                <w:sz w:val="24"/>
                <w:szCs w:val="21"/>
              </w:rPr>
              <w:t>评价范围内有“栗喉蜂虎自然保护小区”，为本项目的主要</w:t>
            </w:r>
            <w:r>
              <w:rPr>
                <w:rFonts w:hint="eastAsia"/>
                <w:color w:val="000000"/>
                <w:sz w:val="24"/>
                <w:szCs w:val="21"/>
                <w:lang w:val="en-US" w:eastAsia="zh-CN"/>
              </w:rPr>
              <w:t>生态</w:t>
            </w:r>
            <w:r>
              <w:rPr>
                <w:rFonts w:hint="eastAsia"/>
                <w:color w:val="000000"/>
                <w:sz w:val="24"/>
                <w:szCs w:val="21"/>
              </w:rPr>
              <w:t>环境保护目标，本项目位于东川区拖布卡镇</w:t>
            </w:r>
            <w:r>
              <w:rPr>
                <w:rFonts w:hint="eastAsia"/>
                <w:color w:val="000000"/>
                <w:sz w:val="24"/>
                <w:szCs w:val="21"/>
                <w:lang w:val="en-US" w:eastAsia="zh-CN"/>
              </w:rPr>
              <w:t>东</w:t>
            </w:r>
            <w:r>
              <w:rPr>
                <w:rFonts w:hint="eastAsia"/>
                <w:color w:val="000000"/>
                <w:sz w:val="24"/>
                <w:szCs w:val="21"/>
              </w:rPr>
              <w:t>北侧与会泽交界处，</w:t>
            </w:r>
            <w:r>
              <w:rPr>
                <w:rFonts w:hint="eastAsia"/>
                <w:color w:val="000000"/>
                <w:sz w:val="24"/>
                <w:szCs w:val="21"/>
                <w:lang w:val="en-US" w:eastAsia="zh-CN"/>
              </w:rPr>
              <w:t>临近</w:t>
            </w:r>
            <w:r>
              <w:rPr>
                <w:rFonts w:hint="eastAsia"/>
                <w:color w:val="000000"/>
                <w:sz w:val="24"/>
                <w:szCs w:val="21"/>
              </w:rPr>
              <w:t>白鹤滩水库的淹没区，无灌木乔木等植被，不属于栗喉蜂虎的栖息和捕食区域，日常运营不会对“东川区栗喉蜂虎自然保护小区”造成干扰，且本项目为</w:t>
            </w:r>
            <w:r>
              <w:rPr>
                <w:rFonts w:hint="eastAsia"/>
                <w:color w:val="000000"/>
                <w:sz w:val="24"/>
                <w:szCs w:val="21"/>
                <w:lang w:val="en-US" w:eastAsia="zh-CN"/>
              </w:rPr>
              <w:t>水泥制品</w:t>
            </w:r>
            <w:r>
              <w:rPr>
                <w:rFonts w:hint="eastAsia"/>
                <w:color w:val="000000"/>
                <w:sz w:val="24"/>
                <w:szCs w:val="21"/>
              </w:rPr>
              <w:t>项目，</w:t>
            </w:r>
            <w:r>
              <w:rPr>
                <w:rFonts w:hint="eastAsia"/>
                <w:color w:val="000000"/>
                <w:sz w:val="24"/>
                <w:szCs w:val="21"/>
                <w:lang w:val="en-US" w:eastAsia="zh-CN"/>
              </w:rPr>
              <w:t>原辅材料均外购，</w:t>
            </w:r>
            <w:r>
              <w:rPr>
                <w:rFonts w:hint="eastAsia"/>
                <w:color w:val="000000"/>
                <w:sz w:val="24"/>
                <w:szCs w:val="21"/>
              </w:rPr>
              <w:t>不会在自然保护小区内进行采石、采砂、取土等人为干扰的活动，对非法狩猎、收购、毒杀、破坏栗喉蜂虎栖息地等违法行为进行制止和报告，对栗喉蜂虎生境的影响较小</w:t>
            </w:r>
            <w:r>
              <w:rPr>
                <w:rFonts w:hint="eastAsia"/>
                <w:color w:val="000000"/>
                <w:sz w:val="24"/>
                <w:szCs w:val="21"/>
                <w:lang w:eastAsia="zh-CN"/>
              </w:rPr>
              <w:t>。</w:t>
            </w:r>
          </w:p>
          <w:p>
            <w:pPr>
              <w:adjustRightInd w:val="0"/>
              <w:snapToGrid w:val="0"/>
              <w:spacing w:line="360" w:lineRule="auto"/>
              <w:ind w:firstLine="480" w:firstLineChars="200"/>
              <w:jc w:val="left"/>
              <w:rPr>
                <w:rFonts w:hint="default" w:eastAsia="宋体"/>
                <w:color w:val="000000"/>
                <w:sz w:val="24"/>
                <w:szCs w:val="21"/>
                <w:lang w:val="en-US" w:eastAsia="zh-CN"/>
              </w:rPr>
            </w:pPr>
            <w:r>
              <w:rPr>
                <w:rFonts w:hint="eastAsia"/>
                <w:color w:val="000000"/>
                <w:sz w:val="24"/>
                <w:szCs w:val="21"/>
                <w:lang w:val="en-US" w:eastAsia="zh-CN"/>
              </w:rPr>
              <w:t>为保护项目周围生态环境，采取以下措施：</w:t>
            </w:r>
          </w:p>
          <w:p>
            <w:pPr>
              <w:pStyle w:val="47"/>
              <w:rPr>
                <w:rFonts w:hint="default"/>
                <w:lang w:val="en-US" w:eastAsia="zh-CN"/>
              </w:rPr>
            </w:pPr>
            <w:r>
              <w:rPr>
                <w:rFonts w:hint="default"/>
                <w:lang w:val="en-US" w:eastAsia="zh-CN"/>
              </w:rPr>
              <w:t>优化排水工程和水土保持工作</w:t>
            </w:r>
            <w:r>
              <w:rPr>
                <w:rFonts w:hint="eastAsia"/>
                <w:lang w:val="en-US" w:eastAsia="zh-CN"/>
              </w:rPr>
              <w:t>：</w:t>
            </w:r>
            <w:r>
              <w:rPr>
                <w:rFonts w:hint="default"/>
                <w:lang w:val="en-US" w:eastAsia="zh-CN"/>
              </w:rPr>
              <w:t>为有效防止因岩层结构松散，植被稀疏形成规模巨大的泥石流，避免雨水对边坡和路基的侵蚀，采取排水沟、沉淀池、挡土袋等工程措施防治水土流失，同时增加高达乔木的种植。</w:t>
            </w:r>
          </w:p>
          <w:p>
            <w:pPr>
              <w:pStyle w:val="47"/>
              <w:rPr>
                <w:rFonts w:hint="default"/>
                <w:lang w:val="en-US" w:eastAsia="zh-CN"/>
              </w:rPr>
            </w:pPr>
            <w:r>
              <w:rPr>
                <w:rFonts w:hint="default"/>
                <w:lang w:val="en-US" w:eastAsia="zh-CN"/>
              </w:rPr>
              <w:t>对</w:t>
            </w:r>
            <w:r>
              <w:rPr>
                <w:rFonts w:hint="eastAsia"/>
                <w:lang w:val="en-US" w:eastAsia="zh-CN"/>
              </w:rPr>
              <w:t>“</w:t>
            </w:r>
            <w:r>
              <w:rPr>
                <w:rFonts w:hint="default"/>
                <w:lang w:val="en-US" w:eastAsia="zh-CN"/>
              </w:rPr>
              <w:t>栗喉蜂虎自然保护小区</w:t>
            </w:r>
            <w:r>
              <w:rPr>
                <w:rFonts w:hint="eastAsia"/>
                <w:lang w:val="en-US" w:eastAsia="zh-CN"/>
              </w:rPr>
              <w:t>”</w:t>
            </w:r>
            <w:r>
              <w:rPr>
                <w:rFonts w:hint="default"/>
                <w:lang w:val="en-US" w:eastAsia="zh-CN"/>
              </w:rPr>
              <w:t>的保护措施</w:t>
            </w:r>
            <w:r>
              <w:rPr>
                <w:rFonts w:hint="eastAsia"/>
                <w:lang w:val="en-US" w:eastAsia="zh-CN"/>
              </w:rPr>
              <w:t>：</w:t>
            </w:r>
          </w:p>
          <w:p>
            <w:pPr>
              <w:pStyle w:val="47"/>
              <w:rPr>
                <w:rFonts w:hint="default"/>
                <w:lang w:val="en-US" w:eastAsia="zh-CN"/>
              </w:rPr>
            </w:pPr>
            <w:r>
              <w:rPr>
                <w:rFonts w:hint="default"/>
                <w:lang w:val="en-US" w:eastAsia="zh-CN"/>
              </w:rPr>
              <w:t>①向工作人员普及</w:t>
            </w:r>
            <w:r>
              <w:rPr>
                <w:rFonts w:hint="eastAsia"/>
                <w:lang w:val="en-US" w:eastAsia="zh-CN"/>
              </w:rPr>
              <w:t>“</w:t>
            </w:r>
            <w:r>
              <w:rPr>
                <w:rFonts w:hint="default"/>
                <w:lang w:val="en-US" w:eastAsia="zh-CN"/>
              </w:rPr>
              <w:t>栗喉蜂虎自然保护小区</w:t>
            </w:r>
            <w:r>
              <w:rPr>
                <w:rFonts w:hint="eastAsia"/>
                <w:lang w:val="en-US" w:eastAsia="zh-CN"/>
              </w:rPr>
              <w:t>”</w:t>
            </w:r>
            <w:r>
              <w:rPr>
                <w:rFonts w:hint="default"/>
                <w:lang w:val="en-US" w:eastAsia="zh-CN"/>
              </w:rPr>
              <w:t>的重要性和相关得保护措施；</w:t>
            </w:r>
          </w:p>
          <w:p>
            <w:pPr>
              <w:pStyle w:val="47"/>
              <w:rPr>
                <w:rFonts w:hint="default"/>
                <w:lang w:val="en-US" w:eastAsia="zh-CN"/>
              </w:rPr>
            </w:pPr>
            <w:r>
              <w:rPr>
                <w:rFonts w:hint="default"/>
                <w:lang w:val="en-US" w:eastAsia="zh-CN"/>
              </w:rPr>
              <w:t>②在</w:t>
            </w:r>
            <w:r>
              <w:rPr>
                <w:rFonts w:hint="eastAsia"/>
                <w:lang w:val="en-US" w:eastAsia="zh-CN"/>
              </w:rPr>
              <w:t>项目</w:t>
            </w:r>
            <w:r>
              <w:rPr>
                <w:rFonts w:hint="default"/>
                <w:lang w:val="en-US" w:eastAsia="zh-CN"/>
              </w:rPr>
              <w:t>区域</w:t>
            </w:r>
            <w:r>
              <w:rPr>
                <w:rFonts w:hint="eastAsia"/>
                <w:lang w:val="en-US" w:eastAsia="zh-CN"/>
              </w:rPr>
              <w:t>内</w:t>
            </w:r>
            <w:r>
              <w:rPr>
                <w:rFonts w:hint="default"/>
                <w:lang w:val="en-US" w:eastAsia="zh-CN"/>
              </w:rPr>
              <w:t>，设置自然保护、环境保护的警示牌，提醒人们依法保护</w:t>
            </w:r>
            <w:r>
              <w:rPr>
                <w:rFonts w:hint="eastAsia"/>
                <w:lang w:val="en-US" w:eastAsia="zh-CN"/>
              </w:rPr>
              <w:t>“</w:t>
            </w:r>
            <w:r>
              <w:rPr>
                <w:rFonts w:hint="default"/>
                <w:lang w:val="en-US" w:eastAsia="zh-CN"/>
              </w:rPr>
              <w:t>栗喉蜂虎自然保护小区</w:t>
            </w:r>
            <w:r>
              <w:rPr>
                <w:rFonts w:hint="eastAsia"/>
                <w:lang w:val="en-US" w:eastAsia="zh-CN"/>
              </w:rPr>
              <w:t>”</w:t>
            </w:r>
            <w:r>
              <w:rPr>
                <w:rFonts w:hint="default"/>
                <w:lang w:val="en-US" w:eastAsia="zh-CN"/>
              </w:rPr>
              <w:t>和生物多样性；</w:t>
            </w:r>
          </w:p>
          <w:p>
            <w:pPr>
              <w:pStyle w:val="47"/>
              <w:rPr>
                <w:rFonts w:hint="default"/>
                <w:lang w:val="en-US" w:eastAsia="zh-CN"/>
              </w:rPr>
            </w:pPr>
            <w:r>
              <w:rPr>
                <w:rFonts w:hint="default"/>
                <w:lang w:val="en-US" w:eastAsia="zh-CN"/>
              </w:rPr>
              <w:t>③运营期需采取各项有效措施减小机械噪声、运输车辆交通噪声等，避免噪声对导致栗喉蜂虎远离或向他处迁徙；</w:t>
            </w:r>
          </w:p>
          <w:p>
            <w:pPr>
              <w:pStyle w:val="47"/>
              <w:rPr>
                <w:rFonts w:hint="default"/>
                <w:lang w:val="en-US" w:eastAsia="zh-CN"/>
              </w:rPr>
            </w:pPr>
            <w:r>
              <w:rPr>
                <w:rFonts w:hint="default"/>
                <w:lang w:val="en-US" w:eastAsia="zh-CN"/>
              </w:rPr>
              <w:t>④其余保护措施参照上文陆生生态保护措施严格执行。</w:t>
            </w:r>
          </w:p>
          <w:p>
            <w:pPr>
              <w:widowControl/>
              <w:snapToGrid w:val="0"/>
              <w:spacing w:line="360" w:lineRule="auto"/>
              <w:jc w:val="left"/>
              <w:rPr>
                <w:b/>
                <w:color w:val="000000"/>
                <w:kern w:val="24"/>
                <w:sz w:val="24"/>
                <w:szCs w:val="28"/>
                <w:lang w:val="zh-CN"/>
              </w:rPr>
            </w:pPr>
            <w:r>
              <w:rPr>
                <w:rFonts w:hint="eastAsia"/>
                <w:b/>
                <w:color w:val="000000"/>
                <w:kern w:val="24"/>
                <w:sz w:val="24"/>
                <w:szCs w:val="28"/>
                <w:lang w:val="en-US" w:eastAsia="zh-CN"/>
              </w:rPr>
              <w:t>7</w:t>
            </w:r>
            <w:r>
              <w:rPr>
                <w:rFonts w:hint="eastAsia"/>
                <w:b/>
                <w:color w:val="000000"/>
                <w:kern w:val="24"/>
                <w:sz w:val="24"/>
                <w:szCs w:val="28"/>
                <w:lang w:val="zh-CN"/>
              </w:rPr>
              <w:t>、</w:t>
            </w:r>
            <w:r>
              <w:rPr>
                <w:b/>
                <w:color w:val="000000"/>
                <w:kern w:val="24"/>
                <w:sz w:val="24"/>
                <w:szCs w:val="28"/>
                <w:lang w:val="zh-CN"/>
              </w:rPr>
              <w:t>环境风险分析</w:t>
            </w:r>
          </w:p>
          <w:p>
            <w:pPr>
              <w:widowControl/>
              <w:adjustRightInd w:val="0"/>
              <w:snapToGrid w:val="0"/>
              <w:spacing w:line="360" w:lineRule="auto"/>
              <w:jc w:val="left"/>
              <w:rPr>
                <w:rFonts w:hAnsi="宋体"/>
                <w:b/>
                <w:bCs/>
                <w:color w:val="000000"/>
                <w:sz w:val="24"/>
              </w:rPr>
            </w:pPr>
            <w:r>
              <w:rPr>
                <w:rFonts w:hint="eastAsia" w:hAnsi="宋体"/>
                <w:b/>
                <w:bCs/>
                <w:color w:val="000000"/>
                <w:sz w:val="24"/>
              </w:rPr>
              <w:t>（1）环境风险识别</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本项目生产使用的化学品主要为聚羧酸高性能外加剂，厂区内最大储存量为</w:t>
            </w:r>
            <w:r>
              <w:rPr>
                <w:rFonts w:hAnsi="宋体"/>
                <w:color w:val="000000"/>
                <w:sz w:val="24"/>
              </w:rPr>
              <w:t>1</w:t>
            </w:r>
            <w:r>
              <w:rPr>
                <w:rFonts w:hint="eastAsia" w:hAnsi="宋体"/>
                <w:color w:val="000000"/>
                <w:sz w:val="24"/>
              </w:rPr>
              <w:t>0t，聚羧酸系高性能外加剂是羧酸类接枝多元共聚物与其它有效助剂的复配产品。密度：1.07±0.02g/mL，固含量：20±2，水泥净浆流动度（基准水泥）：≥250mm（W/C=0.29），pH：6~8，氯离子含量：≤0.02%，外加率可高达45%，碱含量≤0.2%。经查阅相关资料，该外加剂产品外观为浅棕色液体，无色无味，无毒无害，不含甲醛，不属于危险化学品，是新一代环保型外加剂，属于节能环保产品。对照《国家危险废物名录》（2021版），本项目内所涉及的有害危险物质为设备产生的废机油。</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根据《危险化学品重大危险源识别》（GB</w:t>
            </w:r>
            <w:r>
              <w:rPr>
                <w:rFonts w:hint="eastAsia" w:hAnsi="宋体"/>
                <w:color w:val="000000"/>
                <w:sz w:val="24"/>
                <w:lang w:eastAsia="zh-CN"/>
              </w:rPr>
              <w:t>*****</w:t>
            </w:r>
            <w:r>
              <w:rPr>
                <w:rFonts w:hint="eastAsia" w:hAnsi="宋体"/>
                <w:color w:val="000000"/>
                <w:sz w:val="24"/>
              </w:rPr>
              <w:t>-2018）标准及《建设项目环境风险评价导则》（HJ169）附录B进行辨识。本项目生产废机油属于环境风险物质，但不属于重大危险源。</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根据《建设项目环境风险评价技术导则》（HJ169）附录B、附录C进行对比，项目废机油最大存储量为0.05t/a，临界量为2500t。当企业只涉及一种环境风险物质时，计算该物质的总数量与其临界量比值，即为Q:</w:t>
            </w:r>
          </w:p>
          <w:p>
            <w:pPr>
              <w:widowControl/>
              <w:adjustRightInd w:val="0"/>
              <w:snapToGrid w:val="0"/>
              <w:spacing w:line="360" w:lineRule="auto"/>
              <w:ind w:firstLine="480" w:firstLineChars="200"/>
              <w:jc w:val="left"/>
              <w:rPr>
                <w:rFonts w:hAnsi="宋体"/>
                <w:color w:val="000000"/>
                <w:sz w:val="24"/>
              </w:rPr>
            </w:pPr>
            <w:r>
              <w:rPr>
                <w:rFonts w:hAnsi="宋体"/>
                <w:color w:val="000000"/>
                <w:sz w:val="24"/>
              </w:rPr>
              <w:t>Q=0.05/2500=0.00002</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Q小于1，本项目环境风险潜势为I。</w:t>
            </w:r>
          </w:p>
          <w:p>
            <w:pPr>
              <w:widowControl/>
              <w:adjustRightInd w:val="0"/>
              <w:snapToGrid w:val="0"/>
              <w:spacing w:line="360" w:lineRule="auto"/>
              <w:jc w:val="left"/>
              <w:rPr>
                <w:rFonts w:hAnsi="宋体"/>
                <w:b/>
                <w:bCs/>
                <w:color w:val="000000"/>
                <w:sz w:val="24"/>
              </w:rPr>
            </w:pPr>
            <w:r>
              <w:rPr>
                <w:rFonts w:hint="eastAsia" w:hAnsi="宋体"/>
                <w:b/>
                <w:bCs/>
                <w:color w:val="000000"/>
                <w:sz w:val="24"/>
              </w:rPr>
              <w:t>（</w:t>
            </w:r>
            <w:r>
              <w:rPr>
                <w:rFonts w:hAnsi="宋体"/>
                <w:b/>
                <w:bCs/>
                <w:color w:val="000000"/>
                <w:sz w:val="24"/>
              </w:rPr>
              <w:t>2</w:t>
            </w:r>
            <w:r>
              <w:rPr>
                <w:rFonts w:hint="eastAsia" w:hAnsi="宋体"/>
                <w:b/>
                <w:bCs/>
                <w:color w:val="000000"/>
                <w:sz w:val="24"/>
              </w:rPr>
              <w:t>）环境风险分析</w:t>
            </w:r>
          </w:p>
          <w:p>
            <w:pPr>
              <w:autoSpaceDE w:val="0"/>
              <w:autoSpaceDN w:val="0"/>
              <w:adjustRightInd w:val="0"/>
              <w:spacing w:line="360" w:lineRule="auto"/>
              <w:ind w:firstLine="480" w:firstLineChars="200"/>
              <w:jc w:val="left"/>
              <w:rPr>
                <w:sz w:val="24"/>
              </w:rPr>
            </w:pPr>
            <w:r>
              <w:rPr>
                <w:sz w:val="24"/>
              </w:rPr>
              <w:t>①粉尘泄漏</w:t>
            </w:r>
          </w:p>
          <w:p>
            <w:pPr>
              <w:autoSpaceDE w:val="0"/>
              <w:autoSpaceDN w:val="0"/>
              <w:adjustRightInd w:val="0"/>
              <w:spacing w:line="360" w:lineRule="auto"/>
              <w:ind w:firstLine="480" w:firstLineChars="200"/>
              <w:jc w:val="left"/>
              <w:rPr>
                <w:sz w:val="24"/>
              </w:rPr>
            </w:pPr>
            <w:r>
              <w:rPr>
                <w:sz w:val="24"/>
              </w:rPr>
              <w:t>当发生粉尘泄漏时，主要会对站内人员、周边厂区工作人员及周边植被造成影响。粉尘可被人员吸入，影响人员身体健康。粉尘飘落在植被上，会影响植被的正常生长。从泄漏时间来看，粉尘泄漏事件较短，影响时间较短，当发生泄漏时，站内员工及时带上口罩，可大大减少对人员的危害。</w:t>
            </w:r>
          </w:p>
          <w:p>
            <w:pPr>
              <w:autoSpaceDE w:val="0"/>
              <w:autoSpaceDN w:val="0"/>
              <w:adjustRightInd w:val="0"/>
              <w:spacing w:line="360" w:lineRule="auto"/>
              <w:ind w:firstLine="480" w:firstLineChars="200"/>
              <w:jc w:val="left"/>
              <w:rPr>
                <w:sz w:val="24"/>
              </w:rPr>
            </w:pPr>
            <w:r>
              <w:rPr>
                <w:sz w:val="24"/>
              </w:rPr>
              <w:t>②生产废水泄漏</w:t>
            </w:r>
          </w:p>
          <w:p>
            <w:pPr>
              <w:autoSpaceDE w:val="0"/>
              <w:autoSpaceDN w:val="0"/>
              <w:adjustRightInd w:val="0"/>
              <w:spacing w:line="360" w:lineRule="auto"/>
              <w:ind w:firstLine="480" w:firstLineChars="200"/>
              <w:jc w:val="left"/>
              <w:rPr>
                <w:sz w:val="24"/>
              </w:rPr>
            </w:pPr>
            <w:r>
              <w:rPr>
                <w:sz w:val="24"/>
              </w:rPr>
              <w:t>生产废水池废水含有大量悬浮物及水泥，当沉淀池内废水泄漏，并流出站界，会影响周边土壤，若不及时处理，将可能造成板结，将可能造成板结，影响土壤功能。清洗废水不含有毒有害物质，当发生泄漏并流入周边土壤后，悬浮物大部分对土壤过滤滞留在表层土壤，只要及时将受污染的表土取出，即可大大减小对土壤功能造成的影响。</w:t>
            </w:r>
          </w:p>
          <w:p>
            <w:pPr>
              <w:autoSpaceDE w:val="0"/>
              <w:autoSpaceDN w:val="0"/>
              <w:adjustRightInd w:val="0"/>
              <w:spacing w:line="360" w:lineRule="auto"/>
              <w:ind w:firstLine="480" w:firstLineChars="200"/>
              <w:jc w:val="left"/>
              <w:rPr>
                <w:sz w:val="24"/>
              </w:rPr>
            </w:pPr>
            <w:r>
              <w:rPr>
                <w:sz w:val="24"/>
              </w:rPr>
              <w:t>③废机油泄漏</w:t>
            </w:r>
          </w:p>
          <w:p>
            <w:pPr>
              <w:autoSpaceDE w:val="0"/>
              <w:autoSpaceDN w:val="0"/>
              <w:adjustRightInd w:val="0"/>
              <w:spacing w:line="360" w:lineRule="auto"/>
              <w:ind w:firstLine="480" w:firstLineChars="200"/>
              <w:jc w:val="left"/>
              <w:rPr>
                <w:sz w:val="24"/>
              </w:rPr>
            </w:pPr>
            <w:r>
              <w:rPr>
                <w:sz w:val="24"/>
              </w:rPr>
              <w:t>废机油若泄漏并流入外环境，将对周边土壤造成严重影响。当此类事故发生时，立即联系晋宁分局，由专业人员进行处理，也可大大减小对环境造成的影响。</w:t>
            </w:r>
          </w:p>
          <w:p>
            <w:pPr>
              <w:autoSpaceDE w:val="0"/>
              <w:autoSpaceDN w:val="0"/>
              <w:adjustRightInd w:val="0"/>
              <w:spacing w:line="360" w:lineRule="auto"/>
              <w:ind w:firstLine="480" w:firstLineChars="200"/>
              <w:jc w:val="left"/>
              <w:rPr>
                <w:sz w:val="24"/>
              </w:rPr>
            </w:pPr>
            <w:r>
              <w:rPr>
                <w:rFonts w:hint="eastAsia"/>
                <w:sz w:val="24"/>
              </w:rPr>
              <w:t>④废机油导致爆炸、火灾</w:t>
            </w:r>
          </w:p>
          <w:p>
            <w:pPr>
              <w:autoSpaceDE w:val="0"/>
              <w:autoSpaceDN w:val="0"/>
              <w:adjustRightInd w:val="0"/>
              <w:spacing w:line="360" w:lineRule="auto"/>
              <w:ind w:firstLine="480" w:firstLineChars="200"/>
              <w:jc w:val="left"/>
              <w:rPr>
                <w:sz w:val="24"/>
              </w:rPr>
            </w:pPr>
            <w:r>
              <w:rPr>
                <w:rFonts w:hint="eastAsia"/>
                <w:sz w:val="24"/>
              </w:rPr>
              <w:t>废机油</w:t>
            </w:r>
            <w:r>
              <w:rPr>
                <w:sz w:val="24"/>
              </w:rPr>
              <w:t>泄露遇明火发生火灾爆炸，火灾爆炸事故次生气体污染物、消防废水等</w:t>
            </w:r>
            <w:r>
              <w:rPr>
                <w:rFonts w:hint="eastAsia"/>
                <w:sz w:val="24"/>
              </w:rPr>
              <w:t>，影响地表水、地下水、环境空气，消防废水渗入土壤对土壤产生影响。</w:t>
            </w:r>
          </w:p>
          <w:p>
            <w:pPr>
              <w:autoSpaceDE w:val="0"/>
              <w:autoSpaceDN w:val="0"/>
              <w:adjustRightInd w:val="0"/>
              <w:spacing w:line="360" w:lineRule="auto"/>
              <w:jc w:val="left"/>
              <w:rPr>
                <w:b/>
                <w:bCs/>
                <w:sz w:val="24"/>
              </w:rPr>
            </w:pPr>
            <w:r>
              <w:rPr>
                <w:rFonts w:hint="eastAsia"/>
                <w:b/>
                <w:bCs/>
                <w:sz w:val="24"/>
              </w:rPr>
              <w:t>（</w:t>
            </w:r>
            <w:r>
              <w:rPr>
                <w:b/>
                <w:bCs/>
                <w:sz w:val="24"/>
              </w:rPr>
              <w:t>3</w:t>
            </w:r>
            <w:r>
              <w:rPr>
                <w:rFonts w:hint="eastAsia"/>
                <w:b/>
                <w:bCs/>
                <w:sz w:val="24"/>
              </w:rPr>
              <w:t>）</w:t>
            </w:r>
            <w:r>
              <w:rPr>
                <w:b/>
                <w:bCs/>
                <w:sz w:val="24"/>
              </w:rPr>
              <w:t>环境风险防控措施与应急要求</w:t>
            </w:r>
          </w:p>
          <w:p>
            <w:pPr>
              <w:pStyle w:val="313"/>
              <w:rPr>
                <w:rFonts w:ascii="Times New Roman" w:hAnsi="Times New Roman"/>
                <w:sz w:val="21"/>
                <w:szCs w:val="21"/>
              </w:rPr>
            </w:pPr>
            <w:r>
              <w:rPr>
                <w:rFonts w:ascii="Times New Roman" w:hAnsi="Times New Roman"/>
                <w:sz w:val="21"/>
                <w:szCs w:val="21"/>
              </w:rPr>
              <w:t>表4-1</w:t>
            </w:r>
            <w:r>
              <w:rPr>
                <w:rFonts w:hint="eastAsia" w:ascii="Times New Roman" w:hAnsi="Times New Roman"/>
                <w:sz w:val="21"/>
                <w:szCs w:val="21"/>
                <w:lang w:val="en-US" w:eastAsia="zh-CN"/>
              </w:rPr>
              <w:t>4</w:t>
            </w:r>
            <w:r>
              <w:rPr>
                <w:rFonts w:ascii="Times New Roman" w:hAnsi="Times New Roman"/>
                <w:sz w:val="21"/>
                <w:szCs w:val="21"/>
              </w:rPr>
              <w:t xml:space="preserve">  释放环境风险物质扩散途径、环境风险防控与应急措施、应急资源情况分析</w:t>
            </w:r>
          </w:p>
          <w:tbl>
            <w:tblPr>
              <w:tblStyle w:val="8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46"/>
              <w:gridCol w:w="2393"/>
              <w:gridCol w:w="2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环境风险物质扩散途径</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涉及环境风险防控与应急措施</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应急资源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筒仓粉尘进入大气环境，随空气流往下风向扩散，影响下风向大气环境受体。</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水泥抽料车气泵紧急关闭装置，筒仓进料阀门</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防尘卫生口罩，应急救援队伍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清洗废水发生泄漏，形成径流，流入周边受体，影响周边土壤</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各类泄漏紧急处理设施</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沙袋、锄头、手套、铲子、大锤、应急救援队伍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废弃机油泄漏，随地形流淌，污染周边土壤</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专人看管，立即更换废弃机油收集桶，砂石料吸附。围堵</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空闲的废弃机油收集桶，十字撬、应急救援队伍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废弃机油导致火灾、爆炸</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专人管理，发现火灾、爆炸，立即进预警、并且采取相应的紧急救援措施。</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1"/>
                    <w:rPr>
                      <w:rFonts w:ascii="Times New Roman" w:hAnsi="Times New Roman" w:eastAsia="宋体" w:cs="Times New Roman"/>
                    </w:rPr>
                  </w:pPr>
                  <w:r>
                    <w:rPr>
                      <w:rFonts w:ascii="Times New Roman" w:hAnsi="Times New Roman" w:eastAsia="宋体" w:cs="Times New Roman"/>
                    </w:rPr>
                    <w:t>配备相应的消防设施（灭火器、消防栓、消防沙箱）</w:t>
                  </w:r>
                </w:p>
              </w:tc>
            </w:tr>
          </w:tbl>
          <w:p>
            <w:pPr>
              <w:autoSpaceDE w:val="0"/>
              <w:autoSpaceDN w:val="0"/>
              <w:adjustRightInd w:val="0"/>
              <w:spacing w:line="360" w:lineRule="auto"/>
              <w:ind w:firstLine="480" w:firstLineChars="200"/>
              <w:jc w:val="left"/>
              <w:rPr>
                <w:sz w:val="24"/>
                <w:szCs w:val="21"/>
              </w:rPr>
            </w:pPr>
            <w:r>
              <w:rPr>
                <w:sz w:val="24"/>
              </w:rPr>
              <w:t>目前存在的环境风险主要为筒仓除尘器失效，粉尘超标排放；生产废水沉淀池溢流；废机油泄漏</w:t>
            </w:r>
            <w:r>
              <w:rPr>
                <w:rFonts w:hint="eastAsia"/>
                <w:sz w:val="24"/>
              </w:rPr>
              <w:t>、火灾、爆炸</w:t>
            </w:r>
            <w:r>
              <w:rPr>
                <w:sz w:val="24"/>
              </w:rPr>
              <w:t>。</w:t>
            </w:r>
          </w:p>
          <w:p>
            <w:pPr>
              <w:autoSpaceDE w:val="0"/>
              <w:autoSpaceDN w:val="0"/>
              <w:adjustRightInd w:val="0"/>
              <w:spacing w:line="360" w:lineRule="auto"/>
              <w:ind w:firstLine="480" w:firstLineChars="200"/>
              <w:jc w:val="left"/>
              <w:rPr>
                <w:sz w:val="24"/>
              </w:rPr>
            </w:pPr>
            <w:r>
              <w:rPr>
                <w:sz w:val="24"/>
              </w:rPr>
              <w:t>①为了防止筒仓粉尘超标排放、搅拌站设有专人负责检查维修仓顶除尘器，发现除尘器损坏及时维修或更换。在筒仓装料环节，若除尘器突然失效，则采取立即停止抽料，待除尘器检修完毕后恢复抽料。并应增设备用除尘袋，如发生滤袋破损现象，及时用备用除尘袋更换破损的滤袋，减少粉尘的非正常排放事故的污染影响程度和范围。</w:t>
            </w:r>
          </w:p>
          <w:p>
            <w:pPr>
              <w:autoSpaceDE w:val="0"/>
              <w:autoSpaceDN w:val="0"/>
              <w:adjustRightInd w:val="0"/>
              <w:spacing w:line="360" w:lineRule="auto"/>
              <w:ind w:firstLine="480" w:firstLineChars="200"/>
              <w:jc w:val="left"/>
              <w:rPr>
                <w:sz w:val="24"/>
              </w:rPr>
            </w:pPr>
            <w:r>
              <w:rPr>
                <w:sz w:val="24"/>
              </w:rPr>
              <w:t>②生产废水沉淀池设有兼职人员看管，每天对池子进行检查，发现泄漏及时修补。若沉淀池突然发现溃坝，可在站区地势较低处拦堵。</w:t>
            </w:r>
          </w:p>
          <w:p>
            <w:pPr>
              <w:autoSpaceDE w:val="0"/>
              <w:autoSpaceDN w:val="0"/>
              <w:adjustRightInd w:val="0"/>
              <w:spacing w:line="360" w:lineRule="auto"/>
              <w:ind w:firstLine="480" w:firstLineChars="200"/>
              <w:jc w:val="left"/>
              <w:rPr>
                <w:sz w:val="24"/>
              </w:rPr>
            </w:pPr>
            <w:r>
              <w:rPr>
                <w:sz w:val="24"/>
              </w:rPr>
              <w:t>③站内废机油由专人看管，废机油均分装于废机油桶内，并存放于危险废物收集间。危险废物暂存间内设有空闲的废机油收集桶，发生泄漏事故时可及时将废弃机油抽至空桶内。</w:t>
            </w:r>
          </w:p>
          <w:p>
            <w:pPr>
              <w:autoSpaceDE w:val="0"/>
              <w:autoSpaceDN w:val="0"/>
              <w:adjustRightInd w:val="0"/>
              <w:spacing w:line="360" w:lineRule="auto"/>
              <w:ind w:firstLine="480" w:firstLineChars="200"/>
              <w:jc w:val="left"/>
              <w:rPr>
                <w:sz w:val="24"/>
              </w:rPr>
            </w:pPr>
            <w:r>
              <w:rPr>
                <w:rFonts w:hint="eastAsia"/>
                <w:sz w:val="24"/>
              </w:rPr>
              <w:t>④废机油</w:t>
            </w:r>
            <w:r>
              <w:rPr>
                <w:sz w:val="24"/>
              </w:rPr>
              <w:t>爆炸、火灾引发及次生的环境事件</w:t>
            </w:r>
            <w:bookmarkStart w:id="34" w:name="OLE_LINK8"/>
            <w:r>
              <w:rPr>
                <w:sz w:val="24"/>
              </w:rPr>
              <w:t>应急处理措施</w:t>
            </w:r>
            <w:bookmarkEnd w:id="34"/>
          </w:p>
          <w:p>
            <w:pPr>
              <w:autoSpaceDE w:val="0"/>
              <w:autoSpaceDN w:val="0"/>
              <w:adjustRightInd w:val="0"/>
              <w:spacing w:line="360" w:lineRule="auto"/>
              <w:ind w:firstLine="480" w:firstLineChars="200"/>
              <w:jc w:val="left"/>
              <w:rPr>
                <w:sz w:val="24"/>
              </w:rPr>
            </w:pPr>
            <w:r>
              <w:rPr>
                <w:sz w:val="24"/>
              </w:rPr>
              <w:t>1）一旦发现起火，第一事故发现人立即向值班人员报警，并迅速用事故现场的消防设施进行灭火。由值班人员联系消防队。公司厂区各部门立即停止正常工作，处于全面警戒状态。当班电工切断电源，关闭厂内雨污排水口。</w:t>
            </w:r>
          </w:p>
          <w:p>
            <w:pPr>
              <w:autoSpaceDE w:val="0"/>
              <w:autoSpaceDN w:val="0"/>
              <w:adjustRightInd w:val="0"/>
              <w:spacing w:line="360" w:lineRule="auto"/>
              <w:ind w:firstLine="480" w:firstLineChars="200"/>
              <w:jc w:val="left"/>
              <w:rPr>
                <w:sz w:val="24"/>
              </w:rPr>
            </w:pPr>
            <w:r>
              <w:rPr>
                <w:sz w:val="24"/>
              </w:rPr>
              <w:t>2）根据火灾范围划分警戒区域并设立警戒标志，疏散现场无关人员，保持消防通道的通畅，引导消防车辆进库灭火。</w:t>
            </w:r>
          </w:p>
          <w:p>
            <w:pPr>
              <w:autoSpaceDE w:val="0"/>
              <w:autoSpaceDN w:val="0"/>
              <w:adjustRightInd w:val="0"/>
              <w:spacing w:line="360" w:lineRule="auto"/>
              <w:ind w:firstLine="480" w:firstLineChars="200"/>
              <w:jc w:val="left"/>
              <w:rPr>
                <w:sz w:val="24"/>
              </w:rPr>
            </w:pPr>
            <w:r>
              <w:rPr>
                <w:sz w:val="24"/>
              </w:rPr>
              <w:t>3）迅速使用邻近消防栓或者移动灭火器进行喷淋灭火、冷却，若火势未得到有效控制，待消防队赶赴现场后，主动配合消防人员进行扑救，避免火灾扩大。</w:t>
            </w:r>
          </w:p>
          <w:p>
            <w:pPr>
              <w:autoSpaceDE w:val="0"/>
              <w:autoSpaceDN w:val="0"/>
              <w:adjustRightInd w:val="0"/>
              <w:spacing w:line="360" w:lineRule="auto"/>
              <w:ind w:firstLine="480" w:firstLineChars="200"/>
              <w:jc w:val="left"/>
              <w:rPr>
                <w:sz w:val="24"/>
              </w:rPr>
            </w:pPr>
            <w:r>
              <w:rPr>
                <w:sz w:val="24"/>
              </w:rPr>
              <w:t>4）组织供应救灾物资、保证通讯的畅通、安排交通车辆、救护伤员、抢修设备以及其他后勤保障。</w:t>
            </w:r>
          </w:p>
          <w:p>
            <w:pPr>
              <w:autoSpaceDE w:val="0"/>
              <w:autoSpaceDN w:val="0"/>
              <w:adjustRightInd w:val="0"/>
              <w:spacing w:line="360" w:lineRule="auto"/>
              <w:ind w:firstLine="480" w:firstLineChars="200"/>
              <w:jc w:val="left"/>
              <w:rPr>
                <w:sz w:val="24"/>
              </w:rPr>
            </w:pPr>
            <w:r>
              <w:rPr>
                <w:sz w:val="24"/>
              </w:rPr>
              <w:t>5）如发生较大火灾，且灾情一时又难以控制，为防止可燃物在大火烘烤下造成爆炸，公司应急指挥部应及时与赶来救援的消防队联系是否需要将可燃物排清（一般情况下不会产生这种现象，但在大火漫延失控时也要及时作出决断），防止发生爆炸造成重大次生灾难，应启用临时储存设施，事后做好物料的回收和清理处置工作。</w:t>
            </w:r>
          </w:p>
          <w:p>
            <w:pPr>
              <w:spacing w:line="360" w:lineRule="auto"/>
              <w:rPr>
                <w:b/>
                <w:bCs/>
                <w:sz w:val="24"/>
              </w:rPr>
            </w:pPr>
            <w:r>
              <w:rPr>
                <w:rFonts w:hint="eastAsia"/>
                <w:b/>
                <w:bCs/>
                <w:sz w:val="24"/>
                <w:lang w:val="en-US" w:eastAsia="zh-CN"/>
              </w:rPr>
              <w:t>8</w:t>
            </w:r>
            <w:r>
              <w:rPr>
                <w:rFonts w:hint="eastAsia"/>
                <w:b/>
                <w:bCs/>
                <w:sz w:val="24"/>
              </w:rPr>
              <w:t>、落实排污许可制度</w:t>
            </w:r>
          </w:p>
          <w:p>
            <w:pPr>
              <w:spacing w:line="360" w:lineRule="auto"/>
              <w:ind w:firstLine="480" w:firstLineChars="200"/>
              <w:rPr>
                <w:sz w:val="24"/>
              </w:rPr>
            </w:pPr>
            <w:r>
              <w:rPr>
                <w:rFonts w:hint="eastAsia"/>
                <w:sz w:val="24"/>
              </w:rPr>
              <w:t>本项目与排污许可制度的衔接为贯彻落实《国务院办公厅关于印发控制污染物排放许可制实施方案的通知》（国办发〔2016〕81号）和《环境保护部关于印发〈“十三五”环境影响评价改革实施方案〉的通知》（环环评〔2016〕95号），推进环境质量改善，现就做好建设项目环境影响评价制度与排污许可制有机衔接。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pPr>
              <w:spacing w:line="360" w:lineRule="auto"/>
              <w:ind w:firstLine="480" w:firstLineChars="200"/>
              <w:rPr>
                <w:sz w:val="24"/>
              </w:rPr>
            </w:pPr>
            <w:r>
              <w:rPr>
                <w:rFonts w:hint="eastAsia"/>
                <w:sz w:val="24"/>
              </w:rPr>
              <w:t>对照《固定污染源排污许可分类管理名录（2019年版）》，本项目属于“二十五、非金属矿物制品业3021-水泥制品制造”，属于排污许可分类管理中登记管理，项目应在取得环评批复后，应当在启动生产设施或者发生实际排污之前进行排污许可登记。</w:t>
            </w:r>
          </w:p>
          <w:p>
            <w:pPr>
              <w:spacing w:line="360" w:lineRule="auto"/>
              <w:rPr>
                <w:rFonts w:eastAsiaTheme="minorEastAsia"/>
                <w:b/>
                <w:bCs/>
                <w:sz w:val="24"/>
              </w:rPr>
            </w:pPr>
            <w:r>
              <w:rPr>
                <w:rFonts w:hint="eastAsia" w:eastAsiaTheme="minorEastAsia"/>
                <w:b/>
                <w:bCs/>
                <w:sz w:val="24"/>
                <w:lang w:val="en-US" w:eastAsia="zh-CN"/>
              </w:rPr>
              <w:t>9</w:t>
            </w:r>
            <w:r>
              <w:rPr>
                <w:rFonts w:eastAsiaTheme="minorEastAsia"/>
                <w:b/>
                <w:bCs/>
                <w:sz w:val="24"/>
              </w:rPr>
              <w:t>、竣工验收</w:t>
            </w:r>
          </w:p>
          <w:p>
            <w:pPr>
              <w:spacing w:line="360" w:lineRule="auto"/>
              <w:ind w:firstLine="480" w:firstLineChars="200"/>
              <w:rPr>
                <w:sz w:val="24"/>
              </w:rPr>
            </w:pPr>
            <w:r>
              <w:rPr>
                <w:rFonts w:hint="eastAsia"/>
                <w:sz w:val="24"/>
              </w:rPr>
              <w:t>根据《中华人民共和国环境保护法》规定，建设项目污染防治设施必须与主体工程同时设计、同时施工、同时投入运行，本项目为新建项目，项目建成后，建设单位应尽快落实本环评中提出的各项环保措施，并按相关规定及时自行组织竣工环境保护验收，项目环境保护竣工验收内容如表4-</w:t>
            </w:r>
            <w:r>
              <w:rPr>
                <w:sz w:val="24"/>
              </w:rPr>
              <w:t>15</w:t>
            </w:r>
            <w:r>
              <w:rPr>
                <w:rFonts w:hint="eastAsia"/>
                <w:sz w:val="24"/>
              </w:rPr>
              <w:t>。</w:t>
            </w:r>
          </w:p>
          <w:p>
            <w:pPr>
              <w:spacing w:line="360" w:lineRule="auto"/>
              <w:jc w:val="center"/>
              <w:rPr>
                <w:b/>
                <w:bCs/>
              </w:rPr>
            </w:pPr>
            <w:r>
              <w:rPr>
                <w:rFonts w:hint="eastAsia"/>
                <w:b/>
                <w:bCs/>
              </w:rPr>
              <w:t>表4-</w:t>
            </w:r>
            <w:r>
              <w:rPr>
                <w:b/>
                <w:bCs/>
              </w:rPr>
              <w:t>1</w:t>
            </w:r>
            <w:r>
              <w:rPr>
                <w:rFonts w:hint="eastAsia"/>
                <w:b/>
                <w:bCs/>
                <w:lang w:val="en-US" w:eastAsia="zh-CN"/>
              </w:rPr>
              <w:t>5</w:t>
            </w:r>
            <w:r>
              <w:rPr>
                <w:b/>
                <w:bCs/>
              </w:rPr>
              <w:t xml:space="preserve">  </w:t>
            </w:r>
            <w:r>
              <w:rPr>
                <w:rFonts w:hint="eastAsia"/>
                <w:b/>
                <w:bCs/>
              </w:rPr>
              <w:t>项目环境保护竣工验收竣工验收一览表</w:t>
            </w:r>
          </w:p>
          <w:tbl>
            <w:tblPr>
              <w:tblStyle w:val="8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3"/>
              <w:gridCol w:w="1075"/>
              <w:gridCol w:w="3610"/>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100"/>
                    <w:jc w:val="center"/>
                    <w:rPr>
                      <w:rFonts w:ascii="Times New Roman" w:hAnsi="Times New Roman" w:cs="Times New Roman"/>
                      <w:b/>
                      <w:bCs/>
                      <w:szCs w:val="21"/>
                    </w:rPr>
                  </w:pPr>
                  <w:r>
                    <w:rPr>
                      <w:rFonts w:ascii="Times New Roman" w:hAnsi="Times New Roman" w:cs="Times New Roman"/>
                      <w:b/>
                      <w:bCs/>
                      <w:szCs w:val="21"/>
                    </w:rPr>
                    <w:t>项目</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39" w:lineRule="exact"/>
                    <w:jc w:val="center"/>
                    <w:rPr>
                      <w:rFonts w:ascii="Times New Roman" w:hAnsi="Times New Roman" w:cs="Times New Roman"/>
                      <w:b/>
                      <w:bCs/>
                      <w:szCs w:val="21"/>
                    </w:rPr>
                  </w:pPr>
                  <w:r>
                    <w:rPr>
                      <w:rFonts w:ascii="Times New Roman" w:hAnsi="Times New Roman" w:cs="Times New Roman"/>
                      <w:b/>
                      <w:bCs/>
                      <w:szCs w:val="21"/>
                    </w:rPr>
                    <w:t>环保设施</w:t>
                  </w:r>
                </w:p>
                <w:p>
                  <w:pPr>
                    <w:pStyle w:val="192"/>
                    <w:kinsoku w:val="0"/>
                    <w:overflowPunct w:val="0"/>
                    <w:spacing w:line="273" w:lineRule="exact"/>
                    <w:jc w:val="center"/>
                    <w:rPr>
                      <w:rFonts w:ascii="Times New Roman" w:hAnsi="Times New Roman" w:cs="Times New Roman"/>
                      <w:b/>
                      <w:bCs/>
                      <w:szCs w:val="21"/>
                    </w:rPr>
                  </w:pPr>
                  <w:r>
                    <w:rPr>
                      <w:rFonts w:ascii="Times New Roman" w:hAnsi="Times New Roman" w:cs="Times New Roman"/>
                      <w:b/>
                      <w:bCs/>
                      <w:szCs w:val="21"/>
                    </w:rPr>
                    <w:t>名称</w:t>
                  </w:r>
                </w:p>
              </w:tc>
              <w:tc>
                <w:tcPr>
                  <w:tcW w:w="2303" w:type="pct"/>
                  <w:tcBorders>
                    <w:top w:val="single" w:color="000000" w:sz="4" w:space="0"/>
                    <w:left w:val="single" w:color="000000" w:sz="4" w:space="0"/>
                    <w:bottom w:val="single" w:color="000000" w:sz="4" w:space="0"/>
                    <w:right w:val="single" w:color="000000" w:sz="4" w:space="0"/>
                  </w:tcBorders>
                  <w:vAlign w:val="center"/>
                </w:tcPr>
                <w:p>
                  <w:pPr>
                    <w:jc w:val="center"/>
                    <w:rPr>
                      <w:b/>
                      <w:bCs/>
                      <w:kern w:val="0"/>
                      <w:szCs w:val="21"/>
                    </w:rPr>
                  </w:pPr>
                  <w:r>
                    <w:rPr>
                      <w:b/>
                      <w:bCs/>
                      <w:kern w:val="0"/>
                      <w:szCs w:val="21"/>
                    </w:rPr>
                    <w:t>规模及要求</w:t>
                  </w:r>
                </w:p>
              </w:tc>
              <w:tc>
                <w:tcPr>
                  <w:tcW w:w="1626" w:type="pct"/>
                  <w:tcBorders>
                    <w:top w:val="single" w:color="000000" w:sz="4" w:space="0"/>
                    <w:left w:val="single" w:color="000000" w:sz="4" w:space="0"/>
                    <w:bottom w:val="single" w:color="000000" w:sz="4" w:space="0"/>
                    <w:right w:val="single" w:color="000000" w:sz="4" w:space="0"/>
                  </w:tcBorders>
                  <w:vAlign w:val="center"/>
                </w:tcPr>
                <w:p>
                  <w:pPr>
                    <w:jc w:val="center"/>
                    <w:rPr>
                      <w:b/>
                      <w:bCs/>
                      <w:kern w:val="0"/>
                      <w:szCs w:val="21"/>
                    </w:rPr>
                  </w:pPr>
                  <w:r>
                    <w:rPr>
                      <w:b/>
                      <w:bCs/>
                      <w:kern w:val="0"/>
                      <w:szCs w:val="21"/>
                    </w:rPr>
                    <w:t>预期效果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rPr>
                      <w:rFonts w:ascii="Times New Roman" w:hAnsi="Times New Roman" w:cs="Times New Roman"/>
                      <w:szCs w:val="21"/>
                    </w:rPr>
                  </w:pPr>
                  <w:r>
                    <w:rPr>
                      <w:rFonts w:ascii="Times New Roman" w:hAnsi="Times New Roman" w:cs="Times New Roman"/>
                      <w:szCs w:val="21"/>
                    </w:rPr>
                    <w:t>废气</w:t>
                  </w:r>
                </w:p>
              </w:tc>
              <w:tc>
                <w:tcPr>
                  <w:tcW w:w="686" w:type="pct"/>
                  <w:tcBorders>
                    <w:top w:val="single" w:color="000000" w:sz="4" w:space="0"/>
                    <w:left w:val="single" w:color="000000" w:sz="4" w:space="0"/>
                    <w:right w:val="single" w:color="000000" w:sz="4" w:space="0"/>
                  </w:tcBorders>
                  <w:vAlign w:val="center"/>
                </w:tcPr>
                <w:p>
                  <w:pPr>
                    <w:pStyle w:val="192"/>
                    <w:kinsoku w:val="0"/>
                    <w:overflowPunct w:val="0"/>
                    <w:spacing w:before="130" w:line="272" w:lineRule="exact"/>
                    <w:ind w:right="189"/>
                    <w:jc w:val="center"/>
                    <w:rPr>
                      <w:rFonts w:ascii="Times New Roman" w:hAnsi="Times New Roman" w:cs="Times New Roman"/>
                      <w:szCs w:val="21"/>
                    </w:rPr>
                  </w:pPr>
                  <w:r>
                    <w:rPr>
                      <w:rFonts w:ascii="Times New Roman" w:hAnsi="Times New Roman" w:cs="Times New Roman"/>
                      <w:szCs w:val="21"/>
                    </w:rPr>
                    <w:t>细粉料仓除尘设施</w:t>
                  </w:r>
                </w:p>
              </w:tc>
              <w:tc>
                <w:tcPr>
                  <w:tcW w:w="2303" w:type="pct"/>
                  <w:tcBorders>
                    <w:top w:val="single" w:color="000000" w:sz="4" w:space="0"/>
                    <w:left w:val="single" w:color="000000" w:sz="4" w:space="0"/>
                    <w:right w:val="single" w:color="000000" w:sz="4" w:space="0"/>
                  </w:tcBorders>
                  <w:vAlign w:val="center"/>
                </w:tcPr>
                <w:p>
                  <w:pPr>
                    <w:pStyle w:val="192"/>
                    <w:kinsoku w:val="0"/>
                    <w:overflowPunct w:val="0"/>
                    <w:spacing w:line="247" w:lineRule="exact"/>
                    <w:rPr>
                      <w:rFonts w:ascii="Times New Roman" w:hAnsi="Times New Roman" w:cs="Times New Roman"/>
                      <w:szCs w:val="21"/>
                    </w:rPr>
                  </w:pPr>
                  <w:r>
                    <w:rPr>
                      <w:rFonts w:ascii="Times New Roman" w:hAnsi="Times New Roman" w:cs="Times New Roman"/>
                      <w:szCs w:val="21"/>
                    </w:rPr>
                    <w:t>每个粉料储罐顶均配套1台脉冲布袋除尘器（共6套），除尘效率不低于99%。</w:t>
                  </w:r>
                </w:p>
              </w:tc>
              <w:tc>
                <w:tcPr>
                  <w:tcW w:w="1626" w:type="pct"/>
                  <w:tcBorders>
                    <w:top w:val="single" w:color="000000" w:sz="4" w:space="0"/>
                    <w:left w:val="single" w:color="000000" w:sz="4" w:space="0"/>
                    <w:right w:val="single" w:color="000000" w:sz="4" w:space="0"/>
                  </w:tcBorders>
                  <w:vAlign w:val="center"/>
                </w:tcPr>
                <w:p>
                  <w:pPr>
                    <w:pStyle w:val="192"/>
                    <w:kinsoku w:val="0"/>
                    <w:overflowPunct w:val="0"/>
                    <w:spacing w:line="239" w:lineRule="exact"/>
                    <w:ind w:right="48"/>
                    <w:rPr>
                      <w:rFonts w:ascii="Times New Roman" w:hAnsi="Times New Roman" w:cs="Times New Roman"/>
                      <w:szCs w:val="21"/>
                    </w:rPr>
                  </w:pPr>
                  <w:r>
                    <w:rPr>
                      <w:rFonts w:ascii="Times New Roman" w:hAnsi="Times New Roman" w:cs="Times New Roman"/>
                      <w:szCs w:val="21"/>
                    </w:rPr>
                    <w:t>达《水泥工业大气污染物排放标准》（GB</w:t>
                  </w:r>
                  <w:r>
                    <w:rPr>
                      <w:rFonts w:hint="eastAsia" w:ascii="Times New Roman" w:hAnsi="Times New Roman" w:cs="Times New Roman"/>
                      <w:szCs w:val="21"/>
                      <w:lang w:eastAsia="zh-CN"/>
                    </w:rPr>
                    <w:t>****</w:t>
                  </w:r>
                  <w:r>
                    <w:rPr>
                      <w:rFonts w:ascii="Times New Roman" w:hAnsi="Times New Roman" w:cs="Times New Roman"/>
                      <w:szCs w:val="21"/>
                    </w:rPr>
                    <w:t>-2013）表1大气污染物有组织排放限值。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restart"/>
                  <w:tcBorders>
                    <w:top w:val="single" w:color="000000" w:sz="4" w:space="0"/>
                    <w:left w:val="single" w:color="000000" w:sz="4" w:space="0"/>
                    <w:right w:val="single" w:color="000000" w:sz="4" w:space="0"/>
                  </w:tcBorders>
                  <w:vAlign w:val="center"/>
                </w:tcPr>
                <w:p>
                  <w:pPr>
                    <w:pStyle w:val="192"/>
                    <w:kinsoku w:val="0"/>
                    <w:overflowPunct w:val="0"/>
                    <w:spacing w:line="235" w:lineRule="auto"/>
                    <w:ind w:right="81"/>
                    <w:jc w:val="center"/>
                    <w:rPr>
                      <w:rFonts w:ascii="Times New Roman" w:hAnsi="Times New Roman" w:cs="Times New Roman"/>
                      <w:szCs w:val="21"/>
                    </w:rPr>
                  </w:pPr>
                  <w:r>
                    <w:rPr>
                      <w:rFonts w:ascii="Times New Roman" w:hAnsi="Times New Roman" w:cs="Times New Roman"/>
                      <w:szCs w:val="21"/>
                    </w:rPr>
                    <w:t>硬化场地、骨料料仓、皮带输送机封闭式处理</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5" w:line="272" w:lineRule="exact"/>
                    <w:ind w:right="101"/>
                    <w:rPr>
                      <w:rFonts w:ascii="Times New Roman" w:hAnsi="Times New Roman" w:cs="Times New Roman"/>
                      <w:szCs w:val="21"/>
                    </w:rPr>
                  </w:pPr>
                  <w:r>
                    <w:rPr>
                      <w:rFonts w:hint="eastAsia"/>
                      <w:szCs w:val="21"/>
                    </w:rPr>
                    <w:t>①</w:t>
                  </w:r>
                  <w:r>
                    <w:rPr>
                      <w:rFonts w:ascii="Times New Roman" w:hAnsi="Times New Roman" w:cs="Times New Roman"/>
                      <w:szCs w:val="21"/>
                    </w:rPr>
                    <w:t>骨料料场地面进行硬化处理，料堆采用带顶棚的彩钢瓦进行全封闭遮挡降尘，并采用自动喷淋系统进行降尘。</w:t>
                  </w:r>
                </w:p>
              </w:tc>
              <w:tc>
                <w:tcPr>
                  <w:tcW w:w="1626" w:type="pct"/>
                  <w:vMerge w:val="restart"/>
                  <w:tcBorders>
                    <w:left w:val="single" w:color="000000" w:sz="4" w:space="0"/>
                    <w:right w:val="single" w:color="000000" w:sz="4" w:space="0"/>
                  </w:tcBorders>
                  <w:vAlign w:val="center"/>
                </w:tcPr>
                <w:p>
                  <w:pPr>
                    <w:widowControl/>
                    <w:jc w:val="left"/>
                    <w:rPr>
                      <w:kern w:val="0"/>
                      <w:szCs w:val="21"/>
                    </w:rPr>
                  </w:pPr>
                  <w:r>
                    <w:rPr>
                      <w:szCs w:val="21"/>
                    </w:rPr>
                    <w:t>达《水泥工业大气污染物排放标准》（GB</w:t>
                  </w:r>
                  <w:r>
                    <w:rPr>
                      <w:rFonts w:hint="eastAsia"/>
                      <w:szCs w:val="21"/>
                      <w:lang w:eastAsia="zh-CN"/>
                    </w:rPr>
                    <w:t>****</w:t>
                  </w:r>
                  <w:r>
                    <w:rPr>
                      <w:szCs w:val="21"/>
                    </w:rPr>
                    <w:t>-2013）表3中大气污染物无组织排放限值。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continue"/>
                  <w:tcBorders>
                    <w:left w:val="single" w:color="000000" w:sz="4" w:space="0"/>
                    <w:right w:val="single" w:color="000000" w:sz="4" w:space="0"/>
                  </w:tcBorders>
                  <w:vAlign w:val="center"/>
                </w:tcPr>
                <w:p>
                  <w:pPr>
                    <w:widowControl/>
                    <w:jc w:val="left"/>
                    <w:rPr>
                      <w:kern w:val="0"/>
                      <w:szCs w:val="21"/>
                    </w:rPr>
                  </w:pP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30" w:line="272" w:lineRule="exact"/>
                    <w:ind w:right="84"/>
                    <w:rPr>
                      <w:rFonts w:ascii="Times New Roman" w:hAnsi="Times New Roman" w:cs="Times New Roman"/>
                      <w:szCs w:val="21"/>
                    </w:rPr>
                  </w:pPr>
                  <w:r>
                    <w:rPr>
                      <w:rFonts w:hint="eastAsia"/>
                      <w:szCs w:val="21"/>
                    </w:rPr>
                    <w:t>②</w:t>
                  </w:r>
                  <w:r>
                    <w:rPr>
                      <w:rFonts w:ascii="Times New Roman" w:hAnsi="Times New Roman" w:cs="Times New Roman"/>
                      <w:szCs w:val="21"/>
                    </w:rPr>
                    <w:t>皮带输送机廊道上部加盖侧面密封，下部设有收料盘，对皮带输送机进行封闭处理。</w:t>
                  </w:r>
                </w:p>
              </w:tc>
              <w:tc>
                <w:tcPr>
                  <w:tcW w:w="1626" w:type="pct"/>
                  <w:vMerge w:val="continue"/>
                  <w:tcBorders>
                    <w:left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continue"/>
                  <w:tcBorders>
                    <w:left w:val="single" w:color="000000" w:sz="4" w:space="0"/>
                    <w:right w:val="single" w:color="000000" w:sz="4" w:space="0"/>
                  </w:tcBorders>
                  <w:vAlign w:val="center"/>
                </w:tcPr>
                <w:p>
                  <w:pPr>
                    <w:widowControl/>
                    <w:jc w:val="left"/>
                    <w:rPr>
                      <w:kern w:val="0"/>
                      <w:szCs w:val="21"/>
                    </w:rPr>
                  </w:pP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12" w:line="272" w:lineRule="exact"/>
                    <w:ind w:right="101"/>
                    <w:rPr>
                      <w:rFonts w:ascii="Times New Roman" w:hAnsi="Times New Roman" w:cs="Times New Roman"/>
                      <w:szCs w:val="21"/>
                    </w:rPr>
                  </w:pPr>
                  <w:r>
                    <w:rPr>
                      <w:rFonts w:hint="eastAsia"/>
                      <w:szCs w:val="21"/>
                    </w:rPr>
                    <w:t>③</w:t>
                  </w:r>
                  <w:r>
                    <w:rPr>
                      <w:rFonts w:ascii="Times New Roman" w:hAnsi="Times New Roman" w:cs="Times New Roman"/>
                      <w:szCs w:val="21"/>
                    </w:rPr>
                    <w:t>料仓运输道路</w:t>
                  </w:r>
                  <w:r>
                    <w:rPr>
                      <w:rFonts w:hint="eastAsia" w:ascii="Times New Roman" w:hAnsi="Times New Roman" w:cs="Times New Roman"/>
                      <w:szCs w:val="21"/>
                    </w:rPr>
                    <w:t>设置炮雾机</w:t>
                  </w:r>
                  <w:r>
                    <w:rPr>
                      <w:rFonts w:ascii="Times New Roman" w:hAnsi="Times New Roman" w:cs="Times New Roman"/>
                      <w:szCs w:val="21"/>
                    </w:rPr>
                    <w:t>进行降尘，在料仓入口设置洒水软管进行降尘。</w:t>
                  </w:r>
                </w:p>
              </w:tc>
              <w:tc>
                <w:tcPr>
                  <w:tcW w:w="1626" w:type="pct"/>
                  <w:vMerge w:val="continue"/>
                  <w:tcBorders>
                    <w:left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continue"/>
                  <w:tcBorders>
                    <w:left w:val="single" w:color="000000" w:sz="4" w:space="0"/>
                    <w:right w:val="single" w:color="000000" w:sz="4" w:space="0"/>
                  </w:tcBorders>
                  <w:vAlign w:val="center"/>
                </w:tcPr>
                <w:p>
                  <w:pPr>
                    <w:widowControl/>
                    <w:jc w:val="left"/>
                    <w:rPr>
                      <w:kern w:val="0"/>
                      <w:szCs w:val="21"/>
                    </w:rPr>
                  </w:pPr>
                </w:p>
              </w:tc>
              <w:tc>
                <w:tcPr>
                  <w:tcW w:w="2303" w:type="pct"/>
                  <w:tcBorders>
                    <w:top w:val="single" w:color="000000" w:sz="4" w:space="0"/>
                    <w:left w:val="single" w:color="000000" w:sz="4" w:space="0"/>
                    <w:right w:val="single" w:color="000000" w:sz="4" w:space="0"/>
                  </w:tcBorders>
                  <w:vAlign w:val="center"/>
                </w:tcPr>
                <w:p>
                  <w:pPr>
                    <w:pStyle w:val="192"/>
                    <w:kinsoku w:val="0"/>
                    <w:overflowPunct w:val="0"/>
                    <w:spacing w:before="16" w:line="290" w:lineRule="exact"/>
                    <w:rPr>
                      <w:rFonts w:ascii="Times New Roman" w:hAnsi="Times New Roman" w:cs="Times New Roman"/>
                      <w:szCs w:val="21"/>
                    </w:rPr>
                  </w:pPr>
                  <w:r>
                    <w:rPr>
                      <w:rFonts w:hint="eastAsia"/>
                      <w:szCs w:val="21"/>
                    </w:rPr>
                    <w:t>④项目设一辆洒水车，</w:t>
                  </w:r>
                  <w:r>
                    <w:rPr>
                      <w:rFonts w:hint="eastAsia" w:ascii="Times New Roman" w:hAnsi="Times New Roman" w:cs="Times New Roman"/>
                      <w:szCs w:val="21"/>
                    </w:rPr>
                    <w:t>对项目区域内</w:t>
                  </w:r>
                  <w:r>
                    <w:rPr>
                      <w:rFonts w:ascii="Times New Roman" w:hAnsi="Times New Roman" w:cs="Times New Roman"/>
                      <w:szCs w:val="21"/>
                    </w:rPr>
                    <w:t>硬化场地进行</w:t>
                  </w:r>
                  <w:r>
                    <w:rPr>
                      <w:rFonts w:hint="eastAsia" w:ascii="Times New Roman" w:hAnsi="Times New Roman" w:cs="Times New Roman"/>
                      <w:szCs w:val="21"/>
                    </w:rPr>
                    <w:t>洒水</w:t>
                  </w:r>
                  <w:r>
                    <w:rPr>
                      <w:rFonts w:ascii="Times New Roman" w:hAnsi="Times New Roman" w:cs="Times New Roman"/>
                      <w:szCs w:val="21"/>
                    </w:rPr>
                    <w:t>降尘。</w:t>
                  </w:r>
                </w:p>
              </w:tc>
              <w:tc>
                <w:tcPr>
                  <w:tcW w:w="1626" w:type="pct"/>
                  <w:vMerge w:val="continue"/>
                  <w:tcBorders>
                    <w:left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46" w:lineRule="exact"/>
                    <w:jc w:val="center"/>
                    <w:rPr>
                      <w:rFonts w:ascii="Times New Roman" w:hAnsi="Times New Roman" w:cs="Times New Roman"/>
                      <w:szCs w:val="21"/>
                    </w:rPr>
                  </w:pPr>
                  <w:r>
                    <w:rPr>
                      <w:rFonts w:ascii="Times New Roman" w:hAnsi="Times New Roman" w:cs="Times New Roman"/>
                      <w:szCs w:val="21"/>
                    </w:rPr>
                    <w:t>油烟净化</w:t>
                  </w:r>
                </w:p>
                <w:p>
                  <w:pPr>
                    <w:pStyle w:val="192"/>
                    <w:kinsoku w:val="0"/>
                    <w:overflowPunct w:val="0"/>
                    <w:spacing w:line="274" w:lineRule="exact"/>
                    <w:jc w:val="center"/>
                    <w:rPr>
                      <w:rFonts w:ascii="Times New Roman" w:hAnsi="Times New Roman" w:cs="Times New Roman"/>
                      <w:szCs w:val="21"/>
                    </w:rPr>
                  </w:pPr>
                  <w:r>
                    <w:rPr>
                      <w:rFonts w:ascii="Times New Roman" w:hAnsi="Times New Roman" w:cs="Times New Roman"/>
                      <w:szCs w:val="21"/>
                    </w:rPr>
                    <w:t>器</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53" w:lineRule="exact"/>
                    <w:rPr>
                      <w:rFonts w:ascii="Times New Roman" w:hAnsi="Times New Roman" w:cs="Times New Roman"/>
                      <w:szCs w:val="21"/>
                    </w:rPr>
                  </w:pPr>
                  <w:r>
                    <w:rPr>
                      <w:rFonts w:ascii="Times New Roman" w:hAnsi="Times New Roman" w:cs="Times New Roman"/>
                      <w:szCs w:val="21"/>
                    </w:rPr>
                    <w:t>食堂内安装1套处理效率不低于60%的油烟净化器，油烟废气通过排烟管道排放。</w:t>
                  </w:r>
                </w:p>
              </w:tc>
              <w:tc>
                <w:tcPr>
                  <w:tcW w:w="162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53" w:lineRule="exact"/>
                    <w:ind w:right="1"/>
                    <w:jc w:val="center"/>
                    <w:rPr>
                      <w:rFonts w:ascii="Times New Roman" w:hAnsi="Times New Roman" w:cs="Times New Roman"/>
                      <w:szCs w:val="21"/>
                    </w:rPr>
                  </w:pPr>
                  <w:r>
                    <w:rPr>
                      <w:rFonts w:ascii="Times New Roman" w:hAnsi="Times New Roman" w:cs="Times New Roman"/>
                      <w:szCs w:val="21"/>
                    </w:rPr>
                    <w:t>GB</w:t>
                  </w:r>
                  <w:r>
                    <w:rPr>
                      <w:rFonts w:hint="eastAsia" w:ascii="Times New Roman" w:hAnsi="Times New Roman" w:cs="Times New Roman"/>
                      <w:szCs w:val="21"/>
                      <w:lang w:eastAsia="zh-CN"/>
                    </w:rPr>
                    <w:t>*****</w:t>
                  </w:r>
                  <w:r>
                    <w:rPr>
                      <w:rFonts w:ascii="Times New Roman" w:hAnsi="Times New Roman" w:cs="Times New Roman"/>
                      <w:szCs w:val="21"/>
                    </w:rPr>
                    <w:t>-2001《饮食业油烟</w:t>
                  </w:r>
                </w:p>
                <w:p>
                  <w:pPr>
                    <w:jc w:val="center"/>
                    <w:rPr>
                      <w:kern w:val="0"/>
                      <w:szCs w:val="21"/>
                    </w:rPr>
                  </w:pPr>
                  <w:r>
                    <w:rPr>
                      <w:kern w:val="0"/>
                      <w:szCs w:val="21"/>
                    </w:rPr>
                    <w:t>排放标准（试行）》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129"/>
                    <w:rPr>
                      <w:rFonts w:ascii="Times New Roman" w:hAnsi="Times New Roman" w:cs="Times New Roman"/>
                      <w:szCs w:val="21"/>
                    </w:rPr>
                  </w:pPr>
                  <w:r>
                    <w:rPr>
                      <w:rFonts w:ascii="Times New Roman" w:hAnsi="Times New Roman" w:cs="Times New Roman"/>
                      <w:szCs w:val="21"/>
                    </w:rPr>
                    <w:t>废水</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153"/>
                    <w:jc w:val="center"/>
                    <w:rPr>
                      <w:rFonts w:ascii="Times New Roman" w:hAnsi="Times New Roman" w:cs="Times New Roman"/>
                      <w:szCs w:val="21"/>
                    </w:rPr>
                  </w:pPr>
                  <w:r>
                    <w:rPr>
                      <w:rFonts w:ascii="Times New Roman" w:hAnsi="Times New Roman" w:cs="Times New Roman"/>
                      <w:szCs w:val="21"/>
                    </w:rPr>
                    <w:t>雨污分流</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16"/>
                    <w:ind w:right="103"/>
                    <w:rPr>
                      <w:rFonts w:ascii="Times New Roman" w:hAnsi="Times New Roman" w:cs="Times New Roman"/>
                      <w:szCs w:val="21"/>
                    </w:rPr>
                  </w:pPr>
                  <w:r>
                    <w:rPr>
                      <w:rFonts w:hint="eastAsia" w:ascii="Times New Roman" w:hAnsi="Times New Roman" w:cs="Times New Roman"/>
                      <w:szCs w:val="21"/>
                    </w:rPr>
                    <w:t>在项目生活区域</w:t>
                  </w:r>
                  <w:r>
                    <w:rPr>
                      <w:rFonts w:ascii="Times New Roman" w:hAnsi="Times New Roman" w:cs="Times New Roman"/>
                      <w:szCs w:val="21"/>
                    </w:rPr>
                    <w:t>布设雨污分流管网，</w:t>
                  </w:r>
                  <w:r>
                    <w:rPr>
                      <w:rFonts w:hint="eastAsia" w:ascii="Times New Roman" w:hAnsi="Times New Roman" w:cs="Times New Roman"/>
                      <w:szCs w:val="21"/>
                    </w:rPr>
                    <w:t>将甚或区域雨水进行外排</w:t>
                  </w:r>
                  <w:r>
                    <w:rPr>
                      <w:rFonts w:ascii="Times New Roman" w:hAnsi="Times New Roman" w:cs="Times New Roman"/>
                      <w:szCs w:val="21"/>
                    </w:rPr>
                    <w:t>。</w:t>
                  </w:r>
                </w:p>
              </w:tc>
              <w:tc>
                <w:tcPr>
                  <w:tcW w:w="1626"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按设计要求进行建设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right w:val="single" w:color="000000" w:sz="4" w:space="0"/>
                  </w:tcBorders>
                  <w:vAlign w:val="center"/>
                </w:tcPr>
                <w:p>
                  <w:pPr>
                    <w:pStyle w:val="192"/>
                    <w:kinsoku w:val="0"/>
                    <w:overflowPunct w:val="0"/>
                    <w:ind w:right="196"/>
                    <w:jc w:val="center"/>
                    <w:rPr>
                      <w:rFonts w:ascii="Times New Roman" w:hAnsi="Times New Roman" w:cs="Times New Roman"/>
                      <w:szCs w:val="21"/>
                    </w:rPr>
                  </w:pPr>
                  <w:r>
                    <w:rPr>
                      <w:rFonts w:ascii="Times New Roman" w:hAnsi="Times New Roman" w:cs="Times New Roman"/>
                      <w:szCs w:val="21"/>
                    </w:rPr>
                    <w:t>初期雨水收集</w:t>
                  </w:r>
                  <w:r>
                    <w:rPr>
                      <w:rFonts w:hint="eastAsia" w:ascii="Times New Roman" w:hAnsi="Times New Roman" w:cs="Times New Roman"/>
                      <w:szCs w:val="21"/>
                    </w:rPr>
                    <w:t>、</w:t>
                  </w:r>
                  <w:r>
                    <w:rPr>
                      <w:rFonts w:ascii="Times New Roman" w:hAnsi="Times New Roman" w:cs="Times New Roman"/>
                      <w:szCs w:val="21"/>
                    </w:rPr>
                    <w:t>生产废水沉淀池</w:t>
                  </w:r>
                </w:p>
              </w:tc>
              <w:tc>
                <w:tcPr>
                  <w:tcW w:w="2303" w:type="pct"/>
                  <w:tcBorders>
                    <w:top w:val="single" w:color="000000" w:sz="4" w:space="0"/>
                    <w:left w:val="single" w:color="000000" w:sz="4" w:space="0"/>
                    <w:right w:val="single" w:color="000000" w:sz="4" w:space="0"/>
                  </w:tcBorders>
                  <w:vAlign w:val="center"/>
                </w:tcPr>
                <w:p>
                  <w:pPr>
                    <w:pStyle w:val="192"/>
                    <w:kinsoku w:val="0"/>
                    <w:overflowPunct w:val="0"/>
                    <w:spacing w:line="247" w:lineRule="exact"/>
                    <w:rPr>
                      <w:rFonts w:ascii="Times New Roman" w:hAnsi="Times New Roman" w:cs="Times New Roman"/>
                      <w:szCs w:val="21"/>
                    </w:rPr>
                  </w:pPr>
                  <w:r>
                    <w:rPr>
                      <w:rFonts w:hint="eastAsia" w:ascii="Times New Roman" w:hAnsi="Times New Roman" w:cs="Times New Roman"/>
                      <w:szCs w:val="21"/>
                    </w:rPr>
                    <w:t>在项目东侧建设一个1</w:t>
                  </w:r>
                  <w:r>
                    <w:rPr>
                      <w:rFonts w:ascii="Times New Roman" w:hAnsi="Times New Roman" w:cs="Times New Roman"/>
                      <w:szCs w:val="21"/>
                    </w:rPr>
                    <w:t>05</w:t>
                  </w:r>
                  <w:r>
                    <w:rPr>
                      <w:rFonts w:hint="eastAsia" w:ascii="Times New Roman" w:hAnsi="Times New Roman" w:cs="Times New Roman"/>
                      <w:szCs w:val="21"/>
                    </w:rPr>
                    <w:t>m³的三级沉淀池</w:t>
                  </w:r>
                  <w:r>
                    <w:rPr>
                      <w:rFonts w:ascii="Times New Roman" w:hAnsi="Times New Roman" w:cs="Times New Roman"/>
                      <w:szCs w:val="21"/>
                    </w:rPr>
                    <w:t>，初期雨水经过沉淀处理后回用于生产过程。</w:t>
                  </w:r>
                  <w:r>
                    <w:rPr>
                      <w:rFonts w:hint="eastAsia" w:ascii="Times New Roman" w:hAnsi="Times New Roman" w:cs="Times New Roman"/>
                      <w:szCs w:val="21"/>
                    </w:rPr>
                    <w:t>同时用于平时项目生产废水的收集沉淀。</w:t>
                  </w:r>
                </w:p>
              </w:tc>
              <w:tc>
                <w:tcPr>
                  <w:tcW w:w="1626" w:type="pct"/>
                  <w:tcBorders>
                    <w:top w:val="single" w:color="000000" w:sz="4" w:space="0"/>
                    <w:left w:val="single" w:color="000000" w:sz="4" w:space="0"/>
                    <w:right w:val="single" w:color="000000" w:sz="4" w:space="0"/>
                  </w:tcBorders>
                  <w:vAlign w:val="center"/>
                </w:tcPr>
                <w:p>
                  <w:pPr>
                    <w:jc w:val="center"/>
                    <w:rPr>
                      <w:kern w:val="0"/>
                      <w:szCs w:val="21"/>
                    </w:rPr>
                  </w:pPr>
                  <w:r>
                    <w:rPr>
                      <w:rFonts w:hint="eastAsia"/>
                      <w:kern w:val="0"/>
                      <w:szCs w:val="21"/>
                    </w:rPr>
                    <w:t>项目生产区域</w:t>
                  </w:r>
                  <w:r>
                    <w:rPr>
                      <w:kern w:val="0"/>
                      <w:szCs w:val="21"/>
                    </w:rPr>
                    <w:t>雨水收集</w:t>
                  </w:r>
                  <w:r>
                    <w:rPr>
                      <w:rFonts w:hint="eastAsia"/>
                      <w:kern w:val="0"/>
                      <w:szCs w:val="21"/>
                    </w:rPr>
                    <w:t>、</w:t>
                  </w:r>
                  <w:r>
                    <w:rPr>
                      <w:szCs w:val="21"/>
                    </w:rPr>
                    <w:t>搅拌机清洗废水、混凝土运输罐车内部清洗废水、混凝土运输车辆外部清洗废水、厂区硬化地面冲洗废水进行收集处理，通过厂区污水收集沟收集后进入沉淀系统，沉淀后回用于生产。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隔油池</w:t>
                  </w:r>
                </w:p>
              </w:tc>
              <w:tc>
                <w:tcPr>
                  <w:tcW w:w="2303"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1个，容积为1m</w:t>
                  </w:r>
                  <w:r>
                    <w:rPr>
                      <w:kern w:val="0"/>
                      <w:szCs w:val="21"/>
                      <w:vertAlign w:val="superscript"/>
                    </w:rPr>
                    <w:t>3</w:t>
                  </w:r>
                  <w:r>
                    <w:rPr>
                      <w:kern w:val="0"/>
                      <w:szCs w:val="21"/>
                    </w:rPr>
                    <w:t>。</w:t>
                  </w:r>
                </w:p>
              </w:tc>
              <w:tc>
                <w:tcPr>
                  <w:tcW w:w="1626" w:type="pct"/>
                  <w:tcBorders>
                    <w:top w:val="single" w:color="000000" w:sz="4" w:space="0"/>
                    <w:left w:val="single" w:color="000000" w:sz="4" w:space="0"/>
                    <w:bottom w:val="single" w:color="000000" w:sz="4" w:space="0"/>
                    <w:right w:val="single" w:color="000000" w:sz="4" w:space="0"/>
                  </w:tcBorders>
                  <w:vAlign w:val="center"/>
                </w:tcPr>
                <w:p>
                  <w:pPr>
                    <w:rPr>
                      <w:kern w:val="0"/>
                      <w:szCs w:val="21"/>
                    </w:rPr>
                  </w:pPr>
                  <w:r>
                    <w:rPr>
                      <w:kern w:val="0"/>
                      <w:szCs w:val="21"/>
                    </w:rPr>
                    <w:t>食堂餐饮废水隔油预处理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35"/>
                    <w:jc w:val="center"/>
                    <w:rPr>
                      <w:rFonts w:ascii="Times New Roman" w:hAnsi="Times New Roman" w:cs="Times New Roman"/>
                      <w:szCs w:val="21"/>
                    </w:rPr>
                  </w:pPr>
                  <w:r>
                    <w:rPr>
                      <w:rFonts w:ascii="Times New Roman" w:hAnsi="Times New Roman" w:cs="Times New Roman"/>
                      <w:szCs w:val="21"/>
                    </w:rPr>
                    <w:t>化粪池</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35"/>
                    <w:jc w:val="center"/>
                    <w:rPr>
                      <w:rFonts w:ascii="Times New Roman" w:hAnsi="Times New Roman" w:cs="Times New Roman"/>
                      <w:szCs w:val="21"/>
                    </w:rPr>
                  </w:pPr>
                  <w:r>
                    <w:rPr>
                      <w:rFonts w:ascii="Times New Roman" w:hAnsi="Times New Roman" w:cs="Times New Roman"/>
                      <w:szCs w:val="21"/>
                    </w:rPr>
                    <w:t>2个，</w:t>
                  </w:r>
                  <w:r>
                    <w:rPr>
                      <w:rFonts w:hint="eastAsia" w:ascii="Times New Roman" w:hAnsi="Times New Roman" w:cs="Times New Roman"/>
                      <w:szCs w:val="21"/>
                    </w:rPr>
                    <w:t>总</w:t>
                  </w:r>
                  <w:r>
                    <w:rPr>
                      <w:rFonts w:ascii="Times New Roman" w:hAnsi="Times New Roman" w:cs="Times New Roman"/>
                      <w:szCs w:val="21"/>
                    </w:rPr>
                    <w:t>容积为</w:t>
                  </w:r>
                  <w:r>
                    <w:rPr>
                      <w:rFonts w:ascii="Times New Roman" w:hAnsi="Times New Roman" w:cs="Times New Roman"/>
                      <w:color w:val="000000" w:themeColor="text1"/>
                      <w:szCs w:val="21"/>
                      <w14:textFill>
                        <w14:solidFill>
                          <w14:schemeClr w14:val="tx1"/>
                        </w14:solidFill>
                      </w14:textFill>
                    </w:rPr>
                    <w:t>100m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szCs w:val="21"/>
                    </w:rPr>
                    <w:t>。</w:t>
                  </w:r>
                </w:p>
              </w:tc>
              <w:tc>
                <w:tcPr>
                  <w:tcW w:w="1626" w:type="pct"/>
                  <w:tcBorders>
                    <w:top w:val="single" w:color="000000" w:sz="4" w:space="0"/>
                    <w:left w:val="single" w:color="000000" w:sz="4" w:space="0"/>
                    <w:bottom w:val="single" w:color="000000" w:sz="4" w:space="0"/>
                    <w:right w:val="single" w:color="000000" w:sz="4" w:space="0"/>
                  </w:tcBorders>
                  <w:vAlign w:val="center"/>
                </w:tcPr>
                <w:p>
                  <w:pPr>
                    <w:rPr>
                      <w:kern w:val="0"/>
                      <w:szCs w:val="21"/>
                    </w:rPr>
                  </w:pPr>
                  <w:r>
                    <w:rPr>
                      <w:kern w:val="0"/>
                      <w:szCs w:val="21"/>
                    </w:rPr>
                    <w:t>生活废水处理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rPr>
                      <w:rFonts w:ascii="Times New Roman" w:hAnsi="Times New Roman" w:cs="Times New Roman"/>
                      <w:szCs w:val="21"/>
                    </w:rPr>
                  </w:pPr>
                  <w:r>
                    <w:rPr>
                      <w:rFonts w:ascii="Times New Roman" w:hAnsi="Times New Roman" w:cs="Times New Roman"/>
                      <w:szCs w:val="21"/>
                    </w:rPr>
                    <w:t>噪声</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40" w:lineRule="exact"/>
                    <w:jc w:val="center"/>
                    <w:rPr>
                      <w:rFonts w:ascii="Times New Roman" w:hAnsi="Times New Roman" w:cs="Times New Roman"/>
                      <w:szCs w:val="21"/>
                    </w:rPr>
                  </w:pPr>
                  <w:r>
                    <w:rPr>
                      <w:rFonts w:ascii="Times New Roman" w:hAnsi="Times New Roman" w:cs="Times New Roman"/>
                      <w:szCs w:val="21"/>
                    </w:rPr>
                    <w:t>建筑物隔声、吸声</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17" w:line="274" w:lineRule="exact"/>
                    <w:ind w:right="101"/>
                    <w:rPr>
                      <w:rFonts w:ascii="Times New Roman" w:hAnsi="Times New Roman" w:cs="Times New Roman"/>
                      <w:szCs w:val="21"/>
                    </w:rPr>
                  </w:pPr>
                  <w:r>
                    <w:rPr>
                      <w:rFonts w:ascii="Times New Roman" w:hAnsi="Times New Roman" w:cs="Times New Roman"/>
                      <w:szCs w:val="21"/>
                    </w:rPr>
                    <w:t>优化厂区布局，对堆场、搅拌机楼进行封闭处理。</w:t>
                  </w:r>
                </w:p>
              </w:tc>
              <w:tc>
                <w:tcPr>
                  <w:tcW w:w="1626" w:type="pct"/>
                  <w:vMerge w:val="restar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ind w:right="152"/>
                    <w:jc w:val="center"/>
                    <w:rPr>
                      <w:rFonts w:ascii="Times New Roman" w:hAnsi="Times New Roman" w:cs="Times New Roman"/>
                      <w:szCs w:val="21"/>
                    </w:rPr>
                  </w:pPr>
                  <w:r>
                    <w:rPr>
                      <w:rFonts w:ascii="Times New Roman" w:hAnsi="Times New Roman" w:cs="Times New Roman"/>
                      <w:szCs w:val="21"/>
                    </w:rPr>
                    <w:t>厂界东、南、</w:t>
                  </w:r>
                  <w:r>
                    <w:rPr>
                      <w:rFonts w:hint="eastAsia" w:ascii="Times New Roman" w:hAnsi="Times New Roman" w:cs="Times New Roman"/>
                      <w:szCs w:val="21"/>
                    </w:rPr>
                    <w:t>西、</w:t>
                  </w:r>
                  <w:r>
                    <w:rPr>
                      <w:rFonts w:ascii="Times New Roman" w:hAnsi="Times New Roman" w:cs="Times New Roman"/>
                      <w:szCs w:val="21"/>
                    </w:rPr>
                    <w:t>北噪声达（GB</w:t>
                  </w:r>
                  <w:r>
                    <w:rPr>
                      <w:rFonts w:hint="eastAsia" w:ascii="Times New Roman" w:hAnsi="Times New Roman" w:cs="Times New Roman"/>
                      <w:szCs w:val="21"/>
                      <w:lang w:eastAsia="zh-CN"/>
                    </w:rPr>
                    <w:t>*****</w:t>
                  </w:r>
                  <w:r>
                    <w:rPr>
                      <w:rFonts w:ascii="Times New Roman" w:hAnsi="Times New Roman" w:cs="Times New Roman"/>
                      <w:szCs w:val="21"/>
                    </w:rPr>
                    <w:t xml:space="preserve">-2008）《工业企业厂界环境噪声排放标准》2类标准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right w:val="single" w:color="000000" w:sz="4" w:space="0"/>
                  </w:tcBorders>
                  <w:vAlign w:val="center"/>
                </w:tcPr>
                <w:p>
                  <w:pPr>
                    <w:pStyle w:val="192"/>
                    <w:kinsoku w:val="0"/>
                    <w:overflowPunct w:val="0"/>
                    <w:spacing w:line="265" w:lineRule="exact"/>
                    <w:jc w:val="center"/>
                    <w:rPr>
                      <w:rFonts w:ascii="Times New Roman" w:hAnsi="Times New Roman" w:cs="Times New Roman"/>
                      <w:szCs w:val="21"/>
                    </w:rPr>
                  </w:pPr>
                  <w:r>
                    <w:rPr>
                      <w:rFonts w:ascii="Times New Roman" w:hAnsi="Times New Roman" w:cs="Times New Roman"/>
                      <w:szCs w:val="21"/>
                    </w:rPr>
                    <w:t>基础减震</w:t>
                  </w:r>
                </w:p>
              </w:tc>
              <w:tc>
                <w:tcPr>
                  <w:tcW w:w="2303" w:type="pct"/>
                  <w:tcBorders>
                    <w:top w:val="single" w:color="000000" w:sz="4" w:space="0"/>
                    <w:left w:val="single" w:color="000000" w:sz="4" w:space="0"/>
                    <w:right w:val="single" w:color="000000" w:sz="4" w:space="0"/>
                  </w:tcBorders>
                  <w:vAlign w:val="center"/>
                </w:tcPr>
                <w:p>
                  <w:pPr>
                    <w:pStyle w:val="192"/>
                    <w:kinsoku w:val="0"/>
                    <w:overflowPunct w:val="0"/>
                    <w:spacing w:line="265" w:lineRule="exact"/>
                    <w:rPr>
                      <w:rFonts w:ascii="Times New Roman" w:hAnsi="Times New Roman" w:cs="Times New Roman"/>
                      <w:szCs w:val="21"/>
                    </w:rPr>
                  </w:pPr>
                  <w:r>
                    <w:rPr>
                      <w:rFonts w:ascii="Times New Roman" w:hAnsi="Times New Roman" w:cs="Times New Roman"/>
                      <w:szCs w:val="21"/>
                    </w:rPr>
                    <w:t>在产噪设备上安装基础减振垫。</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before="4"/>
                    <w:ind w:firstLine="420"/>
                    <w:rPr>
                      <w:rFonts w:ascii="Times New Roman" w:hAnsi="Times New Roman" w:cs="Times New Roman"/>
                      <w:szCs w:val="21"/>
                    </w:rPr>
                  </w:pPr>
                </w:p>
                <w:p>
                  <w:pPr>
                    <w:pStyle w:val="192"/>
                    <w:kinsoku w:val="0"/>
                    <w:overflowPunct w:val="0"/>
                    <w:spacing w:line="272" w:lineRule="exact"/>
                    <w:ind w:right="140"/>
                    <w:rPr>
                      <w:rFonts w:ascii="Times New Roman" w:hAnsi="Times New Roman" w:cs="Times New Roman"/>
                      <w:szCs w:val="21"/>
                    </w:rPr>
                  </w:pPr>
                  <w:r>
                    <w:rPr>
                      <w:rFonts w:ascii="Times New Roman" w:hAnsi="Times New Roman" w:cs="Times New Roman"/>
                      <w:szCs w:val="21"/>
                    </w:rPr>
                    <w:t>固体废物</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67" w:lineRule="exact"/>
                    <w:jc w:val="center"/>
                    <w:rPr>
                      <w:rFonts w:ascii="Times New Roman" w:hAnsi="Times New Roman" w:cs="Times New Roman"/>
                      <w:szCs w:val="21"/>
                    </w:rPr>
                  </w:pPr>
                  <w:r>
                    <w:rPr>
                      <w:rFonts w:ascii="Times New Roman" w:hAnsi="Times New Roman" w:cs="Times New Roman"/>
                      <w:szCs w:val="21"/>
                    </w:rPr>
                    <w:t>生活固废</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82" w:lineRule="exact"/>
                    <w:rPr>
                      <w:rFonts w:ascii="Times New Roman" w:hAnsi="Times New Roman" w:cs="Times New Roman"/>
                      <w:szCs w:val="21"/>
                    </w:rPr>
                  </w:pPr>
                  <w:r>
                    <w:rPr>
                      <w:rFonts w:hint="eastAsia" w:ascii="Times New Roman" w:hAnsi="Times New Roman" w:cs="Times New Roman"/>
                      <w:szCs w:val="21"/>
                    </w:rPr>
                    <w:t>设一封闭式垃圾箱</w:t>
                  </w:r>
                  <w:r>
                    <w:rPr>
                      <w:rFonts w:ascii="Times New Roman" w:hAnsi="Times New Roman" w:cs="Times New Roman"/>
                      <w:szCs w:val="21"/>
                    </w:rPr>
                    <w:t>，设1个带盖泔水收集桶。</w:t>
                  </w:r>
                </w:p>
              </w:tc>
              <w:tc>
                <w:tcPr>
                  <w:tcW w:w="1626" w:type="pct"/>
                  <w:vMerge w:val="restart"/>
                  <w:tcBorders>
                    <w:top w:val="single" w:color="000000" w:sz="4" w:space="0"/>
                    <w:left w:val="single" w:color="000000" w:sz="4" w:space="0"/>
                    <w:bottom w:val="single" w:color="000000" w:sz="4" w:space="0"/>
                    <w:right w:val="single" w:color="000000" w:sz="4" w:space="0"/>
                  </w:tcBorders>
                  <w:vAlign w:val="center"/>
                </w:tcPr>
                <w:p>
                  <w:pPr>
                    <w:rPr>
                      <w:kern w:val="0"/>
                      <w:szCs w:val="21"/>
                    </w:rPr>
                  </w:pPr>
                  <w:r>
                    <w:rPr>
                      <w:kern w:val="0"/>
                      <w:szCs w:val="21"/>
                    </w:rPr>
                    <w:t>固体废物处理率100%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65" w:lineRule="exact"/>
                    <w:jc w:val="center"/>
                    <w:rPr>
                      <w:rFonts w:ascii="Times New Roman" w:hAnsi="Times New Roman" w:cs="Times New Roman"/>
                      <w:szCs w:val="21"/>
                    </w:rPr>
                  </w:pPr>
                  <w:r>
                    <w:rPr>
                      <w:rFonts w:ascii="Times New Roman" w:hAnsi="Times New Roman" w:cs="Times New Roman"/>
                      <w:szCs w:val="21"/>
                    </w:rPr>
                    <w:t>一般固废</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81" w:lineRule="exact"/>
                    <w:rPr>
                      <w:rFonts w:ascii="Times New Roman" w:hAnsi="Times New Roman" w:cs="Times New Roman"/>
                      <w:szCs w:val="21"/>
                    </w:rPr>
                  </w:pPr>
                  <w:r>
                    <w:rPr>
                      <w:rFonts w:ascii="Times New Roman" w:hAnsi="Times New Roman" w:cs="Times New Roman"/>
                      <w:szCs w:val="21"/>
                    </w:rPr>
                    <w:t>设2个</w:t>
                  </w:r>
                  <w:r>
                    <w:rPr>
                      <w:rFonts w:hint="eastAsia" w:ascii="Times New Roman" w:hAnsi="Times New Roman" w:cs="Times New Roman"/>
                      <w:szCs w:val="21"/>
                    </w:rPr>
                    <w:t>一般固废收集桶</w:t>
                  </w:r>
                  <w:r>
                    <w:rPr>
                      <w:rFonts w:ascii="Times New Roman" w:hAnsi="Times New Roman" w:cs="Times New Roman"/>
                      <w:szCs w:val="21"/>
                    </w:rPr>
                    <w:t>。</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65" w:lineRule="exact"/>
                    <w:rPr>
                      <w:rFonts w:ascii="Times New Roman" w:hAnsi="Times New Roman" w:cs="Times New Roman"/>
                      <w:szCs w:val="21"/>
                    </w:rPr>
                  </w:pPr>
                  <w:r>
                    <w:rPr>
                      <w:rFonts w:hint="eastAsia" w:ascii="Times New Roman" w:hAnsi="Times New Roman" w:cs="Times New Roman"/>
                      <w:szCs w:val="21"/>
                    </w:rPr>
                    <w:t>干渣暂堆场</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65" w:lineRule="exact"/>
                    <w:rPr>
                      <w:rFonts w:ascii="Times New Roman" w:hAnsi="Times New Roman" w:cs="Times New Roman"/>
                      <w:szCs w:val="21"/>
                    </w:rPr>
                  </w:pPr>
                  <w:r>
                    <w:rPr>
                      <w:rFonts w:hint="eastAsia" w:ascii="Times New Roman" w:hAnsi="Times New Roman" w:cs="Times New Roman"/>
                      <w:szCs w:val="21"/>
                    </w:rPr>
                    <w:t>场地硬化处理、干渣进行覆盖。</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65" w:lineRule="exact"/>
                    <w:jc w:val="center"/>
                    <w:rPr>
                      <w:rFonts w:ascii="Times New Roman" w:hAnsi="Times New Roman" w:cs="Times New Roman"/>
                      <w:szCs w:val="21"/>
                    </w:rPr>
                  </w:pPr>
                  <w:r>
                    <w:rPr>
                      <w:rFonts w:ascii="Times New Roman" w:hAnsi="Times New Roman" w:cs="Times New Roman"/>
                      <w:szCs w:val="21"/>
                    </w:rPr>
                    <w:t>废机油</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2"/>
                    <w:kinsoku w:val="0"/>
                    <w:overflowPunct w:val="0"/>
                    <w:spacing w:line="265" w:lineRule="exact"/>
                    <w:rPr>
                      <w:rFonts w:ascii="Times New Roman" w:hAnsi="Times New Roman" w:cs="Times New Roman"/>
                      <w:szCs w:val="21"/>
                    </w:rPr>
                  </w:pPr>
                  <w:r>
                    <w:rPr>
                      <w:rFonts w:ascii="Times New Roman" w:hAnsi="Times New Roman" w:cs="Times New Roman"/>
                      <w:szCs w:val="21"/>
                    </w:rPr>
                    <w:t>危废暂存间1座，建筑面积4m</w:t>
                  </w:r>
                  <w:r>
                    <w:rPr>
                      <w:rFonts w:ascii="Times New Roman" w:hAnsi="Times New Roman" w:cs="Times New Roman"/>
                      <w:szCs w:val="21"/>
                      <w:vertAlign w:val="superscript"/>
                    </w:rPr>
                    <w:t>2</w:t>
                  </w:r>
                  <w:r>
                    <w:rPr>
                      <w:rFonts w:ascii="Times New Roman" w:hAnsi="Times New Roman" w:cs="Times New Roman"/>
                      <w:szCs w:val="21"/>
                    </w:rPr>
                    <w:t>，废机油经高密度的聚丙烯桶收集后，暂存于危废间，委托有资质的单位处置。</w:t>
                  </w:r>
                  <w:r>
                    <w:rPr>
                      <w:rFonts w:hint="eastAsia" w:ascii="Times New Roman" w:hAnsi="Times New Roman" w:cs="Times New Roman"/>
                      <w:szCs w:val="21"/>
                    </w:rPr>
                    <w:t>危险废物暂存间地面采用2mm厚的高密度聚乙烯或其他人工材料进行防渗处理，渗透系数≤10</w:t>
                  </w:r>
                  <w:r>
                    <w:rPr>
                      <w:rFonts w:hint="eastAsia" w:ascii="Times New Roman" w:hAnsi="Times New Roman" w:cs="Times New Roman"/>
                      <w:szCs w:val="21"/>
                      <w:vertAlign w:val="superscript"/>
                    </w:rPr>
                    <w:t>-10</w:t>
                  </w:r>
                  <w:r>
                    <w:rPr>
                      <w:rFonts w:hint="eastAsia" w:ascii="Times New Roman" w:hAnsi="Times New Roman" w:cs="Times New Roman"/>
                      <w:szCs w:val="21"/>
                    </w:rPr>
                    <w:t>cm/s，危废暂存间内设高密度的聚丙烯桶对废机油进行收集，并将收集容器贴上标签，危废间粘贴标识标牌，并建立危废管理台账。</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bl>
          <w:p>
            <w:pPr>
              <w:spacing w:line="360" w:lineRule="auto"/>
              <w:rPr>
                <w:b/>
                <w:bCs/>
              </w:rPr>
            </w:pP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5" w:name="_Toc31394"/>
      <w:r>
        <w:rPr>
          <w:rFonts w:hint="eastAsia"/>
          <w:b/>
          <w:bCs/>
          <w:sz w:val="30"/>
          <w:szCs w:val="30"/>
        </w:rPr>
        <w:t>五、环境保护措施监督检查清单</w:t>
      </w:r>
      <w:bookmarkEnd w:id="35"/>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85"/>
        <w:gridCol w:w="1021"/>
        <w:gridCol w:w="3034"/>
        <w:gridCol w:w="2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tcBorders>
              <w:tl2br w:val="single" w:color="auto" w:sz="4" w:space="0"/>
            </w:tcBorders>
          </w:tcPr>
          <w:p>
            <w:pPr>
              <w:adjustRightInd w:val="0"/>
              <w:snapToGrid w:val="0"/>
              <w:rPr>
                <w:color w:val="000000"/>
                <w:szCs w:val="21"/>
              </w:rPr>
            </w:pPr>
            <w:r>
              <w:rPr>
                <w:rFonts w:hint="eastAsia"/>
                <w:color w:val="000000"/>
                <w:szCs w:val="21"/>
              </w:rPr>
              <w:t>内容</w:t>
            </w:r>
          </w:p>
          <w:p>
            <w:pPr>
              <w:adjustRightInd w:val="0"/>
              <w:snapToGrid w:val="0"/>
              <w:rPr>
                <w:color w:val="000000"/>
                <w:szCs w:val="21"/>
              </w:rPr>
            </w:pPr>
          </w:p>
          <w:p>
            <w:pPr>
              <w:adjustRightInd w:val="0"/>
              <w:snapToGrid w:val="0"/>
              <w:rPr>
                <w:color w:val="000000"/>
                <w:szCs w:val="21"/>
              </w:rPr>
            </w:pPr>
            <w:r>
              <w:rPr>
                <w:rFonts w:hint="eastAsia"/>
                <w:color w:val="000000"/>
                <w:szCs w:val="21"/>
              </w:rPr>
              <w:t>要素</w:t>
            </w:r>
          </w:p>
        </w:tc>
        <w:tc>
          <w:tcPr>
            <w:tcW w:w="813" w:type="pct"/>
            <w:vAlign w:val="center"/>
          </w:tcPr>
          <w:p>
            <w:pPr>
              <w:adjustRightInd w:val="0"/>
              <w:snapToGrid w:val="0"/>
              <w:jc w:val="center"/>
              <w:rPr>
                <w:color w:val="000000"/>
                <w:szCs w:val="21"/>
              </w:rPr>
            </w:pPr>
            <w:r>
              <w:rPr>
                <w:color w:val="000000"/>
                <w:szCs w:val="21"/>
              </w:rPr>
              <w:t>排放口</w:t>
            </w:r>
            <w:r>
              <w:rPr>
                <w:rFonts w:hint="eastAsia"/>
                <w:color w:val="000000"/>
                <w:szCs w:val="21"/>
              </w:rPr>
              <w:t>（</w:t>
            </w:r>
            <w:r>
              <w:rPr>
                <w:color w:val="000000"/>
                <w:szCs w:val="21"/>
              </w:rPr>
              <w:t>编号、名称</w:t>
            </w:r>
            <w:r>
              <w:rPr>
                <w:rFonts w:hint="eastAsia"/>
                <w:color w:val="000000"/>
                <w:szCs w:val="21"/>
              </w:rPr>
              <w:t>）</w:t>
            </w:r>
            <w:r>
              <w:rPr>
                <w:color w:val="000000"/>
                <w:szCs w:val="21"/>
              </w:rPr>
              <w:t>/污染源</w:t>
            </w:r>
          </w:p>
        </w:tc>
        <w:tc>
          <w:tcPr>
            <w:tcW w:w="599" w:type="pct"/>
            <w:vAlign w:val="center"/>
          </w:tcPr>
          <w:p>
            <w:pPr>
              <w:adjustRightInd w:val="0"/>
              <w:snapToGrid w:val="0"/>
              <w:jc w:val="center"/>
              <w:rPr>
                <w:color w:val="000000"/>
                <w:szCs w:val="21"/>
              </w:rPr>
            </w:pPr>
            <w:r>
              <w:rPr>
                <w:color w:val="000000"/>
                <w:szCs w:val="21"/>
              </w:rPr>
              <w:t>污染物</w:t>
            </w:r>
          </w:p>
          <w:p>
            <w:pPr>
              <w:adjustRightInd w:val="0"/>
              <w:snapToGrid w:val="0"/>
              <w:jc w:val="center"/>
              <w:rPr>
                <w:color w:val="000000"/>
                <w:szCs w:val="21"/>
              </w:rPr>
            </w:pPr>
            <w:r>
              <w:rPr>
                <w:color w:val="000000"/>
                <w:szCs w:val="21"/>
              </w:rPr>
              <w:t>项目</w:t>
            </w:r>
          </w:p>
        </w:tc>
        <w:tc>
          <w:tcPr>
            <w:tcW w:w="1780" w:type="pct"/>
            <w:vAlign w:val="center"/>
          </w:tcPr>
          <w:p>
            <w:pPr>
              <w:adjustRightInd w:val="0"/>
              <w:snapToGrid w:val="0"/>
              <w:jc w:val="center"/>
              <w:rPr>
                <w:color w:val="000000"/>
                <w:szCs w:val="21"/>
              </w:rPr>
            </w:pPr>
            <w:r>
              <w:rPr>
                <w:color w:val="000000"/>
                <w:szCs w:val="21"/>
              </w:rPr>
              <w:t>环境保护措施</w:t>
            </w:r>
          </w:p>
        </w:tc>
        <w:tc>
          <w:tcPr>
            <w:tcW w:w="1250" w:type="pct"/>
            <w:vAlign w:val="center"/>
          </w:tcPr>
          <w:p>
            <w:pPr>
              <w:adjustRightInd w:val="0"/>
              <w:snapToGrid w:val="0"/>
              <w:jc w:val="center"/>
              <w:rPr>
                <w:color w:val="000000"/>
                <w:szCs w:val="21"/>
              </w:rPr>
            </w:pPr>
            <w:r>
              <w:rPr>
                <w:color w:val="00000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59" w:type="pct"/>
            <w:vMerge w:val="restart"/>
            <w:vAlign w:val="center"/>
          </w:tcPr>
          <w:p>
            <w:pPr>
              <w:adjustRightInd w:val="0"/>
              <w:snapToGrid w:val="0"/>
              <w:jc w:val="center"/>
              <w:rPr>
                <w:color w:val="000000"/>
                <w:szCs w:val="21"/>
              </w:rPr>
            </w:pPr>
            <w:r>
              <w:rPr>
                <w:rFonts w:hint="eastAsia"/>
                <w:color w:val="000000"/>
                <w:szCs w:val="21"/>
              </w:rPr>
              <w:t>大气环境</w:t>
            </w:r>
          </w:p>
        </w:tc>
        <w:tc>
          <w:tcPr>
            <w:tcW w:w="813" w:type="pct"/>
            <w:vAlign w:val="center"/>
          </w:tcPr>
          <w:p>
            <w:pPr>
              <w:adjustRightInd w:val="0"/>
              <w:snapToGrid w:val="0"/>
              <w:jc w:val="center"/>
              <w:rPr>
                <w:color w:val="000000"/>
                <w:szCs w:val="21"/>
              </w:rPr>
            </w:pPr>
            <w:r>
              <w:rPr>
                <w:rFonts w:hint="eastAsia"/>
                <w:color w:val="000000"/>
                <w:szCs w:val="21"/>
              </w:rPr>
              <w:t>粉料储罐除尘设施</w:t>
            </w:r>
          </w:p>
        </w:tc>
        <w:tc>
          <w:tcPr>
            <w:tcW w:w="599" w:type="pct"/>
            <w:vAlign w:val="center"/>
          </w:tcPr>
          <w:p>
            <w:pPr>
              <w:adjustRightInd w:val="0"/>
              <w:snapToGrid w:val="0"/>
              <w:jc w:val="center"/>
              <w:rPr>
                <w:color w:val="000000"/>
                <w:kern w:val="0"/>
                <w:szCs w:val="21"/>
              </w:rPr>
            </w:pPr>
            <w:r>
              <w:rPr>
                <w:rFonts w:hint="eastAsia"/>
                <w:color w:val="000000"/>
              </w:rPr>
              <w:t>粉尘</w:t>
            </w:r>
          </w:p>
        </w:tc>
        <w:tc>
          <w:tcPr>
            <w:tcW w:w="1780" w:type="pct"/>
            <w:vAlign w:val="center"/>
          </w:tcPr>
          <w:p>
            <w:pPr>
              <w:adjustRightInd w:val="0"/>
              <w:snapToGrid w:val="0"/>
              <w:jc w:val="center"/>
              <w:rPr>
                <w:color w:val="000000"/>
                <w:szCs w:val="21"/>
              </w:rPr>
            </w:pPr>
            <w:r>
              <w:rPr>
                <w:rFonts w:hint="eastAsia"/>
                <w:color w:val="000000"/>
                <w:szCs w:val="21"/>
              </w:rPr>
              <w:t>每个粉料储罐顶均配套1台脉冲布袋除尘器（共6套），除尘效率不低于99%。</w:t>
            </w:r>
          </w:p>
        </w:tc>
        <w:tc>
          <w:tcPr>
            <w:tcW w:w="1250" w:type="pct"/>
            <w:vAlign w:val="center"/>
          </w:tcPr>
          <w:p>
            <w:pPr>
              <w:adjustRightInd w:val="0"/>
              <w:snapToGrid w:val="0"/>
              <w:jc w:val="center"/>
              <w:rPr>
                <w:color w:val="000000"/>
                <w:szCs w:val="21"/>
              </w:rPr>
            </w:pPr>
            <w:r>
              <w:rPr>
                <w:rFonts w:hint="eastAsia"/>
                <w:color w:val="000000"/>
                <w:szCs w:val="21"/>
              </w:rPr>
              <w:t>《水泥工业大气污染物排放标准》（GB</w:t>
            </w:r>
            <w:r>
              <w:rPr>
                <w:rFonts w:hint="eastAsia"/>
                <w:color w:val="000000"/>
                <w:szCs w:val="21"/>
                <w:lang w:eastAsia="zh-CN"/>
              </w:rPr>
              <w:t>****</w:t>
            </w:r>
            <w:r>
              <w:rPr>
                <w:rFonts w:hint="eastAsia"/>
                <w:color w:val="000000"/>
                <w:szCs w:val="21"/>
              </w:rPr>
              <w:t>-2013）表1大气污染物排放限值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vAlign w:val="center"/>
          </w:tcPr>
          <w:p>
            <w:pPr>
              <w:adjustRightInd w:val="0"/>
              <w:snapToGrid w:val="0"/>
              <w:jc w:val="center"/>
              <w:rPr>
                <w:color w:val="000000"/>
                <w:szCs w:val="21"/>
              </w:rPr>
            </w:pPr>
          </w:p>
        </w:tc>
        <w:tc>
          <w:tcPr>
            <w:tcW w:w="813" w:type="pct"/>
            <w:vMerge w:val="restart"/>
            <w:vAlign w:val="center"/>
          </w:tcPr>
          <w:p>
            <w:pPr>
              <w:adjustRightInd w:val="0"/>
              <w:snapToGrid w:val="0"/>
              <w:jc w:val="center"/>
              <w:rPr>
                <w:color w:val="000000"/>
                <w:szCs w:val="21"/>
              </w:rPr>
            </w:pPr>
            <w:r>
              <w:rPr>
                <w:rFonts w:hint="eastAsia"/>
                <w:color w:val="000000"/>
                <w:szCs w:val="21"/>
              </w:rPr>
              <w:t>原料库、皮带输送机</w:t>
            </w:r>
          </w:p>
        </w:tc>
        <w:tc>
          <w:tcPr>
            <w:tcW w:w="599" w:type="pct"/>
            <w:vMerge w:val="restart"/>
            <w:vAlign w:val="center"/>
          </w:tcPr>
          <w:p>
            <w:pPr>
              <w:adjustRightInd w:val="0"/>
              <w:snapToGrid w:val="0"/>
              <w:jc w:val="center"/>
              <w:rPr>
                <w:color w:val="000000"/>
                <w:kern w:val="0"/>
                <w:szCs w:val="21"/>
              </w:rPr>
            </w:pPr>
            <w:r>
              <w:rPr>
                <w:rFonts w:hint="eastAsia"/>
                <w:color w:val="000000"/>
                <w:szCs w:val="21"/>
              </w:rPr>
              <w:t>粉尘</w:t>
            </w:r>
          </w:p>
        </w:tc>
        <w:tc>
          <w:tcPr>
            <w:tcW w:w="1780" w:type="pct"/>
          </w:tcPr>
          <w:p>
            <w:pPr>
              <w:adjustRightInd w:val="0"/>
              <w:snapToGrid w:val="0"/>
              <w:jc w:val="center"/>
              <w:rPr>
                <w:color w:val="000000"/>
                <w:szCs w:val="21"/>
              </w:rPr>
            </w:pPr>
            <w:r>
              <w:rPr>
                <w:rFonts w:hint="eastAsia"/>
                <w:color w:val="000000"/>
              </w:rPr>
              <w:t>原料库地面硬化处理，带顶棚彩钢瓦进行半封闭遮挡降尘，并设置喷淋降尘系统。</w:t>
            </w:r>
          </w:p>
        </w:tc>
        <w:tc>
          <w:tcPr>
            <w:tcW w:w="1250" w:type="pct"/>
            <w:vMerge w:val="restart"/>
            <w:vAlign w:val="center"/>
          </w:tcPr>
          <w:p>
            <w:pPr>
              <w:adjustRightInd w:val="0"/>
              <w:snapToGrid w:val="0"/>
              <w:jc w:val="center"/>
              <w:rPr>
                <w:color w:val="000000"/>
                <w:szCs w:val="21"/>
              </w:rPr>
            </w:pPr>
            <w:r>
              <w:rPr>
                <w:rFonts w:hint="eastAsia"/>
                <w:color w:val="000000"/>
              </w:rPr>
              <w:t>《水泥工业大气污染物排放标准》（</w:t>
            </w:r>
            <w:r>
              <w:rPr>
                <w:color w:val="000000"/>
              </w:rPr>
              <w:t>GB</w:t>
            </w:r>
            <w:r>
              <w:rPr>
                <w:rFonts w:hint="eastAsia"/>
                <w:color w:val="000000"/>
                <w:lang w:eastAsia="zh-CN"/>
              </w:rPr>
              <w:t>****</w:t>
            </w:r>
            <w:r>
              <w:rPr>
                <w:color w:val="000000"/>
              </w:rPr>
              <w:t>-2013</w:t>
            </w:r>
            <w:r>
              <w:rPr>
                <w:rFonts w:hint="eastAsia"/>
                <w:color w:val="000000"/>
              </w:rPr>
              <w:t>）表</w:t>
            </w:r>
            <w:r>
              <w:rPr>
                <w:color w:val="000000"/>
              </w:rPr>
              <w:t>3</w:t>
            </w:r>
            <w:r>
              <w:rPr>
                <w:rFonts w:hint="eastAsia"/>
                <w:color w:val="000000"/>
              </w:rPr>
              <w:t>中大气污染物无组织排放限值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tcBorders>
              <w:bottom w:val="single" w:color="auto" w:sz="4" w:space="0"/>
            </w:tcBorders>
            <w:vAlign w:val="center"/>
          </w:tcPr>
          <w:p>
            <w:pPr>
              <w:adjustRightInd w:val="0"/>
              <w:snapToGrid w:val="0"/>
              <w:jc w:val="center"/>
              <w:rPr>
                <w:color w:val="000000"/>
                <w:szCs w:val="21"/>
              </w:rPr>
            </w:pPr>
          </w:p>
        </w:tc>
        <w:tc>
          <w:tcPr>
            <w:tcW w:w="813" w:type="pct"/>
            <w:vMerge w:val="continue"/>
            <w:tcBorders>
              <w:bottom w:val="single" w:color="auto" w:sz="4" w:space="0"/>
            </w:tcBorders>
            <w:vAlign w:val="center"/>
          </w:tcPr>
          <w:p>
            <w:pPr>
              <w:adjustRightInd w:val="0"/>
              <w:snapToGrid w:val="0"/>
              <w:jc w:val="center"/>
              <w:rPr>
                <w:color w:val="000000"/>
                <w:szCs w:val="21"/>
              </w:rPr>
            </w:pPr>
          </w:p>
        </w:tc>
        <w:tc>
          <w:tcPr>
            <w:tcW w:w="599" w:type="pct"/>
            <w:vMerge w:val="continue"/>
            <w:tcBorders>
              <w:bottom w:val="single" w:color="auto" w:sz="4" w:space="0"/>
            </w:tcBorders>
            <w:vAlign w:val="center"/>
          </w:tcPr>
          <w:p>
            <w:pPr>
              <w:adjustRightInd w:val="0"/>
              <w:snapToGrid w:val="0"/>
              <w:jc w:val="center"/>
              <w:rPr>
                <w:color w:val="000000"/>
                <w:szCs w:val="21"/>
              </w:rPr>
            </w:pPr>
          </w:p>
        </w:tc>
        <w:tc>
          <w:tcPr>
            <w:tcW w:w="1780" w:type="pct"/>
            <w:tcBorders>
              <w:bottom w:val="single" w:color="auto" w:sz="4" w:space="0"/>
            </w:tcBorders>
          </w:tcPr>
          <w:p>
            <w:pPr>
              <w:adjustRightInd w:val="0"/>
              <w:snapToGrid w:val="0"/>
              <w:jc w:val="center"/>
              <w:rPr>
                <w:color w:val="000000"/>
                <w:szCs w:val="21"/>
              </w:rPr>
            </w:pPr>
            <w:r>
              <w:rPr>
                <w:rFonts w:hint="eastAsia"/>
                <w:color w:val="000000"/>
              </w:rPr>
              <w:t>皮带输送机廊道上部加盖侧面密封，下部设有收料盘，对皮带输送机进行封闭处理。</w:t>
            </w:r>
          </w:p>
        </w:tc>
        <w:tc>
          <w:tcPr>
            <w:tcW w:w="1250" w:type="pct"/>
            <w:vMerge w:val="continue"/>
            <w:vAlign w:val="center"/>
          </w:tcPr>
          <w:p>
            <w:pPr>
              <w:adjustRightInd w:val="0"/>
              <w:snapToGrid w:val="0"/>
              <w:jc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59" w:type="pct"/>
            <w:vMerge w:val="continue"/>
            <w:vAlign w:val="center"/>
          </w:tcPr>
          <w:p>
            <w:pPr>
              <w:adjustRightInd w:val="0"/>
              <w:snapToGrid w:val="0"/>
              <w:jc w:val="center"/>
              <w:rPr>
                <w:color w:val="000000"/>
                <w:szCs w:val="21"/>
              </w:rPr>
            </w:pPr>
          </w:p>
        </w:tc>
        <w:tc>
          <w:tcPr>
            <w:tcW w:w="813" w:type="pct"/>
            <w:vMerge w:val="continue"/>
            <w:vAlign w:val="center"/>
          </w:tcPr>
          <w:p>
            <w:pPr>
              <w:adjustRightInd w:val="0"/>
              <w:snapToGrid w:val="0"/>
              <w:jc w:val="center"/>
              <w:rPr>
                <w:color w:val="000000"/>
                <w:szCs w:val="21"/>
              </w:rPr>
            </w:pPr>
          </w:p>
        </w:tc>
        <w:tc>
          <w:tcPr>
            <w:tcW w:w="599" w:type="pct"/>
            <w:vMerge w:val="continue"/>
            <w:vAlign w:val="center"/>
          </w:tcPr>
          <w:p>
            <w:pPr>
              <w:adjustRightInd w:val="0"/>
              <w:snapToGrid w:val="0"/>
              <w:jc w:val="center"/>
              <w:rPr>
                <w:color w:val="000000"/>
                <w:szCs w:val="21"/>
              </w:rPr>
            </w:pPr>
          </w:p>
        </w:tc>
        <w:tc>
          <w:tcPr>
            <w:tcW w:w="1780" w:type="pct"/>
            <w:tcBorders>
              <w:top w:val="single" w:color="auto" w:sz="4" w:space="0"/>
            </w:tcBorders>
          </w:tcPr>
          <w:p>
            <w:pPr>
              <w:adjustRightInd w:val="0"/>
              <w:snapToGrid w:val="0"/>
              <w:jc w:val="center"/>
              <w:rPr>
                <w:color w:val="000000"/>
                <w:szCs w:val="21"/>
              </w:rPr>
            </w:pPr>
            <w:r>
              <w:rPr>
                <w:rFonts w:hint="eastAsia"/>
                <w:color w:val="000000"/>
              </w:rPr>
              <w:t>设置喷雾桩进行降尘，对生产区域及场地硬化区域每天洒水2次</w:t>
            </w:r>
          </w:p>
        </w:tc>
        <w:tc>
          <w:tcPr>
            <w:tcW w:w="1250" w:type="pct"/>
            <w:vMerge w:val="continue"/>
            <w:vAlign w:val="center"/>
          </w:tcPr>
          <w:p>
            <w:pPr>
              <w:adjustRightInd w:val="0"/>
              <w:snapToGrid w:val="0"/>
              <w:jc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tcBorders>
              <w:bottom w:val="single" w:color="auto" w:sz="8" w:space="0"/>
            </w:tcBorders>
            <w:vAlign w:val="center"/>
          </w:tcPr>
          <w:p>
            <w:pPr>
              <w:adjustRightInd w:val="0"/>
              <w:snapToGrid w:val="0"/>
              <w:jc w:val="center"/>
              <w:rPr>
                <w:color w:val="000000"/>
                <w:szCs w:val="21"/>
              </w:rPr>
            </w:pPr>
          </w:p>
        </w:tc>
        <w:tc>
          <w:tcPr>
            <w:tcW w:w="813"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食堂</w:t>
            </w:r>
          </w:p>
        </w:tc>
        <w:tc>
          <w:tcPr>
            <w:tcW w:w="599"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rPr>
              <w:t>油烟</w:t>
            </w:r>
          </w:p>
        </w:tc>
        <w:tc>
          <w:tcPr>
            <w:tcW w:w="1780"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rPr>
              <w:t>1套油烟净化设施处理后，通过油烟排放管道排放</w:t>
            </w:r>
          </w:p>
        </w:tc>
        <w:tc>
          <w:tcPr>
            <w:tcW w:w="1250" w:type="pct"/>
            <w:tcBorders>
              <w:top w:val="single" w:color="auto" w:sz="4" w:space="0"/>
              <w:bottom w:val="single" w:color="auto" w:sz="4" w:space="0"/>
              <w:right w:val="single" w:color="auto" w:sz="4" w:space="0"/>
            </w:tcBorders>
          </w:tcPr>
          <w:p>
            <w:pPr>
              <w:adjustRightInd w:val="0"/>
              <w:snapToGrid w:val="0"/>
              <w:jc w:val="center"/>
              <w:rPr>
                <w:color w:val="000000"/>
                <w:szCs w:val="21"/>
              </w:rPr>
            </w:pPr>
            <w:r>
              <w:rPr>
                <w:rFonts w:hint="eastAsia"/>
                <w:color w:val="000000"/>
              </w:rPr>
              <w:t>达《饮食业油烟排放标准》GB</w:t>
            </w:r>
            <w:r>
              <w:rPr>
                <w:rFonts w:hint="eastAsia"/>
                <w:color w:val="000000"/>
                <w:lang w:eastAsia="zh-CN"/>
              </w:rPr>
              <w:t>*****</w:t>
            </w:r>
            <w:r>
              <w:rPr>
                <w:rFonts w:hint="eastAsia"/>
                <w:color w:val="000000"/>
              </w:rPr>
              <w:t>-2001（试行）小型规模标准要求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restart"/>
            <w:vAlign w:val="center"/>
          </w:tcPr>
          <w:p>
            <w:pPr>
              <w:adjustRightInd w:val="0"/>
              <w:snapToGrid w:val="0"/>
              <w:jc w:val="center"/>
              <w:rPr>
                <w:color w:val="000000"/>
                <w:szCs w:val="21"/>
              </w:rPr>
            </w:pPr>
            <w:r>
              <w:rPr>
                <w:color w:val="000000"/>
                <w:szCs w:val="21"/>
              </w:rPr>
              <w:t>地表水环境</w:t>
            </w:r>
          </w:p>
        </w:tc>
        <w:tc>
          <w:tcPr>
            <w:tcW w:w="813"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生活污水</w:t>
            </w:r>
          </w:p>
        </w:tc>
        <w:tc>
          <w:tcPr>
            <w:tcW w:w="599"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COD、BOD</w:t>
            </w:r>
            <w:r>
              <w:rPr>
                <w:rFonts w:hint="eastAsia"/>
                <w:color w:val="000000"/>
                <w:szCs w:val="21"/>
                <w:vertAlign w:val="subscript"/>
              </w:rPr>
              <w:t>5、</w:t>
            </w:r>
            <w:r>
              <w:rPr>
                <w:rFonts w:hint="eastAsia"/>
                <w:color w:val="000000"/>
                <w:szCs w:val="21"/>
              </w:rPr>
              <w:t>SS、NH</w:t>
            </w:r>
            <w:r>
              <w:rPr>
                <w:rFonts w:hint="eastAsia"/>
                <w:color w:val="000000"/>
                <w:szCs w:val="21"/>
                <w:vertAlign w:val="subscript"/>
              </w:rPr>
              <w:t>3</w:t>
            </w:r>
            <w:r>
              <w:rPr>
                <w:rFonts w:hint="eastAsia"/>
                <w:color w:val="000000"/>
                <w:szCs w:val="21"/>
              </w:rPr>
              <w:t>-N、动植物油</w:t>
            </w:r>
          </w:p>
        </w:tc>
        <w:tc>
          <w:tcPr>
            <w:tcW w:w="1780"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设置1个容积为1m</w:t>
            </w:r>
            <w:r>
              <w:rPr>
                <w:rFonts w:hint="eastAsia"/>
                <w:color w:val="000000"/>
                <w:szCs w:val="21"/>
                <w:vertAlign w:val="superscript"/>
              </w:rPr>
              <w:t>3</w:t>
            </w:r>
            <w:r>
              <w:rPr>
                <w:rFonts w:hint="eastAsia"/>
                <w:color w:val="000000"/>
                <w:szCs w:val="21"/>
              </w:rPr>
              <w:t>的隔油池</w:t>
            </w:r>
            <w:r>
              <w:rPr>
                <w:rFonts w:hint="eastAsia"/>
                <w:color w:val="000000" w:themeColor="text1"/>
                <w:szCs w:val="21"/>
                <w14:textFill>
                  <w14:solidFill>
                    <w14:schemeClr w14:val="tx1"/>
                  </w14:solidFill>
                </w14:textFill>
              </w:rPr>
              <w:t>，2个总容积为1</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的化粪池，</w:t>
            </w:r>
            <w:r>
              <w:rPr>
                <w:rFonts w:hint="eastAsia"/>
                <w:color w:val="000000"/>
                <w:szCs w:val="21"/>
              </w:rPr>
              <w:t>项目食堂废水先经隔油池处理后，再同其他生活污水排入化粪池，经化粪池处理后用槽罐车外送污水处理厂进行处理。</w:t>
            </w:r>
          </w:p>
        </w:tc>
        <w:tc>
          <w:tcPr>
            <w:tcW w:w="1250" w:type="pct"/>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vAlign w:val="center"/>
          </w:tcPr>
          <w:p>
            <w:pPr>
              <w:adjustRightInd w:val="0"/>
              <w:snapToGrid w:val="0"/>
              <w:jc w:val="center"/>
              <w:rPr>
                <w:color w:val="000000"/>
                <w:szCs w:val="21"/>
              </w:rPr>
            </w:pPr>
          </w:p>
        </w:tc>
        <w:tc>
          <w:tcPr>
            <w:tcW w:w="813"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初期雨水收集</w:t>
            </w:r>
          </w:p>
        </w:tc>
        <w:tc>
          <w:tcPr>
            <w:tcW w:w="599"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S</w:t>
            </w:r>
            <w:r>
              <w:rPr>
                <w:color w:val="000000"/>
                <w:szCs w:val="21"/>
              </w:rPr>
              <w:t>S</w:t>
            </w:r>
          </w:p>
        </w:tc>
        <w:tc>
          <w:tcPr>
            <w:tcW w:w="1780" w:type="pct"/>
            <w:tcBorders>
              <w:top w:val="single" w:color="auto" w:sz="4" w:space="0"/>
            </w:tcBorders>
            <w:vAlign w:val="center"/>
          </w:tcPr>
          <w:p>
            <w:pPr>
              <w:adjustRightInd w:val="0"/>
              <w:snapToGrid w:val="0"/>
              <w:jc w:val="center"/>
              <w:rPr>
                <w:color w:val="000000"/>
                <w:szCs w:val="21"/>
              </w:rPr>
            </w:pPr>
            <w:r>
              <w:rPr>
                <w:rFonts w:hint="eastAsia"/>
                <w:color w:val="000000"/>
                <w:szCs w:val="21"/>
              </w:rPr>
              <w:t>在厂区出入口低洼处建设1个容积为105m</w:t>
            </w:r>
            <w:r>
              <w:rPr>
                <w:rFonts w:hint="eastAsia"/>
                <w:color w:val="000000"/>
                <w:szCs w:val="21"/>
                <w:vertAlign w:val="superscript"/>
              </w:rPr>
              <w:t>3</w:t>
            </w:r>
            <w:r>
              <w:rPr>
                <w:rFonts w:hint="eastAsia"/>
                <w:color w:val="000000"/>
                <w:szCs w:val="21"/>
              </w:rPr>
              <w:t>的雨水收集池，并在初期雨水收集池处设置分流阀门，根据地面集流时间与管道流行时间进行初期雨水的收集。初期雨水经过雨水收集池沉淀处理后回用于生产过程。</w:t>
            </w:r>
          </w:p>
        </w:tc>
        <w:tc>
          <w:tcPr>
            <w:tcW w:w="1250" w:type="pct"/>
            <w:tcBorders>
              <w:top w:val="single" w:color="auto" w:sz="4" w:space="0"/>
            </w:tcBorders>
            <w:vAlign w:val="center"/>
          </w:tcPr>
          <w:p>
            <w:pPr>
              <w:adjustRightInd w:val="0"/>
              <w:snapToGrid w:val="0"/>
              <w:jc w:val="center"/>
              <w:rPr>
                <w:color w:val="000000"/>
                <w:szCs w:val="21"/>
              </w:rPr>
            </w:pPr>
            <w:r>
              <w:rPr>
                <w:rFonts w:hint="eastAsia"/>
                <w:color w:val="000000"/>
                <w:szCs w:val="21"/>
              </w:rPr>
              <w:t>厂区雨水进行收集处理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tcBorders>
              <w:bottom w:val="single" w:color="auto" w:sz="4" w:space="0"/>
            </w:tcBorders>
            <w:vAlign w:val="center"/>
          </w:tcPr>
          <w:p>
            <w:pPr>
              <w:adjustRightInd w:val="0"/>
              <w:snapToGrid w:val="0"/>
              <w:jc w:val="center"/>
              <w:rPr>
                <w:color w:val="000000"/>
                <w:szCs w:val="21"/>
              </w:rPr>
            </w:pPr>
          </w:p>
        </w:tc>
        <w:tc>
          <w:tcPr>
            <w:tcW w:w="813" w:type="pct"/>
            <w:tcBorders>
              <w:bottom w:val="single" w:color="auto" w:sz="4" w:space="0"/>
            </w:tcBorders>
            <w:vAlign w:val="center"/>
          </w:tcPr>
          <w:p>
            <w:pPr>
              <w:adjustRightInd w:val="0"/>
              <w:snapToGrid w:val="0"/>
              <w:jc w:val="center"/>
              <w:rPr>
                <w:color w:val="000000"/>
                <w:szCs w:val="21"/>
              </w:rPr>
            </w:pPr>
            <w:r>
              <w:rPr>
                <w:rFonts w:hint="eastAsia"/>
                <w:color w:val="000000"/>
                <w:szCs w:val="21"/>
              </w:rPr>
              <w:t>生产废水处理设施</w:t>
            </w:r>
          </w:p>
        </w:tc>
        <w:tc>
          <w:tcPr>
            <w:tcW w:w="599" w:type="pct"/>
            <w:tcBorders>
              <w:bottom w:val="single" w:color="auto" w:sz="4" w:space="0"/>
            </w:tcBorders>
            <w:vAlign w:val="center"/>
          </w:tcPr>
          <w:p>
            <w:pPr>
              <w:adjustRightInd w:val="0"/>
              <w:snapToGrid w:val="0"/>
              <w:jc w:val="center"/>
              <w:rPr>
                <w:color w:val="000000"/>
                <w:szCs w:val="21"/>
              </w:rPr>
            </w:pPr>
            <w:r>
              <w:rPr>
                <w:rFonts w:hint="eastAsia"/>
                <w:color w:val="000000"/>
                <w:szCs w:val="21"/>
              </w:rPr>
              <w:t>SS</w:t>
            </w:r>
          </w:p>
        </w:tc>
        <w:tc>
          <w:tcPr>
            <w:tcW w:w="1780" w:type="pct"/>
            <w:vAlign w:val="center"/>
          </w:tcPr>
          <w:p>
            <w:pPr>
              <w:adjustRightInd w:val="0"/>
              <w:snapToGrid w:val="0"/>
              <w:jc w:val="center"/>
              <w:rPr>
                <w:color w:val="000000"/>
                <w:szCs w:val="21"/>
              </w:rPr>
            </w:pPr>
            <w:r>
              <w:rPr>
                <w:rFonts w:hint="eastAsia"/>
                <w:color w:val="000000"/>
                <w:szCs w:val="21"/>
              </w:rPr>
              <w:t>1个三级沉淀池（</w:t>
            </w:r>
            <w:r>
              <w:rPr>
                <w:color w:val="000000"/>
                <w:szCs w:val="21"/>
              </w:rPr>
              <w:t>105</w:t>
            </w:r>
            <w:r>
              <w:rPr>
                <w:rFonts w:hint="eastAsia"/>
                <w:color w:val="000000"/>
                <w:szCs w:val="21"/>
              </w:rPr>
              <w:t>m</w:t>
            </w:r>
            <w:r>
              <w:rPr>
                <w:rFonts w:hint="eastAsia"/>
                <w:color w:val="000000"/>
                <w:szCs w:val="21"/>
                <w:vertAlign w:val="superscript"/>
              </w:rPr>
              <w:t>3</w:t>
            </w:r>
            <w:r>
              <w:rPr>
                <w:rFonts w:hint="eastAsia"/>
                <w:color w:val="000000"/>
                <w:szCs w:val="21"/>
              </w:rPr>
              <w:t>）；</w:t>
            </w:r>
            <w:r>
              <w:rPr>
                <w:rFonts w:hint="eastAsia"/>
                <w:color w:val="000000"/>
              </w:rPr>
              <w:t>搅拌机清洗废水、混凝土运输罐车内部、外部清洗废水进行收集处理，通过厂区污水收集沟收集后进入沉淀池</w:t>
            </w:r>
          </w:p>
        </w:tc>
        <w:tc>
          <w:tcPr>
            <w:tcW w:w="1250" w:type="pct"/>
            <w:vAlign w:val="center"/>
          </w:tcPr>
          <w:p>
            <w:pPr>
              <w:adjustRightInd w:val="0"/>
              <w:snapToGrid w:val="0"/>
              <w:jc w:val="center"/>
              <w:rPr>
                <w:color w:val="000000"/>
                <w:szCs w:val="21"/>
              </w:rPr>
            </w:pPr>
            <w:r>
              <w:rPr>
                <w:rFonts w:hint="eastAsia"/>
                <w:color w:val="000000"/>
              </w:rPr>
              <w:t>《城市污水再生利用工业用水水质》（GB/T</w:t>
            </w:r>
            <w:r>
              <w:rPr>
                <w:rFonts w:hint="eastAsia"/>
                <w:color w:val="000000"/>
                <w:lang w:eastAsia="zh-CN"/>
              </w:rPr>
              <w:t>*****</w:t>
            </w:r>
            <w:r>
              <w:rPr>
                <w:rFonts w:hint="eastAsia"/>
                <w:color w:val="000000"/>
              </w:rPr>
              <w:t>-2005）标准中的工艺与产品用水标准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Align w:val="center"/>
          </w:tcPr>
          <w:p>
            <w:pPr>
              <w:adjustRightInd w:val="0"/>
              <w:snapToGrid w:val="0"/>
              <w:jc w:val="center"/>
              <w:rPr>
                <w:color w:val="000000"/>
                <w:szCs w:val="21"/>
              </w:rPr>
            </w:pPr>
            <w:r>
              <w:rPr>
                <w:color w:val="000000"/>
                <w:szCs w:val="21"/>
              </w:rPr>
              <w:t>声环境</w:t>
            </w:r>
          </w:p>
        </w:tc>
        <w:tc>
          <w:tcPr>
            <w:tcW w:w="813" w:type="pct"/>
            <w:vAlign w:val="center"/>
          </w:tcPr>
          <w:p>
            <w:pPr>
              <w:adjustRightInd w:val="0"/>
              <w:snapToGrid w:val="0"/>
              <w:jc w:val="center"/>
              <w:rPr>
                <w:color w:val="000000"/>
                <w:szCs w:val="21"/>
              </w:rPr>
            </w:pPr>
            <w:r>
              <w:rPr>
                <w:rFonts w:hint="eastAsia"/>
                <w:color w:val="000000"/>
                <w:szCs w:val="21"/>
              </w:rPr>
              <w:t>生产设备</w:t>
            </w:r>
          </w:p>
        </w:tc>
        <w:tc>
          <w:tcPr>
            <w:tcW w:w="2379" w:type="pct"/>
            <w:gridSpan w:val="2"/>
            <w:vAlign w:val="center"/>
          </w:tcPr>
          <w:p>
            <w:pPr>
              <w:adjustRightInd w:val="0"/>
              <w:snapToGrid w:val="0"/>
              <w:jc w:val="center"/>
              <w:rPr>
                <w:color w:val="000000"/>
                <w:szCs w:val="21"/>
              </w:rPr>
            </w:pPr>
            <w:r>
              <w:rPr>
                <w:rFonts w:hint="eastAsia"/>
                <w:color w:val="000000"/>
                <w:szCs w:val="21"/>
              </w:rPr>
              <w:t>搅拌机楼进行封闭处理，产噪设备上安装基础减振垫。</w:t>
            </w:r>
          </w:p>
        </w:tc>
        <w:tc>
          <w:tcPr>
            <w:tcW w:w="1250" w:type="pct"/>
            <w:vAlign w:val="center"/>
          </w:tcPr>
          <w:p>
            <w:pPr>
              <w:adjustRightInd w:val="0"/>
              <w:snapToGrid w:val="0"/>
              <w:jc w:val="center"/>
              <w:rPr>
                <w:color w:val="000000"/>
                <w:szCs w:val="21"/>
              </w:rPr>
            </w:pPr>
            <w:r>
              <w:rPr>
                <w:rFonts w:hint="eastAsia"/>
                <w:color w:val="000000"/>
                <w:szCs w:val="21"/>
              </w:rPr>
              <w:t>达到</w:t>
            </w:r>
            <w:r>
              <w:rPr>
                <w:color w:val="000000"/>
                <w:szCs w:val="21"/>
              </w:rPr>
              <w:t>《工业企业厂界环境噪声排放标准》（GB</w:t>
            </w:r>
            <w:r>
              <w:rPr>
                <w:rFonts w:hint="eastAsia"/>
                <w:color w:val="000000"/>
                <w:szCs w:val="21"/>
                <w:lang w:eastAsia="zh-CN"/>
              </w:rPr>
              <w:t>*****</w:t>
            </w:r>
            <w:r>
              <w:rPr>
                <w:color w:val="000000"/>
                <w:szCs w:val="21"/>
              </w:rPr>
              <w:t>-2008）中的2类标准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Align w:val="center"/>
          </w:tcPr>
          <w:p>
            <w:pPr>
              <w:adjustRightInd w:val="0"/>
              <w:snapToGrid w:val="0"/>
              <w:jc w:val="center"/>
              <w:rPr>
                <w:color w:val="000000"/>
                <w:szCs w:val="21"/>
              </w:rPr>
            </w:pPr>
            <w:r>
              <w:rPr>
                <w:color w:val="000000"/>
                <w:szCs w:val="21"/>
              </w:rPr>
              <w:t>电磁辐射</w:t>
            </w:r>
          </w:p>
        </w:tc>
        <w:tc>
          <w:tcPr>
            <w:tcW w:w="813" w:type="pct"/>
            <w:vAlign w:val="center"/>
          </w:tcPr>
          <w:p>
            <w:pPr>
              <w:adjustRightInd w:val="0"/>
              <w:snapToGrid w:val="0"/>
              <w:jc w:val="center"/>
              <w:rPr>
                <w:color w:val="000000"/>
                <w:szCs w:val="21"/>
              </w:rPr>
            </w:pPr>
            <w:r>
              <w:rPr>
                <w:color w:val="000000"/>
                <w:szCs w:val="21"/>
              </w:rPr>
              <w:t>/</w:t>
            </w:r>
          </w:p>
        </w:tc>
        <w:tc>
          <w:tcPr>
            <w:tcW w:w="599" w:type="pct"/>
            <w:vAlign w:val="center"/>
          </w:tcPr>
          <w:p>
            <w:pPr>
              <w:adjustRightInd w:val="0"/>
              <w:snapToGrid w:val="0"/>
              <w:jc w:val="center"/>
              <w:rPr>
                <w:color w:val="000000"/>
                <w:szCs w:val="21"/>
              </w:rPr>
            </w:pPr>
            <w:r>
              <w:rPr>
                <w:color w:val="000000"/>
                <w:szCs w:val="21"/>
              </w:rPr>
              <w:t>/</w:t>
            </w:r>
          </w:p>
        </w:tc>
        <w:tc>
          <w:tcPr>
            <w:tcW w:w="1780" w:type="pct"/>
            <w:vAlign w:val="center"/>
          </w:tcPr>
          <w:p>
            <w:pPr>
              <w:adjustRightInd w:val="0"/>
              <w:snapToGrid w:val="0"/>
              <w:jc w:val="center"/>
              <w:rPr>
                <w:color w:val="000000"/>
                <w:szCs w:val="21"/>
              </w:rPr>
            </w:pPr>
            <w:r>
              <w:rPr>
                <w:color w:val="000000"/>
                <w:szCs w:val="21"/>
              </w:rPr>
              <w:t>/</w:t>
            </w:r>
          </w:p>
        </w:tc>
        <w:tc>
          <w:tcPr>
            <w:tcW w:w="1250" w:type="pct"/>
            <w:vAlign w:val="center"/>
          </w:tcPr>
          <w:p>
            <w:pPr>
              <w:adjustRightInd w:val="0"/>
              <w:snapToGrid w:val="0"/>
              <w:jc w:val="center"/>
              <w:rPr>
                <w:color w:val="000000"/>
                <w:szCs w:val="21"/>
              </w:rPr>
            </w:pPr>
            <w:r>
              <w:rPr>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restart"/>
            <w:vAlign w:val="center"/>
          </w:tcPr>
          <w:p>
            <w:pPr>
              <w:adjustRightInd w:val="0"/>
              <w:snapToGrid w:val="0"/>
              <w:jc w:val="center"/>
              <w:rPr>
                <w:color w:val="000000"/>
                <w:szCs w:val="21"/>
              </w:rPr>
            </w:pPr>
            <w:r>
              <w:rPr>
                <w:color w:val="000000"/>
                <w:szCs w:val="21"/>
              </w:rPr>
              <w:t>固体废物</w:t>
            </w:r>
          </w:p>
        </w:tc>
        <w:tc>
          <w:tcPr>
            <w:tcW w:w="813" w:type="pct"/>
            <w:vAlign w:val="center"/>
          </w:tcPr>
          <w:p>
            <w:pPr>
              <w:adjustRightInd w:val="0"/>
              <w:snapToGrid w:val="0"/>
              <w:jc w:val="center"/>
              <w:rPr>
                <w:color w:val="000000"/>
                <w:szCs w:val="21"/>
              </w:rPr>
            </w:pPr>
            <w:r>
              <w:rPr>
                <w:rFonts w:hint="eastAsia"/>
                <w:color w:val="000000"/>
                <w:szCs w:val="21"/>
              </w:rPr>
              <w:t>职工生活</w:t>
            </w:r>
          </w:p>
        </w:tc>
        <w:tc>
          <w:tcPr>
            <w:tcW w:w="599" w:type="pct"/>
            <w:vAlign w:val="center"/>
          </w:tcPr>
          <w:p>
            <w:pPr>
              <w:adjustRightInd w:val="0"/>
              <w:snapToGrid w:val="0"/>
              <w:jc w:val="center"/>
              <w:rPr>
                <w:color w:val="000000"/>
                <w:szCs w:val="21"/>
              </w:rPr>
            </w:pPr>
            <w:r>
              <w:rPr>
                <w:rFonts w:hint="eastAsia"/>
                <w:color w:val="000000"/>
                <w:szCs w:val="21"/>
              </w:rPr>
              <w:t>生活</w:t>
            </w:r>
          </w:p>
          <w:p>
            <w:pPr>
              <w:adjustRightInd w:val="0"/>
              <w:snapToGrid w:val="0"/>
              <w:jc w:val="center"/>
              <w:rPr>
                <w:color w:val="000000"/>
                <w:szCs w:val="21"/>
              </w:rPr>
            </w:pPr>
            <w:r>
              <w:rPr>
                <w:rFonts w:hint="eastAsia"/>
                <w:color w:val="000000"/>
                <w:szCs w:val="21"/>
              </w:rPr>
              <w:t>垃圾</w:t>
            </w:r>
          </w:p>
        </w:tc>
        <w:tc>
          <w:tcPr>
            <w:tcW w:w="1780" w:type="pct"/>
            <w:vAlign w:val="center"/>
          </w:tcPr>
          <w:p>
            <w:pPr>
              <w:adjustRightInd w:val="0"/>
              <w:snapToGrid w:val="0"/>
              <w:jc w:val="center"/>
              <w:rPr>
                <w:color w:val="000000"/>
                <w:szCs w:val="21"/>
              </w:rPr>
            </w:pPr>
            <w:r>
              <w:rPr>
                <w:rFonts w:hint="eastAsia"/>
                <w:color w:val="000000"/>
                <w:szCs w:val="21"/>
              </w:rPr>
              <w:t>设置垃圾收集桶收集后委托当地环卫部门定期清运</w:t>
            </w:r>
          </w:p>
        </w:tc>
        <w:tc>
          <w:tcPr>
            <w:tcW w:w="1250" w:type="pct"/>
            <w:vAlign w:val="center"/>
          </w:tcPr>
          <w:p>
            <w:pPr>
              <w:adjustRightInd w:val="0"/>
              <w:snapToGrid w:val="0"/>
              <w:jc w:val="center"/>
              <w:rPr>
                <w:color w:val="000000"/>
                <w:szCs w:val="21"/>
              </w:rPr>
            </w:pPr>
            <w:r>
              <w:rPr>
                <w:rFonts w:hint="eastAsia"/>
                <w:color w:val="000000"/>
                <w:szCs w:val="21"/>
              </w:rPr>
              <w:t>1</w:t>
            </w:r>
            <w:r>
              <w:rPr>
                <w:color w:val="000000"/>
                <w:szCs w:val="21"/>
              </w:rPr>
              <w:t>00%</w:t>
            </w:r>
            <w:r>
              <w:rPr>
                <w:rFonts w:hint="eastAsia"/>
                <w:color w:val="000000"/>
                <w:szCs w:val="21"/>
              </w:rPr>
              <w:t>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食堂</w:t>
            </w:r>
          </w:p>
        </w:tc>
        <w:tc>
          <w:tcPr>
            <w:tcW w:w="599" w:type="pct"/>
            <w:vAlign w:val="center"/>
          </w:tcPr>
          <w:p>
            <w:pPr>
              <w:jc w:val="center"/>
              <w:rPr>
                <w:color w:val="000000"/>
              </w:rPr>
            </w:pPr>
            <w:r>
              <w:rPr>
                <w:rFonts w:hint="eastAsia"/>
                <w:color w:val="000000"/>
              </w:rPr>
              <w:t>食堂泔水及隔油池废油</w:t>
            </w:r>
          </w:p>
        </w:tc>
        <w:tc>
          <w:tcPr>
            <w:tcW w:w="1780" w:type="pct"/>
            <w:vAlign w:val="center"/>
          </w:tcPr>
          <w:p>
            <w:pPr>
              <w:adjustRightInd w:val="0"/>
              <w:snapToGrid w:val="0"/>
              <w:jc w:val="center"/>
              <w:rPr>
                <w:color w:val="000000"/>
                <w:szCs w:val="21"/>
              </w:rPr>
            </w:pPr>
            <w:r>
              <w:rPr>
                <w:rFonts w:hint="eastAsia"/>
                <w:color w:val="000000"/>
                <w:szCs w:val="21"/>
              </w:rPr>
              <w:t>设置泔水收集桶，委托有资质单位定期清掏清运处置</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化粪池</w:t>
            </w:r>
          </w:p>
        </w:tc>
        <w:tc>
          <w:tcPr>
            <w:tcW w:w="599" w:type="pct"/>
            <w:vAlign w:val="center"/>
          </w:tcPr>
          <w:p>
            <w:pPr>
              <w:jc w:val="center"/>
              <w:rPr>
                <w:color w:val="000000"/>
              </w:rPr>
            </w:pPr>
            <w:r>
              <w:rPr>
                <w:rFonts w:hint="eastAsia"/>
                <w:color w:val="000000"/>
              </w:rPr>
              <w:t>污泥</w:t>
            </w:r>
          </w:p>
        </w:tc>
        <w:tc>
          <w:tcPr>
            <w:tcW w:w="1780" w:type="pct"/>
            <w:vAlign w:val="center"/>
          </w:tcPr>
          <w:p>
            <w:pPr>
              <w:adjustRightInd w:val="0"/>
              <w:snapToGrid w:val="0"/>
              <w:jc w:val="center"/>
              <w:rPr>
                <w:color w:val="000000"/>
                <w:szCs w:val="21"/>
              </w:rPr>
            </w:pPr>
            <w:r>
              <w:rPr>
                <w:rFonts w:hint="eastAsia"/>
                <w:color w:val="000000"/>
                <w:szCs w:val="21"/>
              </w:rPr>
              <w:t>环卫部门定期清运处理</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搅拌机清洗</w:t>
            </w:r>
          </w:p>
        </w:tc>
        <w:tc>
          <w:tcPr>
            <w:tcW w:w="599" w:type="pct"/>
            <w:vAlign w:val="center"/>
          </w:tcPr>
          <w:p>
            <w:pPr>
              <w:jc w:val="center"/>
              <w:rPr>
                <w:color w:val="000000"/>
              </w:rPr>
            </w:pPr>
            <w:r>
              <w:rPr>
                <w:rFonts w:hint="eastAsia"/>
                <w:color w:val="000000"/>
              </w:rPr>
              <w:t>残余混凝土</w:t>
            </w:r>
          </w:p>
        </w:tc>
        <w:tc>
          <w:tcPr>
            <w:tcW w:w="1780" w:type="pct"/>
            <w:vMerge w:val="restart"/>
            <w:vAlign w:val="center"/>
          </w:tcPr>
          <w:p>
            <w:pPr>
              <w:adjustRightInd w:val="0"/>
              <w:snapToGrid w:val="0"/>
              <w:rPr>
                <w:color w:val="000000"/>
                <w:szCs w:val="21"/>
              </w:rPr>
            </w:pPr>
            <w:r>
              <w:rPr>
                <w:rFonts w:hint="eastAsia"/>
                <w:color w:val="000000"/>
                <w:szCs w:val="21"/>
              </w:rPr>
              <w:t>堆存于生产固废临时堆存场所，委托有资质单位定期清运处理</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混凝土运输罐车清洗</w:t>
            </w:r>
          </w:p>
        </w:tc>
        <w:tc>
          <w:tcPr>
            <w:tcW w:w="599" w:type="pct"/>
          </w:tcPr>
          <w:p>
            <w:pPr>
              <w:jc w:val="center"/>
              <w:rPr>
                <w:color w:val="000000"/>
              </w:rPr>
            </w:pPr>
            <w:r>
              <w:rPr>
                <w:rFonts w:hint="eastAsia"/>
                <w:color w:val="000000"/>
              </w:rPr>
              <w:t>残余混凝土</w:t>
            </w:r>
          </w:p>
        </w:tc>
        <w:tc>
          <w:tcPr>
            <w:tcW w:w="1780" w:type="pct"/>
            <w:vMerge w:val="continue"/>
            <w:vAlign w:val="center"/>
          </w:tcPr>
          <w:p>
            <w:pPr>
              <w:adjustRightInd w:val="0"/>
              <w:snapToGrid w:val="0"/>
              <w:rPr>
                <w:color w:val="000000"/>
                <w:szCs w:val="21"/>
              </w:rPr>
            </w:pP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试验固废</w:t>
            </w:r>
          </w:p>
        </w:tc>
        <w:tc>
          <w:tcPr>
            <w:tcW w:w="599" w:type="pct"/>
          </w:tcPr>
          <w:p>
            <w:pPr>
              <w:jc w:val="center"/>
              <w:rPr>
                <w:color w:val="000000"/>
              </w:rPr>
            </w:pPr>
            <w:r>
              <w:rPr>
                <w:rFonts w:hint="eastAsia"/>
                <w:color w:val="000000"/>
              </w:rPr>
              <w:t>混凝</w:t>
            </w:r>
          </w:p>
          <w:p>
            <w:pPr>
              <w:jc w:val="center"/>
              <w:rPr>
                <w:color w:val="000000"/>
              </w:rPr>
            </w:pPr>
            <w:r>
              <w:rPr>
                <w:rFonts w:hint="eastAsia"/>
                <w:color w:val="000000"/>
              </w:rPr>
              <w:t>土块</w:t>
            </w:r>
          </w:p>
        </w:tc>
        <w:tc>
          <w:tcPr>
            <w:tcW w:w="1780" w:type="pct"/>
            <w:vMerge w:val="continue"/>
            <w:vAlign w:val="center"/>
          </w:tcPr>
          <w:p>
            <w:pPr>
              <w:adjustRightInd w:val="0"/>
              <w:snapToGrid w:val="0"/>
              <w:rPr>
                <w:color w:val="000000"/>
                <w:szCs w:val="21"/>
              </w:rPr>
            </w:pP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vAlign w:val="center"/>
          </w:tcPr>
          <w:p>
            <w:pPr>
              <w:adjustRightInd w:val="0"/>
              <w:snapToGrid w:val="0"/>
              <w:jc w:val="center"/>
              <w:rPr>
                <w:color w:val="000000"/>
                <w:szCs w:val="21"/>
              </w:rPr>
            </w:pPr>
          </w:p>
        </w:tc>
        <w:tc>
          <w:tcPr>
            <w:tcW w:w="813" w:type="pct"/>
            <w:vAlign w:val="center"/>
          </w:tcPr>
          <w:p>
            <w:pPr>
              <w:adjustRightInd w:val="0"/>
              <w:snapToGrid w:val="0"/>
              <w:jc w:val="center"/>
              <w:rPr>
                <w:color w:val="000000"/>
                <w:szCs w:val="21"/>
              </w:rPr>
            </w:pPr>
            <w:r>
              <w:rPr>
                <w:rFonts w:hint="eastAsia"/>
                <w:color w:val="000000"/>
              </w:rPr>
              <w:t>沉淀池沉渣</w:t>
            </w:r>
          </w:p>
        </w:tc>
        <w:tc>
          <w:tcPr>
            <w:tcW w:w="599" w:type="pct"/>
          </w:tcPr>
          <w:p>
            <w:pPr>
              <w:adjustRightInd w:val="0"/>
              <w:snapToGrid w:val="0"/>
              <w:jc w:val="center"/>
              <w:rPr>
                <w:color w:val="000000"/>
                <w:szCs w:val="21"/>
              </w:rPr>
            </w:pPr>
            <w:r>
              <w:rPr>
                <w:rFonts w:hint="eastAsia"/>
                <w:color w:val="000000"/>
              </w:rPr>
              <w:t>沉淀砂料</w:t>
            </w:r>
          </w:p>
        </w:tc>
        <w:tc>
          <w:tcPr>
            <w:tcW w:w="1780" w:type="pct"/>
            <w:vMerge w:val="continue"/>
          </w:tcPr>
          <w:p>
            <w:pPr>
              <w:adjustRightInd w:val="0"/>
              <w:snapToGrid w:val="0"/>
              <w:jc w:val="center"/>
              <w:rPr>
                <w:color w:val="000000"/>
                <w:szCs w:val="21"/>
              </w:rPr>
            </w:pP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adjustRightInd w:val="0"/>
              <w:snapToGrid w:val="0"/>
              <w:jc w:val="center"/>
              <w:rPr>
                <w:color w:val="000000"/>
                <w:szCs w:val="21"/>
              </w:rPr>
            </w:pPr>
            <w:r>
              <w:rPr>
                <w:rFonts w:hint="eastAsia"/>
                <w:color w:val="000000"/>
              </w:rPr>
              <w:t>设备维护</w:t>
            </w:r>
          </w:p>
        </w:tc>
        <w:tc>
          <w:tcPr>
            <w:tcW w:w="599" w:type="pct"/>
            <w:vAlign w:val="center"/>
          </w:tcPr>
          <w:p>
            <w:pPr>
              <w:adjustRightInd w:val="0"/>
              <w:snapToGrid w:val="0"/>
              <w:jc w:val="center"/>
              <w:rPr>
                <w:color w:val="000000"/>
                <w:szCs w:val="21"/>
              </w:rPr>
            </w:pPr>
            <w:r>
              <w:rPr>
                <w:rFonts w:hint="eastAsia"/>
                <w:color w:val="000000"/>
              </w:rPr>
              <w:t>废机油</w:t>
            </w:r>
          </w:p>
        </w:tc>
        <w:tc>
          <w:tcPr>
            <w:tcW w:w="1780" w:type="pct"/>
            <w:vAlign w:val="center"/>
          </w:tcPr>
          <w:p>
            <w:pPr>
              <w:adjustRightInd w:val="0"/>
              <w:snapToGrid w:val="0"/>
              <w:jc w:val="center"/>
              <w:rPr>
                <w:color w:val="000000"/>
                <w:szCs w:val="21"/>
              </w:rPr>
            </w:pPr>
            <w:r>
              <w:rPr>
                <w:rFonts w:hint="eastAsia"/>
                <w:color w:val="000000"/>
                <w:szCs w:val="21"/>
              </w:rPr>
              <w:t>设置危废暂存间，地坪作防渗处理；危废暂存间暂存，委托有资质的单位处置</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59" w:type="pct"/>
            <w:vAlign w:val="center"/>
          </w:tcPr>
          <w:p>
            <w:pPr>
              <w:adjustRightInd w:val="0"/>
              <w:snapToGrid w:val="0"/>
              <w:jc w:val="center"/>
              <w:rPr>
                <w:color w:val="000000"/>
                <w:szCs w:val="21"/>
              </w:rPr>
            </w:pPr>
            <w:r>
              <w:rPr>
                <w:color w:val="000000"/>
                <w:szCs w:val="21"/>
              </w:rPr>
              <w:t>土壤及地下水污染防治措施</w:t>
            </w:r>
          </w:p>
        </w:tc>
        <w:tc>
          <w:tcPr>
            <w:tcW w:w="4441" w:type="pct"/>
            <w:gridSpan w:val="4"/>
            <w:vAlign w:val="center"/>
          </w:tcPr>
          <w:p>
            <w:pPr>
              <w:pStyle w:val="47"/>
              <w:spacing w:line="240" w:lineRule="exact"/>
              <w:ind w:firstLine="0" w:firstLineChars="0"/>
              <w:rPr>
                <w:rFonts w:ascii="Times New Roman" w:hAnsi="Times New Roman"/>
                <w:color w:val="000000"/>
                <w:sz w:val="21"/>
                <w:szCs w:val="21"/>
              </w:rPr>
            </w:pPr>
            <w:r>
              <w:rPr>
                <w:rFonts w:hint="eastAsia" w:ascii="Times New Roman" w:hAnsi="Times New Roman"/>
                <w:color w:val="000000"/>
                <w:sz w:val="21"/>
                <w:szCs w:val="21"/>
                <w:shd w:val="clear" w:color="auto" w:fill="FFFFFF"/>
              </w:rPr>
              <w:t>分区防渗，重点防渗区为危废暂存间，按照《危险废物贮存污染控制标准》（GB</w:t>
            </w:r>
            <w:r>
              <w:rPr>
                <w:rFonts w:hint="eastAsia" w:ascii="Times New Roman" w:hAnsi="Times New Roman"/>
                <w:color w:val="000000"/>
                <w:sz w:val="21"/>
                <w:szCs w:val="21"/>
                <w:shd w:val="clear" w:color="auto" w:fill="FFFFFF"/>
                <w:lang w:eastAsia="zh-CN"/>
              </w:rPr>
              <w:t>*****</w:t>
            </w:r>
            <w:r>
              <w:rPr>
                <w:rFonts w:hint="eastAsia" w:ascii="Times New Roman" w:hAnsi="Times New Roman"/>
                <w:color w:val="000000"/>
                <w:sz w:val="21"/>
                <w:szCs w:val="21"/>
                <w:shd w:val="clear" w:color="auto" w:fill="FFFFFF"/>
              </w:rPr>
              <w:t>-</w:t>
            </w:r>
            <w:r>
              <w:rPr>
                <w:rFonts w:hint="eastAsia" w:ascii="Times New Roman" w:hAnsi="Times New Roman"/>
                <w:color w:val="000000"/>
                <w:sz w:val="21"/>
                <w:szCs w:val="21"/>
                <w:shd w:val="clear" w:color="auto" w:fill="FFFFFF"/>
                <w:lang w:val="en-US" w:eastAsia="zh-CN"/>
              </w:rPr>
              <w:t>23</w:t>
            </w:r>
            <w:r>
              <w:rPr>
                <w:rFonts w:hint="eastAsia" w:ascii="Times New Roman" w:hAnsi="Times New Roman"/>
                <w:color w:val="000000"/>
                <w:sz w:val="21"/>
                <w:szCs w:val="21"/>
                <w:shd w:val="clear" w:color="auto" w:fill="FFFFFF"/>
              </w:rPr>
              <w:t>）进行防渗设计；生产车间、原料仓库为一般防渗区，《环境影响评价技术导则-地下水环境》（HJ</w:t>
            </w:r>
            <w:r>
              <w:rPr>
                <w:rFonts w:hint="eastAsia" w:ascii="Times New Roman" w:hAnsi="Times New Roman"/>
                <w:color w:val="000000"/>
                <w:sz w:val="21"/>
                <w:szCs w:val="21"/>
                <w:shd w:val="clear" w:color="auto" w:fill="FFFFFF"/>
                <w:lang w:eastAsia="zh-CN"/>
              </w:rPr>
              <w:t>***</w:t>
            </w:r>
            <w:r>
              <w:rPr>
                <w:rFonts w:hint="eastAsia" w:ascii="Times New Roman" w:hAnsi="Times New Roman"/>
                <w:color w:val="000000"/>
                <w:sz w:val="21"/>
                <w:szCs w:val="21"/>
                <w:shd w:val="clear" w:color="auto" w:fill="FFFFFF"/>
              </w:rPr>
              <w:t>-2016）中一般防渗区的防渗要求进行防渗设计；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59" w:type="pct"/>
            <w:vAlign w:val="center"/>
          </w:tcPr>
          <w:p>
            <w:pPr>
              <w:adjustRightInd w:val="0"/>
              <w:snapToGrid w:val="0"/>
              <w:jc w:val="center"/>
              <w:rPr>
                <w:color w:val="000000"/>
                <w:szCs w:val="21"/>
              </w:rPr>
            </w:pPr>
            <w:r>
              <w:rPr>
                <w:color w:val="000000"/>
                <w:szCs w:val="21"/>
              </w:rPr>
              <w:t>生态保护措施</w:t>
            </w:r>
          </w:p>
        </w:tc>
        <w:tc>
          <w:tcPr>
            <w:tcW w:w="4441" w:type="pct"/>
            <w:gridSpan w:val="4"/>
            <w:vAlign w:val="center"/>
          </w:tcPr>
          <w:p>
            <w:pPr>
              <w:adjustRightInd w:val="0"/>
              <w:snapToGrid w:val="0"/>
              <w:jc w:val="both"/>
              <w:rPr>
                <w:rFonts w:hint="eastAsia"/>
                <w:color w:val="000000"/>
                <w:szCs w:val="21"/>
                <w:lang w:eastAsia="zh-CN"/>
              </w:rPr>
            </w:pPr>
            <w:r>
              <w:rPr>
                <w:rFonts w:hint="eastAsia"/>
                <w:color w:val="000000"/>
                <w:szCs w:val="21"/>
              </w:rPr>
              <w:t>优化排水工程和水土保持工作</w:t>
            </w:r>
            <w:r>
              <w:rPr>
                <w:rFonts w:hint="eastAsia"/>
                <w:color w:val="000000"/>
                <w:szCs w:val="21"/>
                <w:lang w:eastAsia="zh-CN"/>
              </w:rPr>
              <w:t>。</w:t>
            </w:r>
          </w:p>
          <w:p>
            <w:pPr>
              <w:adjustRightInd w:val="0"/>
              <w:snapToGrid w:val="0"/>
              <w:jc w:val="both"/>
              <w:rPr>
                <w:rFonts w:hint="eastAsia"/>
                <w:color w:val="000000"/>
                <w:szCs w:val="21"/>
              </w:rPr>
            </w:pPr>
            <w:r>
              <w:rPr>
                <w:rFonts w:hint="eastAsia"/>
                <w:color w:val="000000"/>
                <w:szCs w:val="21"/>
              </w:rPr>
              <w:t>对“栗喉蜂虎自然保护小区”的保护措施：</w:t>
            </w:r>
          </w:p>
          <w:p>
            <w:pPr>
              <w:adjustRightInd w:val="0"/>
              <w:snapToGrid w:val="0"/>
              <w:jc w:val="both"/>
              <w:rPr>
                <w:rFonts w:hint="eastAsia"/>
                <w:color w:val="000000"/>
                <w:szCs w:val="21"/>
              </w:rPr>
            </w:pPr>
            <w:r>
              <w:rPr>
                <w:rFonts w:hint="eastAsia"/>
                <w:color w:val="000000"/>
                <w:szCs w:val="21"/>
              </w:rPr>
              <w:t>①向工作人员普及“栗喉蜂虎自然保护小区”的重要性和相关得保护措施；</w:t>
            </w:r>
          </w:p>
          <w:p>
            <w:pPr>
              <w:adjustRightInd w:val="0"/>
              <w:snapToGrid w:val="0"/>
              <w:jc w:val="both"/>
              <w:rPr>
                <w:rFonts w:hint="eastAsia"/>
                <w:color w:val="000000"/>
                <w:szCs w:val="21"/>
              </w:rPr>
            </w:pPr>
            <w:r>
              <w:rPr>
                <w:rFonts w:hint="eastAsia"/>
                <w:color w:val="000000"/>
                <w:szCs w:val="21"/>
              </w:rPr>
              <w:t>②在项目区域内，设置自然保护、环境保护的警示牌，提醒人们依法保护“栗喉蜂虎自然保护小区”和生物多样性；</w:t>
            </w:r>
          </w:p>
          <w:p>
            <w:pPr>
              <w:adjustRightInd w:val="0"/>
              <w:snapToGrid w:val="0"/>
              <w:jc w:val="both"/>
              <w:rPr>
                <w:rFonts w:hint="eastAsia"/>
                <w:color w:val="000000"/>
                <w:szCs w:val="21"/>
              </w:rPr>
            </w:pPr>
            <w:r>
              <w:rPr>
                <w:rFonts w:hint="eastAsia"/>
                <w:color w:val="000000"/>
                <w:szCs w:val="21"/>
              </w:rPr>
              <w:t>③运营期需采取各项有效措施减小机械噪声、运输车辆交通噪声等，避免噪声对导致栗喉蜂虎远离或向他处迁徙；</w:t>
            </w:r>
          </w:p>
          <w:p>
            <w:pPr>
              <w:adjustRightInd w:val="0"/>
              <w:snapToGrid w:val="0"/>
              <w:jc w:val="both"/>
              <w:rPr>
                <w:color w:val="000000"/>
                <w:szCs w:val="21"/>
              </w:rPr>
            </w:pPr>
            <w:r>
              <w:rPr>
                <w:rFonts w:hint="eastAsia"/>
                <w:color w:val="000000"/>
                <w:szCs w:val="21"/>
              </w:rPr>
              <w:t>④其余保护措施参照上文陆生生态保护措施严格执行。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pct"/>
            <w:vAlign w:val="center"/>
          </w:tcPr>
          <w:p>
            <w:pPr>
              <w:adjustRightInd w:val="0"/>
              <w:snapToGrid w:val="0"/>
              <w:jc w:val="center"/>
              <w:rPr>
                <w:color w:val="000000"/>
                <w:spacing w:val="-8"/>
                <w:szCs w:val="21"/>
              </w:rPr>
            </w:pPr>
            <w:r>
              <w:rPr>
                <w:color w:val="000000"/>
                <w:spacing w:val="-8"/>
                <w:szCs w:val="21"/>
              </w:rPr>
              <w:t>环境风险防范措施</w:t>
            </w:r>
          </w:p>
        </w:tc>
        <w:tc>
          <w:tcPr>
            <w:tcW w:w="4441" w:type="pct"/>
            <w:gridSpan w:val="4"/>
            <w:vAlign w:val="center"/>
          </w:tcPr>
          <w:p>
            <w:pPr>
              <w:adjustRightInd w:val="0"/>
              <w:snapToGrid w:val="0"/>
              <w:jc w:val="center"/>
              <w:rPr>
                <w:color w:val="000000"/>
                <w:szCs w:val="21"/>
              </w:rPr>
            </w:pPr>
            <w:r>
              <w:rPr>
                <w:rFonts w:hint="eastAsia"/>
                <w:color w:val="000000"/>
                <w:szCs w:val="21"/>
                <w:shd w:val="clear" w:color="auto"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59" w:type="pct"/>
            <w:vAlign w:val="center"/>
          </w:tcPr>
          <w:p>
            <w:pPr>
              <w:adjustRightInd w:val="0"/>
              <w:snapToGrid w:val="0"/>
              <w:jc w:val="center"/>
              <w:rPr>
                <w:color w:val="000000"/>
                <w:spacing w:val="-8"/>
                <w:szCs w:val="21"/>
              </w:rPr>
            </w:pPr>
            <w:r>
              <w:rPr>
                <w:color w:val="000000"/>
                <w:spacing w:val="-8"/>
                <w:szCs w:val="21"/>
              </w:rPr>
              <w:t>其他环境管理要求</w:t>
            </w:r>
          </w:p>
        </w:tc>
        <w:tc>
          <w:tcPr>
            <w:tcW w:w="4441" w:type="pct"/>
            <w:gridSpan w:val="4"/>
            <w:vAlign w:val="center"/>
          </w:tcPr>
          <w:p>
            <w:pPr>
              <w:adjustRightInd w:val="0"/>
              <w:snapToGrid w:val="0"/>
              <w:jc w:val="center"/>
              <w:rPr>
                <w:color w:val="000000"/>
                <w:szCs w:val="21"/>
              </w:rPr>
            </w:pPr>
            <w:r>
              <w:rPr>
                <w:rFonts w:hint="eastAsia"/>
                <w:color w:val="000000"/>
                <w:szCs w:val="21"/>
              </w:rPr>
              <w:t>开展台帐记录、办理排污许可证、自行监测等。</w:t>
            </w: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6" w:name="_Toc17409"/>
      <w:r>
        <w:rPr>
          <w:rFonts w:hint="eastAsia"/>
          <w:b/>
          <w:bCs/>
          <w:sz w:val="30"/>
          <w:szCs w:val="30"/>
        </w:rPr>
        <w:t>六、结论</w:t>
      </w:r>
      <w:bookmarkEnd w:id="36"/>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tcPr>
          <w:p>
            <w:pPr>
              <w:spacing w:line="360" w:lineRule="auto"/>
              <w:ind w:firstLine="480" w:firstLineChars="200"/>
              <w:rPr>
                <w:sz w:val="24"/>
              </w:rPr>
            </w:pPr>
            <w:r>
              <w:rPr>
                <w:rFonts w:hint="eastAsia"/>
                <w:sz w:val="24"/>
              </w:rPr>
              <w:t>项目符合国家及地方产业政策。施工期产生的扬尘采取洒水降尘，施工废水经沉淀后回用不外排，建筑垃圾可再生利用部分回收出售给有资质的废品收购站，余下部分由施工方统一清运至城市建设管理部门指定堆放点，对环境影响很小。运营期产生的粉尘通过采取封闭运输、洒水抑尘，在粉料筒仓顶部设置布袋除尘器等降尘措施降低粉尘的排放量；生产区域内初期雨水的收集沉淀后回用生产和洒水降尘，生活污水经化粪池处理后用槽罐车外送污水处理厂进行处理；噪声通过选择低噪声设备，减震基座；除尘器收集的粉尘量收集后回用于生产；项目设备更换润滑油产生的危险废物收集在危废暂存间暂存，最后统一交由有处置资质的单位定期进行处置。项目建设对区域的大气、地表水、声环境及生态环境的影响小，不会导致项目所在地环境功能明显改变。只要严格按照环境影响报告表和工程设计提出的环保对策及措施，严格执行“三同时”制度，确保项目所产生的污染物达标排放，则从环保角度本项目的建设运营是可行的。</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rPr>
          <w:b/>
          <w:bCs/>
          <w:sz w:val="30"/>
          <w:szCs w:val="30"/>
        </w:rPr>
      </w:pPr>
      <w:r>
        <w:rPr>
          <w:rFonts w:hint="eastAsia"/>
          <w:b/>
          <w:bCs/>
          <w:sz w:val="30"/>
          <w:szCs w:val="30"/>
        </w:rPr>
        <w:t>附表</w:t>
      </w:r>
    </w:p>
    <w:p>
      <w:pPr>
        <w:jc w:val="center"/>
        <w:rPr>
          <w:b/>
          <w:bCs/>
          <w:sz w:val="32"/>
          <w:szCs w:val="32"/>
        </w:rPr>
      </w:pPr>
      <w:r>
        <w:rPr>
          <w:rFonts w:hint="eastAsia"/>
          <w:b/>
          <w:bCs/>
          <w:sz w:val="32"/>
          <w:szCs w:val="32"/>
        </w:rPr>
        <w:t>建设项目污染物排放量汇总表</w:t>
      </w:r>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549"/>
        <w:gridCol w:w="1550"/>
        <w:gridCol w:w="1550"/>
        <w:gridCol w:w="1550"/>
        <w:gridCol w:w="1549"/>
        <w:gridCol w:w="1550"/>
        <w:gridCol w:w="1550"/>
        <w:gridCol w:w="2047"/>
        <w:gridCol w:w="10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tcBorders>
              <w:tl2br w:val="single" w:color="auto" w:sz="4" w:space="0"/>
            </w:tcBorders>
            <w:vAlign w:val="center"/>
          </w:tcPr>
          <w:p>
            <w:pPr>
              <w:jc w:val="right"/>
              <w:rPr>
                <w:b/>
                <w:szCs w:val="21"/>
              </w:rPr>
            </w:pPr>
            <w:r>
              <w:rPr>
                <w:b/>
                <w:szCs w:val="21"/>
              </w:rPr>
              <w:t>项目</w:t>
            </w:r>
          </w:p>
          <w:p>
            <w:pPr>
              <w:jc w:val="left"/>
              <w:rPr>
                <w:b/>
                <w:szCs w:val="21"/>
              </w:rPr>
            </w:pPr>
            <w:r>
              <w:rPr>
                <w:b/>
                <w:szCs w:val="21"/>
              </w:rPr>
              <w:t>分类</w:t>
            </w:r>
          </w:p>
        </w:tc>
        <w:tc>
          <w:tcPr>
            <w:tcW w:w="1550" w:type="dxa"/>
            <w:vAlign w:val="center"/>
          </w:tcPr>
          <w:p>
            <w:pPr>
              <w:jc w:val="center"/>
              <w:rPr>
                <w:b/>
                <w:szCs w:val="21"/>
              </w:rPr>
            </w:pPr>
            <w:r>
              <w:rPr>
                <w:b/>
                <w:szCs w:val="21"/>
              </w:rPr>
              <w:t>污染物名称</w:t>
            </w:r>
          </w:p>
        </w:tc>
        <w:tc>
          <w:tcPr>
            <w:tcW w:w="1550" w:type="dxa"/>
            <w:vAlign w:val="center"/>
          </w:tcPr>
          <w:p>
            <w:pPr>
              <w:jc w:val="center"/>
              <w:rPr>
                <w:b/>
                <w:szCs w:val="21"/>
              </w:rPr>
            </w:pPr>
            <w:r>
              <w:rPr>
                <w:b/>
                <w:szCs w:val="21"/>
              </w:rPr>
              <w:t>现有工程排放量（固体废物产生量）</w:t>
            </w:r>
            <w:r>
              <w:rPr>
                <w:rFonts w:hint="eastAsia" w:ascii="宋体" w:hAnsi="宋体" w:cs="宋体"/>
                <w:b/>
                <w:szCs w:val="21"/>
              </w:rPr>
              <w:t>①</w:t>
            </w:r>
          </w:p>
        </w:tc>
        <w:tc>
          <w:tcPr>
            <w:tcW w:w="1550" w:type="dxa"/>
            <w:vAlign w:val="center"/>
          </w:tcPr>
          <w:p>
            <w:pPr>
              <w:jc w:val="center"/>
              <w:rPr>
                <w:b/>
                <w:szCs w:val="21"/>
              </w:rPr>
            </w:pPr>
            <w:r>
              <w:rPr>
                <w:b/>
                <w:szCs w:val="21"/>
              </w:rPr>
              <w:t>现有工程许可排放量</w:t>
            </w:r>
            <w:r>
              <w:rPr>
                <w:rFonts w:hint="eastAsia" w:ascii="宋体" w:hAnsi="宋体" w:cs="宋体"/>
                <w:b/>
                <w:szCs w:val="21"/>
              </w:rPr>
              <w:t>②</w:t>
            </w:r>
          </w:p>
        </w:tc>
        <w:tc>
          <w:tcPr>
            <w:tcW w:w="1549" w:type="dxa"/>
            <w:vAlign w:val="center"/>
          </w:tcPr>
          <w:p>
            <w:pPr>
              <w:jc w:val="center"/>
              <w:rPr>
                <w:b/>
                <w:szCs w:val="21"/>
              </w:rPr>
            </w:pPr>
            <w:r>
              <w:rPr>
                <w:b/>
                <w:szCs w:val="21"/>
              </w:rPr>
              <w:t>在建工程排放量（固体废物产生量）</w:t>
            </w:r>
            <w:r>
              <w:rPr>
                <w:rFonts w:hint="eastAsia" w:ascii="宋体" w:hAnsi="宋体" w:cs="宋体"/>
                <w:b/>
                <w:szCs w:val="21"/>
              </w:rPr>
              <w:t>③</w:t>
            </w:r>
          </w:p>
        </w:tc>
        <w:tc>
          <w:tcPr>
            <w:tcW w:w="1550" w:type="dxa"/>
            <w:vAlign w:val="center"/>
          </w:tcPr>
          <w:p>
            <w:pPr>
              <w:jc w:val="center"/>
              <w:rPr>
                <w:b/>
                <w:szCs w:val="21"/>
              </w:rPr>
            </w:pPr>
            <w:r>
              <w:rPr>
                <w:b/>
                <w:szCs w:val="21"/>
              </w:rPr>
              <w:t>本项目排放量（固体废物产生量）</w:t>
            </w:r>
            <w:r>
              <w:rPr>
                <w:rFonts w:hint="eastAsia" w:ascii="宋体" w:hAnsi="宋体" w:cs="宋体"/>
                <w:b/>
                <w:szCs w:val="21"/>
              </w:rPr>
              <w:t>④</w:t>
            </w:r>
          </w:p>
        </w:tc>
        <w:tc>
          <w:tcPr>
            <w:tcW w:w="1550" w:type="dxa"/>
            <w:vAlign w:val="center"/>
          </w:tcPr>
          <w:p>
            <w:pPr>
              <w:jc w:val="center"/>
              <w:rPr>
                <w:b/>
                <w:szCs w:val="21"/>
              </w:rPr>
            </w:pPr>
            <w:r>
              <w:rPr>
                <w:b/>
                <w:szCs w:val="21"/>
              </w:rPr>
              <w:t>以新带老削减量（新建项目不填）</w:t>
            </w:r>
            <w:r>
              <w:rPr>
                <w:rFonts w:hint="eastAsia" w:ascii="宋体" w:hAnsi="宋体" w:cs="宋体"/>
                <w:b/>
                <w:szCs w:val="21"/>
              </w:rPr>
              <w:t>⑤</w:t>
            </w:r>
          </w:p>
        </w:tc>
        <w:tc>
          <w:tcPr>
            <w:tcW w:w="2047" w:type="dxa"/>
            <w:vAlign w:val="center"/>
          </w:tcPr>
          <w:p>
            <w:pPr>
              <w:jc w:val="center"/>
              <w:rPr>
                <w:b/>
                <w:szCs w:val="21"/>
              </w:rPr>
            </w:pPr>
            <w:r>
              <w:rPr>
                <w:b/>
                <w:szCs w:val="21"/>
              </w:rPr>
              <w:t>本项目建成后全厂排放量（固体废物产生量）</w:t>
            </w:r>
            <w:r>
              <w:rPr>
                <w:rFonts w:hint="eastAsia" w:ascii="宋体" w:hAnsi="宋体" w:cs="宋体"/>
                <w:b/>
                <w:szCs w:val="21"/>
              </w:rPr>
              <w:t>⑥</w:t>
            </w:r>
          </w:p>
        </w:tc>
        <w:tc>
          <w:tcPr>
            <w:tcW w:w="1053" w:type="dxa"/>
            <w:vAlign w:val="center"/>
          </w:tcPr>
          <w:p>
            <w:pPr>
              <w:jc w:val="center"/>
              <w:rPr>
                <w:b/>
                <w:szCs w:val="21"/>
              </w:rPr>
            </w:pPr>
            <w:r>
              <w:rPr>
                <w:b/>
                <w:szCs w:val="21"/>
              </w:rPr>
              <w:t>变化量</w:t>
            </w:r>
            <w:r>
              <w:rPr>
                <w:rFonts w:hint="eastAsia" w:ascii="宋体" w:hAnsi="宋体" w:cs="宋体"/>
                <w:b/>
                <w:szCs w:val="21"/>
              </w:rPr>
              <w:t>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废气</w:t>
            </w:r>
          </w:p>
        </w:tc>
        <w:tc>
          <w:tcPr>
            <w:tcW w:w="1550" w:type="dxa"/>
            <w:vAlign w:val="center"/>
          </w:tcPr>
          <w:p>
            <w:pPr>
              <w:jc w:val="center"/>
              <w:rPr>
                <w:szCs w:val="21"/>
              </w:rPr>
            </w:pPr>
            <w:r>
              <w:rPr>
                <w:rFonts w:hint="eastAsia"/>
                <w:szCs w:val="21"/>
              </w:rPr>
              <w:t>有组织</w:t>
            </w:r>
            <w:r>
              <w:rPr>
                <w:szCs w:val="21"/>
              </w:rPr>
              <w:t>粉尘</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rFonts w:hint="default" w:eastAsia="宋体"/>
                <w:szCs w:val="21"/>
                <w:lang w:val="en-US" w:eastAsia="zh-CN"/>
              </w:rPr>
            </w:pPr>
            <w:r>
              <w:rPr>
                <w:rFonts w:hint="eastAsia"/>
                <w:szCs w:val="21"/>
                <w:lang w:val="en-US" w:eastAsia="zh-CN"/>
              </w:rPr>
              <w:t>/</w:t>
            </w:r>
          </w:p>
        </w:tc>
        <w:tc>
          <w:tcPr>
            <w:tcW w:w="1550" w:type="dxa"/>
            <w:vAlign w:val="center"/>
          </w:tcPr>
          <w:p>
            <w:pPr>
              <w:jc w:val="center"/>
              <w:rPr>
                <w:szCs w:val="21"/>
              </w:rPr>
            </w:pPr>
            <w:r>
              <w:rPr>
                <w:rFonts w:hint="eastAsia"/>
                <w:szCs w:val="21"/>
              </w:rPr>
              <w:t>/</w:t>
            </w:r>
          </w:p>
        </w:tc>
        <w:tc>
          <w:tcPr>
            <w:tcW w:w="2047" w:type="dxa"/>
            <w:vAlign w:val="center"/>
          </w:tcPr>
          <w:p>
            <w:pPr>
              <w:jc w:val="center"/>
              <w:rPr>
                <w:rFonts w:hint="eastAsia" w:eastAsia="宋体"/>
                <w:szCs w:val="21"/>
                <w:lang w:eastAsia="zh-CN"/>
              </w:rPr>
            </w:pPr>
            <w:r>
              <w:rPr>
                <w:rFonts w:hint="eastAsia"/>
                <w:szCs w:val="21"/>
                <w:lang w:val="en-US" w:eastAsia="zh-CN"/>
              </w:rPr>
              <w:t>/</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jc w:val="center"/>
              <w:rPr>
                <w:szCs w:val="21"/>
              </w:rPr>
            </w:pPr>
            <w:r>
              <w:rPr>
                <w:rFonts w:hint="eastAsia"/>
                <w:szCs w:val="21"/>
              </w:rPr>
              <w:t>无组织粉尘</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rFonts w:hint="eastAsia" w:eastAsia="宋体"/>
                <w:szCs w:val="21"/>
                <w:lang w:eastAsia="zh-CN"/>
              </w:rPr>
            </w:pPr>
            <w:r>
              <w:rPr>
                <w:rFonts w:hint="eastAsia"/>
                <w:szCs w:val="21"/>
                <w:lang w:val="en-US" w:eastAsia="zh-CN"/>
              </w:rPr>
              <w:t>/</w:t>
            </w:r>
          </w:p>
        </w:tc>
        <w:tc>
          <w:tcPr>
            <w:tcW w:w="1550" w:type="dxa"/>
            <w:vAlign w:val="center"/>
          </w:tcPr>
          <w:p>
            <w:pPr>
              <w:jc w:val="center"/>
              <w:rPr>
                <w:szCs w:val="21"/>
              </w:rPr>
            </w:pPr>
            <w:r>
              <w:rPr>
                <w:rFonts w:hint="eastAsia"/>
                <w:szCs w:val="21"/>
              </w:rPr>
              <w:t>/</w:t>
            </w:r>
          </w:p>
        </w:tc>
        <w:tc>
          <w:tcPr>
            <w:tcW w:w="2047" w:type="dxa"/>
            <w:vAlign w:val="center"/>
          </w:tcPr>
          <w:p>
            <w:pPr>
              <w:jc w:val="center"/>
              <w:rPr>
                <w:rFonts w:hint="default" w:eastAsia="宋体"/>
                <w:szCs w:val="21"/>
                <w:lang w:val="en-US" w:eastAsia="zh-CN"/>
              </w:rPr>
            </w:pPr>
            <w:r>
              <w:rPr>
                <w:rFonts w:hint="eastAsia"/>
                <w:szCs w:val="21"/>
                <w:lang w:val="en-US" w:eastAsia="zh-CN"/>
              </w:rPr>
              <w:t>/</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jc w:val="center"/>
              <w:rPr>
                <w:szCs w:val="21"/>
              </w:rPr>
            </w:pPr>
            <w:r>
              <w:rPr>
                <w:rFonts w:hint="eastAsia"/>
                <w:szCs w:val="21"/>
              </w:rPr>
              <w:t>油烟</w:t>
            </w:r>
          </w:p>
        </w:tc>
        <w:tc>
          <w:tcPr>
            <w:tcW w:w="1550" w:type="dxa"/>
            <w:vAlign w:val="center"/>
          </w:tcPr>
          <w:p>
            <w:pPr>
              <w:jc w:val="center"/>
              <w:rPr>
                <w:szCs w:val="21"/>
              </w:rPr>
            </w:pPr>
          </w:p>
        </w:tc>
        <w:tc>
          <w:tcPr>
            <w:tcW w:w="1550" w:type="dxa"/>
            <w:vAlign w:val="center"/>
          </w:tcPr>
          <w:p>
            <w:pPr>
              <w:jc w:val="center"/>
              <w:rPr>
                <w:szCs w:val="21"/>
              </w:rPr>
            </w:pPr>
          </w:p>
        </w:tc>
        <w:tc>
          <w:tcPr>
            <w:tcW w:w="1549" w:type="dxa"/>
            <w:vAlign w:val="center"/>
          </w:tcPr>
          <w:p>
            <w:pPr>
              <w:jc w:val="center"/>
              <w:rPr>
                <w:szCs w:val="21"/>
              </w:rPr>
            </w:pPr>
          </w:p>
        </w:tc>
        <w:tc>
          <w:tcPr>
            <w:tcW w:w="1550" w:type="dxa"/>
            <w:vAlign w:val="center"/>
          </w:tcPr>
          <w:p>
            <w:pPr>
              <w:jc w:val="center"/>
              <w:rPr>
                <w:szCs w:val="21"/>
              </w:rPr>
            </w:pPr>
            <w:r>
              <w:rPr>
                <w:rFonts w:hint="eastAsia"/>
                <w:szCs w:val="21"/>
              </w:rPr>
              <w:t>5</w:t>
            </w:r>
            <w:r>
              <w:rPr>
                <w:szCs w:val="21"/>
              </w:rPr>
              <w:t>.4kg/a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5</w:t>
            </w:r>
            <w:r>
              <w:rPr>
                <w:szCs w:val="21"/>
              </w:rPr>
              <w:t>.4kg/a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废水</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49"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2047" w:type="dxa"/>
          </w:tcPr>
          <w:p>
            <w:pPr>
              <w:jc w:val="center"/>
            </w:pPr>
            <w:r>
              <w:rPr>
                <w:rFonts w:hint="eastAsia"/>
                <w:szCs w:val="21"/>
              </w:rPr>
              <w:t>/</w:t>
            </w:r>
          </w:p>
        </w:tc>
        <w:tc>
          <w:tcPr>
            <w:tcW w:w="1053" w:type="dxa"/>
          </w:tcPr>
          <w:p>
            <w:pPr>
              <w:jc w:val="cente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49"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2047" w:type="dxa"/>
          </w:tcPr>
          <w:p>
            <w:pPr>
              <w:jc w:val="center"/>
            </w:pPr>
            <w:r>
              <w:rPr>
                <w:rFonts w:hint="eastAsia"/>
                <w:szCs w:val="21"/>
              </w:rPr>
              <w:t>/</w:t>
            </w:r>
          </w:p>
        </w:tc>
        <w:tc>
          <w:tcPr>
            <w:tcW w:w="1053" w:type="dxa"/>
          </w:tcPr>
          <w:p>
            <w:pPr>
              <w:jc w:val="cente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一般工业</w:t>
            </w:r>
          </w:p>
          <w:p>
            <w:pPr>
              <w:jc w:val="center"/>
              <w:rPr>
                <w:szCs w:val="21"/>
              </w:rPr>
            </w:pPr>
            <w:r>
              <w:rPr>
                <w:szCs w:val="21"/>
              </w:rPr>
              <w:t>固体废物</w:t>
            </w: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除尘设备收集粉尘</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rFonts w:hint="eastAsia" w:eastAsia="宋体"/>
                <w:szCs w:val="21"/>
                <w:lang w:eastAsia="zh-CN"/>
              </w:rPr>
            </w:pPr>
            <w:r>
              <w:rPr>
                <w:rFonts w:hint="eastAsia"/>
                <w:szCs w:val="21"/>
                <w:lang w:val="en-US" w:eastAsia="zh-CN"/>
              </w:rPr>
              <w:t>/</w:t>
            </w:r>
          </w:p>
        </w:tc>
        <w:tc>
          <w:tcPr>
            <w:tcW w:w="1550" w:type="dxa"/>
            <w:vAlign w:val="center"/>
          </w:tcPr>
          <w:p>
            <w:pPr>
              <w:jc w:val="center"/>
              <w:rPr>
                <w:szCs w:val="21"/>
              </w:rPr>
            </w:pPr>
            <w:r>
              <w:rPr>
                <w:rFonts w:hint="eastAsia"/>
                <w:szCs w:val="21"/>
              </w:rPr>
              <w:t>/</w:t>
            </w:r>
          </w:p>
        </w:tc>
        <w:tc>
          <w:tcPr>
            <w:tcW w:w="2047" w:type="dxa"/>
            <w:vAlign w:val="center"/>
          </w:tcPr>
          <w:p>
            <w:pPr>
              <w:jc w:val="center"/>
              <w:rPr>
                <w:rFonts w:hint="eastAsia" w:eastAsia="宋体"/>
                <w:szCs w:val="21"/>
                <w:lang w:eastAsia="zh-CN"/>
              </w:rPr>
            </w:pPr>
            <w:r>
              <w:rPr>
                <w:rFonts w:hint="eastAsia"/>
                <w:szCs w:val="21"/>
                <w:lang w:val="en-US" w:eastAsia="zh-CN"/>
              </w:rPr>
              <w:t>/</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hint="eastAsia" w:ascii="Times New Roman"/>
                <w:snapToGrid w:val="0"/>
                <w:kern w:val="21"/>
                <w:szCs w:val="21"/>
              </w:rPr>
              <w:t>残余</w:t>
            </w:r>
            <w:r>
              <w:rPr>
                <w:rFonts w:ascii="Times New Roman"/>
                <w:snapToGrid w:val="0"/>
                <w:kern w:val="21"/>
                <w:szCs w:val="21"/>
              </w:rPr>
              <w:t>混凝土</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75</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pPr>
            <w:r>
              <w:rPr>
                <w:szCs w:val="21"/>
              </w:rPr>
              <w:t>75</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沉淀池泥沙</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10.2</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pPr>
            <w:r>
              <w:rPr>
                <w:szCs w:val="21"/>
              </w:rPr>
              <w:t>10.2</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废弃混凝土块</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2</w:t>
            </w:r>
            <w:r>
              <w:rPr>
                <w:szCs w:val="21"/>
              </w:rPr>
              <w:t>.4</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pPr>
            <w:r>
              <w:rPr>
                <w:rFonts w:hint="eastAsia"/>
                <w:szCs w:val="21"/>
              </w:rPr>
              <w:t>2</w:t>
            </w:r>
            <w:r>
              <w:rPr>
                <w:szCs w:val="21"/>
              </w:rPr>
              <w:t>.4</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食堂泔水</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0</w:t>
            </w:r>
            <w:r>
              <w:rPr>
                <w:szCs w:val="21"/>
              </w:rPr>
              <w:t>.48</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0</w:t>
            </w:r>
            <w:r>
              <w:rPr>
                <w:szCs w:val="21"/>
              </w:rPr>
              <w:t>.48</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隔油池废油</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0</w:t>
            </w:r>
            <w:r>
              <w:rPr>
                <w:szCs w:val="21"/>
              </w:rPr>
              <w:t>.058</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0</w:t>
            </w:r>
            <w:r>
              <w:rPr>
                <w:szCs w:val="21"/>
              </w:rPr>
              <w:t>.058</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生活垃圾</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9</w:t>
            </w:r>
            <w:r>
              <w:rPr>
                <w:szCs w:val="21"/>
              </w:rPr>
              <w:t>.6</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9</w:t>
            </w:r>
            <w:r>
              <w:rPr>
                <w:szCs w:val="21"/>
              </w:rPr>
              <w:t>.6</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3"/>
              <w:spacing w:beforeLines="0" w:afterLines="0" w:line="240" w:lineRule="auto"/>
              <w:rPr>
                <w:rFonts w:ascii="Times New Roman"/>
                <w:snapToGrid w:val="0"/>
                <w:kern w:val="21"/>
                <w:szCs w:val="21"/>
              </w:rPr>
            </w:pPr>
            <w:r>
              <w:rPr>
                <w:rFonts w:ascii="Times New Roman"/>
                <w:snapToGrid w:val="0"/>
                <w:kern w:val="21"/>
                <w:szCs w:val="21"/>
              </w:rPr>
              <w:t>化粪池污泥</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2</w:t>
            </w:r>
            <w:r>
              <w:rPr>
                <w:szCs w:val="21"/>
              </w:rPr>
              <w:t>.3</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2</w:t>
            </w:r>
            <w:r>
              <w:rPr>
                <w:szCs w:val="21"/>
              </w:rPr>
              <w:t>.3</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危险废物</w:t>
            </w:r>
          </w:p>
        </w:tc>
        <w:tc>
          <w:tcPr>
            <w:tcW w:w="1550" w:type="dxa"/>
            <w:vAlign w:val="center"/>
          </w:tcPr>
          <w:p>
            <w:pPr>
              <w:jc w:val="center"/>
              <w:rPr>
                <w:szCs w:val="21"/>
              </w:rPr>
            </w:pPr>
            <w:r>
              <w:rPr>
                <w:szCs w:val="21"/>
              </w:rPr>
              <w:t>维修废机油</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0.05</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szCs w:val="21"/>
              </w:rPr>
              <w:t>0.05</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jc w:val="center"/>
              <w:rPr>
                <w:szCs w:val="21"/>
              </w:rPr>
            </w:pPr>
            <w:r>
              <w:rPr>
                <w:rFonts w:hint="eastAsia"/>
                <w:color w:val="000000"/>
                <w:szCs w:val="21"/>
              </w:rPr>
              <w:t>机修含油抹布、手套</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0.1t/a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szCs w:val="21"/>
              </w:rPr>
              <w:t>0.1t</w:t>
            </w:r>
            <w:r>
              <w:rPr>
                <w:rFonts w:hint="eastAsia"/>
                <w:szCs w:val="21"/>
              </w:rPr>
              <w:t>/a</w:t>
            </w:r>
          </w:p>
        </w:tc>
        <w:tc>
          <w:tcPr>
            <w:tcW w:w="1053" w:type="dxa"/>
            <w:vAlign w:val="center"/>
          </w:tcPr>
          <w:p>
            <w:pPr>
              <w:jc w:val="center"/>
              <w:rPr>
                <w:szCs w:val="21"/>
              </w:rPr>
            </w:pPr>
            <w:r>
              <w:rPr>
                <w:rFonts w:hint="eastAsia"/>
                <w:szCs w:val="21"/>
              </w:rPr>
              <w:t>/</w:t>
            </w:r>
          </w:p>
        </w:tc>
      </w:tr>
    </w:tbl>
    <w:p>
      <w:pPr>
        <w:rPr>
          <w:szCs w:val="21"/>
        </w:rPr>
      </w:pPr>
      <w:r>
        <w:rPr>
          <w:szCs w:val="21"/>
        </w:rPr>
        <w:t>注：</w:t>
      </w:r>
      <w:r>
        <w:rPr>
          <w:rFonts w:hint="eastAsia" w:ascii="宋体" w:hAnsi="宋体" w:cs="宋体"/>
          <w:szCs w:val="21"/>
        </w:rPr>
        <w:t>⑥</w:t>
      </w:r>
      <w:r>
        <w:rPr>
          <w:szCs w:val="21"/>
        </w:rPr>
        <w:t>=</w:t>
      </w:r>
      <w:r>
        <w:rPr>
          <w:rFonts w:hint="eastAsia" w:ascii="宋体" w:hAnsi="宋体" w:cs="宋体"/>
          <w:szCs w:val="21"/>
        </w:rPr>
        <w:t>①</w:t>
      </w:r>
      <w:r>
        <w:rPr>
          <w:szCs w:val="21"/>
        </w:rPr>
        <w:t>+</w:t>
      </w:r>
      <w:r>
        <w:rPr>
          <w:rFonts w:hint="eastAsia" w:ascii="宋体" w:hAnsi="宋体" w:cs="宋体"/>
          <w:szCs w:val="21"/>
        </w:rPr>
        <w:t>③</w:t>
      </w:r>
      <w:r>
        <w:rPr>
          <w:szCs w:val="21"/>
        </w:rPr>
        <w:t>+</w:t>
      </w:r>
      <w:r>
        <w:rPr>
          <w:rFonts w:hint="eastAsia" w:ascii="宋体" w:hAnsi="宋体" w:cs="宋体"/>
          <w:szCs w:val="21"/>
        </w:rPr>
        <w:t>④</w:t>
      </w:r>
      <w:r>
        <w:rPr>
          <w:szCs w:val="21"/>
        </w:rPr>
        <w:t>-</w:t>
      </w:r>
      <w:r>
        <w:rPr>
          <w:rFonts w:hint="eastAsia" w:ascii="宋体" w:hAnsi="宋体" w:cs="宋体"/>
          <w:szCs w:val="21"/>
        </w:rPr>
        <w:t>⑤</w:t>
      </w:r>
      <w:r>
        <w:rPr>
          <w:rFonts w:hint="eastAsia"/>
          <w:szCs w:val="21"/>
        </w:rPr>
        <w:t>；</w:t>
      </w:r>
      <w:r>
        <w:rPr>
          <w:rFonts w:hint="eastAsia" w:ascii="宋体" w:hAnsi="宋体" w:cs="宋体"/>
          <w:szCs w:val="21"/>
        </w:rPr>
        <w:t>⑦</w:t>
      </w:r>
      <w:r>
        <w:rPr>
          <w:szCs w:val="21"/>
        </w:rPr>
        <w:t>=</w:t>
      </w:r>
      <w:r>
        <w:rPr>
          <w:rFonts w:hint="eastAsia" w:ascii="宋体" w:hAnsi="宋体" w:cs="宋体"/>
          <w:szCs w:val="21"/>
        </w:rPr>
        <w:t>⑥</w:t>
      </w:r>
      <w:r>
        <w:rPr>
          <w:szCs w:val="21"/>
        </w:rPr>
        <w:t>-</w:t>
      </w:r>
      <w:r>
        <w:rPr>
          <w:rFonts w:hint="eastAsia" w:ascii="宋体" w:hAnsi="宋体" w:cs="宋体"/>
          <w:szCs w:val="21"/>
        </w:rPr>
        <w:t>①</w:t>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PMingLiU">
    <w:altName w:val="Microsoft JhengHei"/>
    <w:panose1 w:val="02020500000000000000"/>
    <w:charset w:val="88"/>
    <w:family w:val="roman"/>
    <w:pitch w:val="default"/>
    <w:sig w:usb0="00000000" w:usb1="00000000" w:usb2="00000016" w:usb3="00000000" w:csb0="00100001" w:csb1="00000000"/>
  </w:font>
  <w:font w:name="华文仿宋">
    <w:panose1 w:val="02010600040101010101"/>
    <w:charset w:val="86"/>
    <w:family w:val="auto"/>
    <w:pitch w:val="default"/>
    <w:sig w:usb0="00000287" w:usb1="080F0000" w:usb2="00000000" w:usb3="00000000" w:csb0="0004009F" w:csb1="DFD70000"/>
  </w:font>
  <w:font w:name="Arial Bold">
    <w:altName w:val="Times New Roman"/>
    <w:panose1 w:val="020B0704020202020204"/>
    <w:charset w:val="00"/>
    <w:family w:val="auto"/>
    <w:pitch w:val="default"/>
    <w:sig w:usb0="00000000" w:usb1="00000000" w:usb2="00000000" w:usb3="00000000" w:csb0="00000001" w:csb1="00000000"/>
  </w:font>
  <w:font w:name="CG Times">
    <w:altName w:val="Times New Roman"/>
    <w:panose1 w:val="00000000000000000000"/>
    <w:charset w:val="00"/>
    <w:family w:val="roman"/>
    <w:pitch w:val="default"/>
    <w:sig w:usb0="00000000" w:usb1="00000000" w:usb2="00000000" w:usb3="00000000" w:csb0="00000093" w:csb1="00000000"/>
  </w:font>
  <w:font w:name="Garamond">
    <w:panose1 w:val="02020404030301010803"/>
    <w:charset w:val="00"/>
    <w:family w:val="roman"/>
    <w:pitch w:val="default"/>
    <w:sig w:usb0="00000287" w:usb1="00000000" w:usb2="00000000" w:usb3="00000000" w:csb0="0000009F" w:csb1="DFD70000"/>
  </w:font>
  <w:font w:name="仿宋体">
    <w:altName w:val="宋体"/>
    <w:panose1 w:val="00000000000000000000"/>
    <w:charset w:val="86"/>
    <w:family w:val="roman"/>
    <w:pitch w:val="default"/>
    <w:sig w:usb0="00000000" w:usb1="00000000" w:usb2="00000010" w:usb3="00000000" w:csb0="00040000" w:csb1="00000000"/>
  </w:font>
  <w:font w:name="DFKai-SB">
    <w:altName w:val="Arial Unicode MS"/>
    <w:panose1 w:val="03000509000000000000"/>
    <w:charset w:val="88"/>
    <w:family w:val="script"/>
    <w:pitch w:val="default"/>
    <w:sig w:usb0="00000000" w:usb1="00000000" w:usb2="00000016" w:usb3="00000000" w:csb0="00100001" w:csb1="00000000"/>
  </w:font>
  <w:font w:name="@宋体">
    <w:panose1 w:val="02010600030101010101"/>
    <w:charset w:val="86"/>
    <w:family w:val="auto"/>
    <w:pitch w:val="default"/>
    <w:sig w:usb0="00000003" w:usb1="288F0000" w:usb2="00000006" w:usb3="00000000" w:csb0="00040001" w:csb1="00000000"/>
  </w:font>
  <w:font w:name="·s²Ó©úÅé">
    <w:altName w:val="Microsoft JhengHei"/>
    <w:panose1 w:val="00000000000000000000"/>
    <w:charset w:val="88"/>
    <w:family w:val="auto"/>
    <w:pitch w:val="default"/>
    <w:sig w:usb0="00000000" w:usb1="00000000" w:usb2="00000010" w:usb3="00000000" w:csb0="00100000" w:csb1="00000000"/>
  </w:font>
  <w:font w:name="NPPKGL+ArialUnicodeMS">
    <w:altName w:val="宋体"/>
    <w:panose1 w:val="00000000000000000000"/>
    <w:charset w:val="86"/>
    <w:family w:val="swiss"/>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MingLiU">
    <w:altName w:val="Microsoft JhengHei"/>
    <w:panose1 w:val="02020509000000000000"/>
    <w:charset w:val="88"/>
    <w:family w:val="modern"/>
    <w:pitch w:val="default"/>
    <w:sig w:usb0="00000000" w:usb1="00000000" w:usb2="00000016" w:usb3="00000000" w:csb0="00100001" w:csb1="00000000"/>
  </w:font>
  <w:font w:name="AngsanaUPC">
    <w:panose1 w:val="02020603050405020304"/>
    <w:charset w:val="00"/>
    <w:family w:val="roman"/>
    <w:pitch w:val="default"/>
    <w:sig w:usb0="81000003" w:usb1="00000000" w:usb2="00000000" w:usb3="00000000" w:csb0="00010001" w:csb1="00000000"/>
  </w:font>
  <w:font w:name="Georgia">
    <w:panose1 w:val="02040502050405020303"/>
    <w:charset w:val="00"/>
    <w:family w:val="roman"/>
    <w:pitch w:val="default"/>
    <w:sig w:usb0="00000287" w:usb1="00000000"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auto"/>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文鼎书宋简">
    <w:altName w:val="宋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Microsoft Sans Serif">
    <w:panose1 w:val="020B0604020202020204"/>
    <w:charset w:val="00"/>
    <w:family w:val="auto"/>
    <w:pitch w:val="default"/>
    <w:sig w:usb0="E1002AFF" w:usb1="C0000002" w:usb2="00000008" w:usb3="00000000" w:csb0="200101FF" w:csb1="2028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8"/>
      <w:lvlText w:val="%1."/>
      <w:lvlJc w:val="left"/>
      <w:pPr>
        <w:tabs>
          <w:tab w:val="left" w:pos="1009"/>
        </w:tabs>
        <w:ind w:left="1009" w:hanging="360"/>
      </w:pPr>
    </w:lvl>
  </w:abstractNum>
  <w:abstractNum w:abstractNumId="1">
    <w:nsid w:val="FFFFFF88"/>
    <w:multiLevelType w:val="singleLevel"/>
    <w:tmpl w:val="FFFFFF88"/>
    <w:lvl w:ilvl="0" w:tentative="0">
      <w:start w:val="1"/>
      <w:numFmt w:val="decimal"/>
      <w:pStyle w:val="21"/>
      <w:lvlText w:val="%1."/>
      <w:lvlJc w:val="left"/>
      <w:pPr>
        <w:tabs>
          <w:tab w:val="left" w:pos="360"/>
        </w:tabs>
        <w:ind w:left="360" w:hanging="360"/>
      </w:pPr>
    </w:lvl>
  </w:abstractNum>
  <w:abstractNum w:abstractNumId="2">
    <w:nsid w:val="00000001"/>
    <w:multiLevelType w:val="singleLevel"/>
    <w:tmpl w:val="00000001"/>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3">
    <w:nsid w:val="00000004"/>
    <w:multiLevelType w:val="singleLevel"/>
    <w:tmpl w:val="00000004"/>
    <w:lvl w:ilvl="0" w:tentative="0">
      <w:start w:val="1"/>
      <w:numFmt w:val="decimal"/>
      <w:pStyle w:val="66"/>
      <w:lvlText w:val="%1."/>
      <w:lvlJc w:val="left"/>
      <w:pPr>
        <w:tabs>
          <w:tab w:val="left" w:pos="2040"/>
        </w:tabs>
        <w:ind w:left="2040" w:hanging="360"/>
      </w:pPr>
    </w:lvl>
  </w:abstractNum>
  <w:abstractNum w:abstractNumId="4">
    <w:nsid w:val="00000005"/>
    <w:multiLevelType w:val="singleLevel"/>
    <w:tmpl w:val="00000005"/>
    <w:lvl w:ilvl="0" w:tentative="0">
      <w:start w:val="1"/>
      <w:numFmt w:val="decimal"/>
      <w:pStyle w:val="15"/>
      <w:lvlText w:val="%1."/>
      <w:lvlJc w:val="left"/>
      <w:pPr>
        <w:tabs>
          <w:tab w:val="left" w:pos="780"/>
        </w:tabs>
        <w:ind w:left="780" w:hanging="360"/>
      </w:pPr>
    </w:lvl>
  </w:abstractNum>
  <w:abstractNum w:abstractNumId="5">
    <w:nsid w:val="0000000A"/>
    <w:multiLevelType w:val="singleLevel"/>
    <w:tmpl w:val="0000000A"/>
    <w:lvl w:ilvl="0" w:tentative="0">
      <w:start w:val="1"/>
      <w:numFmt w:val="bullet"/>
      <w:pStyle w:val="18"/>
      <w:lvlText w:val=""/>
      <w:lvlJc w:val="left"/>
      <w:pPr>
        <w:tabs>
          <w:tab w:val="left" w:pos="1620"/>
        </w:tabs>
        <w:ind w:left="1620" w:hanging="360"/>
      </w:pPr>
      <w:rPr>
        <w:rFonts w:hint="default" w:ascii="Wingdings" w:hAnsi="Wingdings"/>
      </w:rPr>
    </w:lvl>
  </w:abstractNum>
  <w:abstractNum w:abstractNumId="6">
    <w:nsid w:val="0000000C"/>
    <w:multiLevelType w:val="singleLevel"/>
    <w:tmpl w:val="0000000C"/>
    <w:lvl w:ilvl="0" w:tentative="0">
      <w:start w:val="1"/>
      <w:numFmt w:val="decimal"/>
      <w:pStyle w:val="49"/>
      <w:lvlText w:val="%1."/>
      <w:lvlJc w:val="left"/>
      <w:pPr>
        <w:tabs>
          <w:tab w:val="left" w:pos="1620"/>
        </w:tabs>
        <w:ind w:left="1620" w:hanging="360"/>
      </w:pPr>
    </w:lvl>
  </w:abstractNum>
  <w:abstractNum w:abstractNumId="7">
    <w:nsid w:val="0000000E"/>
    <w:multiLevelType w:val="singleLevel"/>
    <w:tmpl w:val="0000000E"/>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8">
    <w:nsid w:val="0000000F"/>
    <w:multiLevelType w:val="singleLevel"/>
    <w:tmpl w:val="0000000F"/>
    <w:lvl w:ilvl="0" w:tentative="0">
      <w:start w:val="1"/>
      <w:numFmt w:val="bullet"/>
      <w:pStyle w:val="42"/>
      <w:lvlText w:val=""/>
      <w:lvlJc w:val="left"/>
      <w:pPr>
        <w:tabs>
          <w:tab w:val="left" w:pos="780"/>
        </w:tabs>
        <w:ind w:left="780" w:hanging="360"/>
      </w:pPr>
      <w:rPr>
        <w:rFonts w:hint="default" w:ascii="Wingdings" w:hAnsi="Wingdings"/>
      </w:rPr>
    </w:lvl>
  </w:abstractNum>
  <w:abstractNum w:abstractNumId="9">
    <w:nsid w:val="00000014"/>
    <w:multiLevelType w:val="singleLevel"/>
    <w:tmpl w:val="00000014"/>
    <w:lvl w:ilvl="0" w:tentative="0">
      <w:start w:val="1"/>
      <w:numFmt w:val="bullet"/>
      <w:pStyle w:val="48"/>
      <w:lvlText w:val=""/>
      <w:lvlJc w:val="left"/>
      <w:pPr>
        <w:tabs>
          <w:tab w:val="left" w:pos="2040"/>
        </w:tabs>
        <w:ind w:left="2040" w:hanging="360"/>
      </w:pPr>
      <w:rPr>
        <w:rFonts w:hint="default" w:ascii="Wingdings" w:hAnsi="Wingdings"/>
      </w:rPr>
    </w:lvl>
  </w:abstractNum>
  <w:abstractNum w:abstractNumId="10">
    <w:nsid w:val="372D6939"/>
    <w:multiLevelType w:val="multilevel"/>
    <w:tmpl w:val="372D6939"/>
    <w:lvl w:ilvl="0" w:tentative="0">
      <w:start w:val="1"/>
      <w:numFmt w:val="decimal"/>
      <w:pStyle w:val="748"/>
      <w:lvlText w:val="%1."/>
      <w:lvlJc w:val="left"/>
      <w:pPr>
        <w:tabs>
          <w:tab w:val="left" w:pos="1080"/>
        </w:tabs>
        <w:ind w:left="1080" w:hanging="1080"/>
      </w:pPr>
      <w:rPr>
        <w:rFonts w:hint="default" w:ascii="Arial" w:hAnsi="Arial"/>
        <w:b/>
        <w:i w:val="0"/>
        <w:sz w:val="24"/>
      </w:rPr>
    </w:lvl>
    <w:lvl w:ilvl="1" w:tentative="0">
      <w:start w:val="1"/>
      <w:numFmt w:val="decimal"/>
      <w:lvlText w:val="%1.%2"/>
      <w:lvlJc w:val="left"/>
      <w:pPr>
        <w:tabs>
          <w:tab w:val="left" w:pos="1080"/>
        </w:tabs>
        <w:ind w:left="1080" w:hanging="1080"/>
      </w:pPr>
      <w:rPr>
        <w:rFonts w:hint="default" w:ascii="Arial" w:hAnsi="Arial"/>
        <w:b/>
        <w:i w:val="0"/>
        <w:sz w:val="24"/>
      </w:rPr>
    </w:lvl>
    <w:lvl w:ilvl="2" w:tentative="0">
      <w:start w:val="1"/>
      <w:numFmt w:val="decimal"/>
      <w:lvlText w:val="%1.%2.%3"/>
      <w:lvlJc w:val="left"/>
      <w:pPr>
        <w:tabs>
          <w:tab w:val="left" w:pos="1077"/>
        </w:tabs>
        <w:ind w:left="1077" w:hanging="1077"/>
      </w:pPr>
      <w:rPr>
        <w:rFonts w:hint="default" w:ascii="Arial Bold" w:hAnsi="CG Times"/>
        <w:b/>
        <w:i w:val="0"/>
        <w:sz w:val="22"/>
      </w:rPr>
    </w:lvl>
    <w:lvl w:ilvl="3" w:tentative="0">
      <w:start w:val="1"/>
      <w:numFmt w:val="decimal"/>
      <w:lvlText w:val="%1.%2.%3.%4"/>
      <w:lvlJc w:val="left"/>
      <w:pPr>
        <w:tabs>
          <w:tab w:val="left" w:pos="1080"/>
        </w:tabs>
        <w:ind w:left="1080" w:hanging="1080"/>
      </w:pPr>
      <w:rPr>
        <w:rFonts w:hint="default" w:ascii="Times New Roman" w:hAnsi="Times New Roman"/>
        <w:b w:val="0"/>
        <w:i w:val="0"/>
        <w:sz w:val="22"/>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11">
    <w:nsid w:val="4B4441F7"/>
    <w:multiLevelType w:val="singleLevel"/>
    <w:tmpl w:val="4B4441F7"/>
    <w:lvl w:ilvl="0" w:tentative="0">
      <w:start w:val="1"/>
      <w:numFmt w:val="bullet"/>
      <w:pStyle w:val="630"/>
      <w:lvlText w:val=""/>
      <w:lvlJc w:val="left"/>
      <w:pPr>
        <w:tabs>
          <w:tab w:val="left" w:pos="1440"/>
        </w:tabs>
        <w:ind w:left="1440" w:hanging="360"/>
      </w:pPr>
      <w:rPr>
        <w:rFonts w:hint="default" w:ascii="Symbol" w:hAnsi="Symbol"/>
      </w:rPr>
    </w:lvl>
  </w:abstractNum>
  <w:abstractNum w:abstractNumId="12">
    <w:nsid w:val="5FCF64D8"/>
    <w:multiLevelType w:val="multilevel"/>
    <w:tmpl w:val="5FCF64D8"/>
    <w:lvl w:ilvl="0" w:tentative="0">
      <w:start w:val="1"/>
      <w:numFmt w:val="decimal"/>
      <w:pStyle w:val="803"/>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60A45136"/>
    <w:multiLevelType w:val="multilevel"/>
    <w:tmpl w:val="60A4513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13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46260FA"/>
    <w:multiLevelType w:val="multilevel"/>
    <w:tmpl w:val="646260FA"/>
    <w:lvl w:ilvl="0" w:tentative="0">
      <w:start w:val="1"/>
      <w:numFmt w:val="decimal"/>
      <w:pStyle w:val="713"/>
      <w:suff w:val="nothing"/>
      <w:lvlText w:val="表%1　"/>
      <w:lvlJc w:val="left"/>
      <w:pPr>
        <w:ind w:left="2746" w:firstLine="0"/>
      </w:pPr>
      <w:rPr>
        <w:rFonts w:hint="eastAsia" w:ascii="黑体" w:hAnsi="Times New Roman" w:eastAsia="黑体"/>
        <w:b w:val="0"/>
        <w:i w:val="0"/>
        <w:sz w:val="21"/>
      </w:rPr>
    </w:lvl>
    <w:lvl w:ilvl="1" w:tentative="0">
      <w:start w:val="1"/>
      <w:numFmt w:val="decimal"/>
      <w:lvlText w:val="%1.%2"/>
      <w:lvlJc w:val="left"/>
      <w:pPr>
        <w:tabs>
          <w:tab w:val="left" w:pos="3738"/>
        </w:tabs>
        <w:ind w:left="3738" w:hanging="567"/>
      </w:pPr>
      <w:rPr>
        <w:rFonts w:hint="eastAsia"/>
      </w:rPr>
    </w:lvl>
    <w:lvl w:ilvl="2" w:tentative="0">
      <w:start w:val="1"/>
      <w:numFmt w:val="decimal"/>
      <w:lvlText w:val="%1.%2.%3"/>
      <w:lvlJc w:val="left"/>
      <w:pPr>
        <w:tabs>
          <w:tab w:val="left" w:pos="4164"/>
        </w:tabs>
        <w:ind w:left="4164" w:hanging="567"/>
      </w:pPr>
      <w:rPr>
        <w:rFonts w:hint="eastAsia"/>
      </w:rPr>
    </w:lvl>
    <w:lvl w:ilvl="3" w:tentative="0">
      <w:start w:val="1"/>
      <w:numFmt w:val="decimal"/>
      <w:lvlText w:val="%1.%2.%3.%4"/>
      <w:lvlJc w:val="left"/>
      <w:pPr>
        <w:tabs>
          <w:tab w:val="left" w:pos="4730"/>
        </w:tabs>
        <w:ind w:left="4730" w:hanging="708"/>
      </w:pPr>
      <w:rPr>
        <w:rFonts w:hint="eastAsia"/>
      </w:rPr>
    </w:lvl>
    <w:lvl w:ilvl="4" w:tentative="0">
      <w:start w:val="1"/>
      <w:numFmt w:val="decimal"/>
      <w:lvlText w:val="%1.%2.%3.%4.%5"/>
      <w:lvlJc w:val="left"/>
      <w:pPr>
        <w:tabs>
          <w:tab w:val="left" w:pos="5297"/>
        </w:tabs>
        <w:ind w:left="5297" w:hanging="850"/>
      </w:pPr>
      <w:rPr>
        <w:rFonts w:hint="eastAsia"/>
      </w:rPr>
    </w:lvl>
    <w:lvl w:ilvl="5" w:tentative="0">
      <w:start w:val="1"/>
      <w:numFmt w:val="decimal"/>
      <w:lvlText w:val="%1.%2.%3.%4.%5.%6"/>
      <w:lvlJc w:val="left"/>
      <w:pPr>
        <w:tabs>
          <w:tab w:val="left" w:pos="6006"/>
        </w:tabs>
        <w:ind w:left="6006" w:hanging="1134"/>
      </w:pPr>
      <w:rPr>
        <w:rFonts w:hint="eastAsia"/>
      </w:rPr>
    </w:lvl>
    <w:lvl w:ilvl="6" w:tentative="0">
      <w:start w:val="1"/>
      <w:numFmt w:val="decimal"/>
      <w:lvlText w:val="%1.%2.%3.%4.%5.%6.%7"/>
      <w:lvlJc w:val="left"/>
      <w:pPr>
        <w:tabs>
          <w:tab w:val="left" w:pos="6573"/>
        </w:tabs>
        <w:ind w:left="6573" w:hanging="1276"/>
      </w:pPr>
      <w:rPr>
        <w:rFonts w:hint="eastAsia"/>
      </w:rPr>
    </w:lvl>
    <w:lvl w:ilvl="7" w:tentative="0">
      <w:start w:val="1"/>
      <w:numFmt w:val="decimal"/>
      <w:lvlText w:val="%1.%2.%3.%4.%5.%6.%7.%8"/>
      <w:lvlJc w:val="left"/>
      <w:pPr>
        <w:tabs>
          <w:tab w:val="left" w:pos="7140"/>
        </w:tabs>
        <w:ind w:left="7140" w:hanging="1418"/>
      </w:pPr>
      <w:rPr>
        <w:rFonts w:hint="eastAsia"/>
      </w:rPr>
    </w:lvl>
    <w:lvl w:ilvl="8" w:tentative="0">
      <w:start w:val="1"/>
      <w:numFmt w:val="decimal"/>
      <w:lvlText w:val="%1.%2.%3.%4.%5.%6.%7.%8.%9"/>
      <w:lvlJc w:val="left"/>
      <w:pPr>
        <w:tabs>
          <w:tab w:val="left" w:pos="7848"/>
        </w:tabs>
        <w:ind w:left="7848" w:hanging="1700"/>
      </w:pPr>
      <w:rPr>
        <w:rFonts w:hint="eastAsia"/>
      </w:rPr>
    </w:lvl>
  </w:abstractNum>
  <w:abstractNum w:abstractNumId="15">
    <w:nsid w:val="762D1825"/>
    <w:multiLevelType w:val="singleLevel"/>
    <w:tmpl w:val="762D1825"/>
    <w:lvl w:ilvl="0" w:tentative="0">
      <w:start w:val="1"/>
      <w:numFmt w:val="chineseCounting"/>
      <w:suff w:val="nothing"/>
      <w:lvlText w:val="%1、"/>
      <w:lvlJc w:val="left"/>
      <w:rPr>
        <w:rFonts w:hint="eastAsia"/>
      </w:rPr>
    </w:lvl>
  </w:abstractNum>
  <w:num w:numId="1">
    <w:abstractNumId w:val="4"/>
  </w:num>
  <w:num w:numId="2">
    <w:abstractNumId w:val="5"/>
  </w:num>
  <w:num w:numId="3">
    <w:abstractNumId w:val="1"/>
  </w:num>
  <w:num w:numId="4">
    <w:abstractNumId w:val="7"/>
  </w:num>
  <w:num w:numId="5">
    <w:abstractNumId w:val="2"/>
  </w:num>
  <w:num w:numId="6">
    <w:abstractNumId w:val="0"/>
  </w:num>
  <w:num w:numId="7">
    <w:abstractNumId w:val="8"/>
  </w:num>
  <w:num w:numId="8">
    <w:abstractNumId w:val="9"/>
  </w:num>
  <w:num w:numId="9">
    <w:abstractNumId w:val="6"/>
  </w:num>
  <w:num w:numId="10">
    <w:abstractNumId w:val="3"/>
  </w:num>
  <w:num w:numId="11">
    <w:abstractNumId w:val="11"/>
  </w:num>
  <w:num w:numId="12">
    <w:abstractNumId w:val="14"/>
  </w:num>
  <w:num w:numId="13">
    <w:abstractNumId w:val="10"/>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dit="forms" w:enforcement="1" w:cryptProviderType="rsaFull" w:cryptAlgorithmClass="hash" w:cryptAlgorithmType="typeAny" w:cryptAlgorithmSid="4" w:cryptSpinCount="0" w:hash="JuVWIGyRnFHeQvSCIHlrjMuB42I=" w:salt="PqOCdlu3PhSOTFKG/r9CAw=="/>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mYTk3ZWY4MmI2MzJjYWM4NzQ3NDRmODUzNzcwNjcifQ=="/>
  </w:docVars>
  <w:rsids>
    <w:rsidRoot w:val="157D2C29"/>
    <w:rsid w:val="0000311B"/>
    <w:rsid w:val="00004B43"/>
    <w:rsid w:val="000126EC"/>
    <w:rsid w:val="000171D4"/>
    <w:rsid w:val="000173C4"/>
    <w:rsid w:val="000207D2"/>
    <w:rsid w:val="00023DCB"/>
    <w:rsid w:val="00031C53"/>
    <w:rsid w:val="000437FF"/>
    <w:rsid w:val="00044396"/>
    <w:rsid w:val="00053B9E"/>
    <w:rsid w:val="000549D0"/>
    <w:rsid w:val="0005669B"/>
    <w:rsid w:val="00060E95"/>
    <w:rsid w:val="00065533"/>
    <w:rsid w:val="00077933"/>
    <w:rsid w:val="00081DDE"/>
    <w:rsid w:val="00090D8A"/>
    <w:rsid w:val="000942D6"/>
    <w:rsid w:val="000A214F"/>
    <w:rsid w:val="000A3ECC"/>
    <w:rsid w:val="000A44CE"/>
    <w:rsid w:val="000B4233"/>
    <w:rsid w:val="000B427B"/>
    <w:rsid w:val="000B7B12"/>
    <w:rsid w:val="000C2813"/>
    <w:rsid w:val="000D0563"/>
    <w:rsid w:val="000D092B"/>
    <w:rsid w:val="000D0AD6"/>
    <w:rsid w:val="000D18C2"/>
    <w:rsid w:val="000D3DD3"/>
    <w:rsid w:val="000D50DB"/>
    <w:rsid w:val="000E75F4"/>
    <w:rsid w:val="000E7619"/>
    <w:rsid w:val="00101A0A"/>
    <w:rsid w:val="001236D5"/>
    <w:rsid w:val="00123CE9"/>
    <w:rsid w:val="00127F8D"/>
    <w:rsid w:val="001302B0"/>
    <w:rsid w:val="00132347"/>
    <w:rsid w:val="0014015A"/>
    <w:rsid w:val="00141DA4"/>
    <w:rsid w:val="0014663D"/>
    <w:rsid w:val="0015338F"/>
    <w:rsid w:val="001547DF"/>
    <w:rsid w:val="00156865"/>
    <w:rsid w:val="001568F1"/>
    <w:rsid w:val="001776C3"/>
    <w:rsid w:val="00192554"/>
    <w:rsid w:val="001A1B6E"/>
    <w:rsid w:val="001A2280"/>
    <w:rsid w:val="001A5D33"/>
    <w:rsid w:val="001A69E3"/>
    <w:rsid w:val="001A6B2A"/>
    <w:rsid w:val="001B3132"/>
    <w:rsid w:val="001B341F"/>
    <w:rsid w:val="001B63EA"/>
    <w:rsid w:val="001B7D83"/>
    <w:rsid w:val="001C3D10"/>
    <w:rsid w:val="001C4E24"/>
    <w:rsid w:val="001C6113"/>
    <w:rsid w:val="001C6E8B"/>
    <w:rsid w:val="001D35D7"/>
    <w:rsid w:val="001D4371"/>
    <w:rsid w:val="001E5804"/>
    <w:rsid w:val="001E6B20"/>
    <w:rsid w:val="001F1DC3"/>
    <w:rsid w:val="001F6C5C"/>
    <w:rsid w:val="0020144B"/>
    <w:rsid w:val="00204E8F"/>
    <w:rsid w:val="00205B03"/>
    <w:rsid w:val="00206258"/>
    <w:rsid w:val="00210799"/>
    <w:rsid w:val="002120C5"/>
    <w:rsid w:val="00232C54"/>
    <w:rsid w:val="00240849"/>
    <w:rsid w:val="002420E5"/>
    <w:rsid w:val="002421EC"/>
    <w:rsid w:val="00247492"/>
    <w:rsid w:val="0025107C"/>
    <w:rsid w:val="00253E1D"/>
    <w:rsid w:val="0025534E"/>
    <w:rsid w:val="00255C3F"/>
    <w:rsid w:val="0026244C"/>
    <w:rsid w:val="00271F42"/>
    <w:rsid w:val="002728F7"/>
    <w:rsid w:val="00275AB8"/>
    <w:rsid w:val="00281A0E"/>
    <w:rsid w:val="00282147"/>
    <w:rsid w:val="00286544"/>
    <w:rsid w:val="00290FB3"/>
    <w:rsid w:val="002A1694"/>
    <w:rsid w:val="002B6311"/>
    <w:rsid w:val="002D3A85"/>
    <w:rsid w:val="002D56D0"/>
    <w:rsid w:val="002D5C68"/>
    <w:rsid w:val="002D6E0C"/>
    <w:rsid w:val="002E3722"/>
    <w:rsid w:val="002E4399"/>
    <w:rsid w:val="002F0589"/>
    <w:rsid w:val="002F0CCD"/>
    <w:rsid w:val="002F1969"/>
    <w:rsid w:val="002F5212"/>
    <w:rsid w:val="00300CD9"/>
    <w:rsid w:val="003010B5"/>
    <w:rsid w:val="00305C27"/>
    <w:rsid w:val="0031347F"/>
    <w:rsid w:val="00314828"/>
    <w:rsid w:val="00314BB6"/>
    <w:rsid w:val="00317733"/>
    <w:rsid w:val="00320997"/>
    <w:rsid w:val="00323E93"/>
    <w:rsid w:val="00325F38"/>
    <w:rsid w:val="0032607A"/>
    <w:rsid w:val="00326FC1"/>
    <w:rsid w:val="00332D17"/>
    <w:rsid w:val="00335471"/>
    <w:rsid w:val="00342997"/>
    <w:rsid w:val="00345D94"/>
    <w:rsid w:val="00347C61"/>
    <w:rsid w:val="00352C25"/>
    <w:rsid w:val="00354DAB"/>
    <w:rsid w:val="003573B7"/>
    <w:rsid w:val="0036193D"/>
    <w:rsid w:val="00361C95"/>
    <w:rsid w:val="00364A11"/>
    <w:rsid w:val="00370E79"/>
    <w:rsid w:val="00373734"/>
    <w:rsid w:val="003741BD"/>
    <w:rsid w:val="00374633"/>
    <w:rsid w:val="003773E4"/>
    <w:rsid w:val="00381EFA"/>
    <w:rsid w:val="003907DC"/>
    <w:rsid w:val="0039081C"/>
    <w:rsid w:val="00393941"/>
    <w:rsid w:val="003B2CB8"/>
    <w:rsid w:val="003B4887"/>
    <w:rsid w:val="003B58E0"/>
    <w:rsid w:val="003B7965"/>
    <w:rsid w:val="003C2034"/>
    <w:rsid w:val="003C3F96"/>
    <w:rsid w:val="003C4E4B"/>
    <w:rsid w:val="003C52A9"/>
    <w:rsid w:val="003D02D0"/>
    <w:rsid w:val="003D043C"/>
    <w:rsid w:val="003D1C98"/>
    <w:rsid w:val="003E7D26"/>
    <w:rsid w:val="003F6440"/>
    <w:rsid w:val="004045E7"/>
    <w:rsid w:val="00410270"/>
    <w:rsid w:val="00415C02"/>
    <w:rsid w:val="00420B11"/>
    <w:rsid w:val="004263AF"/>
    <w:rsid w:val="004310EF"/>
    <w:rsid w:val="00432CFE"/>
    <w:rsid w:val="00436E59"/>
    <w:rsid w:val="00437FBB"/>
    <w:rsid w:val="00441BA9"/>
    <w:rsid w:val="00455217"/>
    <w:rsid w:val="00455F62"/>
    <w:rsid w:val="00457B9C"/>
    <w:rsid w:val="0046202F"/>
    <w:rsid w:val="004645B2"/>
    <w:rsid w:val="004728D1"/>
    <w:rsid w:val="00472DDC"/>
    <w:rsid w:val="00484B9E"/>
    <w:rsid w:val="0048753F"/>
    <w:rsid w:val="004B598C"/>
    <w:rsid w:val="004C75A6"/>
    <w:rsid w:val="004C7E3B"/>
    <w:rsid w:val="004D10F6"/>
    <w:rsid w:val="004D3C49"/>
    <w:rsid w:val="004D5E5D"/>
    <w:rsid w:val="004D7009"/>
    <w:rsid w:val="004E3DA3"/>
    <w:rsid w:val="004F68A5"/>
    <w:rsid w:val="005175F1"/>
    <w:rsid w:val="00520609"/>
    <w:rsid w:val="005226EE"/>
    <w:rsid w:val="00524265"/>
    <w:rsid w:val="0052542C"/>
    <w:rsid w:val="00531ADF"/>
    <w:rsid w:val="005504AE"/>
    <w:rsid w:val="005506CA"/>
    <w:rsid w:val="00563A11"/>
    <w:rsid w:val="00567E84"/>
    <w:rsid w:val="005742ED"/>
    <w:rsid w:val="00580EF8"/>
    <w:rsid w:val="00582610"/>
    <w:rsid w:val="005930D3"/>
    <w:rsid w:val="005945B3"/>
    <w:rsid w:val="0059699F"/>
    <w:rsid w:val="005A6F1B"/>
    <w:rsid w:val="005B064B"/>
    <w:rsid w:val="005B22F5"/>
    <w:rsid w:val="005C1065"/>
    <w:rsid w:val="005C74D6"/>
    <w:rsid w:val="005D3386"/>
    <w:rsid w:val="005D72E9"/>
    <w:rsid w:val="005D7409"/>
    <w:rsid w:val="005E1244"/>
    <w:rsid w:val="005E37EC"/>
    <w:rsid w:val="005E62CF"/>
    <w:rsid w:val="005F0D14"/>
    <w:rsid w:val="005F5B76"/>
    <w:rsid w:val="0060014B"/>
    <w:rsid w:val="00607F69"/>
    <w:rsid w:val="0062031E"/>
    <w:rsid w:val="00630E99"/>
    <w:rsid w:val="00634359"/>
    <w:rsid w:val="00634663"/>
    <w:rsid w:val="0063636B"/>
    <w:rsid w:val="00637061"/>
    <w:rsid w:val="00640B5F"/>
    <w:rsid w:val="00641C1B"/>
    <w:rsid w:val="00644425"/>
    <w:rsid w:val="00647DE1"/>
    <w:rsid w:val="00655209"/>
    <w:rsid w:val="00657A0B"/>
    <w:rsid w:val="00660E1C"/>
    <w:rsid w:val="0066199D"/>
    <w:rsid w:val="00661F84"/>
    <w:rsid w:val="006634C5"/>
    <w:rsid w:val="006664A6"/>
    <w:rsid w:val="00675ED2"/>
    <w:rsid w:val="00676947"/>
    <w:rsid w:val="00684419"/>
    <w:rsid w:val="00686CF6"/>
    <w:rsid w:val="00695219"/>
    <w:rsid w:val="006A1ACF"/>
    <w:rsid w:val="006A3806"/>
    <w:rsid w:val="006A56C6"/>
    <w:rsid w:val="006A6D2B"/>
    <w:rsid w:val="006A74D4"/>
    <w:rsid w:val="006B0498"/>
    <w:rsid w:val="006B0CCD"/>
    <w:rsid w:val="006B2B8F"/>
    <w:rsid w:val="006C0C1A"/>
    <w:rsid w:val="006C7AC9"/>
    <w:rsid w:val="006D0ADC"/>
    <w:rsid w:val="006D5186"/>
    <w:rsid w:val="006D6AC3"/>
    <w:rsid w:val="006E10E8"/>
    <w:rsid w:val="006E4C0A"/>
    <w:rsid w:val="006F275C"/>
    <w:rsid w:val="0070096B"/>
    <w:rsid w:val="0070619A"/>
    <w:rsid w:val="00707C10"/>
    <w:rsid w:val="00713F3F"/>
    <w:rsid w:val="00716FB9"/>
    <w:rsid w:val="007200C4"/>
    <w:rsid w:val="00723FEF"/>
    <w:rsid w:val="00730FD1"/>
    <w:rsid w:val="00737032"/>
    <w:rsid w:val="00741603"/>
    <w:rsid w:val="0074175F"/>
    <w:rsid w:val="007419FB"/>
    <w:rsid w:val="00752A4F"/>
    <w:rsid w:val="00760350"/>
    <w:rsid w:val="00765F60"/>
    <w:rsid w:val="00771E29"/>
    <w:rsid w:val="00775C37"/>
    <w:rsid w:val="00787960"/>
    <w:rsid w:val="007953CE"/>
    <w:rsid w:val="00796793"/>
    <w:rsid w:val="0079718B"/>
    <w:rsid w:val="007B58EA"/>
    <w:rsid w:val="007B6311"/>
    <w:rsid w:val="007C4F37"/>
    <w:rsid w:val="007C4FDF"/>
    <w:rsid w:val="007C619E"/>
    <w:rsid w:val="007E10FF"/>
    <w:rsid w:val="007E5BE7"/>
    <w:rsid w:val="007E783D"/>
    <w:rsid w:val="007F729E"/>
    <w:rsid w:val="00807FA7"/>
    <w:rsid w:val="008120BF"/>
    <w:rsid w:val="008279F3"/>
    <w:rsid w:val="00831FF6"/>
    <w:rsid w:val="00841524"/>
    <w:rsid w:val="00841C7E"/>
    <w:rsid w:val="00846379"/>
    <w:rsid w:val="008471D8"/>
    <w:rsid w:val="0085418D"/>
    <w:rsid w:val="00873471"/>
    <w:rsid w:val="00874A75"/>
    <w:rsid w:val="00876BEC"/>
    <w:rsid w:val="00877B45"/>
    <w:rsid w:val="008839AC"/>
    <w:rsid w:val="008971DE"/>
    <w:rsid w:val="008A084D"/>
    <w:rsid w:val="008A20F4"/>
    <w:rsid w:val="008A4F9D"/>
    <w:rsid w:val="008A6230"/>
    <w:rsid w:val="008B07DD"/>
    <w:rsid w:val="008B083A"/>
    <w:rsid w:val="008B0D88"/>
    <w:rsid w:val="008B4103"/>
    <w:rsid w:val="008B677E"/>
    <w:rsid w:val="008C30FE"/>
    <w:rsid w:val="008E56A9"/>
    <w:rsid w:val="008E7AAA"/>
    <w:rsid w:val="008F3198"/>
    <w:rsid w:val="008F482C"/>
    <w:rsid w:val="008F4FC4"/>
    <w:rsid w:val="008F7B54"/>
    <w:rsid w:val="008F7BB7"/>
    <w:rsid w:val="0090089E"/>
    <w:rsid w:val="009135FC"/>
    <w:rsid w:val="009170E6"/>
    <w:rsid w:val="00932C62"/>
    <w:rsid w:val="00932CBF"/>
    <w:rsid w:val="00933229"/>
    <w:rsid w:val="009359F5"/>
    <w:rsid w:val="00935FF6"/>
    <w:rsid w:val="009436F8"/>
    <w:rsid w:val="00943BAF"/>
    <w:rsid w:val="00950427"/>
    <w:rsid w:val="0095211D"/>
    <w:rsid w:val="009572AC"/>
    <w:rsid w:val="00965750"/>
    <w:rsid w:val="009725F2"/>
    <w:rsid w:val="00972A66"/>
    <w:rsid w:val="00973484"/>
    <w:rsid w:val="00977AC5"/>
    <w:rsid w:val="009900E7"/>
    <w:rsid w:val="00992458"/>
    <w:rsid w:val="009A3D00"/>
    <w:rsid w:val="009A41A8"/>
    <w:rsid w:val="009A7D99"/>
    <w:rsid w:val="009B150E"/>
    <w:rsid w:val="009B1BFD"/>
    <w:rsid w:val="009C0F0E"/>
    <w:rsid w:val="009C19B8"/>
    <w:rsid w:val="009D10F4"/>
    <w:rsid w:val="009D3084"/>
    <w:rsid w:val="009D3346"/>
    <w:rsid w:val="009D3B63"/>
    <w:rsid w:val="009E3449"/>
    <w:rsid w:val="009E502F"/>
    <w:rsid w:val="009E533F"/>
    <w:rsid w:val="009F495D"/>
    <w:rsid w:val="009F56FD"/>
    <w:rsid w:val="009F71DB"/>
    <w:rsid w:val="00A105DC"/>
    <w:rsid w:val="00A11ED0"/>
    <w:rsid w:val="00A231AE"/>
    <w:rsid w:val="00A25DC2"/>
    <w:rsid w:val="00A276D3"/>
    <w:rsid w:val="00A349A3"/>
    <w:rsid w:val="00A375F9"/>
    <w:rsid w:val="00A41666"/>
    <w:rsid w:val="00A43597"/>
    <w:rsid w:val="00A51FCF"/>
    <w:rsid w:val="00A5298A"/>
    <w:rsid w:val="00A52D5A"/>
    <w:rsid w:val="00A60C3A"/>
    <w:rsid w:val="00A724FE"/>
    <w:rsid w:val="00A812E8"/>
    <w:rsid w:val="00A831CA"/>
    <w:rsid w:val="00A86CD2"/>
    <w:rsid w:val="00A87B30"/>
    <w:rsid w:val="00A90B17"/>
    <w:rsid w:val="00A9594E"/>
    <w:rsid w:val="00AA5649"/>
    <w:rsid w:val="00AB0ADF"/>
    <w:rsid w:val="00AB3EB0"/>
    <w:rsid w:val="00AB7344"/>
    <w:rsid w:val="00AB7724"/>
    <w:rsid w:val="00AC7276"/>
    <w:rsid w:val="00AD02CF"/>
    <w:rsid w:val="00AD117A"/>
    <w:rsid w:val="00AD3C9C"/>
    <w:rsid w:val="00AD532C"/>
    <w:rsid w:val="00AD7241"/>
    <w:rsid w:val="00AE2229"/>
    <w:rsid w:val="00AF0356"/>
    <w:rsid w:val="00AF0B98"/>
    <w:rsid w:val="00AF0D20"/>
    <w:rsid w:val="00B05FE6"/>
    <w:rsid w:val="00B06AE1"/>
    <w:rsid w:val="00B071BA"/>
    <w:rsid w:val="00B10438"/>
    <w:rsid w:val="00B20DA3"/>
    <w:rsid w:val="00B2113E"/>
    <w:rsid w:val="00B212A9"/>
    <w:rsid w:val="00B257D6"/>
    <w:rsid w:val="00B37C3D"/>
    <w:rsid w:val="00B425FF"/>
    <w:rsid w:val="00B4472D"/>
    <w:rsid w:val="00B57AC0"/>
    <w:rsid w:val="00B63C61"/>
    <w:rsid w:val="00B8275E"/>
    <w:rsid w:val="00B82854"/>
    <w:rsid w:val="00B93740"/>
    <w:rsid w:val="00B95DE2"/>
    <w:rsid w:val="00BA04D5"/>
    <w:rsid w:val="00BA06C4"/>
    <w:rsid w:val="00BB4391"/>
    <w:rsid w:val="00BC361E"/>
    <w:rsid w:val="00BD2D60"/>
    <w:rsid w:val="00BD44B4"/>
    <w:rsid w:val="00BD6961"/>
    <w:rsid w:val="00BE38DD"/>
    <w:rsid w:val="00BF2330"/>
    <w:rsid w:val="00BF49CD"/>
    <w:rsid w:val="00BF535F"/>
    <w:rsid w:val="00C13FF3"/>
    <w:rsid w:val="00C20A04"/>
    <w:rsid w:val="00C2104F"/>
    <w:rsid w:val="00C23E20"/>
    <w:rsid w:val="00C24129"/>
    <w:rsid w:val="00C37E15"/>
    <w:rsid w:val="00C46A85"/>
    <w:rsid w:val="00C46E3B"/>
    <w:rsid w:val="00C50BE9"/>
    <w:rsid w:val="00C512D8"/>
    <w:rsid w:val="00C57149"/>
    <w:rsid w:val="00C604AE"/>
    <w:rsid w:val="00C611CC"/>
    <w:rsid w:val="00C63A70"/>
    <w:rsid w:val="00C7138E"/>
    <w:rsid w:val="00C7165F"/>
    <w:rsid w:val="00C7453C"/>
    <w:rsid w:val="00C80158"/>
    <w:rsid w:val="00C85FB1"/>
    <w:rsid w:val="00C91499"/>
    <w:rsid w:val="00CB056E"/>
    <w:rsid w:val="00CB12CD"/>
    <w:rsid w:val="00CB1487"/>
    <w:rsid w:val="00CC171C"/>
    <w:rsid w:val="00CC3896"/>
    <w:rsid w:val="00CC5882"/>
    <w:rsid w:val="00CC7248"/>
    <w:rsid w:val="00CC7492"/>
    <w:rsid w:val="00CD36FB"/>
    <w:rsid w:val="00CE4E7C"/>
    <w:rsid w:val="00D00F33"/>
    <w:rsid w:val="00D030E8"/>
    <w:rsid w:val="00D14BAB"/>
    <w:rsid w:val="00D24A52"/>
    <w:rsid w:val="00D24C49"/>
    <w:rsid w:val="00D25D19"/>
    <w:rsid w:val="00D403B2"/>
    <w:rsid w:val="00D5235E"/>
    <w:rsid w:val="00D63916"/>
    <w:rsid w:val="00D72B17"/>
    <w:rsid w:val="00D80AF7"/>
    <w:rsid w:val="00D82C8E"/>
    <w:rsid w:val="00D9384C"/>
    <w:rsid w:val="00D97D8A"/>
    <w:rsid w:val="00DA0420"/>
    <w:rsid w:val="00DA1E50"/>
    <w:rsid w:val="00DA2718"/>
    <w:rsid w:val="00DA39C9"/>
    <w:rsid w:val="00DA3EC3"/>
    <w:rsid w:val="00DA4D23"/>
    <w:rsid w:val="00DA50D3"/>
    <w:rsid w:val="00DA553C"/>
    <w:rsid w:val="00DB09F5"/>
    <w:rsid w:val="00DB3181"/>
    <w:rsid w:val="00DC3848"/>
    <w:rsid w:val="00DC48A9"/>
    <w:rsid w:val="00DC665E"/>
    <w:rsid w:val="00DC710A"/>
    <w:rsid w:val="00DD6426"/>
    <w:rsid w:val="00DD6A5A"/>
    <w:rsid w:val="00DE05A7"/>
    <w:rsid w:val="00DE6ED0"/>
    <w:rsid w:val="00DF3193"/>
    <w:rsid w:val="00DF3EC6"/>
    <w:rsid w:val="00E12136"/>
    <w:rsid w:val="00E1570B"/>
    <w:rsid w:val="00E17A6D"/>
    <w:rsid w:val="00E219B6"/>
    <w:rsid w:val="00E22E08"/>
    <w:rsid w:val="00E23C54"/>
    <w:rsid w:val="00E24952"/>
    <w:rsid w:val="00E409AD"/>
    <w:rsid w:val="00E512A6"/>
    <w:rsid w:val="00E56BBB"/>
    <w:rsid w:val="00E57521"/>
    <w:rsid w:val="00E61150"/>
    <w:rsid w:val="00E66351"/>
    <w:rsid w:val="00E809FE"/>
    <w:rsid w:val="00E84D07"/>
    <w:rsid w:val="00E9148C"/>
    <w:rsid w:val="00E92714"/>
    <w:rsid w:val="00E93155"/>
    <w:rsid w:val="00E96EB1"/>
    <w:rsid w:val="00EA14AA"/>
    <w:rsid w:val="00EA1D3B"/>
    <w:rsid w:val="00EA2B19"/>
    <w:rsid w:val="00EB2C1D"/>
    <w:rsid w:val="00EB5562"/>
    <w:rsid w:val="00EB62B8"/>
    <w:rsid w:val="00EB7136"/>
    <w:rsid w:val="00EC5252"/>
    <w:rsid w:val="00EC54F4"/>
    <w:rsid w:val="00EC7413"/>
    <w:rsid w:val="00ED0AF4"/>
    <w:rsid w:val="00ED163C"/>
    <w:rsid w:val="00ED6291"/>
    <w:rsid w:val="00EE153A"/>
    <w:rsid w:val="00EF3F12"/>
    <w:rsid w:val="00EF4979"/>
    <w:rsid w:val="00F12C87"/>
    <w:rsid w:val="00F1746D"/>
    <w:rsid w:val="00F236E2"/>
    <w:rsid w:val="00F24298"/>
    <w:rsid w:val="00F24BD6"/>
    <w:rsid w:val="00F43150"/>
    <w:rsid w:val="00F44E8F"/>
    <w:rsid w:val="00F54E09"/>
    <w:rsid w:val="00F57064"/>
    <w:rsid w:val="00F57C8A"/>
    <w:rsid w:val="00F617AC"/>
    <w:rsid w:val="00F66013"/>
    <w:rsid w:val="00F8590E"/>
    <w:rsid w:val="00F87103"/>
    <w:rsid w:val="00F93CA6"/>
    <w:rsid w:val="00F97438"/>
    <w:rsid w:val="00FA2579"/>
    <w:rsid w:val="00FB4EEA"/>
    <w:rsid w:val="00FC255D"/>
    <w:rsid w:val="00FD01FA"/>
    <w:rsid w:val="00FD1601"/>
    <w:rsid w:val="00FD5F7F"/>
    <w:rsid w:val="00FD6F51"/>
    <w:rsid w:val="00FE035B"/>
    <w:rsid w:val="00FE3B28"/>
    <w:rsid w:val="00FE6C12"/>
    <w:rsid w:val="00FF482F"/>
    <w:rsid w:val="00FF6D3F"/>
    <w:rsid w:val="0FC5208C"/>
    <w:rsid w:val="11470A68"/>
    <w:rsid w:val="157D2C29"/>
    <w:rsid w:val="18124A2A"/>
    <w:rsid w:val="233411E8"/>
    <w:rsid w:val="239D7513"/>
    <w:rsid w:val="29DE72B3"/>
    <w:rsid w:val="34636231"/>
    <w:rsid w:val="3C512507"/>
    <w:rsid w:val="3E6E3DBF"/>
    <w:rsid w:val="418A5C57"/>
    <w:rsid w:val="4BDF1E2F"/>
    <w:rsid w:val="5BCC11B1"/>
    <w:rsid w:val="669B74D0"/>
    <w:rsid w:val="6B232B08"/>
    <w:rsid w:val="6ECF0C96"/>
    <w:rsid w:val="706677D0"/>
    <w:rsid w:val="75896C98"/>
    <w:rsid w:val="79DF0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0" w:semiHidden="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13"/>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72"/>
    <w:unhideWhenUsed/>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link w:val="193"/>
    <w:qFormat/>
    <w:uiPriority w:val="0"/>
    <w:pPr>
      <w:keepNext/>
      <w:widowControl/>
      <w:overflowPunct w:val="0"/>
      <w:autoSpaceDE w:val="0"/>
      <w:autoSpaceDN w:val="0"/>
      <w:adjustRightInd w:val="0"/>
      <w:spacing w:before="120" w:line="480" w:lineRule="exact"/>
      <w:ind w:left="850" w:hanging="425"/>
      <w:textAlignment w:val="baseline"/>
      <w:outlineLvl w:val="2"/>
    </w:pPr>
    <w:rPr>
      <w:rFonts w:ascii="宋体" w:hAnsi="Arial"/>
      <w:color w:val="000000"/>
      <w:spacing w:val="24"/>
      <w:kern w:val="28"/>
      <w:sz w:val="28"/>
      <w:szCs w:val="20"/>
      <w:lang w:val="zh-CN"/>
    </w:rPr>
  </w:style>
  <w:style w:type="paragraph" w:styleId="7">
    <w:name w:val="heading 4"/>
    <w:basedOn w:val="1"/>
    <w:next w:val="1"/>
    <w:link w:val="184"/>
    <w:unhideWhenUsed/>
    <w:qFormat/>
    <w:uiPriority w:val="0"/>
    <w:pPr>
      <w:keepNext/>
      <w:keepLines/>
      <w:widowControl/>
      <w:spacing w:before="280" w:after="290" w:line="376" w:lineRule="auto"/>
      <w:ind w:firstLine="200" w:firstLineChars="200"/>
      <w:outlineLvl w:val="3"/>
    </w:pPr>
    <w:rPr>
      <w:rFonts w:ascii="Cambria" w:hAnsi="Cambria"/>
      <w:b/>
      <w:bCs/>
      <w:sz w:val="28"/>
      <w:szCs w:val="28"/>
      <w:lang w:val="zh-CN"/>
    </w:rPr>
  </w:style>
  <w:style w:type="paragraph" w:styleId="8">
    <w:name w:val="heading 5"/>
    <w:basedOn w:val="1"/>
    <w:next w:val="1"/>
    <w:link w:val="194"/>
    <w:qFormat/>
    <w:uiPriority w:val="0"/>
    <w:pPr>
      <w:keepNext/>
      <w:widowControl/>
      <w:tabs>
        <w:tab w:val="left" w:pos="0"/>
      </w:tabs>
      <w:overflowPunct w:val="0"/>
      <w:autoSpaceDE w:val="0"/>
      <w:autoSpaceDN w:val="0"/>
      <w:adjustRightInd w:val="0"/>
      <w:spacing w:before="120" w:after="80" w:line="480" w:lineRule="exact"/>
      <w:ind w:left="1700" w:hanging="425"/>
      <w:textAlignment w:val="baseline"/>
      <w:outlineLvl w:val="4"/>
    </w:pPr>
    <w:rPr>
      <w:rFonts w:ascii="Arial" w:hAnsi="Arial"/>
      <w:b/>
      <w:color w:val="000000"/>
      <w:kern w:val="28"/>
      <w:sz w:val="24"/>
      <w:szCs w:val="20"/>
      <w:lang w:val="zh-CN"/>
    </w:rPr>
  </w:style>
  <w:style w:type="paragraph" w:styleId="9">
    <w:name w:val="heading 6"/>
    <w:basedOn w:val="1"/>
    <w:next w:val="1"/>
    <w:link w:val="195"/>
    <w:qFormat/>
    <w:uiPriority w:val="0"/>
    <w:pPr>
      <w:keepNext/>
      <w:widowControl/>
      <w:tabs>
        <w:tab w:val="left" w:pos="0"/>
      </w:tabs>
      <w:overflowPunct w:val="0"/>
      <w:autoSpaceDE w:val="0"/>
      <w:autoSpaceDN w:val="0"/>
      <w:adjustRightInd w:val="0"/>
      <w:spacing w:before="120" w:after="80" w:line="480" w:lineRule="exact"/>
      <w:ind w:left="2125" w:hanging="425"/>
      <w:textAlignment w:val="baseline"/>
      <w:outlineLvl w:val="5"/>
    </w:pPr>
    <w:rPr>
      <w:rFonts w:ascii="Arial" w:hAnsi="Arial"/>
      <w:b/>
      <w:i/>
      <w:color w:val="000000"/>
      <w:kern w:val="28"/>
      <w:sz w:val="24"/>
      <w:szCs w:val="20"/>
      <w:lang w:val="zh-CN"/>
    </w:rPr>
  </w:style>
  <w:style w:type="paragraph" w:styleId="10">
    <w:name w:val="heading 7"/>
    <w:basedOn w:val="1"/>
    <w:next w:val="1"/>
    <w:link w:val="196"/>
    <w:qFormat/>
    <w:uiPriority w:val="0"/>
    <w:pPr>
      <w:keepNext/>
      <w:widowControl/>
      <w:tabs>
        <w:tab w:val="left" w:pos="0"/>
      </w:tabs>
      <w:overflowPunct w:val="0"/>
      <w:autoSpaceDE w:val="0"/>
      <w:autoSpaceDN w:val="0"/>
      <w:adjustRightInd w:val="0"/>
      <w:spacing w:before="80" w:after="60" w:line="480" w:lineRule="exact"/>
      <w:ind w:left="2550" w:hanging="425"/>
      <w:textAlignment w:val="baseline"/>
      <w:outlineLvl w:val="6"/>
    </w:pPr>
    <w:rPr>
      <w:rFonts w:ascii="宋体" w:hAnsi="Arial"/>
      <w:b/>
      <w:color w:val="000000"/>
      <w:kern w:val="28"/>
      <w:sz w:val="24"/>
      <w:szCs w:val="20"/>
      <w:lang w:val="zh-CN"/>
    </w:rPr>
  </w:style>
  <w:style w:type="paragraph" w:styleId="11">
    <w:name w:val="heading 8"/>
    <w:basedOn w:val="1"/>
    <w:next w:val="1"/>
    <w:link w:val="197"/>
    <w:qFormat/>
    <w:uiPriority w:val="0"/>
    <w:pPr>
      <w:keepNext/>
      <w:widowControl/>
      <w:tabs>
        <w:tab w:val="left" w:pos="0"/>
      </w:tabs>
      <w:overflowPunct w:val="0"/>
      <w:autoSpaceDE w:val="0"/>
      <w:autoSpaceDN w:val="0"/>
      <w:adjustRightInd w:val="0"/>
      <w:spacing w:before="80" w:after="60" w:line="480" w:lineRule="exact"/>
      <w:ind w:left="2975" w:hanging="425"/>
      <w:textAlignment w:val="baseline"/>
      <w:outlineLvl w:val="7"/>
    </w:pPr>
    <w:rPr>
      <w:rFonts w:ascii="宋体" w:hAnsi="Arial"/>
      <w:b/>
      <w:i/>
      <w:color w:val="000000"/>
      <w:kern w:val="28"/>
      <w:sz w:val="24"/>
      <w:szCs w:val="20"/>
      <w:lang w:val="zh-CN"/>
    </w:rPr>
  </w:style>
  <w:style w:type="paragraph" w:styleId="12">
    <w:name w:val="heading 9"/>
    <w:basedOn w:val="1"/>
    <w:next w:val="1"/>
    <w:link w:val="198"/>
    <w:qFormat/>
    <w:uiPriority w:val="0"/>
    <w:pPr>
      <w:keepNext/>
      <w:widowControl/>
      <w:tabs>
        <w:tab w:val="left" w:pos="0"/>
      </w:tabs>
      <w:overflowPunct w:val="0"/>
      <w:autoSpaceDE w:val="0"/>
      <w:autoSpaceDN w:val="0"/>
      <w:adjustRightInd w:val="0"/>
      <w:spacing w:before="80" w:after="60" w:line="480" w:lineRule="exact"/>
      <w:ind w:left="3400" w:hanging="425"/>
      <w:textAlignment w:val="baseline"/>
      <w:outlineLvl w:val="8"/>
    </w:pPr>
    <w:rPr>
      <w:rFonts w:ascii="宋体" w:hAnsi="Arial"/>
      <w:b/>
      <w:i/>
      <w:color w:val="000000"/>
      <w:kern w:val="28"/>
      <w:sz w:val="24"/>
      <w:szCs w:val="20"/>
      <w:lang w:val="zh-CN"/>
    </w:rPr>
  </w:style>
  <w:style w:type="character" w:default="1" w:styleId="96">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15"/>
    <w:qFormat/>
    <w:uiPriority w:val="0"/>
    <w:pPr>
      <w:pBdr>
        <w:bottom w:val="single" w:color="auto" w:sz="6" w:space="1"/>
      </w:pBdr>
      <w:tabs>
        <w:tab w:val="center" w:pos="4153"/>
        <w:tab w:val="right" w:pos="8306"/>
      </w:tabs>
      <w:snapToGrid w:val="0"/>
      <w:jc w:val="center"/>
    </w:pPr>
    <w:rPr>
      <w:sz w:val="18"/>
      <w:szCs w:val="18"/>
    </w:rPr>
  </w:style>
  <w:style w:type="paragraph" w:styleId="3">
    <w:name w:val="macro"/>
    <w:link w:val="117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widowControl/>
      <w:spacing w:line="360" w:lineRule="auto"/>
      <w:ind w:left="100" w:leftChars="400" w:hanging="200" w:hangingChars="200"/>
      <w:contextualSpacing/>
    </w:pPr>
    <w:rPr>
      <w:sz w:val="24"/>
      <w:szCs w:val="20"/>
    </w:rPr>
  </w:style>
  <w:style w:type="paragraph" w:styleId="14">
    <w:name w:val="toc 7"/>
    <w:basedOn w:val="1"/>
    <w:next w:val="1"/>
    <w:qFormat/>
    <w:uiPriority w:val="39"/>
    <w:pPr>
      <w:adjustRightInd w:val="0"/>
      <w:snapToGrid w:val="0"/>
      <w:spacing w:line="440" w:lineRule="exact"/>
      <w:ind w:left="1440" w:firstLine="832" w:firstLineChars="200"/>
      <w:jc w:val="left"/>
    </w:pPr>
    <w:rPr>
      <w:rFonts w:ascii="Calibri" w:hAnsi="Calibri" w:cs="Calibri"/>
      <w:sz w:val="18"/>
      <w:szCs w:val="18"/>
    </w:rPr>
  </w:style>
  <w:style w:type="paragraph" w:styleId="15">
    <w:name w:val="List Number 2"/>
    <w:basedOn w:val="1"/>
    <w:qFormat/>
    <w:uiPriority w:val="0"/>
    <w:pPr>
      <w:numPr>
        <w:ilvl w:val="0"/>
        <w:numId w:val="1"/>
      </w:numPr>
      <w:adjustRightInd w:val="0"/>
      <w:snapToGrid w:val="0"/>
      <w:spacing w:line="440" w:lineRule="exact"/>
      <w:ind w:firstLine="200" w:firstLineChars="200"/>
    </w:pPr>
    <w:rPr>
      <w:rFonts w:ascii="宋体" w:hAnsi="Courier New"/>
      <w:sz w:val="26"/>
      <w:szCs w:val="20"/>
    </w:rPr>
  </w:style>
  <w:style w:type="paragraph" w:styleId="16">
    <w:name w:val="table of authorities"/>
    <w:basedOn w:val="1"/>
    <w:next w:val="1"/>
    <w:qFormat/>
    <w:uiPriority w:val="0"/>
    <w:pPr>
      <w:adjustRightInd w:val="0"/>
      <w:snapToGrid w:val="0"/>
      <w:spacing w:line="440" w:lineRule="exact"/>
      <w:ind w:left="420" w:leftChars="200" w:firstLine="832" w:firstLineChars="200"/>
    </w:pPr>
    <w:rPr>
      <w:rFonts w:ascii="宋体" w:hAnsi="Courier New"/>
      <w:sz w:val="26"/>
      <w:szCs w:val="20"/>
    </w:rPr>
  </w:style>
  <w:style w:type="paragraph" w:styleId="17">
    <w:name w:val="Note Heading"/>
    <w:basedOn w:val="1"/>
    <w:next w:val="1"/>
    <w:link w:val="1171"/>
    <w:qFormat/>
    <w:uiPriority w:val="0"/>
    <w:pPr>
      <w:adjustRightInd w:val="0"/>
      <w:snapToGrid w:val="0"/>
      <w:spacing w:line="440" w:lineRule="exact"/>
      <w:jc w:val="center"/>
    </w:pPr>
    <w:rPr>
      <w:rFonts w:ascii="宋体" w:hAnsi="宋体"/>
      <w:sz w:val="24"/>
      <w:szCs w:val="20"/>
    </w:rPr>
  </w:style>
  <w:style w:type="paragraph" w:styleId="18">
    <w:name w:val="List Bullet 4"/>
    <w:basedOn w:val="1"/>
    <w:qFormat/>
    <w:uiPriority w:val="0"/>
    <w:pPr>
      <w:numPr>
        <w:ilvl w:val="0"/>
        <w:numId w:val="2"/>
      </w:numPr>
      <w:adjustRightInd w:val="0"/>
      <w:snapToGrid w:val="0"/>
      <w:spacing w:line="440" w:lineRule="exact"/>
      <w:ind w:firstLine="200" w:firstLineChars="200"/>
    </w:pPr>
    <w:rPr>
      <w:rFonts w:ascii="宋体" w:hAnsi="Courier New"/>
      <w:sz w:val="26"/>
      <w:szCs w:val="20"/>
    </w:rPr>
  </w:style>
  <w:style w:type="paragraph" w:styleId="19">
    <w:name w:val="index 8"/>
    <w:basedOn w:val="1"/>
    <w:next w:val="1"/>
    <w:qFormat/>
    <w:uiPriority w:val="0"/>
    <w:pPr>
      <w:ind w:left="2940"/>
    </w:pPr>
    <w:rPr>
      <w:szCs w:val="21"/>
    </w:rPr>
  </w:style>
  <w:style w:type="paragraph" w:styleId="20">
    <w:name w:val="E-mail Signature"/>
    <w:basedOn w:val="1"/>
    <w:link w:val="1172"/>
    <w:qFormat/>
    <w:uiPriority w:val="0"/>
    <w:pPr>
      <w:adjustRightInd w:val="0"/>
      <w:snapToGrid w:val="0"/>
      <w:spacing w:line="440" w:lineRule="exact"/>
      <w:ind w:firstLine="832" w:firstLineChars="200"/>
    </w:pPr>
    <w:rPr>
      <w:rFonts w:ascii="宋体" w:hAnsi="Courier New"/>
      <w:sz w:val="26"/>
      <w:szCs w:val="20"/>
    </w:rPr>
  </w:style>
  <w:style w:type="paragraph" w:styleId="21">
    <w:name w:val="List Number"/>
    <w:basedOn w:val="1"/>
    <w:qFormat/>
    <w:uiPriority w:val="0"/>
    <w:pPr>
      <w:numPr>
        <w:ilvl w:val="0"/>
        <w:numId w:val="3"/>
      </w:numPr>
      <w:contextualSpacing/>
    </w:pPr>
    <w:rPr>
      <w:rFonts w:ascii="Calibri" w:hAnsi="Calibri"/>
    </w:rPr>
  </w:style>
  <w:style w:type="paragraph" w:styleId="22">
    <w:name w:val="Normal Indent"/>
    <w:basedOn w:val="1"/>
    <w:link w:val="173"/>
    <w:qFormat/>
    <w:uiPriority w:val="0"/>
    <w:pPr>
      <w:widowControl/>
      <w:spacing w:line="360" w:lineRule="auto"/>
      <w:ind w:firstLine="420" w:firstLineChars="200"/>
    </w:pPr>
    <w:rPr>
      <w:sz w:val="24"/>
      <w:szCs w:val="20"/>
    </w:rPr>
  </w:style>
  <w:style w:type="paragraph" w:styleId="23">
    <w:name w:val="caption"/>
    <w:basedOn w:val="1"/>
    <w:next w:val="1"/>
    <w:link w:val="1186"/>
    <w:qFormat/>
    <w:uiPriority w:val="0"/>
    <w:pPr>
      <w:spacing w:before="152" w:after="160" w:line="460" w:lineRule="exact"/>
    </w:pPr>
    <w:rPr>
      <w:rFonts w:ascii="Arial" w:hAnsi="Arial" w:eastAsia="黑体" w:cs="Arial"/>
      <w:sz w:val="20"/>
    </w:rPr>
  </w:style>
  <w:style w:type="paragraph" w:styleId="24">
    <w:name w:val="index 5"/>
    <w:basedOn w:val="1"/>
    <w:next w:val="1"/>
    <w:qFormat/>
    <w:uiPriority w:val="0"/>
    <w:pPr>
      <w:adjustRightInd w:val="0"/>
      <w:snapToGrid w:val="0"/>
      <w:spacing w:line="440" w:lineRule="exact"/>
      <w:ind w:left="800" w:leftChars="800" w:firstLine="832" w:firstLineChars="200"/>
    </w:pPr>
    <w:rPr>
      <w:rFonts w:ascii="宋体" w:hAnsi="Courier New"/>
      <w:sz w:val="26"/>
      <w:szCs w:val="20"/>
    </w:rPr>
  </w:style>
  <w:style w:type="paragraph" w:styleId="25">
    <w:name w:val="List Bullet"/>
    <w:basedOn w:val="1"/>
    <w:qFormat/>
    <w:uiPriority w:val="0"/>
    <w:pPr>
      <w:numPr>
        <w:ilvl w:val="0"/>
        <w:numId w:val="4"/>
      </w:numPr>
      <w:adjustRightInd w:val="0"/>
      <w:snapToGrid w:val="0"/>
      <w:spacing w:line="440" w:lineRule="exact"/>
      <w:ind w:firstLine="200" w:firstLineChars="200"/>
    </w:pPr>
    <w:rPr>
      <w:rFonts w:ascii="宋体" w:hAnsi="Courier New"/>
      <w:sz w:val="26"/>
      <w:szCs w:val="20"/>
    </w:rPr>
  </w:style>
  <w:style w:type="paragraph" w:styleId="26">
    <w:name w:val="envelope address"/>
    <w:basedOn w:val="1"/>
    <w:qFormat/>
    <w:uiPriority w:val="0"/>
    <w:pPr>
      <w:adjustRightInd w:val="0"/>
      <w:snapToGrid w:val="0"/>
      <w:spacing w:line="440" w:lineRule="exact"/>
      <w:ind w:left="100" w:leftChars="1400" w:firstLine="832" w:firstLineChars="200"/>
    </w:pPr>
    <w:rPr>
      <w:rFonts w:ascii="Arial" w:hAnsi="Arial" w:cs="Arial"/>
      <w:sz w:val="24"/>
    </w:rPr>
  </w:style>
  <w:style w:type="paragraph" w:styleId="27">
    <w:name w:val="Document Map"/>
    <w:basedOn w:val="1"/>
    <w:link w:val="381"/>
    <w:qFormat/>
    <w:uiPriority w:val="0"/>
    <w:pPr>
      <w:shd w:val="clear" w:color="auto" w:fill="000080"/>
    </w:pPr>
    <w:rPr>
      <w:rFonts w:asciiTheme="minorHAnsi" w:hAnsiTheme="minorHAnsi" w:eastAsiaTheme="minorEastAsia" w:cstheme="minorBidi"/>
    </w:rPr>
  </w:style>
  <w:style w:type="paragraph" w:styleId="28">
    <w:name w:val="toa heading"/>
    <w:basedOn w:val="1"/>
    <w:next w:val="1"/>
    <w:qFormat/>
    <w:uiPriority w:val="0"/>
    <w:pPr>
      <w:spacing w:before="120"/>
    </w:pPr>
    <w:rPr>
      <w:rFonts w:ascii="Arial" w:hAnsi="Arial" w:cs="Arial"/>
      <w:sz w:val="24"/>
    </w:rPr>
  </w:style>
  <w:style w:type="paragraph" w:styleId="29">
    <w:name w:val="annotation text"/>
    <w:basedOn w:val="1"/>
    <w:link w:val="143"/>
    <w:unhideWhenUsed/>
    <w:qFormat/>
    <w:uiPriority w:val="0"/>
    <w:pPr>
      <w:jc w:val="left"/>
    </w:pPr>
  </w:style>
  <w:style w:type="paragraph" w:styleId="30">
    <w:name w:val="index 6"/>
    <w:basedOn w:val="1"/>
    <w:next w:val="1"/>
    <w:qFormat/>
    <w:uiPriority w:val="0"/>
    <w:pPr>
      <w:adjustRightInd w:val="0"/>
      <w:snapToGrid w:val="0"/>
      <w:spacing w:line="440" w:lineRule="exact"/>
      <w:ind w:left="1000" w:leftChars="1000" w:firstLine="832" w:firstLineChars="200"/>
    </w:pPr>
    <w:rPr>
      <w:rFonts w:ascii="宋体" w:hAnsi="Courier New"/>
      <w:sz w:val="26"/>
      <w:szCs w:val="20"/>
    </w:rPr>
  </w:style>
  <w:style w:type="paragraph" w:styleId="31">
    <w:name w:val="Salutation"/>
    <w:basedOn w:val="1"/>
    <w:next w:val="1"/>
    <w:link w:val="325"/>
    <w:qFormat/>
    <w:uiPriority w:val="0"/>
    <w:rPr>
      <w:rFonts w:asciiTheme="minorHAnsi" w:hAnsiTheme="minorHAnsi" w:eastAsiaTheme="minorEastAsia" w:cstheme="minorBidi"/>
      <w:sz w:val="28"/>
    </w:rPr>
  </w:style>
  <w:style w:type="paragraph" w:styleId="32">
    <w:name w:val="Body Text 3"/>
    <w:basedOn w:val="1"/>
    <w:link w:val="448"/>
    <w:qFormat/>
    <w:uiPriority w:val="0"/>
    <w:pPr>
      <w:spacing w:after="120"/>
    </w:pPr>
    <w:rPr>
      <w:rFonts w:eastAsia="仿宋_GB2312" w:asciiTheme="minorHAnsi" w:hAnsiTheme="minorHAnsi" w:cstheme="minorBidi"/>
      <w:sz w:val="16"/>
      <w:szCs w:val="16"/>
    </w:rPr>
  </w:style>
  <w:style w:type="paragraph" w:styleId="33">
    <w:name w:val="Closing"/>
    <w:basedOn w:val="1"/>
    <w:link w:val="1173"/>
    <w:qFormat/>
    <w:uiPriority w:val="0"/>
    <w:pPr>
      <w:adjustRightInd w:val="0"/>
      <w:snapToGrid w:val="0"/>
      <w:spacing w:line="440" w:lineRule="exact"/>
      <w:ind w:left="100" w:leftChars="2100" w:firstLine="832" w:firstLineChars="200"/>
    </w:pPr>
    <w:rPr>
      <w:rFonts w:ascii="宋体" w:hAnsi="Courier New"/>
      <w:sz w:val="26"/>
      <w:szCs w:val="20"/>
    </w:rPr>
  </w:style>
  <w:style w:type="paragraph" w:styleId="34">
    <w:name w:val="List Bullet 3"/>
    <w:basedOn w:val="1"/>
    <w:qFormat/>
    <w:uiPriority w:val="0"/>
    <w:pPr>
      <w:numPr>
        <w:ilvl w:val="0"/>
        <w:numId w:val="5"/>
      </w:numPr>
      <w:adjustRightInd w:val="0"/>
      <w:snapToGrid w:val="0"/>
      <w:spacing w:line="440" w:lineRule="exact"/>
      <w:ind w:firstLine="200" w:firstLineChars="200"/>
    </w:pPr>
    <w:rPr>
      <w:rFonts w:ascii="宋体" w:hAnsi="Courier New"/>
      <w:sz w:val="26"/>
      <w:szCs w:val="20"/>
    </w:rPr>
  </w:style>
  <w:style w:type="paragraph" w:styleId="35">
    <w:name w:val="Body Text"/>
    <w:basedOn w:val="1"/>
    <w:next w:val="36"/>
    <w:link w:val="130"/>
    <w:qFormat/>
    <w:uiPriority w:val="0"/>
    <w:pPr>
      <w:widowControl/>
      <w:snapToGrid w:val="0"/>
      <w:spacing w:before="60" w:after="160" w:line="259" w:lineRule="auto"/>
      <w:ind w:right="113"/>
    </w:pPr>
    <w:rPr>
      <w:rFonts w:asciiTheme="minorHAnsi" w:hAnsiTheme="minorHAnsi" w:eastAsiaTheme="minorEastAsia" w:cstheme="minorBidi"/>
      <w:kern w:val="0"/>
      <w:sz w:val="18"/>
      <w:szCs w:val="20"/>
    </w:rPr>
  </w:style>
  <w:style w:type="paragraph" w:customStyle="1" w:styleId="3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37">
    <w:name w:val="Body Text Indent"/>
    <w:basedOn w:val="1"/>
    <w:link w:val="139"/>
    <w:qFormat/>
    <w:uiPriority w:val="0"/>
    <w:pPr>
      <w:spacing w:after="120"/>
      <w:ind w:left="420" w:leftChars="200"/>
    </w:pPr>
    <w:rPr>
      <w:rFonts w:asciiTheme="minorHAnsi" w:hAnsiTheme="minorHAnsi" w:eastAsiaTheme="minorEastAsia" w:cstheme="minorBidi"/>
      <w:kern w:val="0"/>
      <w:sz w:val="24"/>
      <w:szCs w:val="20"/>
    </w:rPr>
  </w:style>
  <w:style w:type="paragraph" w:styleId="38">
    <w:name w:val="List Number 3"/>
    <w:basedOn w:val="1"/>
    <w:qFormat/>
    <w:uiPriority w:val="0"/>
    <w:pPr>
      <w:numPr>
        <w:ilvl w:val="0"/>
        <w:numId w:val="6"/>
      </w:numPr>
      <w:tabs>
        <w:tab w:val="left" w:pos="922"/>
        <w:tab w:val="left" w:pos="1200"/>
      </w:tabs>
      <w:spacing w:before="60" w:line="460" w:lineRule="exact"/>
    </w:pPr>
    <w:rPr>
      <w:sz w:val="24"/>
    </w:rPr>
  </w:style>
  <w:style w:type="paragraph" w:styleId="39">
    <w:name w:val="List 2"/>
    <w:basedOn w:val="1"/>
    <w:qFormat/>
    <w:uiPriority w:val="0"/>
    <w:pPr>
      <w:ind w:left="100" w:leftChars="200" w:hanging="200" w:hangingChars="200"/>
    </w:pPr>
  </w:style>
  <w:style w:type="paragraph" w:styleId="40">
    <w:name w:val="List Continue"/>
    <w:basedOn w:val="1"/>
    <w:qFormat/>
    <w:uiPriority w:val="0"/>
    <w:pPr>
      <w:adjustRightInd w:val="0"/>
      <w:snapToGrid w:val="0"/>
      <w:spacing w:after="120" w:line="440" w:lineRule="exact"/>
      <w:ind w:left="420" w:firstLine="832" w:firstLineChars="200"/>
    </w:pPr>
    <w:rPr>
      <w:sz w:val="26"/>
      <w:szCs w:val="20"/>
    </w:rPr>
  </w:style>
  <w:style w:type="paragraph" w:styleId="41">
    <w:name w:val="Block Text"/>
    <w:basedOn w:val="1"/>
    <w:qFormat/>
    <w:uiPriority w:val="0"/>
    <w:pPr>
      <w:spacing w:before="60" w:after="120" w:line="460" w:lineRule="exact"/>
      <w:ind w:left="700" w:leftChars="700" w:right="700" w:rightChars="700"/>
    </w:pPr>
    <w:rPr>
      <w:b/>
      <w:bCs/>
      <w:sz w:val="24"/>
    </w:rPr>
  </w:style>
  <w:style w:type="paragraph" w:styleId="42">
    <w:name w:val="List Bullet 2"/>
    <w:basedOn w:val="1"/>
    <w:qFormat/>
    <w:uiPriority w:val="0"/>
    <w:pPr>
      <w:numPr>
        <w:ilvl w:val="0"/>
        <w:numId w:val="7"/>
      </w:numPr>
      <w:adjustRightInd w:val="0"/>
      <w:snapToGrid w:val="0"/>
      <w:spacing w:line="440" w:lineRule="exact"/>
      <w:ind w:firstLine="200" w:firstLineChars="200"/>
    </w:pPr>
    <w:rPr>
      <w:rFonts w:ascii="宋体" w:hAnsi="Courier New"/>
      <w:sz w:val="26"/>
      <w:szCs w:val="20"/>
    </w:rPr>
  </w:style>
  <w:style w:type="paragraph" w:styleId="43">
    <w:name w:val="HTML Address"/>
    <w:basedOn w:val="1"/>
    <w:link w:val="1174"/>
    <w:qFormat/>
    <w:uiPriority w:val="0"/>
    <w:pPr>
      <w:adjustRightInd w:val="0"/>
      <w:snapToGrid w:val="0"/>
      <w:spacing w:line="440" w:lineRule="exact"/>
      <w:ind w:firstLine="832" w:firstLineChars="200"/>
    </w:pPr>
    <w:rPr>
      <w:rFonts w:ascii="宋体" w:hAnsi="Courier New"/>
      <w:i/>
      <w:iCs/>
      <w:sz w:val="26"/>
      <w:szCs w:val="20"/>
    </w:rPr>
  </w:style>
  <w:style w:type="paragraph" w:styleId="44">
    <w:name w:val="index 4"/>
    <w:basedOn w:val="1"/>
    <w:next w:val="1"/>
    <w:qFormat/>
    <w:uiPriority w:val="0"/>
    <w:pPr>
      <w:adjustRightInd w:val="0"/>
      <w:snapToGrid w:val="0"/>
      <w:spacing w:line="440" w:lineRule="exact"/>
      <w:ind w:left="600" w:leftChars="600" w:firstLine="832" w:firstLineChars="200"/>
    </w:pPr>
    <w:rPr>
      <w:rFonts w:ascii="宋体" w:hAnsi="Courier New"/>
      <w:sz w:val="26"/>
      <w:szCs w:val="20"/>
    </w:rPr>
  </w:style>
  <w:style w:type="paragraph" w:styleId="45">
    <w:name w:val="toc 5"/>
    <w:basedOn w:val="1"/>
    <w:next w:val="1"/>
    <w:qFormat/>
    <w:uiPriority w:val="39"/>
    <w:pPr>
      <w:adjustRightInd w:val="0"/>
      <w:snapToGrid w:val="0"/>
      <w:spacing w:line="440" w:lineRule="exact"/>
      <w:ind w:left="960" w:firstLine="832" w:firstLineChars="200"/>
      <w:jc w:val="left"/>
    </w:pPr>
    <w:rPr>
      <w:rFonts w:ascii="Calibri" w:hAnsi="Calibri" w:cs="Calibri"/>
      <w:sz w:val="18"/>
      <w:szCs w:val="18"/>
    </w:rPr>
  </w:style>
  <w:style w:type="paragraph" w:styleId="46">
    <w:name w:val="toc 3"/>
    <w:basedOn w:val="1"/>
    <w:next w:val="1"/>
    <w:qFormat/>
    <w:uiPriority w:val="39"/>
    <w:pPr>
      <w:ind w:left="840" w:leftChars="400"/>
    </w:pPr>
  </w:style>
  <w:style w:type="paragraph" w:styleId="47">
    <w:name w:val="Plain Text"/>
    <w:basedOn w:val="1"/>
    <w:next w:val="1"/>
    <w:link w:val="151"/>
    <w:qFormat/>
    <w:uiPriority w:val="99"/>
    <w:pPr>
      <w:widowControl/>
      <w:spacing w:line="360" w:lineRule="auto"/>
      <w:ind w:firstLine="200" w:firstLineChars="200"/>
    </w:pPr>
    <w:rPr>
      <w:rFonts w:ascii="宋体" w:hAnsi="Courier New" w:eastAsiaTheme="minorEastAsia" w:cstheme="minorBidi"/>
      <w:sz w:val="24"/>
      <w:szCs w:val="20"/>
    </w:rPr>
  </w:style>
  <w:style w:type="paragraph" w:styleId="48">
    <w:name w:val="List Bullet 5"/>
    <w:basedOn w:val="1"/>
    <w:qFormat/>
    <w:uiPriority w:val="0"/>
    <w:pPr>
      <w:numPr>
        <w:ilvl w:val="0"/>
        <w:numId w:val="8"/>
      </w:numPr>
      <w:adjustRightInd w:val="0"/>
      <w:snapToGrid w:val="0"/>
      <w:spacing w:line="440" w:lineRule="exact"/>
      <w:ind w:firstLine="200" w:firstLineChars="200"/>
    </w:pPr>
    <w:rPr>
      <w:rFonts w:ascii="宋体" w:hAnsi="Courier New"/>
      <w:sz w:val="26"/>
      <w:szCs w:val="20"/>
    </w:rPr>
  </w:style>
  <w:style w:type="paragraph" w:styleId="49">
    <w:name w:val="List Number 4"/>
    <w:basedOn w:val="1"/>
    <w:qFormat/>
    <w:uiPriority w:val="0"/>
    <w:pPr>
      <w:numPr>
        <w:ilvl w:val="0"/>
        <w:numId w:val="9"/>
      </w:numPr>
      <w:adjustRightInd w:val="0"/>
      <w:snapToGrid w:val="0"/>
      <w:spacing w:line="440" w:lineRule="exact"/>
      <w:ind w:firstLine="200" w:firstLineChars="200"/>
    </w:pPr>
    <w:rPr>
      <w:rFonts w:ascii="宋体" w:hAnsi="Courier New"/>
      <w:sz w:val="26"/>
      <w:szCs w:val="20"/>
    </w:rPr>
  </w:style>
  <w:style w:type="paragraph" w:styleId="50">
    <w:name w:val="toc 8"/>
    <w:basedOn w:val="1"/>
    <w:next w:val="1"/>
    <w:qFormat/>
    <w:uiPriority w:val="39"/>
    <w:pPr>
      <w:adjustRightInd w:val="0"/>
      <w:snapToGrid w:val="0"/>
      <w:spacing w:line="440" w:lineRule="exact"/>
      <w:ind w:left="1680" w:firstLine="832" w:firstLineChars="200"/>
      <w:jc w:val="left"/>
    </w:pPr>
    <w:rPr>
      <w:rFonts w:ascii="Calibri" w:hAnsi="Calibri" w:cs="Calibri"/>
      <w:sz w:val="18"/>
      <w:szCs w:val="18"/>
    </w:rPr>
  </w:style>
  <w:style w:type="paragraph" w:styleId="51">
    <w:name w:val="index 3"/>
    <w:basedOn w:val="1"/>
    <w:next w:val="1"/>
    <w:qFormat/>
    <w:uiPriority w:val="0"/>
    <w:pPr>
      <w:adjustRightInd w:val="0"/>
      <w:snapToGrid w:val="0"/>
      <w:spacing w:line="440" w:lineRule="exact"/>
      <w:ind w:left="400" w:leftChars="400" w:firstLine="832" w:firstLineChars="200"/>
    </w:pPr>
    <w:rPr>
      <w:rFonts w:ascii="宋体" w:hAnsi="Courier New"/>
      <w:sz w:val="26"/>
      <w:szCs w:val="20"/>
    </w:rPr>
  </w:style>
  <w:style w:type="paragraph" w:styleId="52">
    <w:name w:val="Date"/>
    <w:basedOn w:val="1"/>
    <w:next w:val="1"/>
    <w:link w:val="126"/>
    <w:qFormat/>
    <w:uiPriority w:val="0"/>
    <w:pPr>
      <w:ind w:left="100" w:leftChars="2500"/>
    </w:pPr>
    <w:rPr>
      <w:rFonts w:asciiTheme="minorHAnsi" w:hAnsiTheme="minorHAnsi" w:eastAsiaTheme="minorEastAsia" w:cstheme="minorBidi"/>
      <w:kern w:val="0"/>
      <w:sz w:val="24"/>
      <w:szCs w:val="20"/>
    </w:rPr>
  </w:style>
  <w:style w:type="paragraph" w:styleId="53">
    <w:name w:val="Body Text Indent 2"/>
    <w:basedOn w:val="1"/>
    <w:link w:val="378"/>
    <w:qFormat/>
    <w:uiPriority w:val="0"/>
    <w:pPr>
      <w:spacing w:line="440" w:lineRule="exact"/>
      <w:ind w:firstLine="509" w:firstLineChars="200"/>
    </w:pPr>
    <w:rPr>
      <w:rFonts w:ascii="宋体" w:hAnsi="宋体" w:eastAsiaTheme="minorEastAsia" w:cstheme="minorBidi"/>
      <w:sz w:val="24"/>
    </w:rPr>
  </w:style>
  <w:style w:type="paragraph" w:styleId="54">
    <w:name w:val="endnote text"/>
    <w:basedOn w:val="1"/>
    <w:link w:val="1056"/>
    <w:qFormat/>
    <w:uiPriority w:val="0"/>
    <w:pPr>
      <w:snapToGrid w:val="0"/>
      <w:jc w:val="left"/>
    </w:pPr>
    <w:rPr>
      <w:rFonts w:asciiTheme="minorHAnsi" w:hAnsiTheme="minorHAnsi" w:eastAsiaTheme="minorEastAsia" w:cstheme="minorBidi"/>
      <w:kern w:val="0"/>
      <w:sz w:val="20"/>
    </w:rPr>
  </w:style>
  <w:style w:type="paragraph" w:styleId="55">
    <w:name w:val="List Continue 5"/>
    <w:basedOn w:val="1"/>
    <w:qFormat/>
    <w:uiPriority w:val="0"/>
    <w:pPr>
      <w:adjustRightInd w:val="0"/>
      <w:snapToGrid w:val="0"/>
      <w:spacing w:after="120" w:line="440" w:lineRule="exact"/>
      <w:ind w:left="2100" w:leftChars="1000" w:firstLine="832" w:firstLineChars="200"/>
    </w:pPr>
    <w:rPr>
      <w:rFonts w:ascii="宋体" w:hAnsi="Courier New"/>
      <w:sz w:val="26"/>
      <w:szCs w:val="20"/>
    </w:rPr>
  </w:style>
  <w:style w:type="paragraph" w:styleId="56">
    <w:name w:val="Balloon Text"/>
    <w:basedOn w:val="1"/>
    <w:link w:val="135"/>
    <w:qFormat/>
    <w:uiPriority w:val="0"/>
    <w:rPr>
      <w:rFonts w:asciiTheme="minorHAnsi" w:hAnsiTheme="minorHAnsi" w:eastAsiaTheme="minorEastAsia" w:cstheme="minorBidi"/>
      <w:kern w:val="0"/>
      <w:sz w:val="18"/>
      <w:szCs w:val="20"/>
    </w:rPr>
  </w:style>
  <w:style w:type="paragraph" w:styleId="57">
    <w:name w:val="footer"/>
    <w:basedOn w:val="1"/>
    <w:link w:val="125"/>
    <w:qFormat/>
    <w:uiPriority w:val="99"/>
    <w:pPr>
      <w:tabs>
        <w:tab w:val="center" w:pos="4153"/>
        <w:tab w:val="right" w:pos="8306"/>
      </w:tabs>
      <w:snapToGrid w:val="0"/>
      <w:jc w:val="left"/>
    </w:pPr>
    <w:rPr>
      <w:kern w:val="0"/>
      <w:sz w:val="18"/>
      <w:szCs w:val="20"/>
    </w:rPr>
  </w:style>
  <w:style w:type="paragraph" w:styleId="58">
    <w:name w:val="envelope return"/>
    <w:basedOn w:val="1"/>
    <w:qFormat/>
    <w:uiPriority w:val="0"/>
    <w:pPr>
      <w:snapToGrid w:val="0"/>
    </w:pPr>
    <w:rPr>
      <w:rFonts w:ascii="Arial" w:hAnsi="Arial"/>
    </w:rPr>
  </w:style>
  <w:style w:type="paragraph" w:styleId="59">
    <w:name w:val="Signature"/>
    <w:basedOn w:val="1"/>
    <w:link w:val="1175"/>
    <w:qFormat/>
    <w:uiPriority w:val="0"/>
    <w:pPr>
      <w:adjustRightInd w:val="0"/>
      <w:snapToGrid w:val="0"/>
      <w:spacing w:line="440" w:lineRule="exact"/>
      <w:ind w:left="100" w:leftChars="2100" w:firstLine="832" w:firstLineChars="200"/>
    </w:pPr>
    <w:rPr>
      <w:rFonts w:ascii="宋体" w:hAnsi="Courier New"/>
      <w:sz w:val="26"/>
      <w:szCs w:val="20"/>
    </w:rPr>
  </w:style>
  <w:style w:type="paragraph" w:styleId="60">
    <w:name w:val="toc 1"/>
    <w:basedOn w:val="1"/>
    <w:next w:val="1"/>
    <w:qFormat/>
    <w:uiPriority w:val="39"/>
    <w:pPr>
      <w:jc w:val="center"/>
    </w:pPr>
    <w:rPr>
      <w:sz w:val="24"/>
    </w:rPr>
  </w:style>
  <w:style w:type="paragraph" w:styleId="61">
    <w:name w:val="List Continue 4"/>
    <w:basedOn w:val="1"/>
    <w:qFormat/>
    <w:uiPriority w:val="0"/>
    <w:pPr>
      <w:adjustRightInd w:val="0"/>
      <w:snapToGrid w:val="0"/>
      <w:spacing w:after="120" w:line="440" w:lineRule="exact"/>
      <w:ind w:left="1680" w:leftChars="800" w:firstLine="832" w:firstLineChars="200"/>
    </w:pPr>
    <w:rPr>
      <w:rFonts w:ascii="宋体" w:hAnsi="Courier New"/>
      <w:sz w:val="26"/>
      <w:szCs w:val="20"/>
    </w:rPr>
  </w:style>
  <w:style w:type="paragraph" w:styleId="62">
    <w:name w:val="toc 4"/>
    <w:basedOn w:val="1"/>
    <w:next w:val="1"/>
    <w:qFormat/>
    <w:uiPriority w:val="39"/>
    <w:pPr>
      <w:adjustRightInd w:val="0"/>
      <w:snapToGrid w:val="0"/>
      <w:spacing w:line="440" w:lineRule="exact"/>
      <w:ind w:left="720" w:firstLine="832" w:firstLineChars="200"/>
      <w:jc w:val="left"/>
    </w:pPr>
    <w:rPr>
      <w:rFonts w:ascii="Calibri" w:hAnsi="Calibri" w:cs="Calibri"/>
      <w:sz w:val="18"/>
      <w:szCs w:val="18"/>
    </w:rPr>
  </w:style>
  <w:style w:type="paragraph" w:styleId="63">
    <w:name w:val="index heading"/>
    <w:basedOn w:val="1"/>
    <w:next w:val="64"/>
    <w:qFormat/>
    <w:uiPriority w:val="0"/>
  </w:style>
  <w:style w:type="paragraph" w:styleId="64">
    <w:name w:val="index 1"/>
    <w:basedOn w:val="1"/>
    <w:next w:val="1"/>
    <w:qFormat/>
    <w:uiPriority w:val="0"/>
    <w:pPr>
      <w:spacing w:line="320" w:lineRule="exact"/>
      <w:jc w:val="center"/>
    </w:pPr>
    <w:rPr>
      <w:rFonts w:ascii="宋体" w:hAnsi="宋体"/>
      <w:szCs w:val="21"/>
    </w:rPr>
  </w:style>
  <w:style w:type="paragraph" w:styleId="65">
    <w:name w:val="Subtitle"/>
    <w:basedOn w:val="1"/>
    <w:next w:val="1"/>
    <w:link w:val="163"/>
    <w:qFormat/>
    <w:uiPriority w:val="0"/>
    <w:pPr>
      <w:spacing w:before="240" w:after="60" w:line="312" w:lineRule="auto"/>
      <w:jc w:val="center"/>
      <w:outlineLvl w:val="1"/>
    </w:pPr>
    <w:rPr>
      <w:rFonts w:ascii="Cambria" w:hAnsi="Cambria"/>
      <w:b/>
      <w:bCs/>
      <w:kern w:val="28"/>
      <w:sz w:val="32"/>
      <w:szCs w:val="32"/>
    </w:rPr>
  </w:style>
  <w:style w:type="paragraph" w:styleId="66">
    <w:name w:val="List Number 5"/>
    <w:basedOn w:val="1"/>
    <w:qFormat/>
    <w:uiPriority w:val="0"/>
    <w:pPr>
      <w:numPr>
        <w:ilvl w:val="0"/>
        <w:numId w:val="10"/>
      </w:numPr>
      <w:adjustRightInd w:val="0"/>
      <w:snapToGrid w:val="0"/>
      <w:spacing w:line="440" w:lineRule="exact"/>
      <w:ind w:firstLine="200" w:firstLineChars="200"/>
    </w:pPr>
    <w:rPr>
      <w:rFonts w:ascii="宋体" w:hAnsi="Courier New"/>
      <w:sz w:val="26"/>
      <w:szCs w:val="20"/>
    </w:rPr>
  </w:style>
  <w:style w:type="paragraph" w:styleId="67">
    <w:name w:val="List"/>
    <w:basedOn w:val="1"/>
    <w:qFormat/>
    <w:uiPriority w:val="0"/>
    <w:pPr>
      <w:spacing w:line="320" w:lineRule="exact"/>
      <w:jc w:val="center"/>
    </w:pPr>
    <w:rPr>
      <w:sz w:val="22"/>
    </w:rPr>
  </w:style>
  <w:style w:type="paragraph" w:styleId="68">
    <w:name w:val="footnote text"/>
    <w:basedOn w:val="1"/>
    <w:link w:val="504"/>
    <w:qFormat/>
    <w:uiPriority w:val="0"/>
    <w:pPr>
      <w:snapToGrid w:val="0"/>
      <w:jc w:val="left"/>
    </w:pPr>
    <w:rPr>
      <w:rFonts w:asciiTheme="minorHAnsi" w:hAnsiTheme="minorHAnsi" w:eastAsiaTheme="minorEastAsia" w:cstheme="minorBidi"/>
      <w:sz w:val="18"/>
      <w:szCs w:val="18"/>
    </w:rPr>
  </w:style>
  <w:style w:type="paragraph" w:styleId="69">
    <w:name w:val="toc 6"/>
    <w:basedOn w:val="1"/>
    <w:next w:val="1"/>
    <w:qFormat/>
    <w:uiPriority w:val="39"/>
    <w:pPr>
      <w:adjustRightInd w:val="0"/>
      <w:snapToGrid w:val="0"/>
      <w:spacing w:line="440" w:lineRule="exact"/>
      <w:ind w:left="1200" w:firstLine="832" w:firstLineChars="200"/>
      <w:jc w:val="left"/>
    </w:pPr>
    <w:rPr>
      <w:rFonts w:ascii="Calibri" w:hAnsi="Calibri" w:cs="Calibri"/>
      <w:sz w:val="18"/>
      <w:szCs w:val="18"/>
    </w:rPr>
  </w:style>
  <w:style w:type="paragraph" w:styleId="70">
    <w:name w:val="List 5"/>
    <w:basedOn w:val="1"/>
    <w:qFormat/>
    <w:uiPriority w:val="0"/>
    <w:pPr>
      <w:adjustRightInd w:val="0"/>
      <w:snapToGrid w:val="0"/>
      <w:spacing w:line="440" w:lineRule="exact"/>
      <w:ind w:left="100" w:leftChars="800" w:hanging="200" w:hangingChars="200"/>
    </w:pPr>
    <w:rPr>
      <w:rFonts w:ascii="宋体" w:hAnsi="Courier New"/>
      <w:sz w:val="26"/>
      <w:szCs w:val="20"/>
    </w:rPr>
  </w:style>
  <w:style w:type="paragraph" w:styleId="71">
    <w:name w:val="Body Text Indent 3"/>
    <w:basedOn w:val="1"/>
    <w:link w:val="343"/>
    <w:qFormat/>
    <w:uiPriority w:val="0"/>
    <w:pPr>
      <w:spacing w:line="390" w:lineRule="exact"/>
      <w:ind w:firstLine="509" w:firstLineChars="200"/>
    </w:pPr>
    <w:rPr>
      <w:rFonts w:ascii="宋体" w:hAnsi="宋体" w:eastAsiaTheme="minorEastAsia" w:cstheme="minorBidi"/>
      <w:color w:val="FF0000"/>
      <w:sz w:val="24"/>
    </w:rPr>
  </w:style>
  <w:style w:type="paragraph" w:styleId="72">
    <w:name w:val="index 7"/>
    <w:basedOn w:val="1"/>
    <w:next w:val="1"/>
    <w:qFormat/>
    <w:uiPriority w:val="0"/>
    <w:pPr>
      <w:adjustRightInd w:val="0"/>
      <w:snapToGrid w:val="0"/>
      <w:spacing w:line="440" w:lineRule="exact"/>
      <w:ind w:left="1200" w:leftChars="1200" w:firstLine="832" w:firstLineChars="200"/>
    </w:pPr>
    <w:rPr>
      <w:rFonts w:ascii="宋体" w:hAnsi="Courier New"/>
      <w:sz w:val="26"/>
      <w:szCs w:val="20"/>
    </w:rPr>
  </w:style>
  <w:style w:type="paragraph" w:styleId="73">
    <w:name w:val="index 9"/>
    <w:basedOn w:val="1"/>
    <w:next w:val="1"/>
    <w:qFormat/>
    <w:uiPriority w:val="0"/>
    <w:pPr>
      <w:adjustRightInd w:val="0"/>
      <w:snapToGrid w:val="0"/>
      <w:spacing w:line="440" w:lineRule="exact"/>
      <w:ind w:left="1600" w:leftChars="1600" w:firstLine="832" w:firstLineChars="200"/>
    </w:pPr>
    <w:rPr>
      <w:rFonts w:ascii="宋体" w:hAnsi="Courier New"/>
      <w:sz w:val="26"/>
      <w:szCs w:val="20"/>
    </w:rPr>
  </w:style>
  <w:style w:type="paragraph" w:styleId="74">
    <w:name w:val="table of figures"/>
    <w:basedOn w:val="1"/>
    <w:next w:val="1"/>
    <w:qFormat/>
    <w:uiPriority w:val="0"/>
    <w:pPr>
      <w:ind w:left="200" w:leftChars="200" w:hanging="200" w:hangingChars="200"/>
    </w:pPr>
    <w:rPr>
      <w:rFonts w:ascii="Calibri" w:hAnsi="Calibri"/>
    </w:rPr>
  </w:style>
  <w:style w:type="paragraph" w:styleId="75">
    <w:name w:val="toc 2"/>
    <w:basedOn w:val="1"/>
    <w:next w:val="1"/>
    <w:qFormat/>
    <w:uiPriority w:val="39"/>
    <w:pPr>
      <w:ind w:left="420" w:leftChars="200"/>
    </w:pPr>
  </w:style>
  <w:style w:type="paragraph" w:styleId="76">
    <w:name w:val="toc 9"/>
    <w:basedOn w:val="1"/>
    <w:next w:val="1"/>
    <w:qFormat/>
    <w:uiPriority w:val="39"/>
    <w:pPr>
      <w:adjustRightInd w:val="0"/>
      <w:snapToGrid w:val="0"/>
      <w:spacing w:line="440" w:lineRule="exact"/>
      <w:ind w:left="1920" w:firstLine="832" w:firstLineChars="200"/>
      <w:jc w:val="left"/>
    </w:pPr>
    <w:rPr>
      <w:rFonts w:ascii="Calibri" w:hAnsi="Calibri" w:cs="Calibri"/>
      <w:sz w:val="18"/>
      <w:szCs w:val="18"/>
    </w:rPr>
  </w:style>
  <w:style w:type="paragraph" w:styleId="77">
    <w:name w:val="Body Text 2"/>
    <w:basedOn w:val="1"/>
    <w:link w:val="430"/>
    <w:qFormat/>
    <w:uiPriority w:val="0"/>
    <w:pPr>
      <w:spacing w:after="120" w:line="480" w:lineRule="auto"/>
    </w:pPr>
    <w:rPr>
      <w:rFonts w:asciiTheme="minorHAnsi" w:hAnsiTheme="minorHAnsi" w:eastAsiaTheme="minorEastAsia" w:cstheme="minorBidi"/>
    </w:rPr>
  </w:style>
  <w:style w:type="paragraph" w:styleId="78">
    <w:name w:val="List 4"/>
    <w:basedOn w:val="1"/>
    <w:qFormat/>
    <w:uiPriority w:val="0"/>
    <w:pPr>
      <w:adjustRightInd w:val="0"/>
      <w:snapToGrid w:val="0"/>
      <w:spacing w:line="440" w:lineRule="exact"/>
      <w:ind w:left="100" w:leftChars="600" w:hanging="200" w:hangingChars="200"/>
    </w:pPr>
    <w:rPr>
      <w:rFonts w:ascii="宋体" w:hAnsi="Courier New"/>
      <w:sz w:val="26"/>
      <w:szCs w:val="20"/>
    </w:rPr>
  </w:style>
  <w:style w:type="paragraph" w:styleId="79">
    <w:name w:val="List Continue 2"/>
    <w:basedOn w:val="1"/>
    <w:qFormat/>
    <w:uiPriority w:val="0"/>
    <w:pPr>
      <w:adjustRightInd w:val="0"/>
      <w:snapToGrid w:val="0"/>
      <w:spacing w:after="120" w:line="440" w:lineRule="exact"/>
      <w:ind w:left="840" w:leftChars="400" w:firstLine="832" w:firstLineChars="200"/>
    </w:pPr>
    <w:rPr>
      <w:rFonts w:ascii="宋体" w:hAnsi="Courier New"/>
      <w:sz w:val="26"/>
      <w:szCs w:val="20"/>
    </w:rPr>
  </w:style>
  <w:style w:type="paragraph" w:styleId="80">
    <w:name w:val="Message Header"/>
    <w:basedOn w:val="1"/>
    <w:link w:val="1176"/>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440" w:lineRule="exact"/>
      <w:ind w:left="1080" w:leftChars="500" w:hanging="1080" w:hangingChars="500"/>
    </w:pPr>
    <w:rPr>
      <w:rFonts w:ascii="Arial" w:hAnsi="Arial" w:cs="Arial"/>
      <w:sz w:val="24"/>
    </w:rPr>
  </w:style>
  <w:style w:type="paragraph" w:styleId="81">
    <w:name w:val="HTML Preformatted"/>
    <w:basedOn w:val="1"/>
    <w:link w:val="43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460" w:lineRule="exact"/>
      <w:jc w:val="left"/>
    </w:pPr>
    <w:rPr>
      <w:rFonts w:ascii="黑体" w:eastAsia="黑体" w:cs="Courier New" w:hAnsiTheme="minorHAnsi"/>
      <w:kern w:val="0"/>
      <w:sz w:val="20"/>
      <w:szCs w:val="20"/>
    </w:rPr>
  </w:style>
  <w:style w:type="paragraph" w:styleId="82">
    <w:name w:val="Normal (Web)"/>
    <w:basedOn w:val="1"/>
    <w:link w:val="128"/>
    <w:qFormat/>
    <w:uiPriority w:val="0"/>
    <w:pPr>
      <w:widowControl/>
      <w:spacing w:before="100" w:beforeAutospacing="1" w:after="100" w:afterAutospacing="1"/>
      <w:jc w:val="left"/>
    </w:pPr>
    <w:rPr>
      <w:rFonts w:ascii="宋体" w:hAnsi="宋体" w:eastAsiaTheme="minorEastAsia" w:cstheme="minorBidi"/>
      <w:kern w:val="0"/>
      <w:sz w:val="24"/>
      <w:szCs w:val="20"/>
    </w:rPr>
  </w:style>
  <w:style w:type="paragraph" w:styleId="83">
    <w:name w:val="List Continue 3"/>
    <w:basedOn w:val="1"/>
    <w:qFormat/>
    <w:uiPriority w:val="0"/>
    <w:pPr>
      <w:adjustRightInd w:val="0"/>
      <w:snapToGrid w:val="0"/>
      <w:spacing w:after="120" w:line="440" w:lineRule="exact"/>
      <w:ind w:left="1260" w:leftChars="600" w:firstLine="832" w:firstLineChars="200"/>
    </w:pPr>
    <w:rPr>
      <w:rFonts w:ascii="宋体" w:hAnsi="Courier New"/>
      <w:sz w:val="26"/>
      <w:szCs w:val="20"/>
    </w:rPr>
  </w:style>
  <w:style w:type="paragraph" w:styleId="84">
    <w:name w:val="index 2"/>
    <w:basedOn w:val="1"/>
    <w:next w:val="1"/>
    <w:qFormat/>
    <w:uiPriority w:val="0"/>
    <w:pPr>
      <w:adjustRightInd w:val="0"/>
      <w:snapToGrid w:val="0"/>
      <w:spacing w:line="440" w:lineRule="exact"/>
      <w:ind w:left="200" w:leftChars="200" w:firstLine="832" w:firstLineChars="200"/>
    </w:pPr>
    <w:rPr>
      <w:rFonts w:ascii="宋体" w:hAnsi="Courier New"/>
      <w:sz w:val="26"/>
      <w:szCs w:val="20"/>
    </w:rPr>
  </w:style>
  <w:style w:type="paragraph" w:styleId="85">
    <w:name w:val="Title"/>
    <w:basedOn w:val="1"/>
    <w:link w:val="288"/>
    <w:qFormat/>
    <w:uiPriority w:val="0"/>
    <w:pPr>
      <w:spacing w:before="240" w:after="60"/>
      <w:jc w:val="center"/>
      <w:outlineLvl w:val="0"/>
    </w:pPr>
    <w:rPr>
      <w:rFonts w:ascii="Arial" w:hAnsi="Arial" w:eastAsiaTheme="minorEastAsia" w:cstheme="minorBidi"/>
      <w:b/>
      <w:sz w:val="32"/>
      <w:szCs w:val="20"/>
    </w:rPr>
  </w:style>
  <w:style w:type="paragraph" w:styleId="86">
    <w:name w:val="annotation subject"/>
    <w:basedOn w:val="29"/>
    <w:next w:val="29"/>
    <w:link w:val="136"/>
    <w:qFormat/>
    <w:uiPriority w:val="0"/>
    <w:rPr>
      <w:rFonts w:asciiTheme="minorHAnsi" w:hAnsiTheme="minorHAnsi" w:eastAsiaTheme="minorEastAsia" w:cstheme="minorBidi"/>
      <w:b/>
      <w:sz w:val="24"/>
      <w:szCs w:val="20"/>
    </w:rPr>
  </w:style>
  <w:style w:type="paragraph" w:styleId="87">
    <w:name w:val="Body Text First Indent"/>
    <w:basedOn w:val="35"/>
    <w:link w:val="386"/>
    <w:qFormat/>
    <w:uiPriority w:val="0"/>
    <w:pPr>
      <w:widowControl w:val="0"/>
      <w:snapToGrid/>
      <w:spacing w:before="0" w:after="120" w:line="240" w:lineRule="auto"/>
      <w:ind w:right="0" w:firstLine="420" w:firstLineChars="100"/>
    </w:pPr>
    <w:rPr>
      <w:kern w:val="2"/>
      <w:sz w:val="21"/>
      <w:szCs w:val="24"/>
    </w:rPr>
  </w:style>
  <w:style w:type="paragraph" w:styleId="88">
    <w:name w:val="Body Text First Indent 2"/>
    <w:basedOn w:val="37"/>
    <w:link w:val="298"/>
    <w:qFormat/>
    <w:uiPriority w:val="0"/>
    <w:pPr>
      <w:ind w:firstLine="420" w:firstLineChars="200"/>
    </w:pPr>
    <w:rPr>
      <w:rFonts w:ascii="Calibri" w:hAnsi="Calibri"/>
      <w:kern w:val="2"/>
      <w:sz w:val="21"/>
      <w:szCs w:val="24"/>
    </w:rPr>
  </w:style>
  <w:style w:type="table" w:styleId="90">
    <w:name w:val="Table Grid"/>
    <w:basedOn w:val="8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Elegant"/>
    <w:basedOn w:val="89"/>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3">
    <w:name w:val="Table List 3"/>
    <w:basedOn w:val="89"/>
    <w:qFormat/>
    <w:uiPriority w:val="0"/>
    <w:pPr>
      <w:widowControl w:val="0"/>
      <w:jc w:val="both"/>
    </w:pPr>
    <w:rPr>
      <w:rFonts w:ascii="Times New Roman" w:hAnsi="Times New Roman" w:eastAsia="宋体" w:cs="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94">
    <w:name w:val="Table Grid 1"/>
    <w:basedOn w:val="89"/>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5">
    <w:name w:val="Table Professional"/>
    <w:basedOn w:val="89"/>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7">
    <w:name w:val="Strong"/>
    <w:qFormat/>
    <w:uiPriority w:val="0"/>
    <w:rPr>
      <w:b/>
      <w:bCs/>
    </w:rPr>
  </w:style>
  <w:style w:type="character" w:styleId="98">
    <w:name w:val="endnote reference"/>
    <w:qFormat/>
    <w:uiPriority w:val="0"/>
    <w:rPr>
      <w:vertAlign w:val="superscript"/>
    </w:rPr>
  </w:style>
  <w:style w:type="character" w:styleId="99">
    <w:name w:val="page number"/>
    <w:basedOn w:val="96"/>
    <w:qFormat/>
    <w:uiPriority w:val="0"/>
  </w:style>
  <w:style w:type="character" w:styleId="100">
    <w:name w:val="FollowedHyperlink"/>
    <w:qFormat/>
    <w:uiPriority w:val="0"/>
    <w:rPr>
      <w:color w:val="800080"/>
      <w:u w:val="single"/>
    </w:rPr>
  </w:style>
  <w:style w:type="character" w:styleId="101">
    <w:name w:val="Emphasis"/>
    <w:qFormat/>
    <w:uiPriority w:val="20"/>
    <w:rPr>
      <w:color w:val="CC0033"/>
    </w:rPr>
  </w:style>
  <w:style w:type="character" w:styleId="102">
    <w:name w:val="line number"/>
    <w:basedOn w:val="96"/>
    <w:qFormat/>
    <w:uiPriority w:val="0"/>
  </w:style>
  <w:style w:type="character" w:styleId="103">
    <w:name w:val="HTML Definition"/>
    <w:basedOn w:val="96"/>
    <w:qFormat/>
    <w:uiPriority w:val="0"/>
  </w:style>
  <w:style w:type="character" w:styleId="104">
    <w:name w:val="HTML Typewriter"/>
    <w:qFormat/>
    <w:uiPriority w:val="0"/>
    <w:rPr>
      <w:rFonts w:ascii="Courier New" w:hAnsi="Courier New" w:cs="Courier New"/>
      <w:sz w:val="20"/>
      <w:szCs w:val="20"/>
    </w:rPr>
  </w:style>
  <w:style w:type="character" w:styleId="105">
    <w:name w:val="HTML Acronym"/>
    <w:basedOn w:val="96"/>
    <w:qFormat/>
    <w:uiPriority w:val="0"/>
  </w:style>
  <w:style w:type="character" w:styleId="106">
    <w:name w:val="HTML Variable"/>
    <w:basedOn w:val="96"/>
    <w:qFormat/>
    <w:uiPriority w:val="0"/>
  </w:style>
  <w:style w:type="character" w:styleId="107">
    <w:name w:val="Hyperlink"/>
    <w:unhideWhenUsed/>
    <w:qFormat/>
    <w:uiPriority w:val="99"/>
    <w:rPr>
      <w:color w:val="0000FF"/>
      <w:u w:val="single"/>
    </w:rPr>
  </w:style>
  <w:style w:type="character" w:styleId="108">
    <w:name w:val="HTML Code"/>
    <w:qFormat/>
    <w:uiPriority w:val="0"/>
    <w:rPr>
      <w:rFonts w:ascii="黑体" w:eastAsia="黑体" w:cs="Courier New"/>
      <w:sz w:val="24"/>
      <w:szCs w:val="24"/>
      <w:lang w:bidi="ar-SA"/>
    </w:rPr>
  </w:style>
  <w:style w:type="character" w:styleId="109">
    <w:name w:val="annotation reference"/>
    <w:qFormat/>
    <w:uiPriority w:val="0"/>
    <w:rPr>
      <w:sz w:val="21"/>
    </w:rPr>
  </w:style>
  <w:style w:type="character" w:styleId="110">
    <w:name w:val="HTML Cite"/>
    <w:basedOn w:val="96"/>
    <w:qFormat/>
    <w:uiPriority w:val="0"/>
  </w:style>
  <w:style w:type="character" w:styleId="111">
    <w:name w:val="footnote reference"/>
    <w:qFormat/>
    <w:uiPriority w:val="0"/>
    <w:rPr>
      <w:vertAlign w:val="superscript"/>
    </w:rPr>
  </w:style>
  <w:style w:type="character" w:styleId="112">
    <w:name w:val="HTML Keyboard"/>
    <w:qFormat/>
    <w:uiPriority w:val="0"/>
    <w:rPr>
      <w:rFonts w:ascii="monospace" w:hAnsi="monospace" w:eastAsia="monospace" w:cs="monospace"/>
      <w:sz w:val="21"/>
      <w:szCs w:val="21"/>
    </w:rPr>
  </w:style>
  <w:style w:type="character" w:styleId="113">
    <w:name w:val="HTML Sample"/>
    <w:qFormat/>
    <w:uiPriority w:val="0"/>
    <w:rPr>
      <w:rFonts w:ascii="Courier New" w:hAnsi="Courier New" w:cs="Courier New"/>
    </w:rPr>
  </w:style>
  <w:style w:type="paragraph" w:customStyle="1" w:styleId="114">
    <w:name w:val="WPSOffice手动目录 1"/>
    <w:qFormat/>
    <w:uiPriority w:val="0"/>
    <w:rPr>
      <w:rFonts w:asciiTheme="minorHAnsi" w:hAnsiTheme="minorHAnsi" w:eastAsiaTheme="minorEastAsia" w:cstheme="minorBidi"/>
      <w:lang w:val="en-US" w:eastAsia="zh-CN" w:bidi="ar-SA"/>
    </w:rPr>
  </w:style>
  <w:style w:type="character" w:customStyle="1" w:styleId="115">
    <w:name w:val="页眉 字符"/>
    <w:basedOn w:val="96"/>
    <w:link w:val="2"/>
    <w:qFormat/>
    <w:uiPriority w:val="0"/>
    <w:rPr>
      <w:rFonts w:ascii="Times New Roman" w:hAnsi="Times New Roman" w:eastAsia="宋体" w:cs="Times New Roman"/>
      <w:kern w:val="2"/>
      <w:sz w:val="18"/>
      <w:szCs w:val="18"/>
    </w:rPr>
  </w:style>
  <w:style w:type="character" w:customStyle="1" w:styleId="116">
    <w:name w:val="标题 1 字符"/>
    <w:basedOn w:val="96"/>
    <w:qFormat/>
    <w:uiPriority w:val="9"/>
    <w:rPr>
      <w:rFonts w:ascii="Times New Roman" w:hAnsi="Times New Roman" w:eastAsia="宋体" w:cs="Times New Roman"/>
      <w:b/>
      <w:bCs/>
      <w:kern w:val="44"/>
      <w:sz w:val="44"/>
      <w:szCs w:val="44"/>
    </w:rPr>
  </w:style>
  <w:style w:type="character" w:customStyle="1" w:styleId="117">
    <w:name w:val="标题 2 字符"/>
    <w:basedOn w:val="96"/>
    <w:qFormat/>
    <w:uiPriority w:val="0"/>
    <w:rPr>
      <w:rFonts w:asciiTheme="majorHAnsi" w:hAnsiTheme="majorHAnsi" w:eastAsiaTheme="majorEastAsia" w:cstheme="majorBidi"/>
      <w:b/>
      <w:bCs/>
      <w:kern w:val="2"/>
      <w:sz w:val="32"/>
      <w:szCs w:val="32"/>
    </w:rPr>
  </w:style>
  <w:style w:type="character" w:customStyle="1" w:styleId="118">
    <w:name w:val="标题 3 字符"/>
    <w:basedOn w:val="96"/>
    <w:qFormat/>
    <w:uiPriority w:val="0"/>
    <w:rPr>
      <w:rFonts w:ascii="Times New Roman" w:hAnsi="Times New Roman" w:eastAsia="宋体" w:cs="Times New Roman"/>
      <w:b/>
      <w:bCs/>
      <w:kern w:val="2"/>
      <w:sz w:val="32"/>
      <w:szCs w:val="32"/>
    </w:rPr>
  </w:style>
  <w:style w:type="character" w:customStyle="1" w:styleId="119">
    <w:name w:val="标题 4 字符"/>
    <w:basedOn w:val="96"/>
    <w:qFormat/>
    <w:uiPriority w:val="0"/>
    <w:rPr>
      <w:rFonts w:asciiTheme="majorHAnsi" w:hAnsiTheme="majorHAnsi" w:eastAsiaTheme="majorEastAsia" w:cstheme="majorBidi"/>
      <w:b/>
      <w:bCs/>
      <w:kern w:val="2"/>
      <w:sz w:val="28"/>
      <w:szCs w:val="28"/>
    </w:rPr>
  </w:style>
  <w:style w:type="character" w:customStyle="1" w:styleId="120">
    <w:name w:val="标题 5 字符"/>
    <w:basedOn w:val="96"/>
    <w:qFormat/>
    <w:uiPriority w:val="0"/>
    <w:rPr>
      <w:rFonts w:ascii="Times New Roman" w:hAnsi="Times New Roman" w:eastAsia="宋体" w:cs="Times New Roman"/>
      <w:b/>
      <w:bCs/>
      <w:kern w:val="2"/>
      <w:sz w:val="28"/>
      <w:szCs w:val="28"/>
    </w:rPr>
  </w:style>
  <w:style w:type="character" w:customStyle="1" w:styleId="121">
    <w:name w:val="标题 6 字符"/>
    <w:basedOn w:val="96"/>
    <w:qFormat/>
    <w:uiPriority w:val="0"/>
    <w:rPr>
      <w:rFonts w:asciiTheme="majorHAnsi" w:hAnsiTheme="majorHAnsi" w:eastAsiaTheme="majorEastAsia" w:cstheme="majorBidi"/>
      <w:b/>
      <w:bCs/>
      <w:kern w:val="2"/>
      <w:sz w:val="24"/>
      <w:szCs w:val="24"/>
    </w:rPr>
  </w:style>
  <w:style w:type="character" w:customStyle="1" w:styleId="122">
    <w:name w:val="标题 7 字符"/>
    <w:basedOn w:val="96"/>
    <w:qFormat/>
    <w:uiPriority w:val="0"/>
    <w:rPr>
      <w:rFonts w:ascii="Times New Roman" w:hAnsi="Times New Roman" w:eastAsia="宋体" w:cs="Times New Roman"/>
      <w:b/>
      <w:bCs/>
      <w:kern w:val="2"/>
      <w:sz w:val="24"/>
      <w:szCs w:val="24"/>
    </w:rPr>
  </w:style>
  <w:style w:type="character" w:customStyle="1" w:styleId="123">
    <w:name w:val="标题 8 字符"/>
    <w:basedOn w:val="96"/>
    <w:qFormat/>
    <w:uiPriority w:val="0"/>
    <w:rPr>
      <w:rFonts w:asciiTheme="majorHAnsi" w:hAnsiTheme="majorHAnsi" w:eastAsiaTheme="majorEastAsia" w:cstheme="majorBidi"/>
      <w:kern w:val="2"/>
      <w:sz w:val="24"/>
      <w:szCs w:val="24"/>
    </w:rPr>
  </w:style>
  <w:style w:type="character" w:customStyle="1" w:styleId="124">
    <w:name w:val="标题 9 字符"/>
    <w:basedOn w:val="96"/>
    <w:qFormat/>
    <w:uiPriority w:val="0"/>
    <w:rPr>
      <w:rFonts w:asciiTheme="majorHAnsi" w:hAnsiTheme="majorHAnsi" w:eastAsiaTheme="majorEastAsia" w:cstheme="majorBidi"/>
      <w:kern w:val="2"/>
      <w:sz w:val="21"/>
      <w:szCs w:val="21"/>
    </w:rPr>
  </w:style>
  <w:style w:type="character" w:customStyle="1" w:styleId="125">
    <w:name w:val="页脚 字符2"/>
    <w:link w:val="57"/>
    <w:qFormat/>
    <w:locked/>
    <w:uiPriority w:val="99"/>
    <w:rPr>
      <w:rFonts w:ascii="Times New Roman" w:hAnsi="Times New Roman" w:eastAsia="宋体" w:cs="Times New Roman"/>
      <w:sz w:val="18"/>
    </w:rPr>
  </w:style>
  <w:style w:type="character" w:customStyle="1" w:styleId="126">
    <w:name w:val="日期 字符2"/>
    <w:link w:val="52"/>
    <w:qFormat/>
    <w:locked/>
    <w:uiPriority w:val="0"/>
    <w:rPr>
      <w:sz w:val="24"/>
    </w:rPr>
  </w:style>
  <w:style w:type="character" w:customStyle="1" w:styleId="127">
    <w:name w:val="页脚 字符"/>
    <w:basedOn w:val="96"/>
    <w:qFormat/>
    <w:uiPriority w:val="99"/>
  </w:style>
  <w:style w:type="character" w:customStyle="1" w:styleId="128">
    <w:name w:val="普通(网站) 字符"/>
    <w:link w:val="82"/>
    <w:qFormat/>
    <w:locked/>
    <w:uiPriority w:val="0"/>
    <w:rPr>
      <w:rFonts w:ascii="宋体" w:hAnsi="宋体"/>
      <w:sz w:val="24"/>
    </w:rPr>
  </w:style>
  <w:style w:type="character" w:customStyle="1" w:styleId="129">
    <w:name w:val="正文文本 字符1"/>
    <w:semiHidden/>
    <w:qFormat/>
    <w:uiPriority w:val="0"/>
    <w:rPr>
      <w:rFonts w:ascii="Times New Roman" w:hAnsi="Times New Roman" w:eastAsia="宋体"/>
      <w:sz w:val="24"/>
    </w:rPr>
  </w:style>
  <w:style w:type="character" w:customStyle="1" w:styleId="130">
    <w:name w:val="正文文本 字符2"/>
    <w:link w:val="35"/>
    <w:qFormat/>
    <w:locked/>
    <w:uiPriority w:val="0"/>
    <w:rPr>
      <w:sz w:val="18"/>
    </w:rPr>
  </w:style>
  <w:style w:type="character" w:customStyle="1" w:styleId="131">
    <w:name w:val="批注文字 Char"/>
    <w:qFormat/>
    <w:locked/>
    <w:uiPriority w:val="0"/>
    <w:rPr>
      <w:rFonts w:ascii="Times New Roman" w:hAnsi="Times New Roman" w:eastAsia="宋体"/>
      <w:sz w:val="24"/>
    </w:rPr>
  </w:style>
  <w:style w:type="character" w:customStyle="1" w:styleId="132">
    <w:name w:val="表格 Char"/>
    <w:link w:val="133"/>
    <w:qFormat/>
    <w:locked/>
    <w:uiPriority w:val="0"/>
    <w:rPr>
      <w:rFonts w:ascii="宋体"/>
      <w:sz w:val="21"/>
    </w:rPr>
  </w:style>
  <w:style w:type="paragraph" w:customStyle="1" w:styleId="133">
    <w:name w:val="表格"/>
    <w:basedOn w:val="1"/>
    <w:next w:val="1"/>
    <w:link w:val="132"/>
    <w:qFormat/>
    <w:uiPriority w:val="0"/>
    <w:pPr>
      <w:adjustRightInd w:val="0"/>
      <w:snapToGrid w:val="0"/>
      <w:spacing w:beforeLines="10" w:afterLines="10" w:line="259" w:lineRule="auto"/>
      <w:jc w:val="center"/>
    </w:pPr>
    <w:rPr>
      <w:rFonts w:ascii="宋体" w:hAnsiTheme="minorHAnsi" w:eastAsiaTheme="minorEastAsia" w:cstheme="minorBidi"/>
      <w:kern w:val="0"/>
      <w:szCs w:val="20"/>
    </w:rPr>
  </w:style>
  <w:style w:type="character" w:customStyle="1" w:styleId="134">
    <w:name w:val="日期 字符"/>
    <w:qFormat/>
    <w:uiPriority w:val="0"/>
    <w:rPr>
      <w:rFonts w:ascii="Times New Roman" w:hAnsi="Times New Roman" w:eastAsia="宋体"/>
      <w:sz w:val="24"/>
    </w:rPr>
  </w:style>
  <w:style w:type="character" w:customStyle="1" w:styleId="135">
    <w:name w:val="批注框文本 字符1"/>
    <w:link w:val="56"/>
    <w:qFormat/>
    <w:locked/>
    <w:uiPriority w:val="0"/>
    <w:rPr>
      <w:sz w:val="18"/>
    </w:rPr>
  </w:style>
  <w:style w:type="character" w:customStyle="1" w:styleId="136">
    <w:name w:val="批注主题 字符2"/>
    <w:link w:val="86"/>
    <w:qFormat/>
    <w:locked/>
    <w:uiPriority w:val="0"/>
    <w:rPr>
      <w:b/>
      <w:kern w:val="2"/>
      <w:sz w:val="24"/>
    </w:rPr>
  </w:style>
  <w:style w:type="character" w:customStyle="1" w:styleId="137">
    <w:name w:val="页眉 Char"/>
    <w:qFormat/>
    <w:locked/>
    <w:uiPriority w:val="0"/>
    <w:rPr>
      <w:sz w:val="18"/>
    </w:rPr>
  </w:style>
  <w:style w:type="character" w:customStyle="1" w:styleId="138">
    <w:name w:val="批注文字 字符1"/>
    <w:semiHidden/>
    <w:qFormat/>
    <w:uiPriority w:val="0"/>
    <w:rPr>
      <w:rFonts w:ascii="Times New Roman" w:hAnsi="Times New Roman" w:eastAsia="宋体"/>
      <w:sz w:val="24"/>
    </w:rPr>
  </w:style>
  <w:style w:type="character" w:customStyle="1" w:styleId="139">
    <w:name w:val="正文文本缩进 字符2"/>
    <w:link w:val="37"/>
    <w:qFormat/>
    <w:locked/>
    <w:uiPriority w:val="0"/>
    <w:rPr>
      <w:sz w:val="24"/>
    </w:rPr>
  </w:style>
  <w:style w:type="character" w:customStyle="1" w:styleId="140">
    <w:name w:val="页脚 字符1"/>
    <w:basedOn w:val="96"/>
    <w:qFormat/>
    <w:uiPriority w:val="0"/>
    <w:rPr>
      <w:kern w:val="2"/>
      <w:sz w:val="18"/>
      <w:szCs w:val="18"/>
    </w:rPr>
  </w:style>
  <w:style w:type="character" w:customStyle="1" w:styleId="141">
    <w:name w:val="正文文本 字符"/>
    <w:basedOn w:val="96"/>
    <w:qFormat/>
    <w:uiPriority w:val="0"/>
    <w:rPr>
      <w:rFonts w:ascii="Times New Roman" w:hAnsi="Times New Roman" w:eastAsia="宋体" w:cs="Times New Roman"/>
      <w:kern w:val="2"/>
      <w:sz w:val="21"/>
      <w:szCs w:val="24"/>
    </w:rPr>
  </w:style>
  <w:style w:type="character" w:customStyle="1" w:styleId="142">
    <w:name w:val="批注框文本 字符"/>
    <w:basedOn w:val="96"/>
    <w:qFormat/>
    <w:uiPriority w:val="0"/>
    <w:rPr>
      <w:rFonts w:ascii="Times New Roman" w:hAnsi="Times New Roman" w:eastAsia="宋体" w:cs="Times New Roman"/>
      <w:kern w:val="2"/>
      <w:sz w:val="18"/>
      <w:szCs w:val="18"/>
    </w:rPr>
  </w:style>
  <w:style w:type="character" w:customStyle="1" w:styleId="143">
    <w:name w:val="批注文字 字符"/>
    <w:basedOn w:val="96"/>
    <w:link w:val="29"/>
    <w:qFormat/>
    <w:uiPriority w:val="0"/>
    <w:rPr>
      <w:rFonts w:ascii="Times New Roman" w:hAnsi="Times New Roman" w:eastAsia="宋体" w:cs="Times New Roman"/>
      <w:kern w:val="2"/>
      <w:sz w:val="21"/>
      <w:szCs w:val="24"/>
    </w:rPr>
  </w:style>
  <w:style w:type="character" w:customStyle="1" w:styleId="144">
    <w:name w:val="批注主题 字符"/>
    <w:basedOn w:val="143"/>
    <w:qFormat/>
    <w:uiPriority w:val="99"/>
    <w:rPr>
      <w:rFonts w:ascii="Times New Roman" w:hAnsi="Times New Roman" w:eastAsia="宋体" w:cs="Times New Roman"/>
      <w:b/>
      <w:bCs/>
      <w:kern w:val="2"/>
      <w:sz w:val="21"/>
      <w:szCs w:val="24"/>
    </w:rPr>
  </w:style>
  <w:style w:type="character" w:customStyle="1" w:styleId="145">
    <w:name w:val="日期 字符1"/>
    <w:basedOn w:val="96"/>
    <w:qFormat/>
    <w:uiPriority w:val="0"/>
    <w:rPr>
      <w:rFonts w:ascii="Times New Roman" w:hAnsi="Times New Roman" w:eastAsia="宋体" w:cs="Times New Roman"/>
      <w:kern w:val="2"/>
      <w:sz w:val="21"/>
      <w:szCs w:val="24"/>
    </w:rPr>
  </w:style>
  <w:style w:type="character" w:customStyle="1" w:styleId="146">
    <w:name w:val="正文文本缩进 字符"/>
    <w:basedOn w:val="96"/>
    <w:qFormat/>
    <w:uiPriority w:val="99"/>
    <w:rPr>
      <w:rFonts w:ascii="Times New Roman" w:hAnsi="Times New Roman" w:eastAsia="宋体" w:cs="Times New Roman"/>
      <w:kern w:val="2"/>
      <w:sz w:val="21"/>
      <w:szCs w:val="24"/>
    </w:rPr>
  </w:style>
  <w:style w:type="paragraph" w:customStyle="1" w:styleId="14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149">
    <w:name w:val="正文_1 Char"/>
    <w:link w:val="150"/>
    <w:qFormat/>
    <w:uiPriority w:val="0"/>
    <w:rPr>
      <w:kern w:val="2"/>
      <w:sz w:val="24"/>
      <w:szCs w:val="24"/>
    </w:rPr>
  </w:style>
  <w:style w:type="paragraph" w:customStyle="1" w:styleId="150">
    <w:name w:val="正文_1"/>
    <w:basedOn w:val="1"/>
    <w:link w:val="149"/>
    <w:qFormat/>
    <w:uiPriority w:val="0"/>
    <w:pPr>
      <w:spacing w:line="360" w:lineRule="auto"/>
      <w:ind w:firstLine="200" w:firstLineChars="200"/>
      <w:jc w:val="left"/>
    </w:pPr>
    <w:rPr>
      <w:rFonts w:asciiTheme="minorHAnsi" w:hAnsiTheme="minorHAnsi" w:eastAsiaTheme="minorEastAsia" w:cstheme="minorBidi"/>
      <w:sz w:val="24"/>
    </w:rPr>
  </w:style>
  <w:style w:type="character" w:customStyle="1" w:styleId="151">
    <w:name w:val="纯文本 字符2"/>
    <w:link w:val="47"/>
    <w:qFormat/>
    <w:uiPriority w:val="0"/>
    <w:rPr>
      <w:rFonts w:ascii="宋体" w:hAnsi="Courier New"/>
      <w:kern w:val="2"/>
      <w:sz w:val="24"/>
    </w:rPr>
  </w:style>
  <w:style w:type="character" w:customStyle="1" w:styleId="152">
    <w:name w:val="纯文本 字符"/>
    <w:basedOn w:val="96"/>
    <w:qFormat/>
    <w:uiPriority w:val="0"/>
    <w:rPr>
      <w:rFonts w:hAnsi="Courier New" w:cs="Courier New" w:asciiTheme="minorEastAsia"/>
      <w:kern w:val="2"/>
      <w:sz w:val="21"/>
      <w:szCs w:val="24"/>
    </w:rPr>
  </w:style>
  <w:style w:type="character" w:customStyle="1" w:styleId="153">
    <w:name w:val="纯文本 Char1"/>
    <w:qFormat/>
    <w:uiPriority w:val="0"/>
    <w:rPr>
      <w:rFonts w:ascii="宋体" w:hAnsi="Courier New" w:cs="Courier New"/>
      <w:kern w:val="2"/>
      <w:sz w:val="21"/>
      <w:szCs w:val="21"/>
    </w:rPr>
  </w:style>
  <w:style w:type="character" w:customStyle="1" w:styleId="154">
    <w:name w:val="正文4 Char"/>
    <w:link w:val="155"/>
    <w:qFormat/>
    <w:uiPriority w:val="0"/>
    <w:rPr>
      <w:rFonts w:ascii="宋体" w:hAnsi="宋体"/>
      <w:color w:val="000000"/>
      <w:kern w:val="2"/>
      <w:sz w:val="24"/>
      <w:szCs w:val="24"/>
    </w:rPr>
  </w:style>
  <w:style w:type="paragraph" w:customStyle="1" w:styleId="155">
    <w:name w:val="正文4"/>
    <w:basedOn w:val="1"/>
    <w:link w:val="154"/>
    <w:qFormat/>
    <w:uiPriority w:val="0"/>
    <w:pPr>
      <w:spacing w:line="360" w:lineRule="auto"/>
      <w:ind w:firstLine="480" w:firstLineChars="200"/>
    </w:pPr>
    <w:rPr>
      <w:rFonts w:ascii="宋体" w:hAnsi="宋体" w:eastAsiaTheme="minorEastAsia" w:cstheme="minorBidi"/>
      <w:color w:val="000000"/>
      <w:sz w:val="24"/>
    </w:rPr>
  </w:style>
  <w:style w:type="character" w:customStyle="1" w:styleId="156">
    <w:name w:val="表格正文 Char"/>
    <w:link w:val="157"/>
    <w:qFormat/>
    <w:uiPriority w:val="0"/>
    <w:rPr>
      <w:kern w:val="2"/>
      <w:sz w:val="21"/>
      <w:szCs w:val="24"/>
    </w:rPr>
  </w:style>
  <w:style w:type="paragraph" w:customStyle="1" w:styleId="157">
    <w:name w:val="表格正文"/>
    <w:basedOn w:val="1"/>
    <w:link w:val="156"/>
    <w:qFormat/>
    <w:uiPriority w:val="0"/>
    <w:pPr>
      <w:widowControl/>
      <w:spacing w:line="360" w:lineRule="exact"/>
      <w:ind w:firstLine="200" w:firstLineChars="200"/>
      <w:jc w:val="center"/>
    </w:pPr>
    <w:rPr>
      <w:rFonts w:asciiTheme="minorHAnsi" w:hAnsiTheme="minorHAnsi" w:eastAsiaTheme="minorEastAsia" w:cstheme="minorBidi"/>
    </w:rPr>
  </w:style>
  <w:style w:type="character" w:customStyle="1" w:styleId="158">
    <w:name w:val="表格标题 Char"/>
    <w:link w:val="159"/>
    <w:qFormat/>
    <w:uiPriority w:val="0"/>
    <w:rPr>
      <w:rFonts w:ascii="宋体"/>
      <w:kern w:val="2"/>
      <w:sz w:val="24"/>
    </w:rPr>
  </w:style>
  <w:style w:type="paragraph" w:customStyle="1" w:styleId="159">
    <w:name w:val="表格标题"/>
    <w:basedOn w:val="1"/>
    <w:link w:val="158"/>
    <w:qFormat/>
    <w:uiPriority w:val="0"/>
    <w:pPr>
      <w:widowControl/>
      <w:spacing w:before="120" w:line="360" w:lineRule="auto"/>
      <w:ind w:firstLine="200" w:firstLineChars="200"/>
      <w:jc w:val="center"/>
    </w:pPr>
    <w:rPr>
      <w:rFonts w:ascii="宋体" w:hAnsiTheme="minorHAnsi" w:eastAsiaTheme="minorEastAsia" w:cstheme="minorBidi"/>
      <w:sz w:val="24"/>
      <w:szCs w:val="20"/>
    </w:rPr>
  </w:style>
  <w:style w:type="character" w:customStyle="1" w:styleId="160">
    <w:name w:val="标题33 Char"/>
    <w:link w:val="161"/>
    <w:qFormat/>
    <w:uiPriority w:val="0"/>
    <w:rPr>
      <w:rFonts w:ascii="Cambria" w:hAnsi="Cambria" w:eastAsia="Times New Roman"/>
      <w:b/>
      <w:bCs/>
      <w:kern w:val="28"/>
      <w:sz w:val="24"/>
      <w:szCs w:val="32"/>
    </w:rPr>
  </w:style>
  <w:style w:type="paragraph" w:customStyle="1" w:styleId="161">
    <w:name w:val="标题33"/>
    <w:basedOn w:val="65"/>
    <w:link w:val="160"/>
    <w:qFormat/>
    <w:uiPriority w:val="0"/>
    <w:pPr>
      <w:widowControl/>
      <w:spacing w:before="0" w:after="0" w:line="360" w:lineRule="auto"/>
      <w:jc w:val="left"/>
      <w:outlineLvl w:val="2"/>
    </w:pPr>
    <w:rPr>
      <w:rFonts w:eastAsia="Times New Roman" w:cstheme="minorBidi"/>
      <w:sz w:val="24"/>
    </w:rPr>
  </w:style>
  <w:style w:type="character" w:customStyle="1" w:styleId="162">
    <w:name w:val="副标题 字符"/>
    <w:basedOn w:val="96"/>
    <w:qFormat/>
    <w:uiPriority w:val="0"/>
    <w:rPr>
      <w:b/>
      <w:bCs/>
      <w:kern w:val="28"/>
      <w:sz w:val="32"/>
      <w:szCs w:val="32"/>
    </w:rPr>
  </w:style>
  <w:style w:type="character" w:customStyle="1" w:styleId="163">
    <w:name w:val="副标题 字符1"/>
    <w:link w:val="65"/>
    <w:qFormat/>
    <w:uiPriority w:val="0"/>
    <w:rPr>
      <w:rFonts w:ascii="Cambria" w:hAnsi="Cambria" w:eastAsia="宋体" w:cs="Times New Roman"/>
      <w:b/>
      <w:bCs/>
      <w:kern w:val="28"/>
      <w:sz w:val="32"/>
      <w:szCs w:val="32"/>
    </w:rPr>
  </w:style>
  <w:style w:type="character" w:customStyle="1" w:styleId="164">
    <w:name w:val="表格3333 Char"/>
    <w:link w:val="165"/>
    <w:qFormat/>
    <w:uiPriority w:val="0"/>
    <w:rPr>
      <w:color w:val="000000"/>
      <w:kern w:val="2"/>
      <w:sz w:val="21"/>
      <w:szCs w:val="21"/>
    </w:rPr>
  </w:style>
  <w:style w:type="paragraph" w:customStyle="1" w:styleId="165">
    <w:name w:val="表格3333"/>
    <w:basedOn w:val="1"/>
    <w:link w:val="164"/>
    <w:qFormat/>
    <w:uiPriority w:val="0"/>
    <w:pPr>
      <w:widowControl/>
      <w:adjustRightInd w:val="0"/>
      <w:spacing w:line="240" w:lineRule="atLeast"/>
      <w:jc w:val="center"/>
    </w:pPr>
    <w:rPr>
      <w:rFonts w:asciiTheme="minorHAnsi" w:hAnsiTheme="minorHAnsi" w:eastAsiaTheme="minorEastAsia" w:cstheme="minorBidi"/>
      <w:color w:val="000000"/>
      <w:szCs w:val="21"/>
    </w:rPr>
  </w:style>
  <w:style w:type="character" w:customStyle="1" w:styleId="166">
    <w:name w:val="标题333 Char"/>
    <w:link w:val="167"/>
    <w:qFormat/>
    <w:uiPriority w:val="0"/>
    <w:rPr>
      <w:rFonts w:eastAsia="Times New Roman"/>
      <w:b/>
      <w:bCs/>
      <w:kern w:val="28"/>
      <w:sz w:val="24"/>
      <w:szCs w:val="32"/>
    </w:rPr>
  </w:style>
  <w:style w:type="paragraph" w:customStyle="1" w:styleId="167">
    <w:name w:val="标题333"/>
    <w:basedOn w:val="1"/>
    <w:link w:val="166"/>
    <w:qFormat/>
    <w:uiPriority w:val="0"/>
    <w:pPr>
      <w:widowControl/>
      <w:spacing w:line="360" w:lineRule="auto"/>
      <w:jc w:val="left"/>
      <w:outlineLvl w:val="2"/>
    </w:pPr>
    <w:rPr>
      <w:rFonts w:eastAsia="Times New Roman" w:asciiTheme="minorHAnsi" w:hAnsiTheme="minorHAnsi" w:cstheme="minorBidi"/>
      <w:b/>
      <w:bCs/>
      <w:kern w:val="28"/>
      <w:sz w:val="24"/>
      <w:szCs w:val="32"/>
    </w:rPr>
  </w:style>
  <w:style w:type="character" w:customStyle="1" w:styleId="168">
    <w:name w:val="表格1 Char"/>
    <w:link w:val="169"/>
    <w:qFormat/>
    <w:uiPriority w:val="0"/>
    <w:rPr>
      <w:rFonts w:hAnsi="宋体"/>
      <w:color w:val="000000"/>
      <w:sz w:val="21"/>
      <w:szCs w:val="21"/>
    </w:rPr>
  </w:style>
  <w:style w:type="paragraph" w:customStyle="1" w:styleId="169">
    <w:name w:val="表格1"/>
    <w:basedOn w:val="1"/>
    <w:link w:val="168"/>
    <w:qFormat/>
    <w:uiPriority w:val="0"/>
    <w:pPr>
      <w:widowControl/>
      <w:jc w:val="center"/>
    </w:pPr>
    <w:rPr>
      <w:rFonts w:hAnsi="宋体" w:asciiTheme="minorHAnsi" w:eastAsiaTheme="minorEastAsia" w:cstheme="minorBidi"/>
      <w:color w:val="000000"/>
      <w:kern w:val="0"/>
      <w:szCs w:val="21"/>
    </w:rPr>
  </w:style>
  <w:style w:type="character" w:customStyle="1" w:styleId="170">
    <w:name w:val="标题22 Char"/>
    <w:link w:val="171"/>
    <w:qFormat/>
    <w:uiPriority w:val="0"/>
    <w:rPr>
      <w:rFonts w:ascii="宋体" w:hAnsi="宋体"/>
      <w:b/>
      <w:kern w:val="2"/>
      <w:sz w:val="28"/>
      <w:szCs w:val="28"/>
    </w:rPr>
  </w:style>
  <w:style w:type="paragraph" w:customStyle="1" w:styleId="171">
    <w:name w:val="标题22"/>
    <w:basedOn w:val="1"/>
    <w:link w:val="170"/>
    <w:qFormat/>
    <w:uiPriority w:val="0"/>
    <w:pPr>
      <w:widowControl/>
      <w:spacing w:line="360" w:lineRule="auto"/>
      <w:outlineLvl w:val="1"/>
    </w:pPr>
    <w:rPr>
      <w:rFonts w:ascii="宋体" w:hAnsi="宋体" w:eastAsiaTheme="minorEastAsia" w:cstheme="minorBidi"/>
      <w:b/>
      <w:sz w:val="28"/>
      <w:szCs w:val="28"/>
    </w:rPr>
  </w:style>
  <w:style w:type="character" w:customStyle="1" w:styleId="172">
    <w:name w:val="标题 2 字符2"/>
    <w:link w:val="5"/>
    <w:qFormat/>
    <w:uiPriority w:val="0"/>
    <w:rPr>
      <w:rFonts w:ascii="Cambria" w:hAnsi="Cambria" w:eastAsia="宋体" w:cs="Times New Roman"/>
      <w:b/>
      <w:bCs/>
      <w:kern w:val="2"/>
      <w:sz w:val="32"/>
      <w:szCs w:val="32"/>
    </w:rPr>
  </w:style>
  <w:style w:type="character" w:customStyle="1" w:styleId="173">
    <w:name w:val="正文缩进 字符1"/>
    <w:link w:val="22"/>
    <w:qFormat/>
    <w:uiPriority w:val="0"/>
    <w:rPr>
      <w:rFonts w:ascii="Times New Roman" w:hAnsi="Times New Roman" w:eastAsia="宋体" w:cs="Times New Roman"/>
      <w:kern w:val="2"/>
      <w:sz w:val="24"/>
    </w:rPr>
  </w:style>
  <w:style w:type="paragraph" w:customStyle="1" w:styleId="1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5">
    <w:name w:val="Normal+2"/>
    <w:basedOn w:val="174"/>
    <w:next w:val="174"/>
    <w:qFormat/>
    <w:uiPriority w:val="99"/>
    <w:rPr>
      <w:rFonts w:cs="Times New Roman"/>
      <w:color w:val="auto"/>
    </w:rPr>
  </w:style>
  <w:style w:type="character" w:customStyle="1" w:styleId="176">
    <w:name w:val="样式2表头 Char"/>
    <w:link w:val="177"/>
    <w:qFormat/>
    <w:locked/>
    <w:uiPriority w:val="0"/>
    <w:rPr>
      <w:rFonts w:eastAsia="Times New Roman"/>
      <w:kern w:val="2"/>
      <w:sz w:val="24"/>
      <w:szCs w:val="18"/>
    </w:rPr>
  </w:style>
  <w:style w:type="paragraph" w:customStyle="1" w:styleId="177">
    <w:name w:val="样式2表头"/>
    <w:basedOn w:val="1"/>
    <w:link w:val="176"/>
    <w:qFormat/>
    <w:uiPriority w:val="0"/>
    <w:pPr>
      <w:widowControl/>
      <w:spacing w:line="480" w:lineRule="exact"/>
      <w:ind w:firstLine="200" w:firstLineChars="200"/>
      <w:jc w:val="center"/>
    </w:pPr>
    <w:rPr>
      <w:rFonts w:eastAsia="Times New Roman" w:asciiTheme="minorHAnsi" w:hAnsiTheme="minorHAnsi" w:cstheme="minorBidi"/>
      <w:sz w:val="24"/>
      <w:szCs w:val="18"/>
    </w:rPr>
  </w:style>
  <w:style w:type="character" w:customStyle="1" w:styleId="178">
    <w:name w:val="样式5 正文 Char"/>
    <w:link w:val="179"/>
    <w:qFormat/>
    <w:uiPriority w:val="0"/>
    <w:rPr>
      <w:rFonts w:eastAsia="仿宋"/>
      <w:kern w:val="2"/>
      <w:sz w:val="28"/>
      <w:szCs w:val="28"/>
    </w:rPr>
  </w:style>
  <w:style w:type="paragraph" w:customStyle="1" w:styleId="179">
    <w:name w:val="样式5 正文"/>
    <w:basedOn w:val="1"/>
    <w:link w:val="178"/>
    <w:qFormat/>
    <w:uiPriority w:val="0"/>
    <w:pPr>
      <w:adjustRightInd w:val="0"/>
      <w:snapToGrid w:val="0"/>
      <w:spacing w:line="500" w:lineRule="exact"/>
      <w:ind w:firstLine="200" w:firstLineChars="200"/>
    </w:pPr>
    <w:rPr>
      <w:rFonts w:eastAsia="仿宋" w:asciiTheme="minorHAnsi" w:hAnsiTheme="minorHAnsi" w:cstheme="minorBidi"/>
      <w:sz w:val="28"/>
      <w:szCs w:val="28"/>
    </w:rPr>
  </w:style>
  <w:style w:type="paragraph" w:customStyle="1" w:styleId="180">
    <w:name w:val="表格6"/>
    <w:basedOn w:val="1"/>
    <w:link w:val="182"/>
    <w:qFormat/>
    <w:uiPriority w:val="0"/>
    <w:pPr>
      <w:widowControl/>
      <w:spacing w:line="240" w:lineRule="exact"/>
      <w:jc w:val="center"/>
    </w:pPr>
    <w:rPr>
      <w:color w:val="000000"/>
      <w:szCs w:val="21"/>
    </w:rPr>
  </w:style>
  <w:style w:type="paragraph" w:customStyle="1" w:styleId="181">
    <w:name w:val="Char1"/>
    <w:basedOn w:val="1"/>
    <w:qFormat/>
    <w:uiPriority w:val="0"/>
  </w:style>
  <w:style w:type="character" w:customStyle="1" w:styleId="182">
    <w:name w:val="表格6 Char"/>
    <w:link w:val="180"/>
    <w:qFormat/>
    <w:uiPriority w:val="0"/>
    <w:rPr>
      <w:rFonts w:ascii="Times New Roman" w:hAnsi="Times New Roman" w:eastAsia="宋体" w:cs="Times New Roman"/>
      <w:color w:val="000000"/>
      <w:kern w:val="2"/>
      <w:sz w:val="21"/>
      <w:szCs w:val="21"/>
    </w:rPr>
  </w:style>
  <w:style w:type="paragraph" w:customStyle="1" w:styleId="183">
    <w:name w:val="Char Char Char Char Char Char Char"/>
    <w:basedOn w:val="1"/>
    <w:qFormat/>
    <w:uiPriority w:val="0"/>
    <w:pPr>
      <w:spacing w:line="360" w:lineRule="auto"/>
      <w:ind w:firstLine="200" w:firstLineChars="200"/>
    </w:pPr>
    <w:rPr>
      <w:rFonts w:ascii="宋体" w:hAnsi="宋体" w:eastAsia="汉鼎简书宋"/>
      <w:kern w:val="0"/>
      <w:sz w:val="24"/>
      <w:szCs w:val="20"/>
    </w:rPr>
  </w:style>
  <w:style w:type="character" w:customStyle="1" w:styleId="184">
    <w:name w:val="标题 4 字符2"/>
    <w:link w:val="7"/>
    <w:qFormat/>
    <w:uiPriority w:val="0"/>
    <w:rPr>
      <w:rFonts w:ascii="Cambria" w:hAnsi="Cambria" w:eastAsia="宋体" w:cs="Times New Roman"/>
      <w:b/>
      <w:bCs/>
      <w:kern w:val="2"/>
      <w:sz w:val="28"/>
      <w:szCs w:val="28"/>
      <w:lang w:val="zh-CN" w:eastAsia="zh-CN"/>
    </w:rPr>
  </w:style>
  <w:style w:type="character" w:customStyle="1" w:styleId="185">
    <w:name w:val="正文A Char"/>
    <w:link w:val="186"/>
    <w:qFormat/>
    <w:uiPriority w:val="99"/>
    <w:rPr>
      <w:rFonts w:cs="宋体"/>
      <w:kern w:val="2"/>
      <w:sz w:val="24"/>
    </w:rPr>
  </w:style>
  <w:style w:type="paragraph" w:customStyle="1" w:styleId="186">
    <w:name w:val="正文A"/>
    <w:basedOn w:val="1"/>
    <w:link w:val="185"/>
    <w:qFormat/>
    <w:uiPriority w:val="99"/>
    <w:pPr>
      <w:widowControl/>
      <w:spacing w:line="360" w:lineRule="auto"/>
      <w:ind w:firstLine="480" w:firstLineChars="200"/>
    </w:pPr>
    <w:rPr>
      <w:rFonts w:cs="宋体" w:asciiTheme="minorHAnsi" w:hAnsiTheme="minorHAnsi" w:eastAsiaTheme="minorEastAsia"/>
      <w:sz w:val="24"/>
      <w:szCs w:val="20"/>
    </w:rPr>
  </w:style>
  <w:style w:type="character" w:customStyle="1" w:styleId="187">
    <w:name w:val="正文01 Char"/>
    <w:link w:val="188"/>
    <w:qFormat/>
    <w:locked/>
    <w:uiPriority w:val="0"/>
    <w:rPr>
      <w:kern w:val="2"/>
      <w:sz w:val="24"/>
      <w:szCs w:val="24"/>
    </w:rPr>
  </w:style>
  <w:style w:type="paragraph" w:customStyle="1" w:styleId="188">
    <w:name w:val="正文01"/>
    <w:basedOn w:val="1"/>
    <w:link w:val="187"/>
    <w:qFormat/>
    <w:uiPriority w:val="0"/>
    <w:pPr>
      <w:widowControl/>
      <w:spacing w:before="60" w:line="460" w:lineRule="exact"/>
      <w:ind w:firstLine="200" w:firstLineChars="200"/>
    </w:pPr>
    <w:rPr>
      <w:rFonts w:asciiTheme="minorHAnsi" w:hAnsiTheme="minorHAnsi" w:eastAsiaTheme="minorEastAsia" w:cstheme="minorBidi"/>
      <w:sz w:val="24"/>
    </w:rPr>
  </w:style>
  <w:style w:type="character" w:customStyle="1" w:styleId="189">
    <w:name w:val="正文1 Char"/>
    <w:link w:val="190"/>
    <w:qFormat/>
    <w:locked/>
    <w:uiPriority w:val="0"/>
    <w:rPr>
      <w:rFonts w:eastAsia="Times New Roman"/>
      <w:kern w:val="2"/>
      <w:sz w:val="24"/>
      <w:szCs w:val="24"/>
    </w:rPr>
  </w:style>
  <w:style w:type="paragraph" w:customStyle="1" w:styleId="190">
    <w:name w:val="正文1"/>
    <w:basedOn w:val="1"/>
    <w:link w:val="189"/>
    <w:qFormat/>
    <w:uiPriority w:val="0"/>
    <w:pPr>
      <w:adjustRightInd w:val="0"/>
      <w:snapToGrid w:val="0"/>
      <w:spacing w:line="360" w:lineRule="auto"/>
      <w:ind w:firstLine="200" w:firstLineChars="200"/>
    </w:pPr>
    <w:rPr>
      <w:rFonts w:eastAsia="Times New Roman" w:asciiTheme="minorHAnsi" w:hAnsiTheme="minorHAnsi" w:cstheme="minorBidi"/>
      <w:sz w:val="24"/>
    </w:rPr>
  </w:style>
  <w:style w:type="character" w:customStyle="1" w:styleId="191">
    <w:name w:val="font41"/>
    <w:qFormat/>
    <w:uiPriority w:val="0"/>
    <w:rPr>
      <w:rFonts w:hint="eastAsia" w:ascii="宋体" w:hAnsi="宋体" w:eastAsia="宋体" w:cs="宋体"/>
      <w:color w:val="000000"/>
      <w:sz w:val="21"/>
      <w:szCs w:val="21"/>
      <w:u w:val="none"/>
    </w:rPr>
  </w:style>
  <w:style w:type="paragraph" w:customStyle="1" w:styleId="192">
    <w:name w:val="Table Paragraph"/>
    <w:basedOn w:val="1"/>
    <w:qFormat/>
    <w:uiPriority w:val="1"/>
    <w:rPr>
      <w:rFonts w:ascii="宋体" w:hAnsi="宋体" w:cs="宋体"/>
    </w:rPr>
  </w:style>
  <w:style w:type="character" w:customStyle="1" w:styleId="193">
    <w:name w:val="标题 3 字符2"/>
    <w:link w:val="6"/>
    <w:qFormat/>
    <w:uiPriority w:val="0"/>
    <w:rPr>
      <w:rFonts w:ascii="宋体" w:hAnsi="Arial" w:eastAsia="宋体" w:cs="Times New Roman"/>
      <w:color w:val="000000"/>
      <w:spacing w:val="24"/>
      <w:kern w:val="28"/>
      <w:sz w:val="28"/>
      <w:lang w:val="zh-CN" w:eastAsia="zh-CN"/>
    </w:rPr>
  </w:style>
  <w:style w:type="character" w:customStyle="1" w:styleId="194">
    <w:name w:val="标题 5 字符1"/>
    <w:link w:val="8"/>
    <w:qFormat/>
    <w:uiPriority w:val="0"/>
    <w:rPr>
      <w:rFonts w:ascii="Arial" w:hAnsi="Arial" w:eastAsia="宋体" w:cs="Times New Roman"/>
      <w:b/>
      <w:color w:val="000000"/>
      <w:kern w:val="28"/>
      <w:sz w:val="24"/>
      <w:lang w:val="zh-CN" w:eastAsia="zh-CN"/>
    </w:rPr>
  </w:style>
  <w:style w:type="character" w:customStyle="1" w:styleId="195">
    <w:name w:val="标题 6 字符1"/>
    <w:link w:val="9"/>
    <w:qFormat/>
    <w:uiPriority w:val="0"/>
    <w:rPr>
      <w:rFonts w:ascii="Arial" w:hAnsi="Arial" w:eastAsia="宋体" w:cs="Times New Roman"/>
      <w:b/>
      <w:i/>
      <w:color w:val="000000"/>
      <w:kern w:val="28"/>
      <w:sz w:val="24"/>
      <w:lang w:val="zh-CN" w:eastAsia="zh-CN"/>
    </w:rPr>
  </w:style>
  <w:style w:type="character" w:customStyle="1" w:styleId="196">
    <w:name w:val="标题 7 字符1"/>
    <w:link w:val="10"/>
    <w:qFormat/>
    <w:uiPriority w:val="0"/>
    <w:rPr>
      <w:rFonts w:ascii="宋体" w:hAnsi="Arial" w:eastAsia="宋体" w:cs="Times New Roman"/>
      <w:b/>
      <w:color w:val="000000"/>
      <w:kern w:val="28"/>
      <w:sz w:val="24"/>
      <w:lang w:val="zh-CN" w:eastAsia="zh-CN"/>
    </w:rPr>
  </w:style>
  <w:style w:type="character" w:customStyle="1" w:styleId="197">
    <w:name w:val="标题 8 字符1"/>
    <w:link w:val="11"/>
    <w:qFormat/>
    <w:uiPriority w:val="0"/>
    <w:rPr>
      <w:rFonts w:ascii="宋体" w:hAnsi="Arial" w:eastAsia="宋体" w:cs="Times New Roman"/>
      <w:b/>
      <w:i/>
      <w:color w:val="000000"/>
      <w:kern w:val="28"/>
      <w:sz w:val="24"/>
      <w:lang w:val="zh-CN" w:eastAsia="zh-CN"/>
    </w:rPr>
  </w:style>
  <w:style w:type="character" w:customStyle="1" w:styleId="198">
    <w:name w:val="标题 9 字符1"/>
    <w:link w:val="12"/>
    <w:qFormat/>
    <w:uiPriority w:val="0"/>
    <w:rPr>
      <w:rFonts w:ascii="宋体" w:hAnsi="Arial" w:eastAsia="宋体" w:cs="Times New Roman"/>
      <w:b/>
      <w:i/>
      <w:color w:val="000000"/>
      <w:kern w:val="28"/>
      <w:sz w:val="24"/>
      <w:lang w:val="zh-CN" w:eastAsia="zh-CN"/>
    </w:rPr>
  </w:style>
  <w:style w:type="character" w:customStyle="1" w:styleId="199">
    <w:name w:val="正文(首行缩进) Char"/>
    <w:link w:val="200"/>
    <w:qFormat/>
    <w:uiPriority w:val="0"/>
    <w:rPr>
      <w:sz w:val="24"/>
      <w:szCs w:val="24"/>
    </w:rPr>
  </w:style>
  <w:style w:type="paragraph" w:customStyle="1" w:styleId="200">
    <w:name w:val="正文(首行缩进)"/>
    <w:basedOn w:val="1"/>
    <w:link w:val="199"/>
    <w:qFormat/>
    <w:uiPriority w:val="0"/>
    <w:pPr>
      <w:adjustRightInd w:val="0"/>
      <w:snapToGrid w:val="0"/>
      <w:spacing w:line="360" w:lineRule="auto"/>
      <w:ind w:firstLine="200" w:firstLineChars="200"/>
    </w:pPr>
    <w:rPr>
      <w:rFonts w:asciiTheme="minorHAnsi" w:hAnsiTheme="minorHAnsi" w:eastAsiaTheme="minorEastAsia" w:cstheme="minorBidi"/>
      <w:kern w:val="0"/>
      <w:sz w:val="24"/>
    </w:rPr>
  </w:style>
  <w:style w:type="character" w:customStyle="1" w:styleId="201">
    <w:name w:val="Char3 Char Char Char"/>
    <w:qFormat/>
    <w:uiPriority w:val="0"/>
    <w:rPr>
      <w:rFonts w:ascii="Times New Roman" w:hAnsi="Times New Roman" w:eastAsia="宋体" w:cs="Times New Roman"/>
      <w:kern w:val="0"/>
      <w:sz w:val="24"/>
      <w:szCs w:val="24"/>
      <w:lang w:bidi="ar-SA"/>
    </w:rPr>
  </w:style>
  <w:style w:type="character" w:customStyle="1" w:styleId="202">
    <w:name w:val="2缩进正文 Char"/>
    <w:link w:val="203"/>
    <w:qFormat/>
    <w:uiPriority w:val="0"/>
    <w:rPr>
      <w:kern w:val="2"/>
      <w:sz w:val="24"/>
      <w:szCs w:val="24"/>
    </w:rPr>
  </w:style>
  <w:style w:type="paragraph" w:customStyle="1" w:styleId="203">
    <w:name w:val="2缩进正文"/>
    <w:basedOn w:val="1"/>
    <w:link w:val="202"/>
    <w:qFormat/>
    <w:uiPriority w:val="0"/>
    <w:pPr>
      <w:spacing w:line="360" w:lineRule="auto"/>
      <w:ind w:firstLine="200" w:firstLineChars="200"/>
    </w:pPr>
    <w:rPr>
      <w:rFonts w:asciiTheme="minorHAnsi" w:hAnsiTheme="minorHAnsi" w:eastAsiaTheme="minorEastAsia" w:cstheme="minorBidi"/>
      <w:sz w:val="24"/>
    </w:rPr>
  </w:style>
  <w:style w:type="character" w:customStyle="1" w:styleId="204">
    <w:name w:val="blue1"/>
    <w:qFormat/>
    <w:uiPriority w:val="0"/>
    <w:rPr>
      <w:color w:val="3366FF"/>
    </w:rPr>
  </w:style>
  <w:style w:type="character" w:customStyle="1" w:styleId="205">
    <w:name w:val="样式 正文1 + 段前: 0.1 行 Char1"/>
    <w:qFormat/>
    <w:uiPriority w:val="0"/>
    <w:rPr>
      <w:rFonts w:eastAsia="宋体" w:cs="宋体"/>
      <w:kern w:val="2"/>
      <w:sz w:val="24"/>
      <w:lang w:val="en-US" w:eastAsia="zh-CN" w:bidi="ar-SA"/>
    </w:rPr>
  </w:style>
  <w:style w:type="character" w:customStyle="1" w:styleId="206">
    <w:name w:val="样式1 Char"/>
    <w:link w:val="207"/>
    <w:qFormat/>
    <w:uiPriority w:val="0"/>
    <w:rPr>
      <w:rFonts w:ascii="Arial" w:hAnsi="Arial"/>
      <w:b/>
      <w:kern w:val="2"/>
      <w:sz w:val="32"/>
      <w:szCs w:val="24"/>
    </w:rPr>
  </w:style>
  <w:style w:type="paragraph" w:customStyle="1" w:styleId="207">
    <w:name w:val="样式1"/>
    <w:basedOn w:val="1"/>
    <w:link w:val="206"/>
    <w:qFormat/>
    <w:uiPriority w:val="0"/>
    <w:pPr>
      <w:spacing w:before="60" w:line="460" w:lineRule="exact"/>
      <w:outlineLvl w:val="0"/>
    </w:pPr>
    <w:rPr>
      <w:rFonts w:ascii="Arial" w:hAnsi="Arial" w:eastAsiaTheme="minorEastAsia" w:cstheme="minorBidi"/>
      <w:b/>
      <w:sz w:val="32"/>
    </w:rPr>
  </w:style>
  <w:style w:type="character" w:customStyle="1" w:styleId="208">
    <w:name w:val="新正文样式 Char"/>
    <w:link w:val="209"/>
    <w:qFormat/>
    <w:uiPriority w:val="0"/>
    <w:rPr>
      <w:spacing w:val="20"/>
      <w:kern w:val="2"/>
      <w:sz w:val="24"/>
    </w:rPr>
  </w:style>
  <w:style w:type="paragraph" w:customStyle="1" w:styleId="209">
    <w:name w:val="新正文样式"/>
    <w:basedOn w:val="1"/>
    <w:link w:val="208"/>
    <w:qFormat/>
    <w:uiPriority w:val="0"/>
    <w:pPr>
      <w:tabs>
        <w:tab w:val="left" w:pos="567"/>
      </w:tabs>
      <w:spacing w:before="60" w:line="360" w:lineRule="auto"/>
      <w:ind w:firstLine="200" w:firstLineChars="200"/>
    </w:pPr>
    <w:rPr>
      <w:rFonts w:asciiTheme="minorHAnsi" w:hAnsiTheme="minorHAnsi" w:eastAsiaTheme="minorEastAsia" w:cstheme="minorBidi"/>
      <w:spacing w:val="20"/>
      <w:sz w:val="24"/>
      <w:szCs w:val="20"/>
    </w:rPr>
  </w:style>
  <w:style w:type="character" w:customStyle="1" w:styleId="210">
    <w:name w:val="extended-address"/>
    <w:qFormat/>
    <w:uiPriority w:val="0"/>
  </w:style>
  <w:style w:type="character" w:customStyle="1" w:styleId="211">
    <w:name w:val="标题3"/>
    <w:qFormat/>
    <w:uiPriority w:val="0"/>
    <w:rPr>
      <w:rFonts w:ascii="Times New Roman" w:hAnsi="Times New Roman" w:eastAsia="宋体" w:cs="Times New Roman"/>
      <w:kern w:val="0"/>
      <w:sz w:val="24"/>
      <w:szCs w:val="24"/>
      <w:lang w:bidi="ar-SA"/>
    </w:rPr>
  </w:style>
  <w:style w:type="character" w:customStyle="1" w:styleId="212">
    <w:name w:val="fontstyle21"/>
    <w:qFormat/>
    <w:uiPriority w:val="0"/>
    <w:rPr>
      <w:rFonts w:hint="default" w:ascii="TimesNewRomanPS-BoldMT" w:hAnsi="TimesNewRomanPS-BoldMT"/>
      <w:b/>
      <w:bCs/>
      <w:color w:val="000000"/>
      <w:sz w:val="22"/>
      <w:szCs w:val="22"/>
    </w:rPr>
  </w:style>
  <w:style w:type="character" w:customStyle="1" w:styleId="213">
    <w:name w:val="highlight1"/>
    <w:qFormat/>
    <w:uiPriority w:val="0"/>
    <w:rPr>
      <w:sz w:val="21"/>
      <w:szCs w:val="21"/>
    </w:rPr>
  </w:style>
  <w:style w:type="character" w:customStyle="1" w:styleId="214">
    <w:name w:val="标题 3 Char Char Char1"/>
    <w:qFormat/>
    <w:uiPriority w:val="0"/>
    <w:rPr>
      <w:rFonts w:eastAsia="宋体"/>
      <w:b/>
      <w:sz w:val="32"/>
      <w:szCs w:val="32"/>
    </w:rPr>
  </w:style>
  <w:style w:type="character" w:customStyle="1" w:styleId="215">
    <w:name w:val="样式 正文001 + 首行缩进:  2 字符 Char"/>
    <w:qFormat/>
    <w:uiPriority w:val="99"/>
    <w:rPr>
      <w:rFonts w:eastAsia="宋体" w:cs="宋体"/>
      <w:kern w:val="2"/>
      <w:sz w:val="24"/>
      <w:lang w:val="en-US" w:eastAsia="zh-CN" w:bidi="ar-SA"/>
    </w:rPr>
  </w:style>
  <w:style w:type="character" w:customStyle="1" w:styleId="216">
    <w:name w:val="Char5"/>
    <w:qFormat/>
    <w:uiPriority w:val="0"/>
    <w:rPr>
      <w:rFonts w:ascii="仿宋_GB2312" w:eastAsia="仿宋_GB2312"/>
      <w:kern w:val="2"/>
      <w:sz w:val="21"/>
      <w:szCs w:val="24"/>
    </w:rPr>
  </w:style>
  <w:style w:type="character" w:customStyle="1" w:styleId="217">
    <w:name w:val="f121"/>
    <w:qFormat/>
    <w:uiPriority w:val="0"/>
    <w:rPr>
      <w:sz w:val="18"/>
      <w:szCs w:val="18"/>
      <w:u w:val="none"/>
    </w:rPr>
  </w:style>
  <w:style w:type="character" w:customStyle="1" w:styleId="218">
    <w:name w:val="批注框文本 Char1"/>
    <w:semiHidden/>
    <w:qFormat/>
    <w:uiPriority w:val="99"/>
    <w:rPr>
      <w:kern w:val="2"/>
      <w:sz w:val="18"/>
      <w:szCs w:val="18"/>
    </w:rPr>
  </w:style>
  <w:style w:type="character" w:customStyle="1" w:styleId="219">
    <w:name w:val="正文01 Char Char Char"/>
    <w:qFormat/>
    <w:uiPriority w:val="0"/>
    <w:rPr>
      <w:rFonts w:eastAsia="宋体"/>
      <w:snapToGrid w:val="0"/>
      <w:color w:val="000000"/>
      <w:sz w:val="24"/>
      <w:szCs w:val="24"/>
      <w:lang w:val="en-US" w:eastAsia="zh-CN"/>
    </w:rPr>
  </w:style>
  <w:style w:type="character" w:customStyle="1" w:styleId="220">
    <w:name w:val="三级标题 Char Char"/>
    <w:qFormat/>
    <w:uiPriority w:val="0"/>
    <w:rPr>
      <w:rFonts w:eastAsia="宋体"/>
      <w:b/>
      <w:bCs/>
      <w:snapToGrid w:val="0"/>
      <w:sz w:val="24"/>
      <w:szCs w:val="24"/>
      <w:lang w:val="en-US" w:eastAsia="zh-CN" w:bidi="ar-SA"/>
    </w:rPr>
  </w:style>
  <w:style w:type="character" w:customStyle="1" w:styleId="221">
    <w:name w:val="表格下方正文 Char1"/>
    <w:link w:val="222"/>
    <w:qFormat/>
    <w:uiPriority w:val="0"/>
    <w:rPr>
      <w:rFonts w:ascii="Calibri" w:hAnsi="Calibri"/>
      <w:bCs/>
      <w:kern w:val="2"/>
      <w:sz w:val="24"/>
      <w:szCs w:val="24"/>
    </w:rPr>
  </w:style>
  <w:style w:type="paragraph" w:customStyle="1" w:styleId="222">
    <w:name w:val="表格下方正文"/>
    <w:basedOn w:val="1"/>
    <w:link w:val="221"/>
    <w:qFormat/>
    <w:uiPriority w:val="0"/>
    <w:pPr>
      <w:spacing w:before="300" w:line="420" w:lineRule="exact"/>
      <w:ind w:firstLine="200" w:firstLineChars="200"/>
    </w:pPr>
    <w:rPr>
      <w:rFonts w:ascii="Calibri" w:hAnsi="Calibri" w:eastAsiaTheme="minorEastAsia" w:cstheme="minorBidi"/>
      <w:bCs/>
      <w:sz w:val="24"/>
    </w:rPr>
  </w:style>
  <w:style w:type="character" w:customStyle="1" w:styleId="223">
    <w:name w:val="H34"/>
    <w:qFormat/>
    <w:uiPriority w:val="0"/>
    <w:rPr>
      <w:rFonts w:ascii="Times New Roman" w:hAnsi="Times New Roman" w:eastAsia="宋体" w:cs="Times New Roman"/>
      <w:sz w:val="24"/>
      <w:szCs w:val="24"/>
      <w:lang w:bidi="ar-SA"/>
    </w:rPr>
  </w:style>
  <w:style w:type="character" w:customStyle="1" w:styleId="224">
    <w:name w:val="标题 2 Char1"/>
    <w:semiHidden/>
    <w:qFormat/>
    <w:uiPriority w:val="0"/>
    <w:rPr>
      <w:rFonts w:ascii="Cambria" w:hAnsi="Cambria" w:eastAsia="宋体" w:cs="Times New Roman"/>
      <w:b/>
      <w:bCs/>
      <w:kern w:val="2"/>
      <w:sz w:val="32"/>
      <w:szCs w:val="32"/>
    </w:rPr>
  </w:style>
  <w:style w:type="character" w:customStyle="1" w:styleId="225">
    <w:name w:val="articletitle1"/>
    <w:qFormat/>
    <w:uiPriority w:val="0"/>
    <w:rPr>
      <w:rFonts w:hint="default" w:ascii="MS Shell Dlg" w:hAnsi="MS Shell Dlg" w:cs="MS Shell Dlg"/>
      <w:b/>
      <w:bCs/>
      <w:color w:val="666699"/>
      <w:spacing w:val="288"/>
      <w:sz w:val="22"/>
      <w:szCs w:val="22"/>
    </w:rPr>
  </w:style>
  <w:style w:type="character" w:customStyle="1" w:styleId="226">
    <w:name w:val="at_2"/>
    <w:qFormat/>
    <w:uiPriority w:val="0"/>
  </w:style>
  <w:style w:type="character" w:customStyle="1" w:styleId="227">
    <w:name w:val="headline-content"/>
    <w:qFormat/>
    <w:uiPriority w:val="0"/>
  </w:style>
  <w:style w:type="character" w:customStyle="1" w:styleId="228">
    <w:name w:val="标题31"/>
    <w:qFormat/>
    <w:uiPriority w:val="0"/>
    <w:rPr>
      <w:rFonts w:ascii="Times New Roman" w:hAnsi="Times New Roman" w:eastAsia="宋体" w:cs="Times New Roman"/>
      <w:kern w:val="0"/>
      <w:sz w:val="24"/>
      <w:szCs w:val="24"/>
      <w:lang w:bidi="ar-SA"/>
    </w:rPr>
  </w:style>
  <w:style w:type="character" w:customStyle="1" w:styleId="229">
    <w:name w:val="标题 1 Char1"/>
    <w:uiPriority w:val="0"/>
    <w:rPr>
      <w:b/>
      <w:bCs/>
      <w:kern w:val="44"/>
      <w:sz w:val="44"/>
      <w:szCs w:val="44"/>
    </w:rPr>
  </w:style>
  <w:style w:type="character" w:customStyle="1" w:styleId="230">
    <w:name w:val="Char2"/>
    <w:uiPriority w:val="0"/>
    <w:rPr>
      <w:rFonts w:ascii="Arial" w:hAnsi="Arial" w:eastAsia="黑体"/>
      <w:b/>
      <w:bCs/>
      <w:kern w:val="2"/>
      <w:sz w:val="28"/>
      <w:szCs w:val="28"/>
      <w:lang w:val="en-US" w:eastAsia="zh-CN" w:bidi="ar-SA"/>
    </w:rPr>
  </w:style>
  <w:style w:type="character" w:customStyle="1" w:styleId="231">
    <w:name w:val="at_5"/>
    <w:qFormat/>
    <w:uiPriority w:val="0"/>
  </w:style>
  <w:style w:type="character" w:customStyle="1" w:styleId="232">
    <w:name w:val="表格文字2 Char"/>
    <w:link w:val="233"/>
    <w:qFormat/>
    <w:uiPriority w:val="0"/>
    <w:rPr>
      <w:rFonts w:ascii="Calibri" w:hAnsi="Calibri"/>
      <w:sz w:val="21"/>
      <w:szCs w:val="21"/>
    </w:rPr>
  </w:style>
  <w:style w:type="paragraph" w:customStyle="1" w:styleId="233">
    <w:name w:val="表格文字2"/>
    <w:basedOn w:val="1"/>
    <w:link w:val="232"/>
    <w:qFormat/>
    <w:uiPriority w:val="0"/>
    <w:pPr>
      <w:tabs>
        <w:tab w:val="left" w:pos="277"/>
        <w:tab w:val="left" w:pos="600"/>
        <w:tab w:val="left" w:pos="780"/>
        <w:tab w:val="left" w:pos="2517"/>
      </w:tabs>
      <w:adjustRightInd w:val="0"/>
      <w:spacing w:before="60"/>
      <w:jc w:val="center"/>
      <w:textAlignment w:val="baseline"/>
    </w:pPr>
    <w:rPr>
      <w:rFonts w:ascii="Calibri" w:hAnsi="Calibri" w:eastAsiaTheme="minorEastAsia" w:cstheme="minorBidi"/>
      <w:kern w:val="0"/>
      <w:szCs w:val="21"/>
    </w:rPr>
  </w:style>
  <w:style w:type="character" w:customStyle="1" w:styleId="234">
    <w:name w:val="p5"/>
    <w:qFormat/>
    <w:uiPriority w:val="0"/>
  </w:style>
  <w:style w:type="character" w:customStyle="1" w:styleId="235">
    <w:name w:val="样式 样式 正文1 + 段前: 0.1 行 + 段前: 0.1 行 Char1"/>
    <w:qFormat/>
    <w:uiPriority w:val="0"/>
    <w:rPr>
      <w:rFonts w:eastAsia="宋体" w:cs="宋体"/>
      <w:kern w:val="2"/>
      <w:sz w:val="24"/>
      <w:lang w:val="en-US" w:eastAsia="zh-CN" w:bidi="ar-SA"/>
    </w:rPr>
  </w:style>
  <w:style w:type="character" w:customStyle="1" w:styleId="236">
    <w:name w:val="Char3 Char Char Char1"/>
    <w:qFormat/>
    <w:uiPriority w:val="0"/>
    <w:rPr>
      <w:rFonts w:ascii="Times New Roman" w:hAnsi="Times New Roman" w:eastAsia="宋体" w:cs="Times New Roman"/>
      <w:kern w:val="0"/>
      <w:sz w:val="24"/>
      <w:szCs w:val="24"/>
      <w:lang w:bidi="ar-SA"/>
    </w:rPr>
  </w:style>
  <w:style w:type="character" w:customStyle="1" w:styleId="237">
    <w:name w:val="bt21"/>
    <w:qFormat/>
    <w:uiPriority w:val="0"/>
    <w:rPr>
      <w:rFonts w:hint="eastAsia" w:ascii="黑体" w:eastAsia="黑体"/>
      <w:spacing w:val="400"/>
      <w:sz w:val="24"/>
      <w:szCs w:val="24"/>
    </w:rPr>
  </w:style>
  <w:style w:type="character" w:customStyle="1" w:styleId="238">
    <w:name w:val="f14b1"/>
    <w:qFormat/>
    <w:uiPriority w:val="0"/>
    <w:rPr>
      <w:b/>
      <w:bCs/>
      <w:sz w:val="21"/>
      <w:szCs w:val="21"/>
    </w:rPr>
  </w:style>
  <w:style w:type="character" w:customStyle="1" w:styleId="239">
    <w:name w:val="1级标题 Char"/>
    <w:link w:val="240"/>
    <w:qFormat/>
    <w:uiPriority w:val="0"/>
    <w:rPr>
      <w:b/>
      <w:color w:val="000000"/>
      <w:sz w:val="32"/>
    </w:rPr>
  </w:style>
  <w:style w:type="paragraph" w:customStyle="1" w:styleId="240">
    <w:name w:val="1级标题"/>
    <w:basedOn w:val="1"/>
    <w:next w:val="1"/>
    <w:link w:val="239"/>
    <w:qFormat/>
    <w:uiPriority w:val="0"/>
    <w:pPr>
      <w:widowControl/>
      <w:spacing w:before="60" w:line="460" w:lineRule="exact"/>
      <w:outlineLvl w:val="0"/>
    </w:pPr>
    <w:rPr>
      <w:rFonts w:asciiTheme="minorHAnsi" w:hAnsiTheme="minorHAnsi" w:eastAsiaTheme="minorEastAsia" w:cstheme="minorBidi"/>
      <w:b/>
      <w:color w:val="000000"/>
      <w:kern w:val="0"/>
      <w:sz w:val="32"/>
      <w:szCs w:val="20"/>
    </w:rPr>
  </w:style>
  <w:style w:type="character" w:customStyle="1" w:styleId="241">
    <w:name w:val="表内 Char"/>
    <w:link w:val="242"/>
    <w:qFormat/>
    <w:uiPriority w:val="0"/>
    <w:rPr>
      <w:rFonts w:eastAsia="仿宋_GB2312"/>
      <w:sz w:val="21"/>
      <w:szCs w:val="24"/>
    </w:rPr>
  </w:style>
  <w:style w:type="paragraph" w:customStyle="1" w:styleId="242">
    <w:name w:val="表内"/>
    <w:basedOn w:val="1"/>
    <w:link w:val="241"/>
    <w:qFormat/>
    <w:uiPriority w:val="0"/>
    <w:pPr>
      <w:jc w:val="center"/>
    </w:pPr>
    <w:rPr>
      <w:rFonts w:eastAsia="仿宋_GB2312" w:asciiTheme="minorHAnsi" w:hAnsiTheme="minorHAnsi" w:cstheme="minorBidi"/>
      <w:kern w:val="0"/>
    </w:rPr>
  </w:style>
  <w:style w:type="character" w:customStyle="1" w:styleId="243">
    <w:name w:val="s"/>
    <w:qFormat/>
    <w:uiPriority w:val="0"/>
  </w:style>
  <w:style w:type="character" w:customStyle="1" w:styleId="244">
    <w:name w:val="项标题(1) Char Char"/>
    <w:qFormat/>
    <w:uiPriority w:val="0"/>
    <w:rPr>
      <w:rFonts w:ascii="Arial" w:hAnsi="Arial"/>
      <w:b/>
      <w:bCs/>
      <w:color w:val="000000"/>
      <w:kern w:val="2"/>
      <w:sz w:val="24"/>
      <w:szCs w:val="24"/>
    </w:rPr>
  </w:style>
  <w:style w:type="character" w:customStyle="1" w:styleId="245">
    <w:name w:val="Char20"/>
    <w:qFormat/>
    <w:uiPriority w:val="0"/>
    <w:rPr>
      <w:rFonts w:ascii="Times New Roman" w:hAnsi="Times New Roman" w:eastAsia="宋体" w:cs="Times New Roman"/>
      <w:kern w:val="0"/>
      <w:sz w:val="27"/>
      <w:szCs w:val="24"/>
      <w:lang w:bidi="ar-SA"/>
    </w:rPr>
  </w:style>
  <w:style w:type="character" w:customStyle="1" w:styleId="246">
    <w:name w:val="2级（节）标题 Char"/>
    <w:link w:val="247"/>
    <w:qFormat/>
    <w:uiPriority w:val="0"/>
    <w:rPr>
      <w:rFonts w:ascii="宋体" w:hAnsi="宋体"/>
      <w:b/>
      <w:kern w:val="2"/>
      <w:sz w:val="28"/>
      <w:szCs w:val="28"/>
    </w:rPr>
  </w:style>
  <w:style w:type="paragraph" w:customStyle="1" w:styleId="247">
    <w:name w:val="2级（节）标题"/>
    <w:basedOn w:val="1"/>
    <w:link w:val="246"/>
    <w:qFormat/>
    <w:uiPriority w:val="0"/>
    <w:pPr>
      <w:spacing w:beforeLines="50" w:line="360" w:lineRule="auto"/>
      <w:ind w:firstLine="141" w:firstLineChars="50"/>
      <w:outlineLvl w:val="1"/>
    </w:pPr>
    <w:rPr>
      <w:rFonts w:ascii="宋体" w:hAnsi="宋体" w:eastAsiaTheme="minorEastAsia" w:cstheme="minorBidi"/>
      <w:b/>
      <w:sz w:val="28"/>
      <w:szCs w:val="28"/>
    </w:rPr>
  </w:style>
  <w:style w:type="character" w:customStyle="1" w:styleId="248">
    <w:name w:val="样式2 Char"/>
    <w:qFormat/>
    <w:uiPriority w:val="0"/>
    <w:rPr>
      <w:rFonts w:ascii="仿宋_GB2312" w:hAnsi="Arial" w:eastAsia="宋体"/>
      <w:b/>
      <w:color w:val="000000"/>
      <w:kern w:val="2"/>
      <w:sz w:val="24"/>
      <w:szCs w:val="24"/>
      <w:lang w:val="en-US" w:eastAsia="zh-CN" w:bidi="ar-SA"/>
    </w:rPr>
  </w:style>
  <w:style w:type="character" w:customStyle="1" w:styleId="249">
    <w:name w:val="页眉1"/>
    <w:qFormat/>
    <w:uiPriority w:val="0"/>
    <w:rPr>
      <w:rFonts w:ascii="Times New Roman" w:hAnsi="Times New Roman" w:eastAsia="宋体" w:cs="Times New Roman"/>
      <w:sz w:val="18"/>
      <w:szCs w:val="24"/>
      <w:lang w:bidi="ar-SA"/>
    </w:rPr>
  </w:style>
  <w:style w:type="character" w:customStyle="1" w:styleId="250">
    <w:name w:val="Char18"/>
    <w:qFormat/>
    <w:uiPriority w:val="0"/>
    <w:rPr>
      <w:rFonts w:ascii="Times New Roman" w:hAnsi="Times New Roman" w:eastAsia="宋体" w:cs="Times New Roman"/>
      <w:sz w:val="24"/>
      <w:szCs w:val="24"/>
      <w:lang w:bidi="ar-SA"/>
    </w:rPr>
  </w:style>
  <w:style w:type="character" w:customStyle="1" w:styleId="251">
    <w:name w:val="常用表头样式 Char"/>
    <w:link w:val="252"/>
    <w:qFormat/>
    <w:uiPriority w:val="0"/>
    <w:rPr>
      <w:rFonts w:ascii="黑体" w:eastAsia="楷体_GB2312"/>
      <w:b/>
      <w:kern w:val="2"/>
      <w:sz w:val="21"/>
      <w:szCs w:val="21"/>
    </w:rPr>
  </w:style>
  <w:style w:type="paragraph" w:customStyle="1" w:styleId="252">
    <w:name w:val="常用表头样式"/>
    <w:basedOn w:val="87"/>
    <w:link w:val="251"/>
    <w:qFormat/>
    <w:uiPriority w:val="0"/>
    <w:pPr>
      <w:overflowPunct w:val="0"/>
      <w:autoSpaceDE w:val="0"/>
      <w:autoSpaceDN w:val="0"/>
      <w:adjustRightInd w:val="0"/>
      <w:spacing w:after="0" w:line="360" w:lineRule="auto"/>
      <w:ind w:firstLine="0" w:firstLineChars="0"/>
      <w:jc w:val="center"/>
      <w:textAlignment w:val="baseline"/>
    </w:pPr>
    <w:rPr>
      <w:rFonts w:ascii="黑体" w:eastAsia="楷体_GB2312"/>
      <w:b/>
      <w:szCs w:val="21"/>
    </w:rPr>
  </w:style>
  <w:style w:type="character" w:customStyle="1" w:styleId="253">
    <w:name w:val="Char17"/>
    <w:qFormat/>
    <w:uiPriority w:val="0"/>
    <w:rPr>
      <w:rFonts w:ascii="Times New Roman" w:hAnsi="Times New Roman" w:eastAsia="宋体" w:cs="Times New Roman"/>
      <w:sz w:val="24"/>
      <w:szCs w:val="24"/>
      <w:shd w:val="clear" w:color="auto" w:fill="000080"/>
      <w:lang w:bidi="ar-SA"/>
    </w:rPr>
  </w:style>
  <w:style w:type="character" w:customStyle="1" w:styleId="254">
    <w:name w:val="主体 Char"/>
    <w:link w:val="255"/>
    <w:qFormat/>
    <w:uiPriority w:val="0"/>
    <w:rPr>
      <w:rFonts w:eastAsia="仿宋_GB2312"/>
      <w:bCs/>
      <w:kern w:val="2"/>
      <w:sz w:val="24"/>
      <w:szCs w:val="24"/>
    </w:rPr>
  </w:style>
  <w:style w:type="paragraph" w:customStyle="1" w:styleId="255">
    <w:name w:val="主体"/>
    <w:link w:val="254"/>
    <w:qFormat/>
    <w:uiPriority w:val="0"/>
    <w:pPr>
      <w:widowControl w:val="0"/>
      <w:autoSpaceDE w:val="0"/>
      <w:autoSpaceDN w:val="0"/>
      <w:spacing w:line="440" w:lineRule="exact"/>
      <w:ind w:firstLine="480" w:firstLineChars="200"/>
      <w:jc w:val="both"/>
    </w:pPr>
    <w:rPr>
      <w:rFonts w:eastAsia="仿宋_GB2312" w:asciiTheme="minorHAnsi" w:hAnsiTheme="minorHAnsi" w:cstheme="minorBidi"/>
      <w:bCs/>
      <w:kern w:val="2"/>
      <w:sz w:val="24"/>
      <w:szCs w:val="24"/>
      <w:lang w:val="en-US" w:eastAsia="zh-CN" w:bidi="ar-SA"/>
    </w:rPr>
  </w:style>
  <w:style w:type="character" w:customStyle="1" w:styleId="256">
    <w:name w:val="Char10"/>
    <w:qFormat/>
    <w:uiPriority w:val="0"/>
    <w:rPr>
      <w:rFonts w:ascii="Times New Roman" w:hAnsi="Times New Roman" w:eastAsia="宋体" w:cs="Times New Roman"/>
      <w:sz w:val="24"/>
      <w:szCs w:val="24"/>
      <w:lang w:bidi="ar-SA"/>
    </w:rPr>
  </w:style>
  <w:style w:type="character" w:customStyle="1" w:styleId="257">
    <w:name w:val="报告正文 Char Char"/>
    <w:qFormat/>
    <w:uiPriority w:val="0"/>
    <w:rPr>
      <w:rFonts w:ascii="宋体" w:hAnsi="宋体" w:cs="宋体"/>
      <w:kern w:val="2"/>
      <w:sz w:val="24"/>
    </w:rPr>
  </w:style>
  <w:style w:type="character" w:customStyle="1" w:styleId="258">
    <w:name w:val="z-窗体顶端 Char1"/>
    <w:semiHidden/>
    <w:qFormat/>
    <w:uiPriority w:val="99"/>
    <w:rPr>
      <w:rFonts w:ascii="Arial" w:hAnsi="Arial" w:cs="Arial"/>
      <w:vanish/>
      <w:kern w:val="2"/>
      <w:sz w:val="16"/>
      <w:szCs w:val="16"/>
    </w:rPr>
  </w:style>
  <w:style w:type="character" w:customStyle="1" w:styleId="259">
    <w:name w:val="txt221"/>
    <w:qFormat/>
    <w:uiPriority w:val="0"/>
    <w:rPr>
      <w:color w:val="333333"/>
      <w:spacing w:val="300"/>
      <w:sz w:val="18"/>
      <w:szCs w:val="18"/>
      <w:u w:val="none"/>
    </w:rPr>
  </w:style>
  <w:style w:type="character" w:customStyle="1" w:styleId="260">
    <w:name w:val="表格 Char1"/>
    <w:qFormat/>
    <w:uiPriority w:val="0"/>
    <w:rPr>
      <w:rFonts w:ascii="宋体" w:hAnsi="宋体"/>
      <w:snapToGrid w:val="0"/>
      <w:sz w:val="21"/>
      <w:lang w:val="en-US" w:eastAsia="zh-CN" w:bidi="ar-SA"/>
    </w:rPr>
  </w:style>
  <w:style w:type="character" w:customStyle="1" w:styleId="261">
    <w:name w:val="Char19"/>
    <w:qFormat/>
    <w:uiPriority w:val="0"/>
    <w:rPr>
      <w:rFonts w:ascii="Times New Roman" w:hAnsi="Times New Roman" w:eastAsia="宋体" w:cs="Times New Roman"/>
      <w:color w:val="000000"/>
      <w:sz w:val="24"/>
      <w:szCs w:val="24"/>
      <w:lang w:bidi="ar-SA"/>
    </w:rPr>
  </w:style>
  <w:style w:type="character" w:customStyle="1" w:styleId="262">
    <w:name w:val="表格 Char Char"/>
    <w:qFormat/>
    <w:uiPriority w:val="0"/>
    <w:rPr>
      <w:kern w:val="24"/>
      <w:sz w:val="24"/>
      <w:szCs w:val="24"/>
    </w:rPr>
  </w:style>
  <w:style w:type="character" w:customStyle="1" w:styleId="263">
    <w:name w:val="Char12"/>
    <w:qFormat/>
    <w:uiPriority w:val="0"/>
    <w:rPr>
      <w:rFonts w:ascii="Times New Roman" w:hAnsi="Times New Roman" w:eastAsia="宋体" w:cs="Times New Roman"/>
      <w:color w:val="000000"/>
      <w:sz w:val="24"/>
      <w:szCs w:val="24"/>
      <w:lang w:bidi="ar-SA"/>
    </w:rPr>
  </w:style>
  <w:style w:type="character" w:customStyle="1" w:styleId="264">
    <w:name w:val="正文首行缩进 Char3"/>
    <w:qFormat/>
    <w:uiPriority w:val="0"/>
  </w:style>
  <w:style w:type="character" w:customStyle="1" w:styleId="265">
    <w:name w:val="content_11"/>
    <w:qFormat/>
    <w:uiPriority w:val="0"/>
    <w:rPr>
      <w:color w:val="333333"/>
      <w:spacing w:val="340"/>
      <w:sz w:val="18"/>
      <w:szCs w:val="18"/>
    </w:rPr>
  </w:style>
  <w:style w:type="character" w:customStyle="1" w:styleId="266">
    <w:name w:val="正文1 Char Char"/>
    <w:qFormat/>
    <w:uiPriority w:val="0"/>
    <w:rPr>
      <w:rFonts w:eastAsia="宋体"/>
      <w:kern w:val="2"/>
      <w:sz w:val="24"/>
      <w:szCs w:val="24"/>
      <w:lang w:val="en-US" w:eastAsia="zh-CN"/>
    </w:rPr>
  </w:style>
  <w:style w:type="character" w:customStyle="1" w:styleId="267">
    <w:name w:val="样式 正文图表标题 + (西文) Times New Roman Char"/>
    <w:link w:val="268"/>
    <w:qFormat/>
    <w:uiPriority w:val="0"/>
    <w:rPr>
      <w:b/>
      <w:bCs/>
      <w:kern w:val="24"/>
      <w:sz w:val="24"/>
      <w:szCs w:val="24"/>
    </w:rPr>
  </w:style>
  <w:style w:type="paragraph" w:customStyle="1" w:styleId="268">
    <w:name w:val="样式 正文图表标题 + (西文) Times New Roman"/>
    <w:basedOn w:val="269"/>
    <w:link w:val="267"/>
    <w:qFormat/>
    <w:uiPriority w:val="0"/>
    <w:rPr>
      <w:bCs/>
    </w:rPr>
  </w:style>
  <w:style w:type="paragraph" w:customStyle="1" w:styleId="269">
    <w:name w:val="正文图表标题"/>
    <w:basedOn w:val="1"/>
    <w:link w:val="284"/>
    <w:qFormat/>
    <w:uiPriority w:val="0"/>
    <w:pPr>
      <w:adjustRightInd w:val="0"/>
      <w:snapToGrid w:val="0"/>
      <w:spacing w:line="360" w:lineRule="auto"/>
      <w:jc w:val="center"/>
    </w:pPr>
    <w:rPr>
      <w:rFonts w:asciiTheme="minorHAnsi" w:hAnsiTheme="minorHAnsi" w:eastAsiaTheme="minorEastAsia" w:cstheme="minorBidi"/>
      <w:b/>
      <w:kern w:val="24"/>
      <w:sz w:val="24"/>
    </w:rPr>
  </w:style>
  <w:style w:type="character" w:customStyle="1" w:styleId="270">
    <w:name w:val="test1"/>
    <w:qFormat/>
    <w:uiPriority w:val="0"/>
    <w:rPr>
      <w:rFonts w:ascii="ˎ̥" w:hAnsi="ˎ̥"/>
      <w:color w:val="000000"/>
      <w:sz w:val="19"/>
      <w:szCs w:val="19"/>
      <w:u w:val="none"/>
    </w:rPr>
  </w:style>
  <w:style w:type="character" w:customStyle="1" w:styleId="271">
    <w:name w:val="正文文本 Char2"/>
    <w:qFormat/>
    <w:uiPriority w:val="0"/>
    <w:rPr>
      <w:kern w:val="2"/>
      <w:sz w:val="21"/>
      <w:szCs w:val="24"/>
    </w:rPr>
  </w:style>
  <w:style w:type="character" w:customStyle="1" w:styleId="272">
    <w:name w:val="hsubsm1"/>
    <w:qFormat/>
    <w:uiPriority w:val="0"/>
    <w:rPr>
      <w:sz w:val="20"/>
      <w:szCs w:val="20"/>
      <w:vertAlign w:val="subscript"/>
    </w:rPr>
  </w:style>
  <w:style w:type="character" w:customStyle="1" w:styleId="273">
    <w:name w:val="标题 Char2"/>
    <w:qFormat/>
    <w:uiPriority w:val="0"/>
    <w:rPr>
      <w:rFonts w:ascii="Cambria" w:hAnsi="Cambria" w:cs="Times New Roman"/>
      <w:b/>
      <w:bCs/>
      <w:kern w:val="2"/>
      <w:sz w:val="32"/>
      <w:szCs w:val="32"/>
    </w:rPr>
  </w:style>
  <w:style w:type="character" w:customStyle="1" w:styleId="274">
    <w:name w:val="Char Char4"/>
    <w:semiHidden/>
    <w:qFormat/>
    <w:uiPriority w:val="0"/>
    <w:rPr>
      <w:rFonts w:eastAsia="宋体"/>
      <w:kern w:val="2"/>
      <w:sz w:val="21"/>
      <w:szCs w:val="24"/>
      <w:lang w:val="en-US" w:eastAsia="zh-CN" w:bidi="ar-SA"/>
    </w:rPr>
  </w:style>
  <w:style w:type="character" w:customStyle="1" w:styleId="275">
    <w:name w:val="燕山正文 Char"/>
    <w:uiPriority w:val="0"/>
    <w:rPr>
      <w:rFonts w:ascii="宋体" w:hAnsi="宋体" w:eastAsia="宋体"/>
      <w:color w:val="000000"/>
      <w:kern w:val="2"/>
      <w:sz w:val="28"/>
      <w:szCs w:val="28"/>
      <w:lang w:val="en-US" w:eastAsia="zh-CN" w:bidi="ar-SA"/>
    </w:rPr>
  </w:style>
  <w:style w:type="character" w:customStyle="1" w:styleId="276">
    <w:name w:val="日期 Char2"/>
    <w:uiPriority w:val="0"/>
    <w:rPr>
      <w:rFonts w:ascii="Calibri" w:hAnsi="Calibri"/>
      <w:kern w:val="2"/>
      <w:sz w:val="21"/>
      <w:szCs w:val="24"/>
    </w:rPr>
  </w:style>
  <w:style w:type="character" w:customStyle="1" w:styleId="277">
    <w:name w:val="ww1"/>
    <w:qFormat/>
    <w:uiPriority w:val="0"/>
    <w:rPr>
      <w:spacing w:val="300"/>
      <w:sz w:val="18"/>
      <w:szCs w:val="18"/>
    </w:rPr>
  </w:style>
  <w:style w:type="character" w:customStyle="1" w:styleId="278">
    <w:name w:val="nine-11"/>
    <w:qFormat/>
    <w:uiPriority w:val="0"/>
    <w:rPr>
      <w:rFonts w:hint="default"/>
      <w:spacing w:val="320"/>
      <w:sz w:val="18"/>
      <w:szCs w:val="18"/>
    </w:rPr>
  </w:style>
  <w:style w:type="character" w:customStyle="1" w:styleId="279">
    <w:name w:val="正文文本 2 Char2"/>
    <w:qFormat/>
    <w:uiPriority w:val="0"/>
    <w:rPr>
      <w:rFonts w:ascii="Calibri" w:hAnsi="Calibri"/>
      <w:kern w:val="2"/>
      <w:sz w:val="21"/>
      <w:szCs w:val="24"/>
    </w:rPr>
  </w:style>
  <w:style w:type="character" w:customStyle="1" w:styleId="280">
    <w:name w:val="样式 正文文本缩进 + 宋体 13 磅 Char"/>
    <w:qFormat/>
    <w:uiPriority w:val="0"/>
    <w:rPr>
      <w:rFonts w:ascii="宋体" w:hAnsi="宋体" w:eastAsia="宋体"/>
      <w:kern w:val="2"/>
      <w:sz w:val="28"/>
      <w:szCs w:val="28"/>
      <w:lang w:val="en-US" w:eastAsia="zh-CN" w:bidi="ar-SA"/>
    </w:rPr>
  </w:style>
  <w:style w:type="character" w:customStyle="1" w:styleId="281">
    <w:name w:val="yqlink"/>
    <w:qFormat/>
    <w:uiPriority w:val="0"/>
  </w:style>
  <w:style w:type="character" w:customStyle="1" w:styleId="282">
    <w:name w:val="style31"/>
    <w:qFormat/>
    <w:uiPriority w:val="0"/>
    <w:rPr>
      <w:color w:val="666666"/>
      <w:sz w:val="18"/>
      <w:szCs w:val="18"/>
      <w:u w:val="none"/>
    </w:rPr>
  </w:style>
  <w:style w:type="character" w:customStyle="1" w:styleId="283">
    <w:name w:val="Char8"/>
    <w:qFormat/>
    <w:uiPriority w:val="0"/>
    <w:rPr>
      <w:rFonts w:ascii="Times New Roman" w:hAnsi="Times New Roman" w:eastAsia="宋体" w:cs="Times New Roman"/>
      <w:sz w:val="24"/>
      <w:szCs w:val="24"/>
      <w:lang w:bidi="ar-SA"/>
    </w:rPr>
  </w:style>
  <w:style w:type="character" w:customStyle="1" w:styleId="284">
    <w:name w:val="正文图表标题 Char"/>
    <w:link w:val="269"/>
    <w:qFormat/>
    <w:uiPriority w:val="0"/>
    <w:rPr>
      <w:b/>
      <w:kern w:val="24"/>
      <w:sz w:val="24"/>
      <w:szCs w:val="24"/>
    </w:rPr>
  </w:style>
  <w:style w:type="character" w:customStyle="1" w:styleId="285">
    <w:name w:val="d2"/>
    <w:qFormat/>
    <w:uiPriority w:val="0"/>
  </w:style>
  <w:style w:type="character" w:customStyle="1" w:styleId="286">
    <w:name w:val="Char Char"/>
    <w:qFormat/>
    <w:uiPriority w:val="0"/>
    <w:rPr>
      <w:rFonts w:ascii="宋体" w:hAnsi="Courier New" w:eastAsia="宋体"/>
      <w:kern w:val="2"/>
      <w:sz w:val="21"/>
      <w:lang w:val="en-US" w:eastAsia="zh-CN" w:bidi="ar-SA"/>
    </w:rPr>
  </w:style>
  <w:style w:type="character" w:customStyle="1" w:styleId="287">
    <w:name w:val="fontstyle11"/>
    <w:qFormat/>
    <w:uiPriority w:val="0"/>
    <w:rPr>
      <w:rFonts w:hint="eastAsia" w:ascii="宋体" w:hAnsi="宋体" w:eastAsia="宋体"/>
      <w:color w:val="000000"/>
      <w:sz w:val="24"/>
      <w:szCs w:val="24"/>
    </w:rPr>
  </w:style>
  <w:style w:type="character" w:customStyle="1" w:styleId="288">
    <w:name w:val="标题 字符2"/>
    <w:link w:val="85"/>
    <w:qFormat/>
    <w:uiPriority w:val="0"/>
    <w:rPr>
      <w:rFonts w:ascii="Arial" w:hAnsi="Arial"/>
      <w:b/>
      <w:kern w:val="2"/>
      <w:sz w:val="32"/>
    </w:rPr>
  </w:style>
  <w:style w:type="character" w:customStyle="1" w:styleId="289">
    <w:name w:val="Char3"/>
    <w:qFormat/>
    <w:uiPriority w:val="0"/>
    <w:rPr>
      <w:rFonts w:ascii="Times New Roman" w:hAnsi="Times New Roman"/>
      <w:b/>
      <w:bCs/>
      <w:kern w:val="2"/>
      <w:sz w:val="24"/>
      <w:szCs w:val="24"/>
    </w:rPr>
  </w:style>
  <w:style w:type="character" w:customStyle="1" w:styleId="290">
    <w:name w:val="big5"/>
    <w:qFormat/>
    <w:uiPriority w:val="0"/>
    <w:rPr>
      <w:sz w:val="21"/>
      <w:szCs w:val="21"/>
    </w:rPr>
  </w:style>
  <w:style w:type="character" w:customStyle="1" w:styleId="291">
    <w:name w:val="表格正文 Char Char"/>
    <w:qFormat/>
    <w:uiPriority w:val="0"/>
    <w:rPr>
      <w:rFonts w:ascii="Arial" w:hAnsi="Arial"/>
      <w:kern w:val="2"/>
      <w:sz w:val="21"/>
      <w:szCs w:val="24"/>
    </w:rPr>
  </w:style>
  <w:style w:type="character" w:customStyle="1" w:styleId="292">
    <w:name w:val="a161"/>
    <w:qFormat/>
    <w:uiPriority w:val="0"/>
    <w:rPr>
      <w:color w:val="000000"/>
      <w:sz w:val="21"/>
      <w:szCs w:val="21"/>
      <w:u w:val="none"/>
    </w:rPr>
  </w:style>
  <w:style w:type="character" w:customStyle="1" w:styleId="293">
    <w:name w:val="样式 正文1 + 段前: 0.1 行 Char2"/>
    <w:qFormat/>
    <w:uiPriority w:val="0"/>
    <w:rPr>
      <w:rFonts w:eastAsia="宋体" w:cs="宋体"/>
      <w:kern w:val="2"/>
      <w:sz w:val="24"/>
      <w:lang w:val="en-US" w:eastAsia="zh-CN" w:bidi="ar-SA"/>
    </w:rPr>
  </w:style>
  <w:style w:type="character" w:customStyle="1" w:styleId="294">
    <w:name w:val="style51"/>
    <w:qFormat/>
    <w:uiPriority w:val="0"/>
    <w:rPr>
      <w:rFonts w:hint="eastAsia" w:ascii="宋体" w:hAnsi="宋体" w:eastAsia="宋体"/>
      <w:spacing w:val="480"/>
      <w:sz w:val="28"/>
      <w:szCs w:val="28"/>
    </w:rPr>
  </w:style>
  <w:style w:type="character" w:customStyle="1" w:styleId="295">
    <w:name w:val="样式2 Char Char"/>
    <w:link w:val="296"/>
    <w:qFormat/>
    <w:uiPriority w:val="0"/>
    <w:rPr>
      <w:rFonts w:ascii="Arial" w:hAnsi="Arial"/>
      <w:b/>
      <w:kern w:val="2"/>
      <w:sz w:val="28"/>
      <w:szCs w:val="24"/>
    </w:rPr>
  </w:style>
  <w:style w:type="paragraph" w:customStyle="1" w:styleId="296">
    <w:name w:val="样式2"/>
    <w:basedOn w:val="1"/>
    <w:link w:val="295"/>
    <w:qFormat/>
    <w:uiPriority w:val="0"/>
    <w:pPr>
      <w:spacing w:before="60" w:line="460" w:lineRule="exact"/>
      <w:outlineLvl w:val="1"/>
    </w:pPr>
    <w:rPr>
      <w:rFonts w:ascii="Arial" w:hAnsi="Arial" w:eastAsiaTheme="minorEastAsia" w:cstheme="minorBidi"/>
      <w:b/>
      <w:sz w:val="28"/>
    </w:rPr>
  </w:style>
  <w:style w:type="character" w:customStyle="1" w:styleId="297">
    <w:name w:val="样式 三级标题 + (符号) 宋体 Char"/>
    <w:qFormat/>
    <w:uiPriority w:val="0"/>
    <w:rPr>
      <w:rFonts w:eastAsia="宋体"/>
      <w:b/>
      <w:bCs/>
      <w:snapToGrid w:val="0"/>
      <w:kern w:val="2"/>
      <w:sz w:val="24"/>
      <w:szCs w:val="24"/>
      <w:lang w:val="en-US" w:eastAsia="zh-CN" w:bidi="ar-SA"/>
    </w:rPr>
  </w:style>
  <w:style w:type="character" w:customStyle="1" w:styleId="298">
    <w:name w:val="正文文本首行缩进 2 字符2"/>
    <w:link w:val="88"/>
    <w:qFormat/>
    <w:uiPriority w:val="0"/>
    <w:rPr>
      <w:rFonts w:ascii="Calibri" w:hAnsi="Calibri"/>
      <w:kern w:val="2"/>
      <w:sz w:val="21"/>
      <w:szCs w:val="24"/>
    </w:rPr>
  </w:style>
  <w:style w:type="character" w:customStyle="1" w:styleId="299">
    <w:name w:val="正文文本缩进 2 Char1"/>
    <w:semiHidden/>
    <w:qFormat/>
    <w:uiPriority w:val="0"/>
    <w:rPr>
      <w:kern w:val="2"/>
      <w:sz w:val="21"/>
      <w:szCs w:val="22"/>
    </w:rPr>
  </w:style>
  <w:style w:type="character" w:customStyle="1" w:styleId="300">
    <w:name w:val="line"/>
    <w:qFormat/>
    <w:uiPriority w:val="0"/>
  </w:style>
  <w:style w:type="character" w:customStyle="1" w:styleId="301">
    <w:name w:val="样式 正文01 + Char"/>
    <w:qFormat/>
    <w:uiPriority w:val="0"/>
    <w:rPr>
      <w:rFonts w:eastAsia="宋体"/>
      <w:b/>
      <w:color w:val="000000"/>
      <w:kern w:val="2"/>
      <w:sz w:val="24"/>
      <w:szCs w:val="24"/>
      <w:lang w:val="en-US" w:eastAsia="zh-CN" w:bidi="ar-SA"/>
    </w:rPr>
  </w:style>
  <w:style w:type="character" w:customStyle="1" w:styleId="302">
    <w:name w:val="lh151"/>
    <w:qFormat/>
    <w:uiPriority w:val="99"/>
    <w:rPr>
      <w:spacing w:val="360"/>
    </w:rPr>
  </w:style>
  <w:style w:type="character" w:customStyle="1" w:styleId="303">
    <w:name w:val="脚注文本 Char1"/>
    <w:semiHidden/>
    <w:qFormat/>
    <w:uiPriority w:val="0"/>
    <w:rPr>
      <w:kern w:val="2"/>
      <w:sz w:val="18"/>
      <w:szCs w:val="18"/>
    </w:rPr>
  </w:style>
  <w:style w:type="character" w:customStyle="1" w:styleId="304">
    <w:name w:val="样式 my + 黑色 Char"/>
    <w:qFormat/>
    <w:uiPriority w:val="0"/>
    <w:rPr>
      <w:color w:val="000000"/>
      <w:sz w:val="24"/>
      <w:lang w:val="en-US" w:eastAsia="zh-CN"/>
    </w:rPr>
  </w:style>
  <w:style w:type="character" w:customStyle="1" w:styleId="305">
    <w:name w:val="Char21"/>
    <w:qFormat/>
    <w:uiPriority w:val="0"/>
    <w:rPr>
      <w:rFonts w:eastAsia="宋体"/>
      <w:kern w:val="2"/>
      <w:sz w:val="21"/>
      <w:szCs w:val="24"/>
      <w:lang w:val="en-US" w:eastAsia="zh-CN"/>
    </w:rPr>
  </w:style>
  <w:style w:type="character" w:customStyle="1" w:styleId="306">
    <w:name w:val="Char4"/>
    <w:qFormat/>
    <w:uiPriority w:val="0"/>
    <w:rPr>
      <w:rFonts w:ascii="仿宋_GB2312" w:eastAsia="仿宋_GB2312"/>
      <w:kern w:val="2"/>
      <w:sz w:val="21"/>
      <w:szCs w:val="24"/>
    </w:rPr>
  </w:style>
  <w:style w:type="character" w:customStyle="1" w:styleId="307">
    <w:name w:val="dl1"/>
    <w:qFormat/>
    <w:uiPriority w:val="0"/>
    <w:rPr>
      <w:color w:val="000000"/>
      <w:spacing w:val="335"/>
      <w:sz w:val="20"/>
      <w:szCs w:val="20"/>
    </w:rPr>
  </w:style>
  <w:style w:type="character" w:customStyle="1" w:styleId="308">
    <w:name w:val="HTML 预设格式 Char2"/>
    <w:uiPriority w:val="0"/>
    <w:rPr>
      <w:rFonts w:ascii="Courier New" w:hAnsi="Courier New" w:cs="Courier New"/>
      <w:kern w:val="2"/>
    </w:rPr>
  </w:style>
  <w:style w:type="character" w:customStyle="1" w:styleId="309">
    <w:name w:val="样式 正文001 + Times New Roman Char Char Char Char"/>
    <w:qFormat/>
    <w:uiPriority w:val="0"/>
  </w:style>
  <w:style w:type="character" w:customStyle="1" w:styleId="310">
    <w:name w:val="3级标题 Char"/>
    <w:qFormat/>
    <w:uiPriority w:val="99"/>
    <w:rPr>
      <w:rFonts w:eastAsia="宋体"/>
      <w:b/>
      <w:bCs/>
      <w:kern w:val="2"/>
      <w:sz w:val="24"/>
      <w:szCs w:val="24"/>
      <w:lang w:val="en-US" w:eastAsia="zh-CN"/>
    </w:rPr>
  </w:style>
  <w:style w:type="character" w:customStyle="1" w:styleId="311">
    <w:name w:val="font10"/>
    <w:qFormat/>
    <w:uiPriority w:val="0"/>
  </w:style>
  <w:style w:type="character" w:customStyle="1" w:styleId="312">
    <w:name w:val="表头 Char Char"/>
    <w:link w:val="313"/>
    <w:qFormat/>
    <w:uiPriority w:val="0"/>
    <w:rPr>
      <w:b/>
      <w:kern w:val="2"/>
      <w:sz w:val="24"/>
      <w:szCs w:val="24"/>
    </w:rPr>
  </w:style>
  <w:style w:type="paragraph" w:customStyle="1" w:styleId="313">
    <w:name w:val="表头"/>
    <w:basedOn w:val="1"/>
    <w:link w:val="312"/>
    <w:qFormat/>
    <w:uiPriority w:val="0"/>
    <w:pPr>
      <w:keepNext/>
      <w:snapToGrid w:val="0"/>
      <w:spacing w:before="60" w:line="460" w:lineRule="atLeast"/>
      <w:jc w:val="center"/>
    </w:pPr>
    <w:rPr>
      <w:rFonts w:asciiTheme="minorHAnsi" w:hAnsiTheme="minorHAnsi" w:eastAsiaTheme="minorEastAsia" w:cstheme="minorBidi"/>
      <w:b/>
      <w:sz w:val="24"/>
    </w:rPr>
  </w:style>
  <w:style w:type="character" w:customStyle="1" w:styleId="314">
    <w:name w:val="12heiwuxian"/>
    <w:qFormat/>
    <w:uiPriority w:val="0"/>
  </w:style>
  <w:style w:type="character" w:customStyle="1" w:styleId="315">
    <w:name w:val="正文首行缩进 2 Char11 Char Char"/>
    <w:qFormat/>
    <w:uiPriority w:val="0"/>
    <w:rPr>
      <w:rFonts w:ascii="Times New Roman" w:hAnsi="Times New Roman" w:eastAsia="宋体" w:cs="Times New Roman"/>
      <w:kern w:val="0"/>
      <w:sz w:val="28"/>
      <w:szCs w:val="24"/>
      <w:lang w:bidi="ar-SA"/>
    </w:rPr>
  </w:style>
  <w:style w:type="character" w:customStyle="1" w:styleId="316">
    <w:name w:val="报告正文 Char"/>
    <w:link w:val="317"/>
    <w:qFormat/>
    <w:uiPriority w:val="0"/>
    <w:rPr>
      <w:kern w:val="2"/>
      <w:sz w:val="24"/>
      <w:szCs w:val="24"/>
    </w:rPr>
  </w:style>
  <w:style w:type="paragraph" w:customStyle="1" w:styleId="317">
    <w:name w:val="报告正文"/>
    <w:basedOn w:val="1"/>
    <w:link w:val="316"/>
    <w:uiPriority w:val="0"/>
    <w:pPr>
      <w:spacing w:line="360" w:lineRule="auto"/>
      <w:ind w:firstLine="200" w:firstLineChars="200"/>
      <w:jc w:val="left"/>
    </w:pPr>
    <w:rPr>
      <w:rFonts w:asciiTheme="minorHAnsi" w:hAnsiTheme="minorHAnsi" w:eastAsiaTheme="minorEastAsia" w:cstheme="minorBidi"/>
      <w:sz w:val="24"/>
    </w:rPr>
  </w:style>
  <w:style w:type="character" w:customStyle="1" w:styleId="318">
    <w:name w:val="text31"/>
    <w:qFormat/>
    <w:uiPriority w:val="0"/>
    <w:rPr>
      <w:rFonts w:hint="eastAsia" w:ascii="宋体" w:hAnsi="宋体" w:eastAsia="宋体"/>
      <w:color w:val="673434"/>
      <w:sz w:val="22"/>
      <w:szCs w:val="22"/>
      <w:u w:val="none"/>
    </w:rPr>
  </w:style>
  <w:style w:type="character" w:customStyle="1" w:styleId="319">
    <w:name w:val="content1"/>
    <w:qFormat/>
    <w:uiPriority w:val="0"/>
    <w:rPr>
      <w:rFonts w:eastAsia="宋体"/>
      <w:color w:val="000000"/>
      <w:spacing w:val="400"/>
      <w:kern w:val="2"/>
      <w:sz w:val="21"/>
      <w:szCs w:val="21"/>
      <w:lang w:val="en-US" w:eastAsia="zh-CN" w:bidi="ar-SA"/>
    </w:rPr>
  </w:style>
  <w:style w:type="character" w:customStyle="1" w:styleId="320">
    <w:name w:val="duanluo2"/>
    <w:qFormat/>
    <w:uiPriority w:val="0"/>
    <w:rPr>
      <w:rFonts w:ascii="??" w:hAnsi="??"/>
      <w:color w:val="000000"/>
      <w:sz w:val="21"/>
    </w:rPr>
  </w:style>
  <w:style w:type="character" w:customStyle="1" w:styleId="321">
    <w:name w:val="正文调整 Char"/>
    <w:link w:val="322"/>
    <w:qFormat/>
    <w:uiPriority w:val="0"/>
    <w:rPr>
      <w:kern w:val="2"/>
      <w:sz w:val="24"/>
    </w:rPr>
  </w:style>
  <w:style w:type="paragraph" w:customStyle="1" w:styleId="322">
    <w:name w:val="正文调整"/>
    <w:basedOn w:val="1"/>
    <w:link w:val="321"/>
    <w:qFormat/>
    <w:uiPriority w:val="0"/>
    <w:pPr>
      <w:spacing w:before="60" w:line="460" w:lineRule="atLeast"/>
      <w:ind w:firstLine="200" w:firstLineChars="200"/>
    </w:pPr>
    <w:rPr>
      <w:rFonts w:asciiTheme="minorHAnsi" w:hAnsiTheme="minorHAnsi" w:eastAsiaTheme="minorEastAsia" w:cstheme="minorBidi"/>
      <w:sz w:val="24"/>
      <w:szCs w:val="20"/>
    </w:rPr>
  </w:style>
  <w:style w:type="character" w:customStyle="1" w:styleId="323">
    <w:name w:val="标题 Char1"/>
    <w:qFormat/>
    <w:uiPriority w:val="99"/>
    <w:rPr>
      <w:rFonts w:ascii="Cambria" w:hAnsi="Cambria" w:cs="Times New Roman"/>
      <w:b/>
      <w:bCs/>
      <w:kern w:val="2"/>
      <w:sz w:val="32"/>
      <w:szCs w:val="32"/>
    </w:rPr>
  </w:style>
  <w:style w:type="character" w:customStyle="1" w:styleId="324">
    <w:name w:val="Char16"/>
    <w:qFormat/>
    <w:uiPriority w:val="0"/>
    <w:rPr>
      <w:rFonts w:ascii="Times New Roman" w:hAnsi="Times New Roman" w:eastAsia="宋体" w:cs="Times New Roman"/>
      <w:sz w:val="24"/>
      <w:szCs w:val="24"/>
      <w:lang w:bidi="ar-SA"/>
    </w:rPr>
  </w:style>
  <w:style w:type="character" w:customStyle="1" w:styleId="325">
    <w:name w:val="称呼 字符1"/>
    <w:link w:val="31"/>
    <w:qFormat/>
    <w:uiPriority w:val="0"/>
    <w:rPr>
      <w:kern w:val="2"/>
      <w:sz w:val="28"/>
      <w:szCs w:val="24"/>
    </w:rPr>
  </w:style>
  <w:style w:type="character" w:customStyle="1" w:styleId="326">
    <w:name w:val="正文001 Char"/>
    <w:link w:val="327"/>
    <w:qFormat/>
    <w:uiPriority w:val="0"/>
    <w:rPr>
      <w:kern w:val="2"/>
      <w:sz w:val="24"/>
    </w:rPr>
  </w:style>
  <w:style w:type="paragraph" w:customStyle="1" w:styleId="327">
    <w:name w:val="正文001"/>
    <w:basedOn w:val="1"/>
    <w:link w:val="326"/>
    <w:qFormat/>
    <w:uiPriority w:val="0"/>
    <w:pPr>
      <w:spacing w:before="60" w:line="420" w:lineRule="exact"/>
      <w:ind w:firstLine="482"/>
    </w:pPr>
    <w:rPr>
      <w:rFonts w:asciiTheme="minorHAnsi" w:hAnsiTheme="minorHAnsi" w:eastAsiaTheme="minorEastAsia" w:cstheme="minorBidi"/>
      <w:sz w:val="24"/>
      <w:szCs w:val="20"/>
    </w:rPr>
  </w:style>
  <w:style w:type="character" w:customStyle="1" w:styleId="328">
    <w:name w:val="表 Char"/>
    <w:qFormat/>
    <w:uiPriority w:val="0"/>
    <w:rPr>
      <w:rFonts w:eastAsia="宋体"/>
      <w:spacing w:val="2"/>
      <w:kern w:val="2"/>
      <w:sz w:val="24"/>
      <w:lang w:val="en-US" w:eastAsia="zh-CN" w:bidi="ar-SA"/>
    </w:rPr>
  </w:style>
  <w:style w:type="character" w:customStyle="1" w:styleId="329">
    <w:name w:val="称呼 Char2"/>
    <w:qFormat/>
    <w:uiPriority w:val="0"/>
    <w:rPr>
      <w:kern w:val="2"/>
      <w:sz w:val="21"/>
      <w:szCs w:val="24"/>
    </w:rPr>
  </w:style>
  <w:style w:type="character" w:customStyle="1" w:styleId="330">
    <w:name w:val="样式 正文001 + 首行缩进:  2 字符1 Char1"/>
    <w:link w:val="331"/>
    <w:qFormat/>
    <w:uiPriority w:val="99"/>
    <w:rPr>
      <w:kern w:val="2"/>
      <w:sz w:val="24"/>
    </w:rPr>
  </w:style>
  <w:style w:type="paragraph" w:customStyle="1" w:styleId="331">
    <w:name w:val="样式 正文001 + 首行缩进:  2 字符1"/>
    <w:basedOn w:val="1"/>
    <w:link w:val="330"/>
    <w:qFormat/>
    <w:uiPriority w:val="99"/>
    <w:pPr>
      <w:spacing w:before="60" w:line="460" w:lineRule="atLeast"/>
      <w:ind w:firstLine="200" w:firstLineChars="200"/>
    </w:pPr>
    <w:rPr>
      <w:rFonts w:asciiTheme="minorHAnsi" w:hAnsiTheme="minorHAnsi" w:eastAsiaTheme="minorEastAsia" w:cstheme="minorBidi"/>
      <w:sz w:val="24"/>
      <w:szCs w:val="20"/>
    </w:rPr>
  </w:style>
  <w:style w:type="character" w:customStyle="1" w:styleId="332">
    <w:name w:val="z-窗体底端 字符1"/>
    <w:link w:val="333"/>
    <w:qFormat/>
    <w:uiPriority w:val="0"/>
    <w:rPr>
      <w:rFonts w:ascii="Arial" w:hAnsi="Arial" w:cs="Arial"/>
      <w:vanish/>
      <w:color w:val="000000"/>
      <w:sz w:val="16"/>
      <w:szCs w:val="16"/>
    </w:rPr>
  </w:style>
  <w:style w:type="paragraph" w:customStyle="1" w:styleId="333">
    <w:name w:val="z-窗体底端1"/>
    <w:basedOn w:val="1"/>
    <w:next w:val="1"/>
    <w:link w:val="332"/>
    <w:qFormat/>
    <w:uiPriority w:val="0"/>
    <w:pPr>
      <w:widowControl/>
      <w:pBdr>
        <w:top w:val="single" w:color="auto" w:sz="6" w:space="1"/>
      </w:pBdr>
      <w:jc w:val="center"/>
    </w:pPr>
    <w:rPr>
      <w:rFonts w:ascii="Arial" w:hAnsi="Arial" w:cs="Arial" w:eastAsiaTheme="minorEastAsia"/>
      <w:vanish/>
      <w:color w:val="000000"/>
      <w:kern w:val="0"/>
      <w:sz w:val="16"/>
      <w:szCs w:val="16"/>
    </w:rPr>
  </w:style>
  <w:style w:type="character" w:customStyle="1" w:styleId="334">
    <w:name w:val="正文文本 3 Char2"/>
    <w:qFormat/>
    <w:uiPriority w:val="0"/>
    <w:rPr>
      <w:rFonts w:ascii="Calibri" w:hAnsi="Calibri"/>
      <w:kern w:val="2"/>
      <w:sz w:val="16"/>
      <w:szCs w:val="16"/>
    </w:rPr>
  </w:style>
  <w:style w:type="character" w:customStyle="1" w:styleId="335">
    <w:name w:val="正文文本 2 Char1"/>
    <w:semiHidden/>
    <w:qFormat/>
    <w:uiPriority w:val="0"/>
    <w:rPr>
      <w:kern w:val="2"/>
      <w:sz w:val="21"/>
      <w:szCs w:val="22"/>
    </w:rPr>
  </w:style>
  <w:style w:type="character" w:customStyle="1" w:styleId="336">
    <w:name w:val="fontstyle01"/>
    <w:qFormat/>
    <w:uiPriority w:val="0"/>
    <w:rPr>
      <w:rFonts w:hint="eastAsia" w:ascii="宋体" w:hAnsi="宋体" w:eastAsia="宋体"/>
      <w:color w:val="000000"/>
      <w:sz w:val="22"/>
      <w:szCs w:val="22"/>
    </w:rPr>
  </w:style>
  <w:style w:type="character" w:customStyle="1" w:styleId="337">
    <w:name w:val="样式 3级标题 + Times New Roman Char"/>
    <w:qFormat/>
    <w:uiPriority w:val="0"/>
  </w:style>
  <w:style w:type="character" w:customStyle="1" w:styleId="338">
    <w:name w:val="hei1"/>
    <w:qFormat/>
    <w:uiPriority w:val="0"/>
    <w:rPr>
      <w:color w:val="000000"/>
      <w:spacing w:val="369"/>
      <w:sz w:val="23"/>
      <w:szCs w:val="23"/>
      <w:u w:val="none"/>
    </w:rPr>
  </w:style>
  <w:style w:type="character" w:customStyle="1" w:styleId="339">
    <w:name w:val="Char181"/>
    <w:qFormat/>
    <w:uiPriority w:val="0"/>
    <w:rPr>
      <w:rFonts w:ascii="Times New Roman" w:hAnsi="Times New Roman" w:eastAsia="宋体" w:cs="Times New Roman"/>
      <w:sz w:val="24"/>
      <w:szCs w:val="24"/>
      <w:lang w:bidi="ar-SA"/>
    </w:rPr>
  </w:style>
  <w:style w:type="character" w:customStyle="1" w:styleId="340">
    <w:name w:val="纯文本 Char2"/>
    <w:qFormat/>
    <w:uiPriority w:val="0"/>
    <w:rPr>
      <w:rFonts w:ascii="宋体" w:hAnsi="Courier New" w:eastAsia="宋体"/>
      <w:kern w:val="2"/>
      <w:sz w:val="21"/>
      <w:lang w:val="en-US" w:eastAsia="zh-CN" w:bidi="ar-SA"/>
    </w:rPr>
  </w:style>
  <w:style w:type="character" w:customStyle="1" w:styleId="341">
    <w:name w:val="Char191"/>
    <w:qFormat/>
    <w:uiPriority w:val="0"/>
    <w:rPr>
      <w:rFonts w:ascii="Times New Roman" w:hAnsi="Times New Roman" w:eastAsia="宋体" w:cs="Times New Roman"/>
      <w:color w:val="000000"/>
      <w:sz w:val="24"/>
      <w:szCs w:val="24"/>
      <w:lang w:bidi="ar-SA"/>
    </w:rPr>
  </w:style>
  <w:style w:type="character" w:customStyle="1" w:styleId="342">
    <w:name w:val="hottext1"/>
    <w:qFormat/>
    <w:uiPriority w:val="0"/>
  </w:style>
  <w:style w:type="character" w:customStyle="1" w:styleId="343">
    <w:name w:val="正文文本缩进 3 字符1"/>
    <w:link w:val="71"/>
    <w:qFormat/>
    <w:uiPriority w:val="0"/>
    <w:rPr>
      <w:rFonts w:ascii="宋体" w:hAnsi="宋体"/>
      <w:color w:val="FF0000"/>
      <w:kern w:val="2"/>
      <w:sz w:val="24"/>
      <w:szCs w:val="24"/>
    </w:rPr>
  </w:style>
  <w:style w:type="character" w:customStyle="1" w:styleId="344">
    <w:name w:val="正文首行缩进 2 + Times New Roman Char"/>
    <w:qFormat/>
    <w:uiPriority w:val="0"/>
    <w:rPr>
      <w:rFonts w:eastAsia="宋体"/>
      <w:sz w:val="24"/>
      <w:szCs w:val="24"/>
      <w:lang w:val="en-US" w:eastAsia="zh-CN" w:bidi="ar-SA"/>
    </w:rPr>
  </w:style>
  <w:style w:type="character" w:customStyle="1" w:styleId="345">
    <w:name w:val="Char Char1 Char"/>
    <w:link w:val="346"/>
    <w:qFormat/>
    <w:uiPriority w:val="0"/>
    <w:rPr>
      <w:rFonts w:ascii="宋体" w:hAnsi="宋体" w:cs="宋体"/>
      <w:kern w:val="2"/>
      <w:sz w:val="24"/>
      <w:szCs w:val="24"/>
    </w:rPr>
  </w:style>
  <w:style w:type="paragraph" w:customStyle="1" w:styleId="346">
    <w:name w:val="Char Char1"/>
    <w:basedOn w:val="1"/>
    <w:link w:val="345"/>
    <w:qFormat/>
    <w:uiPriority w:val="0"/>
    <w:pPr>
      <w:spacing w:line="360" w:lineRule="auto"/>
      <w:ind w:firstLine="200" w:firstLineChars="200"/>
    </w:pPr>
    <w:rPr>
      <w:rFonts w:ascii="宋体" w:hAnsi="宋体" w:cs="宋体" w:eastAsiaTheme="minorEastAsia"/>
      <w:sz w:val="24"/>
    </w:rPr>
  </w:style>
  <w:style w:type="character" w:customStyle="1" w:styleId="347">
    <w:name w:val="my Char Char"/>
    <w:qFormat/>
    <w:uiPriority w:val="0"/>
    <w:rPr>
      <w:sz w:val="24"/>
      <w:lang w:val="en-US" w:eastAsia="zh-CN"/>
    </w:rPr>
  </w:style>
  <w:style w:type="character" w:customStyle="1" w:styleId="348">
    <w:name w:val="xb"/>
    <w:qFormat/>
    <w:uiPriority w:val="0"/>
  </w:style>
  <w:style w:type="character" w:customStyle="1" w:styleId="349">
    <w:name w:val="正文BBBB Char"/>
    <w:link w:val="350"/>
    <w:qFormat/>
    <w:uiPriority w:val="0"/>
    <w:rPr>
      <w:rFonts w:ascii="宋体" w:hAnsi="宋体"/>
      <w:kern w:val="2"/>
      <w:sz w:val="24"/>
    </w:rPr>
  </w:style>
  <w:style w:type="paragraph" w:customStyle="1" w:styleId="350">
    <w:name w:val="正文BBBB"/>
    <w:basedOn w:val="1"/>
    <w:link w:val="349"/>
    <w:qFormat/>
    <w:uiPriority w:val="0"/>
    <w:pPr>
      <w:spacing w:line="540" w:lineRule="exact"/>
      <w:ind w:firstLine="480" w:firstLineChars="200"/>
    </w:pPr>
    <w:rPr>
      <w:rFonts w:ascii="宋体" w:hAnsi="宋体" w:eastAsiaTheme="minorEastAsia" w:cstheme="minorBidi"/>
      <w:sz w:val="24"/>
      <w:szCs w:val="20"/>
    </w:rPr>
  </w:style>
  <w:style w:type="character" w:customStyle="1" w:styleId="351">
    <w:name w:val="称呼 Char1"/>
    <w:semiHidden/>
    <w:qFormat/>
    <w:uiPriority w:val="0"/>
    <w:rPr>
      <w:kern w:val="2"/>
      <w:sz w:val="21"/>
      <w:szCs w:val="22"/>
    </w:rPr>
  </w:style>
  <w:style w:type="character" w:customStyle="1" w:styleId="352">
    <w:name w:val="脚注文本 Char2"/>
    <w:qFormat/>
    <w:uiPriority w:val="0"/>
    <w:rPr>
      <w:kern w:val="2"/>
      <w:sz w:val="18"/>
      <w:szCs w:val="18"/>
    </w:rPr>
  </w:style>
  <w:style w:type="character" w:customStyle="1" w:styleId="353">
    <w:name w:val="Char171"/>
    <w:qFormat/>
    <w:uiPriority w:val="0"/>
    <w:rPr>
      <w:rFonts w:ascii="Times New Roman" w:hAnsi="Times New Roman" w:eastAsia="宋体" w:cs="Times New Roman"/>
      <w:sz w:val="24"/>
      <w:szCs w:val="24"/>
      <w:shd w:val="clear" w:color="auto" w:fill="auto"/>
      <w:lang w:bidi="ar-SA"/>
    </w:rPr>
  </w:style>
  <w:style w:type="character" w:customStyle="1" w:styleId="354">
    <w:name w:val="常用正文样式 Char1"/>
    <w:link w:val="355"/>
    <w:qFormat/>
    <w:uiPriority w:val="0"/>
    <w:rPr>
      <w:rFonts w:ascii="宋体" w:hAnsi="新宋体" w:eastAsia="楷体_GB2312"/>
      <w:kern w:val="2"/>
      <w:sz w:val="24"/>
      <w:szCs w:val="24"/>
    </w:rPr>
  </w:style>
  <w:style w:type="paragraph" w:customStyle="1" w:styleId="355">
    <w:name w:val="常用正文样式"/>
    <w:link w:val="354"/>
    <w:qFormat/>
    <w:uiPriority w:val="0"/>
    <w:pPr>
      <w:widowControl w:val="0"/>
      <w:spacing w:line="360" w:lineRule="auto"/>
      <w:ind w:firstLine="454"/>
      <w:jc w:val="both"/>
    </w:pPr>
    <w:rPr>
      <w:rFonts w:ascii="宋体" w:hAnsi="新宋体" w:eastAsia="楷体_GB2312" w:cstheme="minorBidi"/>
      <w:kern w:val="2"/>
      <w:sz w:val="24"/>
      <w:szCs w:val="24"/>
      <w:lang w:val="en-US" w:eastAsia="zh-CN" w:bidi="ar-SA"/>
    </w:rPr>
  </w:style>
  <w:style w:type="character" w:customStyle="1" w:styleId="356">
    <w:name w:val="Char9"/>
    <w:qFormat/>
    <w:uiPriority w:val="0"/>
    <w:rPr>
      <w:rFonts w:ascii="黑体" w:eastAsia="黑体" w:cs="Courier New"/>
      <w:lang w:bidi="ar-SA"/>
    </w:rPr>
  </w:style>
  <w:style w:type="character" w:customStyle="1" w:styleId="357">
    <w:name w:val="Char51"/>
    <w:qFormat/>
    <w:uiPriority w:val="0"/>
    <w:rPr>
      <w:rFonts w:ascii="仿宋_GB2312" w:eastAsia="仿宋_GB2312"/>
      <w:kern w:val="2"/>
      <w:sz w:val="21"/>
      <w:szCs w:val="24"/>
    </w:rPr>
  </w:style>
  <w:style w:type="character" w:customStyle="1" w:styleId="358">
    <w:name w:val="f24"/>
    <w:qFormat/>
    <w:uiPriority w:val="0"/>
  </w:style>
  <w:style w:type="character" w:customStyle="1" w:styleId="359">
    <w:name w:val="正文首行缩进 2 Char1"/>
    <w:semiHidden/>
    <w:qFormat/>
    <w:uiPriority w:val="0"/>
    <w:rPr>
      <w:rFonts w:ascii="Times New Roman" w:hAnsi="Times New Roman"/>
      <w:sz w:val="24"/>
      <w:szCs w:val="24"/>
    </w:rPr>
  </w:style>
  <w:style w:type="character" w:customStyle="1" w:styleId="360">
    <w:name w:val="middle1"/>
    <w:qFormat/>
    <w:uiPriority w:val="0"/>
    <w:rPr>
      <w:sz w:val="25"/>
      <w:szCs w:val="25"/>
      <w:u w:val="none"/>
    </w:rPr>
  </w:style>
  <w:style w:type="character" w:customStyle="1" w:styleId="361">
    <w:name w:val="样式 正文1 + 段前: 0.1 行 Char Char"/>
    <w:qFormat/>
    <w:uiPriority w:val="0"/>
    <w:rPr>
      <w:rFonts w:eastAsia="宋体" w:cs="宋体"/>
      <w:kern w:val="2"/>
      <w:sz w:val="24"/>
      <w:szCs w:val="24"/>
      <w:lang w:val="en-US" w:eastAsia="zh-CN" w:bidi="ar-SA"/>
    </w:rPr>
  </w:style>
  <w:style w:type="character" w:customStyle="1" w:styleId="362">
    <w:name w:val="big"/>
    <w:qFormat/>
    <w:uiPriority w:val="0"/>
  </w:style>
  <w:style w:type="character" w:customStyle="1" w:styleId="363">
    <w:name w:val="样式 3级标题 + 非加粗 Char"/>
    <w:link w:val="364"/>
    <w:qFormat/>
    <w:uiPriority w:val="0"/>
    <w:rPr>
      <w:b/>
      <w:bCs/>
      <w:kern w:val="2"/>
      <w:sz w:val="24"/>
      <w:szCs w:val="24"/>
    </w:rPr>
  </w:style>
  <w:style w:type="paragraph" w:customStyle="1" w:styleId="364">
    <w:name w:val="样式 3级标题 + 非加粗"/>
    <w:basedOn w:val="365"/>
    <w:link w:val="363"/>
    <w:qFormat/>
    <w:uiPriority w:val="0"/>
    <w:pPr>
      <w:spacing w:before="300"/>
      <w:outlineLvl w:val="2"/>
    </w:pPr>
    <w:rPr>
      <w:rFonts w:asciiTheme="minorHAnsi" w:hAnsiTheme="minorHAnsi" w:eastAsiaTheme="minorEastAsia" w:cstheme="minorBidi"/>
      <w:bCs/>
    </w:rPr>
  </w:style>
  <w:style w:type="paragraph" w:customStyle="1" w:styleId="365">
    <w:name w:val="3级标题"/>
    <w:basedOn w:val="1"/>
    <w:qFormat/>
    <w:uiPriority w:val="0"/>
    <w:pPr>
      <w:spacing w:before="60" w:line="460" w:lineRule="exact"/>
      <w:outlineLvl w:val="0"/>
    </w:pPr>
    <w:rPr>
      <w:rFonts w:ascii="Calibri" w:hAnsi="Calibri" w:cs="Arial"/>
      <w:b/>
      <w:sz w:val="24"/>
    </w:rPr>
  </w:style>
  <w:style w:type="character" w:customStyle="1" w:styleId="366">
    <w:name w:val="t_tag"/>
    <w:qFormat/>
    <w:uiPriority w:val="0"/>
  </w:style>
  <w:style w:type="character" w:customStyle="1" w:styleId="367">
    <w:name w:val="超链接1"/>
    <w:qFormat/>
    <w:uiPriority w:val="0"/>
    <w:rPr>
      <w:color w:val="0000FF"/>
      <w:u w:val="single"/>
    </w:rPr>
  </w:style>
  <w:style w:type="character" w:customStyle="1" w:styleId="368">
    <w:name w:val="at_3"/>
    <w:qFormat/>
    <w:uiPriority w:val="0"/>
  </w:style>
  <w:style w:type="character" w:customStyle="1" w:styleId="369">
    <w:name w:val="11p"/>
    <w:qFormat/>
    <w:uiPriority w:val="0"/>
  </w:style>
  <w:style w:type="character" w:customStyle="1" w:styleId="370">
    <w:name w:val="Char91"/>
    <w:qFormat/>
    <w:uiPriority w:val="0"/>
    <w:rPr>
      <w:rFonts w:ascii="黑体" w:eastAsia="黑体" w:cs="Courier New"/>
      <w:lang w:bidi="ar-SA"/>
    </w:rPr>
  </w:style>
  <w:style w:type="character" w:customStyle="1" w:styleId="371">
    <w:name w:val="newsobjectlink1"/>
    <w:qFormat/>
    <w:uiPriority w:val="0"/>
    <w:rPr>
      <w:rFonts w:hint="default" w:ascii="ˎ̥" w:hAnsi="ˎ̥"/>
      <w:color w:val="333333"/>
      <w:sz w:val="18"/>
      <w:szCs w:val="18"/>
      <w:u w:val="none"/>
    </w:rPr>
  </w:style>
  <w:style w:type="character" w:customStyle="1" w:styleId="372">
    <w:name w:val="正文01 Char Char"/>
    <w:qFormat/>
    <w:uiPriority w:val="0"/>
    <w:rPr>
      <w:rFonts w:ascii="Arial" w:hAnsi="Arial" w:eastAsia="宋体"/>
      <w:kern w:val="2"/>
      <w:sz w:val="24"/>
      <w:szCs w:val="24"/>
      <w:lang w:val="en-US" w:eastAsia="zh-CN" w:bidi="ar-SA"/>
    </w:rPr>
  </w:style>
  <w:style w:type="character" w:customStyle="1" w:styleId="373">
    <w:name w:val="正文缩进 Char2"/>
    <w:qFormat/>
    <w:uiPriority w:val="0"/>
    <w:rPr>
      <w:rFonts w:ascii="Arial" w:hAnsi="Arial" w:cs="Arial"/>
      <w:spacing w:val="10"/>
      <w:kern w:val="2"/>
      <w:sz w:val="24"/>
    </w:rPr>
  </w:style>
  <w:style w:type="character" w:customStyle="1" w:styleId="374">
    <w:name w:val="正文 首行缩进:  2 字符 Char Char Char"/>
    <w:link w:val="375"/>
    <w:qFormat/>
    <w:uiPriority w:val="0"/>
    <w:rPr>
      <w:rFonts w:ascii="Arial" w:hAnsi="宋体" w:cs="Arial"/>
      <w:b/>
      <w:kern w:val="2"/>
      <w:sz w:val="21"/>
      <w:szCs w:val="21"/>
    </w:rPr>
  </w:style>
  <w:style w:type="paragraph" w:customStyle="1" w:styleId="375">
    <w:name w:val="正文 首行缩进:  2 字符"/>
    <w:basedOn w:val="1"/>
    <w:link w:val="374"/>
    <w:qFormat/>
    <w:uiPriority w:val="0"/>
    <w:pPr>
      <w:spacing w:line="360" w:lineRule="auto"/>
      <w:ind w:firstLine="422" w:firstLineChars="200"/>
      <w:jc w:val="center"/>
    </w:pPr>
    <w:rPr>
      <w:rFonts w:ascii="Arial" w:hAnsi="宋体" w:cs="Arial" w:eastAsiaTheme="minorEastAsia"/>
      <w:b/>
      <w:szCs w:val="21"/>
    </w:rPr>
  </w:style>
  <w:style w:type="character" w:customStyle="1" w:styleId="376">
    <w:name w:val="正文B Char"/>
    <w:link w:val="377"/>
    <w:qFormat/>
    <w:uiPriority w:val="0"/>
    <w:rPr>
      <w:rFonts w:cs="宋体"/>
      <w:kern w:val="2"/>
      <w:sz w:val="24"/>
    </w:rPr>
  </w:style>
  <w:style w:type="paragraph" w:customStyle="1" w:styleId="377">
    <w:name w:val="正文B"/>
    <w:basedOn w:val="1"/>
    <w:link w:val="376"/>
    <w:qFormat/>
    <w:uiPriority w:val="0"/>
    <w:pPr>
      <w:spacing w:line="360" w:lineRule="auto"/>
      <w:ind w:firstLine="480"/>
    </w:pPr>
    <w:rPr>
      <w:rFonts w:cs="宋体" w:asciiTheme="minorHAnsi" w:hAnsiTheme="minorHAnsi" w:eastAsiaTheme="minorEastAsia"/>
      <w:sz w:val="24"/>
      <w:szCs w:val="20"/>
    </w:rPr>
  </w:style>
  <w:style w:type="character" w:customStyle="1" w:styleId="378">
    <w:name w:val="正文文本缩进 2 字符1"/>
    <w:link w:val="53"/>
    <w:qFormat/>
    <w:uiPriority w:val="0"/>
    <w:rPr>
      <w:rFonts w:ascii="宋体" w:hAnsi="宋体"/>
      <w:kern w:val="2"/>
      <w:sz w:val="24"/>
      <w:szCs w:val="24"/>
    </w:rPr>
  </w:style>
  <w:style w:type="character" w:customStyle="1" w:styleId="379">
    <w:name w:val="无间隔 字符1"/>
    <w:link w:val="380"/>
    <w:qFormat/>
    <w:uiPriority w:val="1"/>
    <w:rPr>
      <w:rFonts w:ascii="Calibri" w:hAnsi="Calibri"/>
      <w:sz w:val="22"/>
      <w:szCs w:val="22"/>
    </w:rPr>
  </w:style>
  <w:style w:type="paragraph" w:styleId="380">
    <w:name w:val="No Spacing"/>
    <w:link w:val="379"/>
    <w:qFormat/>
    <w:uiPriority w:val="1"/>
    <w:rPr>
      <w:rFonts w:ascii="Calibri" w:hAnsi="Calibri" w:eastAsiaTheme="minorEastAsia" w:cstheme="minorBidi"/>
      <w:sz w:val="22"/>
      <w:szCs w:val="22"/>
      <w:lang w:val="en-US" w:eastAsia="zh-CN" w:bidi="ar-SA"/>
    </w:rPr>
  </w:style>
  <w:style w:type="character" w:customStyle="1" w:styleId="381">
    <w:name w:val="文档结构图 字符2"/>
    <w:link w:val="27"/>
    <w:qFormat/>
    <w:uiPriority w:val="0"/>
    <w:rPr>
      <w:kern w:val="2"/>
      <w:sz w:val="21"/>
      <w:szCs w:val="24"/>
      <w:shd w:val="clear" w:color="auto" w:fill="000080"/>
    </w:rPr>
  </w:style>
  <w:style w:type="character" w:customStyle="1" w:styleId="382">
    <w:name w:val="表格内容 Char"/>
    <w:link w:val="383"/>
    <w:qFormat/>
    <w:uiPriority w:val="99"/>
    <w:rPr>
      <w:bCs/>
      <w:color w:val="000000"/>
      <w:kern w:val="2"/>
      <w:sz w:val="18"/>
      <w:szCs w:val="24"/>
    </w:rPr>
  </w:style>
  <w:style w:type="paragraph" w:customStyle="1" w:styleId="383">
    <w:name w:val="表格内容"/>
    <w:basedOn w:val="22"/>
    <w:link w:val="382"/>
    <w:qFormat/>
    <w:uiPriority w:val="99"/>
    <w:pPr>
      <w:widowControl w:val="0"/>
      <w:tabs>
        <w:tab w:val="left" w:pos="1290"/>
        <w:tab w:val="left" w:pos="8280"/>
      </w:tabs>
      <w:snapToGrid w:val="0"/>
      <w:spacing w:line="240" w:lineRule="auto"/>
      <w:ind w:firstLine="0" w:firstLineChars="0"/>
      <w:jc w:val="center"/>
    </w:pPr>
    <w:rPr>
      <w:rFonts w:asciiTheme="minorHAnsi" w:hAnsiTheme="minorHAnsi" w:eastAsiaTheme="minorEastAsia" w:cstheme="minorBidi"/>
      <w:bCs/>
      <w:color w:val="000000"/>
      <w:sz w:val="18"/>
      <w:szCs w:val="24"/>
    </w:rPr>
  </w:style>
  <w:style w:type="character" w:customStyle="1" w:styleId="384">
    <w:name w:val="正文B Char Char"/>
    <w:qFormat/>
    <w:uiPriority w:val="0"/>
    <w:rPr>
      <w:rFonts w:cs="宋体"/>
      <w:kern w:val="2"/>
      <w:sz w:val="24"/>
    </w:rPr>
  </w:style>
  <w:style w:type="character" w:customStyle="1" w:styleId="385">
    <w:name w:val="正文001 Char Char Char Char"/>
    <w:qFormat/>
    <w:uiPriority w:val="0"/>
    <w:rPr>
      <w:rFonts w:eastAsia="宋体"/>
      <w:color w:val="000000"/>
      <w:kern w:val="2"/>
      <w:sz w:val="24"/>
      <w:szCs w:val="24"/>
      <w:lang w:val="en-US" w:eastAsia="zh-CN" w:bidi="ar-SA"/>
    </w:rPr>
  </w:style>
  <w:style w:type="character" w:customStyle="1" w:styleId="386">
    <w:name w:val="正文文本首行缩进 字符2"/>
    <w:link w:val="87"/>
    <w:qFormat/>
    <w:uiPriority w:val="0"/>
    <w:rPr>
      <w:kern w:val="2"/>
      <w:sz w:val="21"/>
      <w:szCs w:val="24"/>
    </w:rPr>
  </w:style>
  <w:style w:type="character" w:customStyle="1" w:styleId="387">
    <w:name w:val="正文01 Char2"/>
    <w:qFormat/>
    <w:uiPriority w:val="0"/>
    <w:rPr>
      <w:rFonts w:eastAsia="宋体"/>
      <w:color w:val="000000"/>
      <w:sz w:val="21"/>
      <w:szCs w:val="21"/>
      <w:lang w:val="en-US" w:eastAsia="zh-CN" w:bidi="ar-SA"/>
    </w:rPr>
  </w:style>
  <w:style w:type="character" w:customStyle="1" w:styleId="388">
    <w:name w:val="3级（次）标题 Char"/>
    <w:link w:val="389"/>
    <w:qFormat/>
    <w:uiPriority w:val="0"/>
    <w:rPr>
      <w:b/>
      <w:kern w:val="2"/>
      <w:sz w:val="24"/>
      <w:szCs w:val="24"/>
    </w:rPr>
  </w:style>
  <w:style w:type="paragraph" w:customStyle="1" w:styleId="389">
    <w:name w:val="3级（次）标题"/>
    <w:basedOn w:val="1"/>
    <w:link w:val="388"/>
    <w:qFormat/>
    <w:uiPriority w:val="0"/>
    <w:pPr>
      <w:spacing w:line="360" w:lineRule="auto"/>
      <w:ind w:firstLine="241" w:firstLineChars="100"/>
      <w:outlineLvl w:val="2"/>
    </w:pPr>
    <w:rPr>
      <w:rFonts w:asciiTheme="minorHAnsi" w:hAnsiTheme="minorHAnsi" w:eastAsiaTheme="minorEastAsia" w:cstheme="minorBidi"/>
      <w:b/>
      <w:sz w:val="24"/>
    </w:rPr>
  </w:style>
  <w:style w:type="character" w:customStyle="1" w:styleId="390">
    <w:name w:val="标题 3 Char2"/>
    <w:semiHidden/>
    <w:qFormat/>
    <w:uiPriority w:val="0"/>
    <w:rPr>
      <w:b/>
      <w:bCs/>
      <w:kern w:val="2"/>
      <w:sz w:val="32"/>
      <w:szCs w:val="32"/>
    </w:rPr>
  </w:style>
  <w:style w:type="character" w:customStyle="1" w:styleId="391">
    <w:name w:val="style441"/>
    <w:qFormat/>
    <w:uiPriority w:val="99"/>
    <w:rPr>
      <w:sz w:val="20"/>
      <w:szCs w:val="20"/>
    </w:rPr>
  </w:style>
  <w:style w:type="character" w:customStyle="1" w:styleId="392">
    <w:name w:val="正文01 Char1"/>
    <w:qFormat/>
    <w:uiPriority w:val="0"/>
    <w:rPr>
      <w:rFonts w:ascii="Times New Roman" w:hAnsi="Times New Roman"/>
      <w:snapToGrid w:val="0"/>
      <w:sz w:val="24"/>
      <w:szCs w:val="24"/>
    </w:rPr>
  </w:style>
  <w:style w:type="character" w:customStyle="1" w:styleId="393">
    <w:name w:val="tt1"/>
    <w:qFormat/>
    <w:uiPriority w:val="0"/>
  </w:style>
  <w:style w:type="character" w:customStyle="1" w:styleId="394">
    <w:name w:val="表头1 Char"/>
    <w:link w:val="395"/>
    <w:qFormat/>
    <w:uiPriority w:val="0"/>
    <w:rPr>
      <w:rFonts w:eastAsia="黑体"/>
      <w:sz w:val="21"/>
      <w:szCs w:val="28"/>
      <w:lang w:val="en-US" w:eastAsia="zh-CN"/>
    </w:rPr>
  </w:style>
  <w:style w:type="paragraph" w:customStyle="1" w:styleId="395">
    <w:name w:val="表头1"/>
    <w:basedOn w:val="1"/>
    <w:next w:val="1"/>
    <w:link w:val="394"/>
    <w:qFormat/>
    <w:uiPriority w:val="0"/>
    <w:pPr>
      <w:tabs>
        <w:tab w:val="left" w:pos="605"/>
      </w:tabs>
      <w:adjustRightInd w:val="0"/>
      <w:snapToGrid w:val="0"/>
      <w:jc w:val="center"/>
    </w:pPr>
    <w:rPr>
      <w:rFonts w:eastAsia="黑体" w:asciiTheme="minorHAnsi" w:hAnsiTheme="minorHAnsi" w:cstheme="minorBidi"/>
      <w:kern w:val="0"/>
      <w:szCs w:val="28"/>
    </w:rPr>
  </w:style>
  <w:style w:type="character" w:customStyle="1" w:styleId="396">
    <w:name w:val="正文首行缩进 2 + Times New Roman Char Char"/>
    <w:link w:val="397"/>
    <w:qFormat/>
    <w:uiPriority w:val="0"/>
    <w:rPr>
      <w:rFonts w:ascii="Arial" w:hAnsi="Arial" w:eastAsia="Times New Roman"/>
      <w:sz w:val="24"/>
      <w:szCs w:val="24"/>
    </w:rPr>
  </w:style>
  <w:style w:type="paragraph" w:customStyle="1" w:styleId="397">
    <w:name w:val="正文首行缩进 2 + Times New Roman"/>
    <w:basedOn w:val="1"/>
    <w:link w:val="396"/>
    <w:qFormat/>
    <w:uiPriority w:val="0"/>
    <w:pPr>
      <w:tabs>
        <w:tab w:val="left" w:pos="0"/>
        <w:tab w:val="left" w:pos="870"/>
        <w:tab w:val="left" w:pos="3150"/>
      </w:tabs>
      <w:autoSpaceDE w:val="0"/>
      <w:autoSpaceDN w:val="0"/>
      <w:spacing w:line="460" w:lineRule="exact"/>
      <w:ind w:firstLine="480" w:firstLineChars="200"/>
    </w:pPr>
    <w:rPr>
      <w:rFonts w:ascii="Arial" w:hAnsi="Arial" w:eastAsia="Times New Roman" w:cstheme="minorBidi"/>
      <w:kern w:val="0"/>
      <w:sz w:val="24"/>
    </w:rPr>
  </w:style>
  <w:style w:type="character" w:customStyle="1" w:styleId="398">
    <w:name w:val="正文 首行缩进:  2 字符 Char Char"/>
    <w:qFormat/>
    <w:uiPriority w:val="0"/>
    <w:rPr>
      <w:rFonts w:ascii="宋体" w:hAnsi="宋体"/>
      <w:color w:val="000000"/>
      <w:kern w:val="2"/>
      <w:sz w:val="24"/>
    </w:rPr>
  </w:style>
  <w:style w:type="character" w:customStyle="1" w:styleId="399">
    <w:name w:val="正文文字 Char"/>
    <w:link w:val="400"/>
    <w:qFormat/>
    <w:uiPriority w:val="0"/>
    <w:rPr>
      <w:sz w:val="24"/>
      <w:szCs w:val="24"/>
    </w:rPr>
  </w:style>
  <w:style w:type="paragraph" w:customStyle="1" w:styleId="400">
    <w:name w:val="正文文字"/>
    <w:basedOn w:val="1"/>
    <w:link w:val="399"/>
    <w:qFormat/>
    <w:uiPriority w:val="0"/>
    <w:pPr>
      <w:adjustRightInd w:val="0"/>
      <w:snapToGrid w:val="0"/>
      <w:spacing w:line="360" w:lineRule="auto"/>
      <w:ind w:firstLine="480" w:firstLineChars="200"/>
    </w:pPr>
    <w:rPr>
      <w:rFonts w:asciiTheme="minorHAnsi" w:hAnsiTheme="minorHAnsi" w:eastAsiaTheme="minorEastAsia" w:cstheme="minorBidi"/>
      <w:kern w:val="0"/>
      <w:sz w:val="24"/>
    </w:rPr>
  </w:style>
  <w:style w:type="character" w:customStyle="1" w:styleId="401">
    <w:name w:val="报告正文-连续目录 Char Char"/>
    <w:link w:val="402"/>
    <w:qFormat/>
    <w:uiPriority w:val="0"/>
    <w:rPr>
      <w:rFonts w:ascii="Arial" w:hAnsi="Arial"/>
      <w:sz w:val="24"/>
      <w:szCs w:val="24"/>
    </w:rPr>
  </w:style>
  <w:style w:type="paragraph" w:customStyle="1" w:styleId="402">
    <w:name w:val="报告正文-连续目录"/>
    <w:basedOn w:val="1"/>
    <w:link w:val="401"/>
    <w:qFormat/>
    <w:uiPriority w:val="0"/>
    <w:pPr>
      <w:spacing w:line="440" w:lineRule="exact"/>
      <w:ind w:firstLine="200" w:firstLineChars="200"/>
    </w:pPr>
    <w:rPr>
      <w:rFonts w:ascii="Arial" w:hAnsi="Arial" w:eastAsiaTheme="minorEastAsia" w:cstheme="minorBidi"/>
      <w:kern w:val="0"/>
      <w:sz w:val="24"/>
    </w:rPr>
  </w:style>
  <w:style w:type="character" w:customStyle="1" w:styleId="403">
    <w:name w:val="正文首行缩进 Char"/>
    <w:link w:val="404"/>
    <w:qFormat/>
    <w:uiPriority w:val="0"/>
    <w:rPr>
      <w:kern w:val="2"/>
      <w:sz w:val="21"/>
      <w:szCs w:val="24"/>
    </w:rPr>
  </w:style>
  <w:style w:type="paragraph" w:customStyle="1" w:styleId="404">
    <w:name w:val="正文首行缩进1"/>
    <w:basedOn w:val="1"/>
    <w:next w:val="383"/>
    <w:link w:val="403"/>
    <w:qFormat/>
    <w:uiPriority w:val="0"/>
    <w:pPr>
      <w:spacing w:after="120"/>
      <w:ind w:firstLine="420" w:firstLineChars="100"/>
    </w:pPr>
    <w:rPr>
      <w:rFonts w:asciiTheme="minorHAnsi" w:hAnsiTheme="minorHAnsi" w:eastAsiaTheme="minorEastAsia" w:cstheme="minorBidi"/>
    </w:rPr>
  </w:style>
  <w:style w:type="character" w:customStyle="1" w:styleId="405">
    <w:name w:val="第四层条"/>
    <w:qFormat/>
    <w:uiPriority w:val="0"/>
    <w:rPr>
      <w:rFonts w:ascii="Times New Roman" w:hAnsi="Times New Roman"/>
      <w:b/>
      <w:kern w:val="2"/>
      <w:sz w:val="24"/>
      <w:szCs w:val="24"/>
    </w:rPr>
  </w:style>
  <w:style w:type="character" w:customStyle="1" w:styleId="406">
    <w:name w:val="三级标题 Char1"/>
    <w:link w:val="407"/>
    <w:qFormat/>
    <w:uiPriority w:val="0"/>
    <w:rPr>
      <w:rFonts w:ascii="Calibri" w:hAnsi="Calibri"/>
      <w:b/>
      <w:bCs/>
      <w:sz w:val="24"/>
      <w:szCs w:val="24"/>
    </w:rPr>
  </w:style>
  <w:style w:type="paragraph" w:customStyle="1" w:styleId="407">
    <w:name w:val="三级标题"/>
    <w:basedOn w:val="1"/>
    <w:link w:val="406"/>
    <w:qFormat/>
    <w:uiPriority w:val="0"/>
    <w:pPr>
      <w:spacing w:before="300" w:line="460" w:lineRule="exact"/>
      <w:outlineLvl w:val="2"/>
    </w:pPr>
    <w:rPr>
      <w:rFonts w:ascii="Calibri" w:hAnsi="Calibri" w:eastAsiaTheme="minorEastAsia" w:cstheme="minorBidi"/>
      <w:b/>
      <w:bCs/>
      <w:kern w:val="0"/>
      <w:sz w:val="24"/>
    </w:rPr>
  </w:style>
  <w:style w:type="character" w:customStyle="1" w:styleId="408">
    <w:name w:val="常用表格样式 Char1"/>
    <w:link w:val="409"/>
    <w:qFormat/>
    <w:uiPriority w:val="0"/>
    <w:rPr>
      <w:rFonts w:ascii="宋体" w:hAnsi="新宋体" w:eastAsia="楷体_GB2312"/>
      <w:sz w:val="18"/>
      <w:szCs w:val="24"/>
    </w:rPr>
  </w:style>
  <w:style w:type="paragraph" w:customStyle="1" w:styleId="409">
    <w:name w:val="常用表格样式"/>
    <w:basedOn w:val="355"/>
    <w:next w:val="355"/>
    <w:link w:val="408"/>
    <w:qFormat/>
    <w:uiPriority w:val="0"/>
    <w:pPr>
      <w:spacing w:line="240" w:lineRule="auto"/>
      <w:ind w:firstLine="0"/>
      <w:jc w:val="center"/>
    </w:pPr>
    <w:rPr>
      <w:kern w:val="0"/>
      <w:sz w:val="18"/>
    </w:rPr>
  </w:style>
  <w:style w:type="character" w:customStyle="1" w:styleId="410">
    <w:name w:val="图表标题 Char"/>
    <w:link w:val="411"/>
    <w:qFormat/>
    <w:uiPriority w:val="0"/>
    <w:rPr>
      <w:rFonts w:ascii="宋体" w:hAnsi="宋体"/>
      <w:b/>
      <w:szCs w:val="24"/>
    </w:rPr>
  </w:style>
  <w:style w:type="paragraph" w:customStyle="1" w:styleId="411">
    <w:name w:val="图表标题"/>
    <w:basedOn w:val="1"/>
    <w:link w:val="410"/>
    <w:qFormat/>
    <w:uiPriority w:val="0"/>
    <w:pPr>
      <w:spacing w:beforeLines="25" w:afterLines="25" w:line="360" w:lineRule="auto"/>
      <w:jc w:val="center"/>
      <w:outlineLvl w:val="4"/>
    </w:pPr>
    <w:rPr>
      <w:rFonts w:ascii="宋体" w:hAnsi="宋体" w:eastAsiaTheme="minorEastAsia" w:cstheme="minorBidi"/>
      <w:b/>
      <w:kern w:val="0"/>
      <w:sz w:val="20"/>
    </w:rPr>
  </w:style>
  <w:style w:type="character" w:customStyle="1" w:styleId="412">
    <w:name w:val="表格正文 Char1"/>
    <w:qFormat/>
    <w:uiPriority w:val="0"/>
    <w:rPr>
      <w:rFonts w:eastAsia="宋体"/>
      <w:kern w:val="2"/>
      <w:sz w:val="21"/>
      <w:szCs w:val="24"/>
      <w:lang w:val="en-US" w:eastAsia="zh-CN" w:bidi="ar-SA"/>
    </w:rPr>
  </w:style>
  <w:style w:type="character" w:customStyle="1" w:styleId="413">
    <w:name w:val="标题 1 字符2"/>
    <w:link w:val="4"/>
    <w:qFormat/>
    <w:uiPriority w:val="0"/>
    <w:rPr>
      <w:rFonts w:ascii="Times New Roman" w:hAnsi="Times New Roman" w:eastAsia="黑体" w:cs="Times New Roman"/>
      <w:b/>
      <w:bCs/>
      <w:color w:val="000000"/>
      <w:kern w:val="44"/>
      <w:sz w:val="30"/>
      <w:szCs w:val="30"/>
    </w:rPr>
  </w:style>
  <w:style w:type="character" w:customStyle="1" w:styleId="414">
    <w:name w:val="HTML 预设格式 Char1"/>
    <w:semiHidden/>
    <w:qFormat/>
    <w:uiPriority w:val="0"/>
    <w:rPr>
      <w:rFonts w:ascii="Courier New" w:hAnsi="Courier New" w:cs="Courier New"/>
      <w:kern w:val="2"/>
    </w:rPr>
  </w:style>
  <w:style w:type="character" w:customStyle="1" w:styleId="415">
    <w:name w:val="1.标题 1"/>
    <w:qFormat/>
    <w:uiPriority w:val="99"/>
    <w:rPr>
      <w:rFonts w:ascii="Times New Roman" w:hAnsi="Times New Roman" w:eastAsia="宋体" w:cs="Times New Roman"/>
      <w:b/>
      <w:kern w:val="44"/>
      <w:sz w:val="30"/>
      <w:szCs w:val="24"/>
      <w:lang w:bidi="ar-SA"/>
    </w:rPr>
  </w:style>
  <w:style w:type="character" w:customStyle="1" w:styleId="416">
    <w:name w:val="款标题1.1.1.1"/>
    <w:qFormat/>
    <w:uiPriority w:val="0"/>
    <w:rPr>
      <w:rFonts w:ascii="Times New Roman" w:hAnsi="Times New Roman" w:eastAsia="宋体" w:cs="Times New Roman"/>
      <w:sz w:val="24"/>
      <w:szCs w:val="24"/>
      <w:lang w:bidi="ar-SA"/>
    </w:rPr>
  </w:style>
  <w:style w:type="character" w:customStyle="1" w:styleId="417">
    <w:name w:val="款标题1.1.1.1 Char"/>
    <w:qFormat/>
    <w:uiPriority w:val="0"/>
    <w:rPr>
      <w:rFonts w:ascii="宋体" w:eastAsia="宋体"/>
      <w:kern w:val="2"/>
      <w:sz w:val="24"/>
      <w:lang w:val="en-US" w:eastAsia="en-US"/>
    </w:rPr>
  </w:style>
  <w:style w:type="character" w:customStyle="1" w:styleId="418">
    <w:name w:val="标题1.1.1.1.1.1"/>
    <w:qFormat/>
    <w:uiPriority w:val="0"/>
    <w:rPr>
      <w:rFonts w:ascii="Arial" w:hAnsi="Arial" w:eastAsia="黑体"/>
      <w:b/>
      <w:bCs/>
      <w:color w:val="000000"/>
      <w:kern w:val="2"/>
      <w:sz w:val="24"/>
      <w:szCs w:val="24"/>
    </w:rPr>
  </w:style>
  <w:style w:type="character" w:customStyle="1" w:styleId="419">
    <w:name w:val="目标题 1)"/>
    <w:qFormat/>
    <w:uiPriority w:val="0"/>
    <w:rPr>
      <w:rFonts w:ascii="Arial" w:hAnsi="Arial" w:eastAsia="黑体"/>
      <w:color w:val="000000"/>
      <w:kern w:val="2"/>
      <w:sz w:val="24"/>
      <w:szCs w:val="24"/>
    </w:rPr>
  </w:style>
  <w:style w:type="character" w:customStyle="1" w:styleId="420">
    <w:name w:val="Char7"/>
    <w:qFormat/>
    <w:uiPriority w:val="0"/>
    <w:rPr>
      <w:rFonts w:ascii="黑体" w:eastAsia="黑体" w:cs="Courier New"/>
      <w:lang w:bidi="ar-SA"/>
    </w:rPr>
  </w:style>
  <w:style w:type="character" w:customStyle="1" w:styleId="421">
    <w:name w:val="干标题(a)"/>
    <w:qFormat/>
    <w:uiPriority w:val="0"/>
    <w:rPr>
      <w:rFonts w:ascii="Arial" w:hAnsi="Arial" w:eastAsia="黑体"/>
      <w:color w:val="000000"/>
      <w:kern w:val="2"/>
      <w:sz w:val="24"/>
      <w:szCs w:val="21"/>
    </w:rPr>
  </w:style>
  <w:style w:type="character" w:customStyle="1" w:styleId="422">
    <w:name w:val="正文文本 Char1"/>
    <w:qFormat/>
    <w:uiPriority w:val="0"/>
    <w:rPr>
      <w:rFonts w:eastAsia="宋体"/>
      <w:kern w:val="2"/>
      <w:sz w:val="24"/>
      <w:szCs w:val="24"/>
      <w:lang w:val="en-US" w:eastAsia="zh-CN" w:bidi="ar-SA"/>
    </w:rPr>
  </w:style>
  <w:style w:type="character" w:customStyle="1" w:styleId="423">
    <w:name w:val="Char201"/>
    <w:qFormat/>
    <w:uiPriority w:val="0"/>
    <w:rPr>
      <w:rFonts w:ascii="Times New Roman" w:hAnsi="Times New Roman" w:eastAsia="宋体" w:cs="Times New Roman"/>
      <w:kern w:val="0"/>
      <w:sz w:val="27"/>
      <w:szCs w:val="24"/>
      <w:lang w:bidi="ar-SA"/>
    </w:rPr>
  </w:style>
  <w:style w:type="character" w:customStyle="1" w:styleId="424">
    <w:name w:val="文本条款 Char Char Char Char Char"/>
    <w:qFormat/>
    <w:uiPriority w:val="0"/>
    <w:rPr>
      <w:rFonts w:eastAsia="宋体"/>
      <w:color w:val="000000"/>
      <w:kern w:val="2"/>
      <w:sz w:val="24"/>
      <w:szCs w:val="24"/>
      <w:lang w:val="en-US" w:eastAsia="zh-CN" w:bidi="ar-SA"/>
    </w:rPr>
  </w:style>
  <w:style w:type="character" w:customStyle="1" w:styleId="425">
    <w:name w:val="question-title"/>
    <w:qFormat/>
    <w:uiPriority w:val="0"/>
  </w:style>
  <w:style w:type="character" w:customStyle="1" w:styleId="426">
    <w:name w:val="Char81"/>
    <w:qFormat/>
    <w:uiPriority w:val="0"/>
    <w:rPr>
      <w:rFonts w:ascii="Times New Roman" w:hAnsi="Times New Roman" w:eastAsia="宋体" w:cs="Times New Roman"/>
      <w:sz w:val="24"/>
      <w:szCs w:val="24"/>
      <w:lang w:bidi="ar-SA"/>
    </w:rPr>
  </w:style>
  <w:style w:type="character" w:customStyle="1" w:styleId="427">
    <w:name w:val="Char101"/>
    <w:qFormat/>
    <w:uiPriority w:val="0"/>
    <w:rPr>
      <w:rFonts w:ascii="Times New Roman" w:hAnsi="Times New Roman" w:eastAsia="宋体" w:cs="Times New Roman"/>
      <w:sz w:val="24"/>
      <w:szCs w:val="24"/>
      <w:lang w:bidi="ar-SA"/>
    </w:rPr>
  </w:style>
  <w:style w:type="character" w:customStyle="1" w:styleId="428">
    <w:name w:val="Char172"/>
    <w:qFormat/>
    <w:uiPriority w:val="0"/>
    <w:rPr>
      <w:rFonts w:ascii="Times New Roman" w:hAnsi="Times New Roman" w:eastAsia="宋体" w:cs="Times New Roman"/>
      <w:sz w:val="24"/>
      <w:szCs w:val="24"/>
      <w:shd w:val="clear" w:color="auto" w:fill="000080"/>
      <w:lang w:bidi="ar-SA"/>
    </w:rPr>
  </w:style>
  <w:style w:type="character" w:customStyle="1" w:styleId="429">
    <w:name w:val="表格标题 Char1"/>
    <w:qFormat/>
    <w:uiPriority w:val="0"/>
    <w:rPr>
      <w:rFonts w:ascii="Calibri" w:hAnsi="Calibri"/>
      <w:kern w:val="2"/>
      <w:sz w:val="24"/>
      <w:szCs w:val="24"/>
    </w:rPr>
  </w:style>
  <w:style w:type="character" w:customStyle="1" w:styleId="430">
    <w:name w:val="正文文本 2 字符1"/>
    <w:link w:val="77"/>
    <w:qFormat/>
    <w:uiPriority w:val="0"/>
    <w:rPr>
      <w:kern w:val="2"/>
      <w:sz w:val="21"/>
      <w:szCs w:val="24"/>
    </w:rPr>
  </w:style>
  <w:style w:type="character" w:customStyle="1" w:styleId="431">
    <w:name w:val="1.标题 11"/>
    <w:qFormat/>
    <w:uiPriority w:val="0"/>
    <w:rPr>
      <w:rFonts w:ascii="Times New Roman" w:hAnsi="Times New Roman" w:eastAsia="宋体" w:cs="Times New Roman"/>
      <w:b/>
      <w:kern w:val="44"/>
      <w:sz w:val="30"/>
      <w:szCs w:val="24"/>
      <w:lang w:bidi="ar-SA"/>
    </w:rPr>
  </w:style>
  <w:style w:type="character" w:customStyle="1" w:styleId="432">
    <w:name w:val="Char4 Char Char Char11"/>
    <w:qFormat/>
    <w:uiPriority w:val="0"/>
    <w:rPr>
      <w:rFonts w:ascii="Times New Roman" w:hAnsi="Times New Roman" w:eastAsia="宋体" w:cs="Times New Roman"/>
      <w:sz w:val="18"/>
      <w:szCs w:val="18"/>
      <w:lang w:bidi="ar-SA"/>
    </w:rPr>
  </w:style>
  <w:style w:type="character" w:customStyle="1" w:styleId="433">
    <w:name w:val="文档结构图 Char1"/>
    <w:semiHidden/>
    <w:qFormat/>
    <w:uiPriority w:val="99"/>
    <w:rPr>
      <w:rFonts w:ascii="宋体"/>
      <w:kern w:val="2"/>
      <w:sz w:val="18"/>
      <w:szCs w:val="18"/>
    </w:rPr>
  </w:style>
  <w:style w:type="character" w:customStyle="1" w:styleId="434">
    <w:name w:val="hangju"/>
    <w:qFormat/>
    <w:uiPriority w:val="0"/>
  </w:style>
  <w:style w:type="character" w:customStyle="1" w:styleId="435">
    <w:name w:val="jq1"/>
    <w:qFormat/>
    <w:uiPriority w:val="0"/>
    <w:rPr>
      <w:rFonts w:ascii="宋体" w:eastAsia="宋体"/>
      <w:sz w:val="18"/>
      <w:szCs w:val="18"/>
    </w:rPr>
  </w:style>
  <w:style w:type="character" w:customStyle="1" w:styleId="436">
    <w:name w:val="HTML 预设格式 字符1"/>
    <w:link w:val="81"/>
    <w:qFormat/>
    <w:uiPriority w:val="99"/>
    <w:rPr>
      <w:rFonts w:ascii="黑体" w:eastAsia="黑体" w:cs="Courier New"/>
    </w:rPr>
  </w:style>
  <w:style w:type="character" w:customStyle="1" w:styleId="437">
    <w:name w:val="ourfont3"/>
    <w:qFormat/>
    <w:uiPriority w:val="0"/>
  </w:style>
  <w:style w:type="character" w:customStyle="1" w:styleId="438">
    <w:name w:val="二级标题 Char"/>
    <w:qFormat/>
    <w:uiPriority w:val="0"/>
    <w:rPr>
      <w:rFonts w:eastAsia="宋体"/>
      <w:b/>
      <w:bCs/>
      <w:snapToGrid w:val="0"/>
      <w:sz w:val="28"/>
      <w:szCs w:val="24"/>
      <w:lang w:val="en-US" w:eastAsia="zh-CN" w:bidi="ar-SA"/>
    </w:rPr>
  </w:style>
  <w:style w:type="character" w:customStyle="1" w:styleId="439">
    <w:name w:val="表格内字体 Char"/>
    <w:link w:val="440"/>
    <w:qFormat/>
    <w:uiPriority w:val="0"/>
    <w:rPr>
      <w:rFonts w:eastAsia="仿宋_GB2312"/>
      <w:snapToGrid w:val="0"/>
      <w:kern w:val="21"/>
      <w:szCs w:val="21"/>
    </w:rPr>
  </w:style>
  <w:style w:type="paragraph" w:customStyle="1" w:styleId="440">
    <w:name w:val="表格内字体"/>
    <w:link w:val="439"/>
    <w:qFormat/>
    <w:uiPriority w:val="0"/>
    <w:pPr>
      <w:adjustRightInd w:val="0"/>
      <w:snapToGrid w:val="0"/>
      <w:jc w:val="center"/>
    </w:pPr>
    <w:rPr>
      <w:rFonts w:eastAsia="仿宋_GB2312" w:asciiTheme="minorHAnsi" w:hAnsiTheme="minorHAnsi" w:cstheme="minorBidi"/>
      <w:snapToGrid w:val="0"/>
      <w:kern w:val="21"/>
      <w:szCs w:val="21"/>
      <w:lang w:val="en-US" w:eastAsia="zh-CN" w:bidi="ar-SA"/>
    </w:rPr>
  </w:style>
  <w:style w:type="character" w:customStyle="1" w:styleId="441">
    <w:name w:val="zw1"/>
    <w:qFormat/>
    <w:uiPriority w:val="0"/>
    <w:rPr>
      <w:rFonts w:hint="eastAsia" w:ascii="宋体" w:hAnsi="宋体" w:eastAsia="宋体"/>
      <w:spacing w:val="400"/>
      <w:sz w:val="22"/>
      <w:szCs w:val="22"/>
    </w:rPr>
  </w:style>
  <w:style w:type="character" w:customStyle="1" w:styleId="442">
    <w:name w:val="Char6"/>
    <w:qFormat/>
    <w:uiPriority w:val="0"/>
    <w:rPr>
      <w:rFonts w:ascii="Times New Roman" w:hAnsi="Times New Roman"/>
      <w:kern w:val="2"/>
      <w:sz w:val="21"/>
      <w:szCs w:val="24"/>
    </w:rPr>
  </w:style>
  <w:style w:type="character" w:customStyle="1" w:styleId="443">
    <w:name w:val="正文文字 2 Char Char1"/>
    <w:qFormat/>
    <w:uiPriority w:val="0"/>
    <w:rPr>
      <w:rFonts w:ascii="Times New Roman" w:hAnsi="Times New Roman"/>
      <w:kern w:val="2"/>
      <w:sz w:val="24"/>
      <w:szCs w:val="24"/>
    </w:rPr>
  </w:style>
  <w:style w:type="character" w:customStyle="1" w:styleId="444">
    <w:name w:val="表格数字 Char"/>
    <w:link w:val="445"/>
    <w:qFormat/>
    <w:uiPriority w:val="99"/>
    <w:rPr>
      <w:rFonts w:ascii="Arial" w:hAnsi="Arial"/>
      <w:sz w:val="21"/>
    </w:rPr>
  </w:style>
  <w:style w:type="paragraph" w:customStyle="1" w:styleId="445">
    <w:name w:val="表格数字"/>
    <w:basedOn w:val="1"/>
    <w:link w:val="444"/>
    <w:qFormat/>
    <w:uiPriority w:val="99"/>
    <w:pPr>
      <w:spacing w:line="360" w:lineRule="exact"/>
      <w:jc w:val="center"/>
    </w:pPr>
    <w:rPr>
      <w:rFonts w:ascii="Arial" w:hAnsi="Arial" w:eastAsiaTheme="minorEastAsia" w:cstheme="minorBidi"/>
      <w:kern w:val="0"/>
      <w:szCs w:val="20"/>
    </w:rPr>
  </w:style>
  <w:style w:type="character" w:customStyle="1" w:styleId="446">
    <w:name w:val="title1"/>
    <w:qFormat/>
    <w:uiPriority w:val="0"/>
    <w:rPr>
      <w:rFonts w:ascii="Arial" w:hAnsi="Arial" w:cs="Arial"/>
      <w:b/>
      <w:bCs/>
      <w:color w:val="3366CC"/>
      <w:sz w:val="24"/>
      <w:szCs w:val="24"/>
      <w:lang w:bidi="ar-SA"/>
    </w:rPr>
  </w:style>
  <w:style w:type="character" w:customStyle="1" w:styleId="447">
    <w:name w:val="表头 Char"/>
    <w:qFormat/>
    <w:uiPriority w:val="0"/>
    <w:rPr>
      <w:rFonts w:ascii="Times" w:eastAsia="宋体"/>
      <w:b/>
      <w:kern w:val="2"/>
      <w:sz w:val="21"/>
      <w:szCs w:val="21"/>
      <w:lang w:val="en-US" w:eastAsia="zh-CN" w:bidi="ar-SA"/>
    </w:rPr>
  </w:style>
  <w:style w:type="character" w:customStyle="1" w:styleId="448">
    <w:name w:val="正文文本 3 字符2"/>
    <w:link w:val="32"/>
    <w:qFormat/>
    <w:uiPriority w:val="0"/>
    <w:rPr>
      <w:rFonts w:eastAsia="仿宋_GB2312"/>
      <w:kern w:val="2"/>
      <w:sz w:val="16"/>
      <w:szCs w:val="16"/>
    </w:rPr>
  </w:style>
  <w:style w:type="character" w:customStyle="1" w:styleId="449">
    <w:name w:val="标题1"/>
    <w:qFormat/>
    <w:uiPriority w:val="0"/>
  </w:style>
  <w:style w:type="character" w:customStyle="1" w:styleId="450">
    <w:name w:val="apple-style-span"/>
    <w:qFormat/>
    <w:uiPriority w:val="0"/>
  </w:style>
  <w:style w:type="character" w:customStyle="1" w:styleId="451">
    <w:name w:val="样式 样式 正文1 + 段前: 0.1 行 + 段前: 0.1 行 Char"/>
    <w:qFormat/>
    <w:uiPriority w:val="0"/>
  </w:style>
  <w:style w:type="character" w:customStyle="1" w:styleId="452">
    <w:name w:val="d11"/>
    <w:qFormat/>
    <w:uiPriority w:val="0"/>
    <w:rPr>
      <w:color w:val="000000"/>
      <w:spacing w:val="300"/>
      <w:sz w:val="18"/>
      <w:szCs w:val="18"/>
      <w:u w:val="none"/>
    </w:rPr>
  </w:style>
  <w:style w:type="character" w:customStyle="1" w:styleId="453">
    <w:name w:val="sb"/>
    <w:qFormat/>
    <w:uiPriority w:val="0"/>
  </w:style>
  <w:style w:type="character" w:customStyle="1" w:styleId="454">
    <w:name w:val="标题 7 Char1"/>
    <w:semiHidden/>
    <w:qFormat/>
    <w:uiPriority w:val="0"/>
    <w:rPr>
      <w:b/>
      <w:bCs/>
      <w:kern w:val="2"/>
      <w:sz w:val="24"/>
      <w:szCs w:val="24"/>
    </w:rPr>
  </w:style>
  <w:style w:type="character" w:customStyle="1" w:styleId="455">
    <w:name w:val="Char71"/>
    <w:qFormat/>
    <w:uiPriority w:val="0"/>
    <w:rPr>
      <w:rFonts w:ascii="黑体" w:eastAsia="黑体" w:cs="Courier New"/>
      <w:lang w:bidi="ar-SA"/>
    </w:rPr>
  </w:style>
  <w:style w:type="character" w:customStyle="1" w:styleId="456">
    <w:name w:val="p111"/>
    <w:qFormat/>
    <w:uiPriority w:val="0"/>
  </w:style>
  <w:style w:type="character" w:customStyle="1" w:styleId="457">
    <w:name w:val="Char31"/>
    <w:uiPriority w:val="0"/>
    <w:rPr>
      <w:rFonts w:ascii="Times New Roman" w:hAnsi="Times New Roman"/>
      <w:b/>
      <w:bCs/>
      <w:kern w:val="2"/>
      <w:sz w:val="24"/>
      <w:szCs w:val="24"/>
    </w:rPr>
  </w:style>
  <w:style w:type="character" w:customStyle="1" w:styleId="458">
    <w:name w:val="style451"/>
    <w:qFormat/>
    <w:uiPriority w:val="0"/>
    <w:rPr>
      <w:b/>
      <w:bCs/>
      <w:color w:val="000000"/>
      <w:sz w:val="19"/>
      <w:szCs w:val="19"/>
    </w:rPr>
  </w:style>
  <w:style w:type="character" w:customStyle="1" w:styleId="459">
    <w:name w:val="prod_text_body"/>
    <w:qFormat/>
    <w:uiPriority w:val="0"/>
  </w:style>
  <w:style w:type="character" w:customStyle="1" w:styleId="460">
    <w:name w:val="z-窗体顶端 字符1"/>
    <w:link w:val="461"/>
    <w:qFormat/>
    <w:uiPriority w:val="0"/>
    <w:rPr>
      <w:rFonts w:ascii="Arial" w:hAnsi="Arial" w:cs="Arial"/>
      <w:vanish/>
      <w:color w:val="000000"/>
      <w:sz w:val="16"/>
      <w:szCs w:val="16"/>
    </w:rPr>
  </w:style>
  <w:style w:type="paragraph" w:customStyle="1" w:styleId="461">
    <w:name w:val="z-窗体顶端1"/>
    <w:basedOn w:val="1"/>
    <w:next w:val="1"/>
    <w:link w:val="460"/>
    <w:qFormat/>
    <w:uiPriority w:val="0"/>
    <w:pPr>
      <w:widowControl/>
      <w:pBdr>
        <w:bottom w:val="single" w:color="auto" w:sz="6" w:space="1"/>
      </w:pBdr>
      <w:jc w:val="center"/>
    </w:pPr>
    <w:rPr>
      <w:rFonts w:ascii="Arial" w:hAnsi="Arial" w:cs="Arial" w:eastAsiaTheme="minorEastAsia"/>
      <w:vanish/>
      <w:color w:val="000000"/>
      <w:kern w:val="0"/>
      <w:sz w:val="16"/>
      <w:szCs w:val="16"/>
    </w:rPr>
  </w:style>
  <w:style w:type="character" w:customStyle="1" w:styleId="462">
    <w:name w:val="ital1"/>
    <w:qFormat/>
    <w:uiPriority w:val="0"/>
    <w:rPr>
      <w:i/>
      <w:iCs/>
    </w:rPr>
  </w:style>
  <w:style w:type="character" w:customStyle="1" w:styleId="463">
    <w:name w:val="unnamed21"/>
    <w:qFormat/>
    <w:uiPriority w:val="0"/>
    <w:rPr>
      <w:color w:val="000000"/>
      <w:spacing w:val="360"/>
      <w:sz w:val="20"/>
      <w:szCs w:val="20"/>
    </w:rPr>
  </w:style>
  <w:style w:type="character" w:customStyle="1" w:styleId="464">
    <w:name w:val="unnamed11"/>
    <w:qFormat/>
    <w:uiPriority w:val="0"/>
    <w:rPr>
      <w:rFonts w:ascii="Arial" w:hAnsi="Arial" w:cs="Arial"/>
      <w:color w:val="000000"/>
      <w:sz w:val="18"/>
      <w:szCs w:val="18"/>
      <w:u w:val="none"/>
      <w:lang w:bidi="ar-SA"/>
    </w:rPr>
  </w:style>
  <w:style w:type="character" w:customStyle="1" w:styleId="465">
    <w:name w:val="promo1"/>
    <w:qFormat/>
    <w:uiPriority w:val="0"/>
    <w:rPr>
      <w:sz w:val="24"/>
      <w:szCs w:val="24"/>
    </w:rPr>
  </w:style>
  <w:style w:type="character" w:customStyle="1" w:styleId="466">
    <w:name w:val="my Char Char1"/>
    <w:qFormat/>
    <w:uiPriority w:val="0"/>
    <w:rPr>
      <w:rFonts w:eastAsia="宋体"/>
      <w:sz w:val="24"/>
      <w:szCs w:val="24"/>
      <w:lang w:val="en-US" w:eastAsia="zh-CN"/>
    </w:rPr>
  </w:style>
  <w:style w:type="character" w:customStyle="1" w:styleId="467">
    <w:name w:val="正文文本缩进 Char1"/>
    <w:qFormat/>
    <w:uiPriority w:val="0"/>
    <w:rPr>
      <w:b/>
      <w:bCs/>
      <w:kern w:val="2"/>
      <w:sz w:val="24"/>
      <w:szCs w:val="24"/>
    </w:rPr>
  </w:style>
  <w:style w:type="character" w:customStyle="1" w:styleId="468">
    <w:name w:val="style1"/>
    <w:qFormat/>
    <w:uiPriority w:val="0"/>
  </w:style>
  <w:style w:type="character" w:customStyle="1" w:styleId="469">
    <w:name w:val="样式 正文001 + 首行缩进:  2 字符 行距: 固定值 22.5 磅 Char"/>
    <w:link w:val="470"/>
    <w:qFormat/>
    <w:uiPriority w:val="99"/>
    <w:rPr>
      <w:rFonts w:cs="宋体"/>
      <w:kern w:val="2"/>
      <w:sz w:val="24"/>
    </w:rPr>
  </w:style>
  <w:style w:type="paragraph" w:customStyle="1" w:styleId="470">
    <w:name w:val="样式 正文001 + 首行缩进:  2 字符 行距: 固定值 22.5 磅"/>
    <w:basedOn w:val="327"/>
    <w:link w:val="469"/>
    <w:qFormat/>
    <w:uiPriority w:val="99"/>
    <w:pPr>
      <w:spacing w:line="450" w:lineRule="exact"/>
      <w:ind w:firstLine="480" w:firstLineChars="200"/>
    </w:pPr>
    <w:rPr>
      <w:rFonts w:cs="宋体"/>
    </w:rPr>
  </w:style>
  <w:style w:type="character" w:customStyle="1" w:styleId="471">
    <w:name w:val="正文文本缩进 Char2"/>
    <w:qFormat/>
    <w:uiPriority w:val="0"/>
    <w:rPr>
      <w:b/>
      <w:bCs/>
      <w:kern w:val="2"/>
      <w:sz w:val="24"/>
      <w:szCs w:val="24"/>
    </w:rPr>
  </w:style>
  <w:style w:type="character" w:customStyle="1" w:styleId="472">
    <w:name w:val="正文001 Char1"/>
    <w:qFormat/>
    <w:uiPriority w:val="0"/>
    <w:rPr>
      <w:rFonts w:eastAsia="宋体"/>
      <w:kern w:val="2"/>
      <w:sz w:val="24"/>
      <w:szCs w:val="24"/>
      <w:lang w:val="en-US" w:eastAsia="zh-CN" w:bidi="ar-SA"/>
    </w:rPr>
  </w:style>
  <w:style w:type="character" w:customStyle="1" w:styleId="473">
    <w:name w:val="页脚11"/>
    <w:qFormat/>
    <w:uiPriority w:val="0"/>
    <w:rPr>
      <w:rFonts w:ascii="Times New Roman" w:hAnsi="Times New Roman" w:eastAsia="宋体" w:cs="Times New Roman"/>
      <w:sz w:val="18"/>
      <w:szCs w:val="24"/>
      <w:lang w:bidi="ar-SA"/>
    </w:rPr>
  </w:style>
  <w:style w:type="character" w:customStyle="1" w:styleId="474">
    <w:name w:val="Char13"/>
    <w:qFormat/>
    <w:uiPriority w:val="0"/>
    <w:rPr>
      <w:rFonts w:ascii="Times New Roman" w:hAnsi="Times New Roman" w:eastAsia="宋体" w:cs="Times New Roman"/>
      <w:kern w:val="0"/>
      <w:sz w:val="27"/>
      <w:szCs w:val="24"/>
      <w:lang w:bidi="ar-SA"/>
    </w:rPr>
  </w:style>
  <w:style w:type="character" w:customStyle="1" w:styleId="475">
    <w:name w:val="Char121"/>
    <w:qFormat/>
    <w:uiPriority w:val="0"/>
    <w:rPr>
      <w:rFonts w:ascii="Times New Roman" w:hAnsi="Times New Roman" w:eastAsia="宋体" w:cs="Times New Roman"/>
      <w:color w:val="000000"/>
      <w:sz w:val="24"/>
      <w:szCs w:val="24"/>
      <w:lang w:bidi="ar-SA"/>
    </w:rPr>
  </w:style>
  <w:style w:type="character" w:customStyle="1" w:styleId="476">
    <w:name w:val="正文文本缩进 3 Char1"/>
    <w:semiHidden/>
    <w:qFormat/>
    <w:uiPriority w:val="0"/>
    <w:rPr>
      <w:kern w:val="2"/>
      <w:sz w:val="16"/>
      <w:szCs w:val="16"/>
    </w:rPr>
  </w:style>
  <w:style w:type="character" w:customStyle="1" w:styleId="477">
    <w:name w:val="apple-converted-space"/>
    <w:qFormat/>
    <w:uiPriority w:val="0"/>
  </w:style>
  <w:style w:type="character" w:customStyle="1" w:styleId="478">
    <w:name w:val="日期 Char1"/>
    <w:semiHidden/>
    <w:qFormat/>
    <w:uiPriority w:val="99"/>
    <w:rPr>
      <w:kern w:val="2"/>
      <w:sz w:val="21"/>
      <w:szCs w:val="22"/>
    </w:rPr>
  </w:style>
  <w:style w:type="character" w:customStyle="1" w:styleId="479">
    <w:name w:val="正文01 Char Char Char Char1"/>
    <w:qFormat/>
    <w:uiPriority w:val="0"/>
    <w:rPr>
      <w:rFonts w:eastAsia="宋体"/>
      <w:snapToGrid w:val="0"/>
      <w:color w:val="000000"/>
      <w:kern w:val="2"/>
      <w:sz w:val="24"/>
      <w:szCs w:val="24"/>
      <w:lang w:val="en-US" w:eastAsia="zh-CN"/>
    </w:rPr>
  </w:style>
  <w:style w:type="character" w:customStyle="1" w:styleId="480">
    <w:name w:val="批注文字 Char1"/>
    <w:semiHidden/>
    <w:qFormat/>
    <w:uiPriority w:val="0"/>
    <w:rPr>
      <w:kern w:val="2"/>
      <w:sz w:val="21"/>
      <w:szCs w:val="22"/>
    </w:rPr>
  </w:style>
  <w:style w:type="character" w:customStyle="1" w:styleId="481">
    <w:name w:val="正文首行缩进 Char2"/>
    <w:semiHidden/>
    <w:qFormat/>
    <w:uiPriority w:val="0"/>
    <w:rPr>
      <w:kern w:val="2"/>
      <w:sz w:val="21"/>
      <w:szCs w:val="22"/>
    </w:rPr>
  </w:style>
  <w:style w:type="character" w:customStyle="1" w:styleId="482">
    <w:name w:val="font_14_001"/>
    <w:qFormat/>
    <w:uiPriority w:val="0"/>
    <w:rPr>
      <w:color w:val="000000"/>
      <w:sz w:val="21"/>
      <w:szCs w:val="21"/>
    </w:rPr>
  </w:style>
  <w:style w:type="character" w:customStyle="1" w:styleId="483">
    <w:name w:val="表体 Char Char"/>
    <w:qFormat/>
    <w:uiPriority w:val="0"/>
    <w:rPr>
      <w:rFonts w:eastAsia="宋体"/>
      <w:kern w:val="2"/>
      <w:sz w:val="21"/>
      <w:szCs w:val="24"/>
      <w:lang w:val="en-US" w:eastAsia="zh-CN" w:bidi="ar-SA"/>
    </w:rPr>
  </w:style>
  <w:style w:type="character" w:customStyle="1" w:styleId="484">
    <w:name w:val="tpc_content1"/>
    <w:qFormat/>
    <w:uiPriority w:val="0"/>
    <w:rPr>
      <w:sz w:val="20"/>
      <w:szCs w:val="20"/>
    </w:rPr>
  </w:style>
  <w:style w:type="character" w:customStyle="1" w:styleId="485">
    <w:name w:val="s1"/>
    <w:qFormat/>
    <w:uiPriority w:val="0"/>
    <w:rPr>
      <w:sz w:val="18"/>
      <w:szCs w:val="18"/>
    </w:rPr>
  </w:style>
  <w:style w:type="character" w:customStyle="1" w:styleId="486">
    <w:name w:val="style11"/>
    <w:qFormat/>
    <w:uiPriority w:val="0"/>
    <w:rPr>
      <w:color w:val="363636"/>
    </w:rPr>
  </w:style>
  <w:style w:type="character" w:customStyle="1" w:styleId="487">
    <w:name w:val="Char Char1 Char1"/>
    <w:qFormat/>
    <w:uiPriority w:val="0"/>
    <w:rPr>
      <w:rFonts w:ascii="宋体" w:hAnsi="宋体" w:cs="宋体"/>
      <w:kern w:val="2"/>
      <w:sz w:val="24"/>
      <w:szCs w:val="24"/>
    </w:rPr>
  </w:style>
  <w:style w:type="character" w:customStyle="1" w:styleId="488">
    <w:name w:val="html_txt1"/>
    <w:qFormat/>
    <w:uiPriority w:val="0"/>
    <w:rPr>
      <w:color w:val="000000"/>
    </w:rPr>
  </w:style>
  <w:style w:type="character" w:customStyle="1" w:styleId="489">
    <w:name w:val="张--正文 Char"/>
    <w:link w:val="490"/>
    <w:qFormat/>
    <w:uiPriority w:val="0"/>
    <w:rPr>
      <w:kern w:val="2"/>
      <w:sz w:val="28"/>
      <w:szCs w:val="28"/>
    </w:rPr>
  </w:style>
  <w:style w:type="paragraph" w:customStyle="1" w:styleId="490">
    <w:name w:val="张--正文"/>
    <w:basedOn w:val="1"/>
    <w:link w:val="489"/>
    <w:qFormat/>
    <w:uiPriority w:val="0"/>
    <w:pPr>
      <w:adjustRightInd w:val="0"/>
      <w:snapToGrid w:val="0"/>
      <w:spacing w:line="360" w:lineRule="auto"/>
      <w:ind w:firstLine="200" w:firstLineChars="200"/>
    </w:pPr>
    <w:rPr>
      <w:rFonts w:asciiTheme="minorHAnsi" w:hAnsiTheme="minorHAnsi" w:eastAsiaTheme="minorEastAsia" w:cstheme="minorBidi"/>
      <w:sz w:val="28"/>
      <w:szCs w:val="28"/>
    </w:rPr>
  </w:style>
  <w:style w:type="character" w:customStyle="1" w:styleId="491">
    <w:name w:val="页眉 Char1"/>
    <w:qFormat/>
    <w:uiPriority w:val="99"/>
    <w:rPr>
      <w:rFonts w:eastAsia="宋体"/>
      <w:kern w:val="2"/>
      <w:sz w:val="18"/>
      <w:szCs w:val="24"/>
      <w:lang w:val="en-US" w:eastAsia="zh-CN" w:bidi="ar-SA"/>
    </w:rPr>
  </w:style>
  <w:style w:type="character" w:styleId="492">
    <w:name w:val="Placeholder Text"/>
    <w:semiHidden/>
    <w:qFormat/>
    <w:uiPriority w:val="99"/>
    <w:rPr>
      <w:color w:val="808080"/>
    </w:rPr>
  </w:style>
  <w:style w:type="character" w:customStyle="1" w:styleId="493">
    <w:name w:val="unnamed1"/>
    <w:qFormat/>
    <w:uiPriority w:val="0"/>
  </w:style>
  <w:style w:type="character" w:customStyle="1" w:styleId="494">
    <w:name w:val="Char Char1 Char Char Char Char Char Char Char Char Char Char Char Char Char Char Char Char Char Char Char Char1 Char Char"/>
    <w:link w:val="495"/>
    <w:qFormat/>
    <w:uiPriority w:val="0"/>
    <w:rPr>
      <w:rFonts w:ascii="宋体" w:hAnsi="宋体" w:cs="宋体"/>
      <w:kern w:val="2"/>
      <w:sz w:val="24"/>
      <w:szCs w:val="24"/>
    </w:rPr>
  </w:style>
  <w:style w:type="paragraph" w:customStyle="1" w:styleId="495">
    <w:name w:val="Char Char1 Char Char Char Char Char Char Char Char Char Char Char Char Char Char Char Char Char Char Char Char1 Char"/>
    <w:basedOn w:val="1"/>
    <w:link w:val="494"/>
    <w:qFormat/>
    <w:uiPriority w:val="0"/>
    <w:pPr>
      <w:spacing w:line="360" w:lineRule="auto"/>
      <w:ind w:firstLine="200" w:firstLineChars="200"/>
    </w:pPr>
    <w:rPr>
      <w:rFonts w:ascii="宋体" w:hAnsi="宋体" w:cs="宋体" w:eastAsiaTheme="minorEastAsia"/>
      <w:sz w:val="24"/>
    </w:rPr>
  </w:style>
  <w:style w:type="character" w:customStyle="1" w:styleId="496">
    <w:name w:val="正文AAA Char"/>
    <w:link w:val="497"/>
    <w:qFormat/>
    <w:uiPriority w:val="0"/>
    <w:rPr>
      <w:rFonts w:ascii="宋体" w:hAnsi="宋体" w:cs="宋体"/>
      <w:kern w:val="2"/>
      <w:sz w:val="24"/>
    </w:rPr>
  </w:style>
  <w:style w:type="paragraph" w:customStyle="1" w:styleId="497">
    <w:name w:val="正文AAA"/>
    <w:basedOn w:val="1"/>
    <w:link w:val="496"/>
    <w:qFormat/>
    <w:uiPriority w:val="0"/>
    <w:pPr>
      <w:spacing w:line="500" w:lineRule="exact"/>
      <w:ind w:firstLine="480" w:firstLineChars="200"/>
    </w:pPr>
    <w:rPr>
      <w:rFonts w:ascii="宋体" w:hAnsi="宋体" w:cs="宋体" w:eastAsiaTheme="minorEastAsia"/>
      <w:sz w:val="24"/>
      <w:szCs w:val="20"/>
    </w:rPr>
  </w:style>
  <w:style w:type="character" w:customStyle="1" w:styleId="498">
    <w:name w:val="样式4 Char"/>
    <w:qFormat/>
    <w:uiPriority w:val="0"/>
    <w:rPr>
      <w:rFonts w:eastAsia="宋体"/>
      <w:bCs/>
      <w:color w:val="000000"/>
      <w:sz w:val="24"/>
      <w:szCs w:val="24"/>
      <w:lang w:val="en-US" w:eastAsia="zh-CN" w:bidi="ar-SA"/>
    </w:rPr>
  </w:style>
  <w:style w:type="character" w:customStyle="1" w:styleId="499">
    <w:name w:val="font-blue1"/>
    <w:qFormat/>
    <w:uiPriority w:val="0"/>
    <w:rPr>
      <w:color w:val="246CBD"/>
      <w:spacing w:val="316"/>
      <w:sz w:val="21"/>
      <w:szCs w:val="21"/>
    </w:rPr>
  </w:style>
  <w:style w:type="character" w:customStyle="1" w:styleId="500">
    <w:name w:val="正文文本 3 Char1"/>
    <w:semiHidden/>
    <w:qFormat/>
    <w:uiPriority w:val="0"/>
    <w:rPr>
      <w:kern w:val="2"/>
      <w:sz w:val="16"/>
      <w:szCs w:val="16"/>
    </w:rPr>
  </w:style>
  <w:style w:type="character" w:customStyle="1" w:styleId="501">
    <w:name w:val="large1"/>
    <w:qFormat/>
    <w:uiPriority w:val="0"/>
    <w:rPr>
      <w:rFonts w:hint="eastAsia" w:ascii="宋体" w:hAnsi="宋体" w:eastAsia="宋体"/>
      <w:spacing w:val="384"/>
      <w:sz w:val="26"/>
      <w:szCs w:val="26"/>
    </w:rPr>
  </w:style>
  <w:style w:type="character" w:customStyle="1" w:styleId="502">
    <w:name w:val="a1"/>
    <w:qFormat/>
    <w:uiPriority w:val="99"/>
  </w:style>
  <w:style w:type="character" w:customStyle="1" w:styleId="503">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504">
    <w:name w:val="脚注文本 字符1"/>
    <w:link w:val="68"/>
    <w:qFormat/>
    <w:uiPriority w:val="0"/>
    <w:rPr>
      <w:kern w:val="2"/>
      <w:sz w:val="18"/>
      <w:szCs w:val="18"/>
    </w:rPr>
  </w:style>
  <w:style w:type="character" w:customStyle="1" w:styleId="505">
    <w:name w:val="fs"/>
    <w:qFormat/>
    <w:uiPriority w:val="99"/>
  </w:style>
  <w:style w:type="character" w:customStyle="1" w:styleId="506">
    <w:name w:val="标题 4 Char1"/>
    <w:semiHidden/>
    <w:qFormat/>
    <w:uiPriority w:val="0"/>
    <w:rPr>
      <w:rFonts w:ascii="Cambria" w:hAnsi="Cambria" w:eastAsia="宋体" w:cs="Times New Roman"/>
      <w:b/>
      <w:bCs/>
      <w:kern w:val="2"/>
      <w:sz w:val="28"/>
      <w:szCs w:val="28"/>
    </w:rPr>
  </w:style>
  <w:style w:type="character" w:customStyle="1" w:styleId="507">
    <w:name w:val="批注主题 Char1"/>
    <w:semiHidden/>
    <w:qFormat/>
    <w:uiPriority w:val="99"/>
    <w:rPr>
      <w:b/>
      <w:bCs/>
      <w:kern w:val="2"/>
      <w:sz w:val="21"/>
      <w:szCs w:val="22"/>
    </w:rPr>
  </w:style>
  <w:style w:type="character" w:customStyle="1" w:styleId="508">
    <w:name w:val="正文字体样式1111 Char"/>
    <w:link w:val="509"/>
    <w:qFormat/>
    <w:uiPriority w:val="0"/>
    <w:rPr>
      <w:rFonts w:hAnsi="宋体" w:cs="宋体"/>
      <w:kern w:val="2"/>
      <w:sz w:val="24"/>
    </w:rPr>
  </w:style>
  <w:style w:type="paragraph" w:customStyle="1" w:styleId="509">
    <w:name w:val="正文字体样式1111"/>
    <w:basedOn w:val="1"/>
    <w:link w:val="508"/>
    <w:qFormat/>
    <w:uiPriority w:val="0"/>
    <w:pPr>
      <w:spacing w:line="360" w:lineRule="auto"/>
      <w:ind w:firstLine="200" w:firstLineChars="200"/>
    </w:pPr>
    <w:rPr>
      <w:rFonts w:hAnsi="宋体" w:cs="宋体" w:asciiTheme="minorHAnsi" w:eastAsiaTheme="minorEastAsia"/>
      <w:sz w:val="24"/>
      <w:szCs w:val="20"/>
    </w:rPr>
  </w:style>
  <w:style w:type="character" w:customStyle="1" w:styleId="510">
    <w:name w:val="Char161"/>
    <w:qFormat/>
    <w:uiPriority w:val="0"/>
    <w:rPr>
      <w:rFonts w:ascii="Times New Roman" w:hAnsi="Times New Roman" w:eastAsia="宋体" w:cs="Times New Roman"/>
      <w:sz w:val="24"/>
      <w:szCs w:val="24"/>
      <w:lang w:bidi="ar-SA"/>
    </w:rPr>
  </w:style>
  <w:style w:type="character" w:customStyle="1" w:styleId="511">
    <w:name w:val="Char61"/>
    <w:qFormat/>
    <w:uiPriority w:val="0"/>
    <w:rPr>
      <w:rFonts w:ascii="Times New Roman" w:hAnsi="Times New Roman"/>
      <w:kern w:val="2"/>
      <w:sz w:val="21"/>
      <w:szCs w:val="24"/>
    </w:rPr>
  </w:style>
  <w:style w:type="character" w:customStyle="1" w:styleId="512">
    <w:name w:val="Char41"/>
    <w:qFormat/>
    <w:uiPriority w:val="0"/>
    <w:rPr>
      <w:rFonts w:ascii="仿宋_GB2312" w:eastAsia="仿宋_GB2312"/>
      <w:kern w:val="2"/>
      <w:sz w:val="21"/>
      <w:szCs w:val="24"/>
    </w:rPr>
  </w:style>
  <w:style w:type="character" w:customStyle="1" w:styleId="513">
    <w:name w:val="Char131"/>
    <w:qFormat/>
    <w:uiPriority w:val="0"/>
    <w:rPr>
      <w:rFonts w:ascii="Times New Roman" w:hAnsi="Times New Roman" w:eastAsia="宋体" w:cs="Times New Roman"/>
      <w:kern w:val="0"/>
      <w:sz w:val="27"/>
      <w:szCs w:val="24"/>
      <w:lang w:bidi="ar-SA"/>
    </w:rPr>
  </w:style>
  <w:style w:type="character" w:customStyle="1" w:styleId="514">
    <w:name w:val="正文02 Char"/>
    <w:link w:val="515"/>
    <w:qFormat/>
    <w:uiPriority w:val="0"/>
    <w:rPr>
      <w:sz w:val="24"/>
    </w:rPr>
  </w:style>
  <w:style w:type="paragraph" w:customStyle="1" w:styleId="515">
    <w:name w:val="正文02"/>
    <w:basedOn w:val="159"/>
    <w:link w:val="514"/>
    <w:qFormat/>
    <w:uiPriority w:val="0"/>
    <w:pPr>
      <w:widowControl w:val="0"/>
      <w:spacing w:before="300" w:line="440" w:lineRule="exact"/>
      <w:jc w:val="both"/>
    </w:pPr>
    <w:rPr>
      <w:rFonts w:asciiTheme="minorHAnsi"/>
      <w:kern w:val="0"/>
    </w:rPr>
  </w:style>
  <w:style w:type="character" w:customStyle="1" w:styleId="516">
    <w:name w:val="3zw1"/>
    <w:qFormat/>
    <w:uiPriority w:val="0"/>
    <w:rPr>
      <w:color w:val="000000"/>
      <w:sz w:val="21"/>
      <w:szCs w:val="21"/>
    </w:rPr>
  </w:style>
  <w:style w:type="character" w:customStyle="1" w:styleId="517">
    <w:name w:val="样式 正文01 + 首行缩进:  2 字符 Char Char Char"/>
    <w:link w:val="518"/>
    <w:qFormat/>
    <w:uiPriority w:val="0"/>
    <w:rPr>
      <w:color w:val="000000"/>
      <w:sz w:val="24"/>
      <w:szCs w:val="24"/>
    </w:rPr>
  </w:style>
  <w:style w:type="paragraph" w:customStyle="1" w:styleId="518">
    <w:name w:val="样式 正文01 + 首行缩进:  2 字符 Char Char"/>
    <w:basedOn w:val="1"/>
    <w:link w:val="517"/>
    <w:qFormat/>
    <w:uiPriority w:val="0"/>
    <w:pPr>
      <w:adjustRightInd w:val="0"/>
      <w:snapToGrid w:val="0"/>
      <w:spacing w:before="60" w:line="460" w:lineRule="exact"/>
      <w:ind w:firstLine="480" w:firstLineChars="200"/>
    </w:pPr>
    <w:rPr>
      <w:rFonts w:asciiTheme="minorHAnsi" w:hAnsiTheme="minorHAnsi" w:eastAsiaTheme="minorEastAsia" w:cstheme="minorBidi"/>
      <w:color w:val="000000"/>
      <w:kern w:val="0"/>
      <w:sz w:val="24"/>
    </w:rPr>
  </w:style>
  <w:style w:type="character" w:customStyle="1" w:styleId="519">
    <w:name w:val="样式 (中文) 仿宋_GB2312 四号"/>
    <w:qFormat/>
    <w:uiPriority w:val="0"/>
    <w:rPr>
      <w:rFonts w:eastAsia="仿宋_GB2312"/>
      <w:sz w:val="24"/>
    </w:rPr>
  </w:style>
  <w:style w:type="character" w:customStyle="1" w:styleId="520">
    <w:name w:val="z-窗体底端 Char1"/>
    <w:semiHidden/>
    <w:qFormat/>
    <w:uiPriority w:val="99"/>
    <w:rPr>
      <w:rFonts w:ascii="Arial" w:hAnsi="Arial" w:cs="Arial"/>
      <w:vanish/>
      <w:kern w:val="2"/>
      <w:sz w:val="16"/>
      <w:szCs w:val="16"/>
    </w:rPr>
  </w:style>
  <w:style w:type="paragraph" w:customStyle="1" w:styleId="521">
    <w:name w:val="Char Char Char1 Char Char Char Char"/>
    <w:basedOn w:val="1"/>
    <w:qFormat/>
    <w:uiPriority w:val="0"/>
    <w:rPr>
      <w:rFonts w:ascii="Tahoma" w:hAnsi="Tahoma"/>
      <w:sz w:val="24"/>
      <w:szCs w:val="20"/>
    </w:rPr>
  </w:style>
  <w:style w:type="paragraph" w:customStyle="1" w:styleId="522">
    <w:name w:val="目录 61"/>
    <w:basedOn w:val="1"/>
    <w:next w:val="523"/>
    <w:qFormat/>
    <w:uiPriority w:val="39"/>
    <w:pPr>
      <w:widowControl/>
      <w:spacing w:before="60" w:line="351" w:lineRule="atLeast"/>
      <w:ind w:firstLine="419"/>
      <w:textAlignment w:val="baseline"/>
    </w:pPr>
    <w:rPr>
      <w:color w:val="000000"/>
      <w:kern w:val="0"/>
      <w:szCs w:val="20"/>
      <w:u w:color="000000"/>
    </w:rPr>
  </w:style>
  <w:style w:type="paragraph" w:styleId="523">
    <w:name w:val="List Paragraph"/>
    <w:basedOn w:val="1"/>
    <w:qFormat/>
    <w:uiPriority w:val="99"/>
    <w:pPr>
      <w:ind w:firstLine="420" w:firstLineChars="200"/>
    </w:pPr>
  </w:style>
  <w:style w:type="paragraph" w:customStyle="1" w:styleId="524">
    <w:name w:val="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525">
    <w:name w:val="文档结构图 字符"/>
    <w:basedOn w:val="96"/>
    <w:qFormat/>
    <w:uiPriority w:val="99"/>
    <w:rPr>
      <w:rFonts w:ascii="Microsoft YaHei UI" w:hAnsi="Times New Roman" w:eastAsia="Microsoft YaHei UI" w:cs="Times New Roman"/>
      <w:kern w:val="2"/>
      <w:sz w:val="18"/>
      <w:szCs w:val="18"/>
    </w:rPr>
  </w:style>
  <w:style w:type="character" w:customStyle="1" w:styleId="526">
    <w:name w:val="文档结构图 Char2"/>
    <w:qFormat/>
    <w:uiPriority w:val="0"/>
    <w:rPr>
      <w:rFonts w:ascii="宋体"/>
      <w:kern w:val="2"/>
      <w:sz w:val="18"/>
      <w:szCs w:val="18"/>
    </w:rPr>
  </w:style>
  <w:style w:type="character" w:customStyle="1" w:styleId="527">
    <w:name w:val="标题 字符"/>
    <w:basedOn w:val="96"/>
    <w:qFormat/>
    <w:uiPriority w:val="10"/>
    <w:rPr>
      <w:rFonts w:asciiTheme="majorHAnsi" w:hAnsiTheme="majorHAnsi" w:eastAsiaTheme="majorEastAsia" w:cstheme="majorBidi"/>
      <w:b/>
      <w:bCs/>
      <w:kern w:val="2"/>
      <w:sz w:val="32"/>
      <w:szCs w:val="32"/>
    </w:rPr>
  </w:style>
  <w:style w:type="character" w:customStyle="1" w:styleId="528">
    <w:name w:val="标题 Char3"/>
    <w:qFormat/>
    <w:uiPriority w:val="0"/>
    <w:rPr>
      <w:rFonts w:ascii="Cambria" w:hAnsi="Cambria" w:cs="Times New Roman"/>
      <w:b/>
      <w:bCs/>
      <w:kern w:val="2"/>
      <w:sz w:val="32"/>
      <w:szCs w:val="32"/>
    </w:rPr>
  </w:style>
  <w:style w:type="paragraph" w:customStyle="1" w:styleId="529">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530">
    <w:name w:val="正文五"/>
    <w:basedOn w:val="1"/>
    <w:qFormat/>
    <w:uiPriority w:val="0"/>
    <w:pPr>
      <w:snapToGrid w:val="0"/>
      <w:jc w:val="center"/>
    </w:pPr>
    <w:rPr>
      <w:szCs w:val="28"/>
    </w:rPr>
  </w:style>
  <w:style w:type="character" w:customStyle="1" w:styleId="531">
    <w:name w:val="正文文本缩进 2 字符"/>
    <w:basedOn w:val="96"/>
    <w:qFormat/>
    <w:uiPriority w:val="0"/>
    <w:rPr>
      <w:rFonts w:ascii="Times New Roman" w:hAnsi="Times New Roman" w:eastAsia="宋体" w:cs="Times New Roman"/>
      <w:kern w:val="2"/>
      <w:sz w:val="21"/>
      <w:szCs w:val="24"/>
    </w:rPr>
  </w:style>
  <w:style w:type="character" w:customStyle="1" w:styleId="532">
    <w:name w:val="正文文本缩进 2 Char2"/>
    <w:qFormat/>
    <w:uiPriority w:val="0"/>
    <w:rPr>
      <w:kern w:val="2"/>
      <w:sz w:val="21"/>
      <w:szCs w:val="24"/>
    </w:rPr>
  </w:style>
  <w:style w:type="character" w:customStyle="1" w:styleId="533">
    <w:name w:val="称呼 字符"/>
    <w:basedOn w:val="96"/>
    <w:qFormat/>
    <w:uiPriority w:val="0"/>
    <w:rPr>
      <w:rFonts w:ascii="Times New Roman" w:hAnsi="Times New Roman" w:eastAsia="宋体" w:cs="Times New Roman"/>
      <w:kern w:val="2"/>
      <w:sz w:val="21"/>
      <w:szCs w:val="24"/>
    </w:rPr>
  </w:style>
  <w:style w:type="character" w:customStyle="1" w:styleId="534">
    <w:name w:val="称呼 Char3"/>
    <w:qFormat/>
    <w:uiPriority w:val="0"/>
    <w:rPr>
      <w:kern w:val="2"/>
      <w:sz w:val="21"/>
      <w:szCs w:val="24"/>
    </w:rPr>
  </w:style>
  <w:style w:type="paragraph" w:customStyle="1" w:styleId="535">
    <w:name w:val="样式 居中"/>
    <w:basedOn w:val="1"/>
    <w:qFormat/>
    <w:uiPriority w:val="0"/>
    <w:pPr>
      <w:widowControl/>
      <w:spacing w:line="360" w:lineRule="auto"/>
      <w:jc w:val="center"/>
    </w:pPr>
    <w:rPr>
      <w:rFonts w:cs="宋体"/>
      <w:kern w:val="0"/>
      <w:sz w:val="24"/>
      <w:szCs w:val="20"/>
      <w:lang w:eastAsia="en-US" w:bidi="en-US"/>
    </w:rPr>
  </w:style>
  <w:style w:type="character" w:customStyle="1" w:styleId="536">
    <w:name w:val="正文文本缩进 3 字符"/>
    <w:basedOn w:val="96"/>
    <w:qFormat/>
    <w:uiPriority w:val="0"/>
    <w:rPr>
      <w:rFonts w:ascii="Times New Roman" w:hAnsi="Times New Roman" w:eastAsia="宋体" w:cs="Times New Roman"/>
      <w:kern w:val="2"/>
      <w:sz w:val="16"/>
      <w:szCs w:val="16"/>
    </w:rPr>
  </w:style>
  <w:style w:type="character" w:customStyle="1" w:styleId="537">
    <w:name w:val="正文文本缩进 3 Char2"/>
    <w:qFormat/>
    <w:uiPriority w:val="0"/>
    <w:rPr>
      <w:kern w:val="2"/>
      <w:sz w:val="16"/>
      <w:szCs w:val="16"/>
    </w:rPr>
  </w:style>
  <w:style w:type="character" w:customStyle="1" w:styleId="538">
    <w:name w:val="正文文本 2 字符"/>
    <w:basedOn w:val="96"/>
    <w:qFormat/>
    <w:uiPriority w:val="0"/>
    <w:rPr>
      <w:rFonts w:ascii="Times New Roman" w:hAnsi="Times New Roman" w:eastAsia="宋体" w:cs="Times New Roman"/>
      <w:kern w:val="2"/>
      <w:sz w:val="21"/>
      <w:szCs w:val="24"/>
    </w:rPr>
  </w:style>
  <w:style w:type="character" w:customStyle="1" w:styleId="539">
    <w:name w:val="正文文本 2 Char3"/>
    <w:qFormat/>
    <w:uiPriority w:val="0"/>
    <w:rPr>
      <w:kern w:val="2"/>
      <w:sz w:val="21"/>
      <w:szCs w:val="24"/>
    </w:rPr>
  </w:style>
  <w:style w:type="paragraph" w:customStyle="1" w:styleId="540">
    <w:name w:val="表文"/>
    <w:basedOn w:val="35"/>
    <w:next w:val="22"/>
    <w:qFormat/>
    <w:uiPriority w:val="0"/>
    <w:pPr>
      <w:widowControl w:val="0"/>
      <w:snapToGrid/>
      <w:spacing w:before="0" w:after="0" w:line="360" w:lineRule="exact"/>
      <w:ind w:right="0"/>
      <w:jc w:val="center"/>
    </w:pPr>
    <w:rPr>
      <w:rFonts w:ascii="宋体" w:hAnsi="宋体"/>
      <w:color w:val="000000"/>
      <w:kern w:val="2"/>
      <w:sz w:val="21"/>
      <w:szCs w:val="21"/>
      <w:lang w:val="zh-CN"/>
    </w:rPr>
  </w:style>
  <w:style w:type="paragraph" w:customStyle="1" w:styleId="541">
    <w:name w:val="标题3 Char Char Char Char"/>
    <w:basedOn w:val="1"/>
    <w:qFormat/>
    <w:uiPriority w:val="0"/>
    <w:pPr>
      <w:spacing w:after="156" w:afterLines="50" w:line="560" w:lineRule="exact"/>
    </w:pPr>
    <w:rPr>
      <w:rFonts w:eastAsia="黑体"/>
      <w:sz w:val="30"/>
      <w:szCs w:val="30"/>
    </w:rPr>
  </w:style>
  <w:style w:type="paragraph" w:customStyle="1" w:styleId="542">
    <w:name w:val="正文缩近"/>
    <w:basedOn w:val="1"/>
    <w:qFormat/>
    <w:uiPriority w:val="0"/>
    <w:pPr>
      <w:spacing w:line="360" w:lineRule="auto"/>
      <w:ind w:firstLine="560" w:firstLineChars="200"/>
    </w:pPr>
    <w:rPr>
      <w:rFonts w:ascii="Calibri" w:hAnsi="Calibri"/>
      <w:sz w:val="28"/>
      <w:szCs w:val="28"/>
    </w:rPr>
  </w:style>
  <w:style w:type="paragraph" w:customStyle="1" w:styleId="543">
    <w:name w:val="表图题"/>
    <w:basedOn w:val="1"/>
    <w:qFormat/>
    <w:uiPriority w:val="99"/>
    <w:pPr>
      <w:spacing w:line="440" w:lineRule="exact"/>
      <w:jc w:val="center"/>
    </w:pPr>
    <w:rPr>
      <w:rFonts w:eastAsia="华文细黑"/>
      <w:b/>
      <w:szCs w:val="28"/>
    </w:rPr>
  </w:style>
  <w:style w:type="character" w:customStyle="1" w:styleId="544">
    <w:name w:val="脚注文本 字符"/>
    <w:basedOn w:val="96"/>
    <w:qFormat/>
    <w:uiPriority w:val="0"/>
    <w:rPr>
      <w:rFonts w:ascii="Times New Roman" w:hAnsi="Times New Roman" w:eastAsia="宋体" w:cs="Times New Roman"/>
      <w:kern w:val="2"/>
      <w:sz w:val="18"/>
      <w:szCs w:val="18"/>
    </w:rPr>
  </w:style>
  <w:style w:type="character" w:customStyle="1" w:styleId="545">
    <w:name w:val="脚注文本 Char3"/>
    <w:qFormat/>
    <w:uiPriority w:val="0"/>
    <w:rPr>
      <w:kern w:val="2"/>
      <w:sz w:val="18"/>
      <w:szCs w:val="18"/>
    </w:rPr>
  </w:style>
  <w:style w:type="paragraph" w:customStyle="1" w:styleId="546">
    <w:name w:val="居中正文"/>
    <w:basedOn w:val="87"/>
    <w:link w:val="1009"/>
    <w:qFormat/>
    <w:uiPriority w:val="99"/>
    <w:pPr>
      <w:adjustRightInd w:val="0"/>
      <w:spacing w:before="120" w:after="0" w:line="360" w:lineRule="auto"/>
      <w:ind w:firstLine="0" w:firstLineChars="0"/>
      <w:jc w:val="center"/>
      <w:textAlignment w:val="baseline"/>
    </w:pPr>
    <w:rPr>
      <w:rFonts w:ascii="宋体"/>
      <w:kern w:val="28"/>
      <w:sz w:val="24"/>
      <w:szCs w:val="20"/>
      <w:lang w:val="zh-CN"/>
    </w:rPr>
  </w:style>
  <w:style w:type="paragraph" w:customStyle="1" w:styleId="547">
    <w:name w:val="标题3.5"/>
    <w:basedOn w:val="1"/>
    <w:qFormat/>
    <w:uiPriority w:val="0"/>
    <w:rPr>
      <w:rFonts w:eastAsia="仿宋_GB2312"/>
      <w:sz w:val="24"/>
    </w:rPr>
  </w:style>
  <w:style w:type="paragraph" w:customStyle="1" w:styleId="548">
    <w:name w:val="xl49"/>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549">
    <w:name w:val="样式 正文001 + 首行缩进:  2 字符"/>
    <w:basedOn w:val="1"/>
    <w:qFormat/>
    <w:uiPriority w:val="99"/>
    <w:pPr>
      <w:spacing w:line="500" w:lineRule="atLeast"/>
      <w:ind w:firstLine="480" w:firstLineChars="200"/>
    </w:pPr>
    <w:rPr>
      <w:rFonts w:ascii="Calibri" w:hAnsi="Calibri"/>
      <w:sz w:val="24"/>
    </w:rPr>
  </w:style>
  <w:style w:type="paragraph" w:customStyle="1" w:styleId="550">
    <w:name w:val="正文2"/>
    <w:basedOn w:val="1"/>
    <w:link w:val="1090"/>
    <w:qFormat/>
    <w:uiPriority w:val="0"/>
    <w:pPr>
      <w:adjustRightInd w:val="0"/>
      <w:snapToGrid w:val="0"/>
      <w:spacing w:line="440" w:lineRule="atLeast"/>
      <w:ind w:firstLine="567"/>
    </w:pPr>
    <w:rPr>
      <w:sz w:val="24"/>
      <w:szCs w:val="20"/>
    </w:rPr>
  </w:style>
  <w:style w:type="character" w:customStyle="1" w:styleId="551">
    <w:name w:val="正文文本 3 字符"/>
    <w:basedOn w:val="96"/>
    <w:qFormat/>
    <w:uiPriority w:val="99"/>
    <w:rPr>
      <w:rFonts w:ascii="Times New Roman" w:hAnsi="Times New Roman" w:eastAsia="宋体" w:cs="Times New Roman"/>
      <w:kern w:val="2"/>
      <w:sz w:val="16"/>
      <w:szCs w:val="16"/>
    </w:rPr>
  </w:style>
  <w:style w:type="character" w:customStyle="1" w:styleId="552">
    <w:name w:val="正文文本 3 Char3"/>
    <w:qFormat/>
    <w:uiPriority w:val="0"/>
    <w:rPr>
      <w:kern w:val="2"/>
      <w:sz w:val="16"/>
      <w:szCs w:val="16"/>
    </w:rPr>
  </w:style>
  <w:style w:type="paragraph" w:customStyle="1" w:styleId="553">
    <w:name w:val="yu"/>
    <w:basedOn w:val="1"/>
    <w:qFormat/>
    <w:uiPriority w:val="0"/>
    <w:pPr>
      <w:widowControl/>
      <w:spacing w:before="100" w:beforeAutospacing="1" w:after="100" w:afterAutospacing="1" w:line="384" w:lineRule="auto"/>
      <w:ind w:firstLine="480"/>
      <w:jc w:val="left"/>
    </w:pPr>
    <w:rPr>
      <w:rFonts w:ascii="Arial Unicode MS" w:hAnsi="Arial Unicode MS" w:eastAsia="Arial Unicode MS" w:cs="Arial Unicode MS"/>
      <w:color w:val="000000"/>
      <w:kern w:val="0"/>
      <w:sz w:val="18"/>
      <w:szCs w:val="18"/>
    </w:rPr>
  </w:style>
  <w:style w:type="paragraph" w:customStyle="1" w:styleId="554">
    <w:name w:val="Char Char Char Char Char Char1 Char Char Char Char"/>
    <w:basedOn w:val="1"/>
    <w:uiPriority w:val="0"/>
    <w:rPr>
      <w:sz w:val="24"/>
    </w:rPr>
  </w:style>
  <w:style w:type="character" w:customStyle="1" w:styleId="555">
    <w:name w:val="HTML 预设格式 字符"/>
    <w:basedOn w:val="96"/>
    <w:qFormat/>
    <w:uiPriority w:val="0"/>
    <w:rPr>
      <w:rFonts w:ascii="Courier New" w:hAnsi="Courier New" w:eastAsia="宋体" w:cs="Courier New"/>
      <w:kern w:val="2"/>
    </w:rPr>
  </w:style>
  <w:style w:type="character" w:customStyle="1" w:styleId="556">
    <w:name w:val="HTML 预设格式 Char3"/>
    <w:qFormat/>
    <w:uiPriority w:val="0"/>
    <w:rPr>
      <w:rFonts w:ascii="Courier New" w:hAnsi="Courier New" w:cs="Courier New"/>
      <w:kern w:val="2"/>
    </w:rPr>
  </w:style>
  <w:style w:type="paragraph" w:customStyle="1" w:styleId="557">
    <w:name w:val="_Style 70"/>
    <w:basedOn w:val="1"/>
    <w:qFormat/>
    <w:uiPriority w:val="0"/>
    <w:pPr>
      <w:spacing w:after="156" w:afterLines="50" w:line="560" w:lineRule="exact"/>
    </w:pPr>
    <w:rPr>
      <w:rFonts w:eastAsia="黑体"/>
      <w:sz w:val="30"/>
      <w:szCs w:val="30"/>
    </w:rPr>
  </w:style>
  <w:style w:type="paragraph" w:customStyle="1" w:styleId="558">
    <w:name w:val="标题C"/>
    <w:basedOn w:val="1"/>
    <w:qFormat/>
    <w:uiPriority w:val="0"/>
    <w:pPr>
      <w:spacing w:line="360" w:lineRule="auto"/>
      <w:outlineLvl w:val="2"/>
    </w:pPr>
    <w:rPr>
      <w:rFonts w:ascii="Calibri" w:hAnsi="Calibri" w:cs="宋体"/>
      <w:b/>
      <w:bCs/>
      <w:sz w:val="24"/>
      <w:szCs w:val="20"/>
    </w:rPr>
  </w:style>
  <w:style w:type="paragraph" w:customStyle="1" w:styleId="559">
    <w:name w:val="xl2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szCs w:val="21"/>
    </w:rPr>
  </w:style>
  <w:style w:type="character" w:customStyle="1" w:styleId="560">
    <w:name w:val="z-窗体顶端 字符"/>
    <w:basedOn w:val="96"/>
    <w:semiHidden/>
    <w:qFormat/>
    <w:uiPriority w:val="99"/>
    <w:rPr>
      <w:rFonts w:ascii="Arial" w:hAnsi="Arial" w:eastAsia="宋体" w:cs="Arial"/>
      <w:vanish/>
      <w:kern w:val="2"/>
      <w:sz w:val="16"/>
      <w:szCs w:val="16"/>
    </w:rPr>
  </w:style>
  <w:style w:type="character" w:customStyle="1" w:styleId="561">
    <w:name w:val="z-窗体顶端 Char2"/>
    <w:semiHidden/>
    <w:qFormat/>
    <w:uiPriority w:val="99"/>
    <w:rPr>
      <w:rFonts w:ascii="Arial" w:hAnsi="Arial" w:cs="Arial"/>
      <w:vanish/>
      <w:kern w:val="2"/>
      <w:sz w:val="16"/>
      <w:szCs w:val="16"/>
    </w:rPr>
  </w:style>
  <w:style w:type="paragraph" w:customStyle="1" w:styleId="562">
    <w:name w:val="热电厂正文"/>
    <w:basedOn w:val="1"/>
    <w:qFormat/>
    <w:uiPriority w:val="0"/>
    <w:pPr>
      <w:spacing w:line="440" w:lineRule="exact"/>
      <w:ind w:firstLine="480" w:firstLineChars="200"/>
    </w:pPr>
    <w:rPr>
      <w:sz w:val="24"/>
    </w:rPr>
  </w:style>
  <w:style w:type="paragraph" w:customStyle="1" w:styleId="563">
    <w:name w:val="CM104"/>
    <w:basedOn w:val="1"/>
    <w:next w:val="1"/>
    <w:qFormat/>
    <w:uiPriority w:val="0"/>
    <w:pPr>
      <w:autoSpaceDE w:val="0"/>
      <w:autoSpaceDN w:val="0"/>
      <w:adjustRightInd w:val="0"/>
      <w:spacing w:after="175"/>
      <w:jc w:val="left"/>
    </w:pPr>
    <w:rPr>
      <w:rFonts w:ascii="楷体_GB2312" w:hAnsi="Calibri" w:eastAsia="楷体_GB2312"/>
      <w:kern w:val="0"/>
      <w:sz w:val="24"/>
    </w:rPr>
  </w:style>
  <w:style w:type="paragraph" w:customStyle="1" w:styleId="564">
    <w:name w:val="my Char1"/>
    <w:qFormat/>
    <w:uiPriority w:val="0"/>
    <w:pPr>
      <w:widowControl w:val="0"/>
      <w:spacing w:before="60" w:line="46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565">
    <w:name w:val="正文31"/>
    <w:basedOn w:val="1"/>
    <w:semiHidden/>
    <w:qFormat/>
    <w:uiPriority w:val="0"/>
    <w:pPr>
      <w:keepNext/>
      <w:adjustRightInd w:val="0"/>
      <w:jc w:val="center"/>
      <w:textAlignment w:val="baseline"/>
    </w:pPr>
    <w:rPr>
      <w:kern w:val="0"/>
      <w:sz w:val="28"/>
      <w:szCs w:val="20"/>
    </w:rPr>
  </w:style>
  <w:style w:type="paragraph" w:customStyle="1" w:styleId="566">
    <w:name w:val="正文文本 211"/>
    <w:basedOn w:val="1"/>
    <w:qFormat/>
    <w:uiPriority w:val="0"/>
    <w:pPr>
      <w:adjustRightInd w:val="0"/>
      <w:spacing w:before="60" w:after="120" w:line="460" w:lineRule="exact"/>
      <w:ind w:left="420" w:firstLine="200" w:firstLineChars="200"/>
      <w:textAlignment w:val="baseline"/>
    </w:pPr>
    <w:rPr>
      <w:rFonts w:ascii="宋体"/>
      <w:sz w:val="24"/>
      <w:szCs w:val="20"/>
    </w:rPr>
  </w:style>
  <w:style w:type="paragraph" w:customStyle="1" w:styleId="567">
    <w:name w:val="Char Char Char Char Char Char Char1 Char Char Char Char Char Char Char"/>
    <w:basedOn w:val="1"/>
    <w:qFormat/>
    <w:uiPriority w:val="0"/>
    <w:pPr>
      <w:tabs>
        <w:tab w:val="left" w:pos="432"/>
      </w:tabs>
      <w:ind w:left="432" w:hanging="432"/>
    </w:pPr>
    <w:rPr>
      <w:rFonts w:ascii="Tahoma" w:hAnsi="Tahoma"/>
      <w:sz w:val="24"/>
      <w:szCs w:val="20"/>
    </w:rPr>
  </w:style>
  <w:style w:type="paragraph" w:customStyle="1" w:styleId="568">
    <w:name w:val="nw"/>
    <w:basedOn w:val="1"/>
    <w:qFormat/>
    <w:uiPriority w:val="0"/>
    <w:pPr>
      <w:widowControl/>
      <w:adjustRightInd w:val="0"/>
      <w:spacing w:before="100" w:after="100" w:line="460" w:lineRule="exact"/>
      <w:ind w:firstLine="200" w:firstLineChars="200"/>
      <w:jc w:val="left"/>
      <w:textAlignment w:val="baseline"/>
    </w:pPr>
    <w:rPr>
      <w:rFonts w:ascii="宋体"/>
      <w:color w:val="000000"/>
      <w:kern w:val="0"/>
      <w:szCs w:val="20"/>
    </w:rPr>
  </w:style>
  <w:style w:type="paragraph" w:customStyle="1" w:styleId="569">
    <w:name w:val="2级标题"/>
    <w:basedOn w:val="1"/>
    <w:qFormat/>
    <w:uiPriority w:val="0"/>
    <w:pPr>
      <w:spacing w:before="60" w:line="460" w:lineRule="exact"/>
      <w:outlineLvl w:val="1"/>
    </w:pPr>
    <w:rPr>
      <w:rFonts w:ascii="Calibri" w:hAnsi="Calibri"/>
      <w:b/>
      <w:sz w:val="28"/>
    </w:rPr>
  </w:style>
  <w:style w:type="paragraph" w:customStyle="1" w:styleId="570">
    <w:name w:val="样式 正文1 + 段前: 0.1 行"/>
    <w:basedOn w:val="1"/>
    <w:qFormat/>
    <w:uiPriority w:val="0"/>
    <w:pPr>
      <w:snapToGrid w:val="0"/>
      <w:spacing w:beforeLines="10" w:line="440" w:lineRule="atLeast"/>
      <w:ind w:firstLine="200" w:firstLineChars="200"/>
    </w:pPr>
    <w:rPr>
      <w:sz w:val="24"/>
      <w:szCs w:val="20"/>
    </w:rPr>
  </w:style>
  <w:style w:type="paragraph" w:customStyle="1" w:styleId="571">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72">
    <w:name w:val="样式 标题 1标题章标题 1 Char标题章 Char Char Char Char标题 1 Char Char章标题..."/>
    <w:basedOn w:val="4"/>
    <w:qFormat/>
    <w:uiPriority w:val="0"/>
    <w:pPr>
      <w:keepLines/>
      <w:pageBreakBefore/>
      <w:tabs>
        <w:tab w:val="left" w:pos="933"/>
      </w:tabs>
      <w:overflowPunct/>
      <w:snapToGrid/>
      <w:spacing w:before="240" w:after="240" w:line="360" w:lineRule="auto"/>
      <w:ind w:left="933" w:hanging="720"/>
      <w:jc w:val="center"/>
    </w:pPr>
    <w:rPr>
      <w:rFonts w:ascii="Arial" w:hAnsi="Arial" w:eastAsia="宋体" w:cs="宋体"/>
      <w:color w:val="auto"/>
      <w:kern w:val="32"/>
      <w:sz w:val="32"/>
      <w:szCs w:val="32"/>
      <w:lang w:val="zh-CN"/>
    </w:rPr>
  </w:style>
  <w:style w:type="paragraph" w:customStyle="1" w:styleId="57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574">
    <w:name w:val="2"/>
    <w:basedOn w:val="1"/>
    <w:next w:val="47"/>
    <w:uiPriority w:val="0"/>
    <w:rPr>
      <w:rFonts w:ascii="宋体" w:hAnsi="Courier New"/>
    </w:rPr>
  </w:style>
  <w:style w:type="paragraph" w:customStyle="1" w:styleId="575">
    <w:name w:val="Char Char Char Char Char Char Char Char Char Char11"/>
    <w:basedOn w:val="1"/>
    <w:uiPriority w:val="0"/>
    <w:pPr>
      <w:spacing w:line="360" w:lineRule="auto"/>
      <w:ind w:firstLine="200" w:firstLineChars="200"/>
    </w:pPr>
    <w:rPr>
      <w:rFonts w:ascii="宋体" w:hAnsi="宋体" w:cs="宋体"/>
      <w:sz w:val="24"/>
    </w:rPr>
  </w:style>
  <w:style w:type="paragraph" w:customStyle="1" w:styleId="576">
    <w:name w:val="xl24"/>
    <w:basedOn w:val="1"/>
    <w:qFormat/>
    <w:uiPriority w:val="0"/>
    <w:pPr>
      <w:widowControl/>
      <w:spacing w:before="100" w:beforeAutospacing="1" w:after="100" w:afterAutospacing="1"/>
      <w:jc w:val="left"/>
    </w:pPr>
    <w:rPr>
      <w:rFonts w:eastAsia="Arial Unicode MS"/>
      <w:i/>
      <w:iCs/>
      <w:kern w:val="0"/>
      <w:sz w:val="20"/>
      <w:szCs w:val="20"/>
    </w:rPr>
  </w:style>
  <w:style w:type="paragraph" w:customStyle="1" w:styleId="577">
    <w:name w:val="二级标题"/>
    <w:basedOn w:val="1"/>
    <w:qFormat/>
    <w:uiPriority w:val="0"/>
    <w:pPr>
      <w:spacing w:before="60" w:line="460" w:lineRule="exact"/>
      <w:outlineLvl w:val="1"/>
    </w:pPr>
    <w:rPr>
      <w:rFonts w:ascii="Calibri" w:hAnsi="Calibri"/>
      <w:b/>
      <w:sz w:val="28"/>
    </w:rPr>
  </w:style>
  <w:style w:type="paragraph" w:customStyle="1" w:styleId="578">
    <w:name w:val="正文 + 宋体"/>
    <w:basedOn w:val="550"/>
    <w:qFormat/>
    <w:uiPriority w:val="0"/>
    <w:rPr>
      <w:rFonts w:ascii="宋体" w:hAnsi="宋体"/>
      <w:spacing w:val="-4"/>
    </w:rPr>
  </w:style>
  <w:style w:type="paragraph" w:customStyle="1" w:styleId="579">
    <w:name w:val="Char Char1 Char Char Char Char Char Char Char Char Char Char Char Char Char Char Char Char Char Char Char Char1 Char11"/>
    <w:basedOn w:val="1"/>
    <w:qFormat/>
    <w:uiPriority w:val="0"/>
    <w:pPr>
      <w:spacing w:line="360" w:lineRule="auto"/>
      <w:ind w:firstLine="200" w:firstLineChars="200"/>
    </w:pPr>
    <w:rPr>
      <w:rFonts w:ascii="宋体" w:hAnsi="宋体" w:cs="宋体"/>
      <w:sz w:val="24"/>
    </w:rPr>
  </w:style>
  <w:style w:type="paragraph" w:customStyle="1" w:styleId="580">
    <w:name w:val="1"/>
    <w:basedOn w:val="1"/>
    <w:next w:val="37"/>
    <w:qFormat/>
    <w:uiPriority w:val="0"/>
    <w:pPr>
      <w:spacing w:line="360" w:lineRule="auto"/>
      <w:ind w:firstLine="480" w:firstLineChars="200"/>
    </w:pPr>
    <w:rPr>
      <w:rFonts w:ascii="仿宋_GB2312" w:eastAsia="仿宋_GB2312"/>
      <w:sz w:val="24"/>
    </w:rPr>
  </w:style>
  <w:style w:type="paragraph" w:customStyle="1" w:styleId="581">
    <w:name w:val="表格文字"/>
    <w:basedOn w:val="47"/>
    <w:link w:val="1181"/>
    <w:qFormat/>
    <w:uiPriority w:val="0"/>
    <w:pPr>
      <w:widowControl w:val="0"/>
      <w:spacing w:line="280" w:lineRule="exact"/>
      <w:ind w:firstLine="0" w:firstLineChars="0"/>
      <w:jc w:val="center"/>
    </w:pPr>
    <w:rPr>
      <w:rFonts w:ascii="仿宋_GB2312" w:hAnsi="宋体" w:eastAsia="仿宋_GB2312"/>
      <w:sz w:val="21"/>
      <w:szCs w:val="21"/>
    </w:rPr>
  </w:style>
  <w:style w:type="paragraph" w:customStyle="1" w:styleId="582">
    <w:name w:val="内容文字"/>
    <w:basedOn w:val="1"/>
    <w:qFormat/>
    <w:uiPriority w:val="0"/>
    <w:pPr>
      <w:spacing w:line="360" w:lineRule="auto"/>
      <w:ind w:firstLine="560" w:firstLineChars="200"/>
    </w:pPr>
    <w:rPr>
      <w:rFonts w:cs="宋体"/>
      <w:sz w:val="28"/>
      <w:szCs w:val="20"/>
    </w:rPr>
  </w:style>
  <w:style w:type="paragraph" w:customStyle="1" w:styleId="583">
    <w:name w:val="Char Char Char Char Char Char"/>
    <w:basedOn w:val="1"/>
    <w:next w:val="1"/>
    <w:uiPriority w:val="0"/>
  </w:style>
  <w:style w:type="paragraph" w:customStyle="1" w:styleId="584">
    <w:name w:val="TOC 标题1"/>
    <w:basedOn w:val="4"/>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lang w:val="zh-CN"/>
    </w:rPr>
  </w:style>
  <w:style w:type="paragraph" w:customStyle="1" w:styleId="585">
    <w:name w:val="Char Char Char Char Char Char Char Char Char Char Char Char Char Char"/>
    <w:basedOn w:val="1"/>
    <w:uiPriority w:val="0"/>
    <w:rPr>
      <w:sz w:val="24"/>
    </w:rPr>
  </w:style>
  <w:style w:type="paragraph" w:customStyle="1" w:styleId="586">
    <w:name w:val="标题A"/>
    <w:basedOn w:val="1"/>
    <w:qFormat/>
    <w:uiPriority w:val="0"/>
    <w:pPr>
      <w:spacing w:line="360" w:lineRule="auto"/>
      <w:outlineLvl w:val="0"/>
    </w:pPr>
    <w:rPr>
      <w:rFonts w:cs="宋体"/>
      <w:b/>
      <w:bCs/>
      <w:sz w:val="32"/>
      <w:szCs w:val="20"/>
    </w:rPr>
  </w:style>
  <w:style w:type="paragraph" w:customStyle="1" w:styleId="587">
    <w:name w:val="Char Char1 Char Char Char1 Char Char Char Char Char Char Char Char Char Char Char Char Char"/>
    <w:basedOn w:val="1"/>
    <w:qFormat/>
    <w:uiPriority w:val="0"/>
    <w:pPr>
      <w:spacing w:beforeLines="20" w:line="440" w:lineRule="atLeast"/>
      <w:ind w:firstLine="200" w:firstLineChars="200"/>
    </w:pPr>
    <w:rPr>
      <w:sz w:val="24"/>
    </w:rPr>
  </w:style>
  <w:style w:type="paragraph" w:customStyle="1" w:styleId="588">
    <w:name w:val="标题 22"/>
    <w:basedOn w:val="4"/>
    <w:qFormat/>
    <w:uiPriority w:val="0"/>
    <w:pPr>
      <w:keepNext w:val="0"/>
      <w:pageBreakBefore/>
      <w:overflowPunct/>
      <w:snapToGrid/>
      <w:spacing w:before="0" w:beforeLines="50" w:after="0" w:afterLines="50" w:line="240" w:lineRule="auto"/>
      <w:ind w:left="117" w:firstLine="0"/>
    </w:pPr>
    <w:rPr>
      <w:rFonts w:ascii="宋体" w:hAnsi="宋体"/>
      <w:b w:val="0"/>
      <w:bCs w:val="0"/>
      <w:color w:val="auto"/>
      <w:kern w:val="2"/>
      <w:sz w:val="24"/>
      <w:szCs w:val="32"/>
      <w:lang w:val="zh-CN"/>
    </w:rPr>
  </w:style>
  <w:style w:type="paragraph" w:customStyle="1" w:styleId="589">
    <w:name w:val="表文字"/>
    <w:basedOn w:val="1"/>
    <w:link w:val="1210"/>
    <w:uiPriority w:val="0"/>
    <w:pPr>
      <w:topLinePunct/>
      <w:adjustRightInd w:val="0"/>
      <w:spacing w:line="240" w:lineRule="exact"/>
      <w:jc w:val="center"/>
      <w:textAlignment w:val="baseline"/>
    </w:pPr>
    <w:rPr>
      <w:szCs w:val="21"/>
    </w:rPr>
  </w:style>
  <w:style w:type="paragraph" w:customStyle="1" w:styleId="590">
    <w:name w:val="一级标题"/>
    <w:basedOn w:val="1"/>
    <w:qFormat/>
    <w:uiPriority w:val="0"/>
    <w:pPr>
      <w:adjustRightInd w:val="0"/>
      <w:snapToGrid w:val="0"/>
      <w:jc w:val="center"/>
      <w:outlineLvl w:val="0"/>
    </w:pPr>
    <w:rPr>
      <w:rFonts w:ascii="Calibri" w:hAnsi="Calibri" w:eastAsia="方正小标宋简体"/>
      <w:bCs/>
      <w:snapToGrid w:val="0"/>
      <w:kern w:val="0"/>
      <w:sz w:val="36"/>
    </w:rPr>
  </w:style>
  <w:style w:type="paragraph" w:customStyle="1" w:styleId="591">
    <w:name w:val="样式4"/>
    <w:basedOn w:val="22"/>
    <w:qFormat/>
    <w:uiPriority w:val="0"/>
    <w:pPr>
      <w:widowControl w:val="0"/>
      <w:ind w:firstLine="480"/>
    </w:pPr>
    <w:rPr>
      <w:rFonts w:ascii="Arial" w:hAnsi="Arial" w:cs="Arial"/>
      <w:szCs w:val="24"/>
      <w:lang w:val="zh-CN"/>
    </w:rPr>
  </w:style>
  <w:style w:type="paragraph" w:customStyle="1" w:styleId="592">
    <w:name w:val="Char Char Char Char Char Char Char Char"/>
    <w:basedOn w:val="1"/>
    <w:qFormat/>
    <w:uiPriority w:val="0"/>
    <w:pPr>
      <w:spacing w:line="360" w:lineRule="auto"/>
      <w:ind w:firstLine="200" w:firstLineChars="200"/>
    </w:pPr>
    <w:rPr>
      <w:rFonts w:ascii="宋体" w:hAnsi="宋体" w:cs="宋体"/>
      <w:sz w:val="24"/>
    </w:rPr>
  </w:style>
  <w:style w:type="paragraph" w:customStyle="1" w:styleId="593">
    <w:name w:val="小四表格"/>
    <w:basedOn w:val="1"/>
    <w:qFormat/>
    <w:uiPriority w:val="99"/>
    <w:pPr>
      <w:snapToGrid w:val="0"/>
      <w:jc w:val="center"/>
    </w:pPr>
    <w:rPr>
      <w:kern w:val="0"/>
      <w:sz w:val="24"/>
      <w:szCs w:val="20"/>
    </w:rPr>
  </w:style>
  <w:style w:type="paragraph" w:customStyle="1" w:styleId="594">
    <w:name w:val="法规列表"/>
    <w:basedOn w:val="1"/>
    <w:semiHidden/>
    <w:qFormat/>
    <w:uiPriority w:val="0"/>
    <w:pPr>
      <w:tabs>
        <w:tab w:val="left" w:pos="420"/>
      </w:tabs>
      <w:spacing w:beforeLines="50"/>
      <w:ind w:left="420" w:hanging="420"/>
    </w:pPr>
    <w:rPr>
      <w:rFonts w:eastAsia="仿宋_GB2312"/>
      <w:sz w:val="24"/>
    </w:rPr>
  </w:style>
  <w:style w:type="paragraph" w:customStyle="1" w:styleId="595">
    <w:name w:val="my"/>
    <w:qFormat/>
    <w:uiPriority w:val="99"/>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paragraph" w:customStyle="1" w:styleId="596">
    <w:name w:val="正文一"/>
    <w:basedOn w:val="1"/>
    <w:uiPriority w:val="0"/>
    <w:pPr>
      <w:spacing w:before="60" w:line="440" w:lineRule="atLeast"/>
      <w:ind w:firstLine="200" w:firstLineChars="200"/>
    </w:pPr>
    <w:rPr>
      <w:sz w:val="24"/>
    </w:rPr>
  </w:style>
  <w:style w:type="paragraph" w:customStyle="1" w:styleId="597">
    <w:name w:val="Char Char Char2 Char Char Char Char Char Char Char Char Char Char Char"/>
    <w:basedOn w:val="1"/>
    <w:uiPriority w:val="0"/>
    <w:pPr>
      <w:spacing w:beforeLines="20" w:line="440" w:lineRule="atLeast"/>
      <w:ind w:firstLine="200" w:firstLineChars="200"/>
    </w:pPr>
    <w:rPr>
      <w:sz w:val="24"/>
    </w:rPr>
  </w:style>
  <w:style w:type="paragraph" w:customStyle="1" w:styleId="598">
    <w:name w:val="生态表格正文"/>
    <w:basedOn w:val="1"/>
    <w:qFormat/>
    <w:uiPriority w:val="99"/>
    <w:pPr>
      <w:widowControl/>
      <w:spacing w:line="400" w:lineRule="exact"/>
      <w:ind w:firstLine="200" w:firstLineChars="200"/>
      <w:jc w:val="center"/>
    </w:pPr>
    <w:rPr>
      <w:rFonts w:ascii="Calibri" w:hAnsi="Calibri" w:eastAsia="仿宋_GB2312"/>
      <w:kern w:val="0"/>
      <w:sz w:val="24"/>
      <w:szCs w:val="21"/>
    </w:rPr>
  </w:style>
  <w:style w:type="paragraph" w:customStyle="1" w:styleId="599">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line="460" w:lineRule="exact"/>
      <w:ind w:firstLine="482"/>
      <w:jc w:val="center"/>
    </w:pPr>
    <w:rPr>
      <w:rFonts w:ascii="Courier New" w:hAnsi="Courier New" w:eastAsia="宋体" w:cs="Times New Roman"/>
      <w:kern w:val="2"/>
      <w:sz w:val="24"/>
      <w:lang w:val="en-US" w:eastAsia="zh-CN" w:bidi="ar-SA"/>
    </w:rPr>
  </w:style>
  <w:style w:type="paragraph" w:customStyle="1" w:styleId="600">
    <w:name w:val="表格内部的标题"/>
    <w:basedOn w:val="1"/>
    <w:uiPriority w:val="0"/>
    <w:pPr>
      <w:keepNext/>
      <w:keepLines/>
      <w:jc w:val="center"/>
    </w:pPr>
    <w:rPr>
      <w:rFonts w:ascii="黑体" w:eastAsia="黑体" w:cs="黑体"/>
      <w:sz w:val="20"/>
      <w:szCs w:val="20"/>
    </w:rPr>
  </w:style>
  <w:style w:type="paragraph" w:customStyle="1" w:styleId="601">
    <w:name w:val="标题001"/>
    <w:basedOn w:val="1"/>
    <w:qFormat/>
    <w:uiPriority w:val="0"/>
    <w:pPr>
      <w:spacing w:before="60" w:line="460" w:lineRule="exact"/>
      <w:outlineLvl w:val="0"/>
    </w:pPr>
    <w:rPr>
      <w:rFonts w:ascii="Calibri" w:hAnsi="Calibri"/>
      <w:b/>
      <w:sz w:val="32"/>
      <w:szCs w:val="20"/>
    </w:rPr>
  </w:style>
  <w:style w:type="paragraph" w:customStyle="1" w:styleId="602">
    <w:name w:val="标题3 Char"/>
    <w:basedOn w:val="1"/>
    <w:next w:val="550"/>
    <w:qFormat/>
    <w:uiPriority w:val="0"/>
    <w:pPr>
      <w:snapToGrid w:val="0"/>
      <w:spacing w:before="60" w:line="500" w:lineRule="atLeast"/>
      <w:ind w:firstLine="200" w:firstLineChars="200"/>
      <w:outlineLvl w:val="2"/>
    </w:pPr>
    <w:rPr>
      <w:b/>
      <w:bCs/>
      <w:sz w:val="24"/>
      <w:szCs w:val="20"/>
    </w:rPr>
  </w:style>
  <w:style w:type="paragraph" w:customStyle="1" w:styleId="603">
    <w:name w:val="影响评价正文"/>
    <w:basedOn w:val="1"/>
    <w:qFormat/>
    <w:uiPriority w:val="0"/>
    <w:pPr>
      <w:spacing w:line="400" w:lineRule="exact"/>
      <w:ind w:firstLine="567"/>
    </w:pPr>
    <w:rPr>
      <w:snapToGrid w:val="0"/>
      <w:spacing w:val="4"/>
      <w:kern w:val="0"/>
      <w:sz w:val="24"/>
      <w:szCs w:val="20"/>
    </w:rPr>
  </w:style>
  <w:style w:type="paragraph" w:customStyle="1" w:styleId="604">
    <w:name w:val="样式 3级标题 + 段前: 3 磅"/>
    <w:basedOn w:val="365"/>
    <w:qFormat/>
    <w:uiPriority w:val="99"/>
    <w:pPr>
      <w:outlineLvl w:val="2"/>
    </w:pPr>
    <w:rPr>
      <w:rFonts w:cs="宋体"/>
      <w:bCs/>
      <w:szCs w:val="20"/>
    </w:rPr>
  </w:style>
  <w:style w:type="paragraph" w:customStyle="1" w:styleId="605">
    <w:name w:val="正文小四首缩1.3行距"/>
    <w:basedOn w:val="1"/>
    <w:qFormat/>
    <w:uiPriority w:val="0"/>
    <w:pPr>
      <w:spacing w:line="312" w:lineRule="auto"/>
      <w:ind w:firstLine="420" w:firstLineChars="200"/>
    </w:pPr>
    <w:rPr>
      <w:rFonts w:ascii="Calibri" w:hAnsi="Calibri"/>
      <w:sz w:val="24"/>
    </w:rPr>
  </w:style>
  <w:style w:type="paragraph" w:customStyle="1" w:styleId="606">
    <w:name w:val="Char Char Char2 Char Char Char Char"/>
    <w:basedOn w:val="1"/>
    <w:qFormat/>
    <w:uiPriority w:val="0"/>
    <w:pPr>
      <w:spacing w:before="20" w:beforeLines="20" w:line="440" w:lineRule="atLeast"/>
      <w:ind w:firstLine="200" w:firstLineChars="200"/>
    </w:pPr>
    <w:rPr>
      <w:sz w:val="24"/>
    </w:rPr>
  </w:style>
  <w:style w:type="paragraph" w:customStyle="1" w:styleId="607">
    <w:name w:val="表格字体"/>
    <w:basedOn w:val="1"/>
    <w:qFormat/>
    <w:uiPriority w:val="0"/>
    <w:pPr>
      <w:jc w:val="center"/>
    </w:pPr>
    <w:rPr>
      <w:rFonts w:ascii="Calibri" w:hAnsi="Calibri" w:cs="宋体"/>
      <w:szCs w:val="20"/>
    </w:rPr>
  </w:style>
  <w:style w:type="paragraph" w:customStyle="1" w:styleId="608">
    <w:name w:val="简单回函地址"/>
    <w:basedOn w:val="1"/>
    <w:uiPriority w:val="0"/>
    <w:pPr>
      <w:spacing w:before="60" w:line="460" w:lineRule="exact"/>
      <w:ind w:firstLine="200" w:firstLineChars="200"/>
    </w:pPr>
    <w:rPr>
      <w:szCs w:val="20"/>
    </w:rPr>
  </w:style>
  <w:style w:type="paragraph" w:customStyle="1" w:styleId="609">
    <w:name w:val="文字缩进"/>
    <w:basedOn w:val="22"/>
    <w:qFormat/>
    <w:uiPriority w:val="0"/>
    <w:pPr>
      <w:widowControl w:val="0"/>
      <w:tabs>
        <w:tab w:val="left" w:pos="840"/>
        <w:tab w:val="left" w:pos="4802"/>
      </w:tabs>
      <w:topLinePunct/>
      <w:adjustRightInd w:val="0"/>
      <w:snapToGrid w:val="0"/>
      <w:spacing w:line="240" w:lineRule="auto"/>
      <w:ind w:left="1134"/>
    </w:pPr>
    <w:rPr>
      <w:rFonts w:eastAsia="仿宋_GB2312"/>
      <w:szCs w:val="24"/>
      <w:lang w:val="es-ES"/>
    </w:rPr>
  </w:style>
  <w:style w:type="paragraph" w:customStyle="1" w:styleId="610">
    <w:name w:val="表标题"/>
    <w:next w:val="1"/>
    <w:qFormat/>
    <w:uiPriority w:val="0"/>
    <w:pPr>
      <w:widowControl w:val="0"/>
      <w:adjustRightInd w:val="0"/>
      <w:spacing w:before="60" w:line="480" w:lineRule="atLeast"/>
      <w:jc w:val="center"/>
    </w:pPr>
    <w:rPr>
      <w:rFonts w:ascii="黑体" w:hAnsi="Times New Roman" w:eastAsia="黑体" w:cs="Times New Roman"/>
      <w:sz w:val="24"/>
      <w:szCs w:val="22"/>
      <w:lang w:val="en-US" w:eastAsia="zh-CN" w:bidi="ar-SA"/>
    </w:rPr>
  </w:style>
  <w:style w:type="paragraph" w:customStyle="1" w:styleId="611">
    <w:name w:val="p0"/>
    <w:basedOn w:val="1"/>
    <w:qFormat/>
    <w:uiPriority w:val="0"/>
    <w:pPr>
      <w:widowControl/>
      <w:jc w:val="left"/>
    </w:pPr>
    <w:rPr>
      <w:kern w:val="0"/>
      <w:szCs w:val="21"/>
    </w:rPr>
  </w:style>
  <w:style w:type="paragraph" w:customStyle="1" w:styleId="612">
    <w:name w:val="图形标题"/>
    <w:basedOn w:val="22"/>
    <w:next w:val="1"/>
    <w:uiPriority w:val="0"/>
    <w:pPr>
      <w:widowControl w:val="0"/>
      <w:topLinePunct/>
      <w:snapToGrid w:val="0"/>
      <w:spacing w:before="120" w:after="120" w:line="240" w:lineRule="auto"/>
      <w:ind w:firstLine="0"/>
      <w:jc w:val="center"/>
    </w:pPr>
    <w:rPr>
      <w:rFonts w:ascii="Times" w:hAnsi="Times"/>
      <w:b/>
      <w:sz w:val="21"/>
      <w:szCs w:val="24"/>
      <w:lang w:val="zh-CN"/>
    </w:rPr>
  </w:style>
  <w:style w:type="paragraph" w:customStyle="1" w:styleId="613">
    <w:name w:val="xl31"/>
    <w:basedOn w:val="1"/>
    <w:qFormat/>
    <w:uiPriority w:val="0"/>
    <w:pPr>
      <w:widowControl/>
      <w:pBdr>
        <w:right w:val="single" w:color="auto" w:sz="4" w:space="0"/>
      </w:pBdr>
      <w:spacing w:before="100" w:beforeAutospacing="1" w:after="100" w:afterAutospacing="1" w:line="460" w:lineRule="exact"/>
      <w:jc w:val="center"/>
    </w:pPr>
    <w:rPr>
      <w:rFonts w:ascii="Arial Unicode MS" w:eastAsia="Arial Unicode MS" w:cs="Arial Unicode MS"/>
      <w:color w:val="000000"/>
      <w:kern w:val="0"/>
      <w:sz w:val="24"/>
    </w:rPr>
  </w:style>
  <w:style w:type="paragraph" w:customStyle="1" w:styleId="614">
    <w:name w:val="正文my"/>
    <w:basedOn w:val="37"/>
    <w:qFormat/>
    <w:uiPriority w:val="0"/>
    <w:pPr>
      <w:spacing w:before="60" w:after="0" w:line="480" w:lineRule="exact"/>
      <w:ind w:left="0" w:leftChars="0" w:firstLine="200" w:firstLineChars="200"/>
    </w:pPr>
    <w:rPr>
      <w:rFonts w:ascii="Calibri" w:hAnsi="Calibri"/>
      <w:kern w:val="2"/>
      <w:szCs w:val="24"/>
    </w:rPr>
  </w:style>
  <w:style w:type="paragraph" w:customStyle="1" w:styleId="615">
    <w:name w:val="reader-word-layer reader-word-s1-17"/>
    <w:basedOn w:val="1"/>
    <w:uiPriority w:val="0"/>
    <w:pPr>
      <w:widowControl/>
      <w:spacing w:before="100" w:beforeAutospacing="1" w:after="100" w:afterAutospacing="1"/>
      <w:jc w:val="left"/>
    </w:pPr>
    <w:rPr>
      <w:rFonts w:ascii="宋体" w:hAnsi="宋体" w:cs="宋体"/>
      <w:kern w:val="0"/>
      <w:sz w:val="24"/>
    </w:rPr>
  </w:style>
  <w:style w:type="paragraph" w:customStyle="1" w:styleId="616">
    <w:name w:val="Char1 Char Char Char"/>
    <w:basedOn w:val="1"/>
    <w:qFormat/>
    <w:uiPriority w:val="0"/>
    <w:rPr>
      <w:sz w:val="24"/>
    </w:rPr>
  </w:style>
  <w:style w:type="paragraph" w:customStyle="1" w:styleId="617">
    <w:name w:val="Char"/>
    <w:basedOn w:val="1"/>
    <w:next w:val="1"/>
    <w:qFormat/>
    <w:uiPriority w:val="0"/>
    <w:rPr>
      <w:rFonts w:ascii="Calibri" w:hAnsi="Calibri"/>
    </w:rPr>
  </w:style>
  <w:style w:type="paragraph" w:customStyle="1" w:styleId="618">
    <w:name w:val="注释"/>
    <w:basedOn w:val="240"/>
    <w:qFormat/>
    <w:uiPriority w:val="0"/>
    <w:pPr>
      <w:widowControl w:val="0"/>
      <w:spacing w:line="360" w:lineRule="exact"/>
      <w:ind w:firstLine="200" w:firstLineChars="200"/>
      <w:outlineLvl w:val="9"/>
    </w:pPr>
    <w:rPr>
      <w:b w:val="0"/>
      <w:color w:val="auto"/>
      <w:sz w:val="21"/>
      <w:szCs w:val="24"/>
    </w:rPr>
  </w:style>
  <w:style w:type="paragraph" w:customStyle="1" w:styleId="619">
    <w:name w:val="标题B"/>
    <w:basedOn w:val="1"/>
    <w:qFormat/>
    <w:uiPriority w:val="0"/>
    <w:pPr>
      <w:spacing w:line="360" w:lineRule="auto"/>
      <w:outlineLvl w:val="1"/>
    </w:pPr>
    <w:rPr>
      <w:rFonts w:cs="宋体"/>
      <w:b/>
      <w:bCs/>
      <w:sz w:val="28"/>
      <w:szCs w:val="20"/>
    </w:rPr>
  </w:style>
  <w:style w:type="paragraph" w:customStyle="1" w:styleId="620">
    <w:name w:val="表格内文字"/>
    <w:basedOn w:val="1"/>
    <w:qFormat/>
    <w:uiPriority w:val="0"/>
    <w:pPr>
      <w:spacing w:before="100" w:after="100" w:line="320" w:lineRule="exact"/>
      <w:ind w:firstLine="200" w:firstLineChars="200"/>
      <w:jc w:val="center"/>
    </w:pPr>
    <w:rPr>
      <w:spacing w:val="10"/>
      <w:sz w:val="24"/>
      <w:szCs w:val="20"/>
    </w:rPr>
  </w:style>
  <w:style w:type="paragraph" w:customStyle="1" w:styleId="621">
    <w:name w:val="章"/>
    <w:basedOn w:val="1"/>
    <w:qFormat/>
    <w:uiPriority w:val="0"/>
    <w:pPr>
      <w:spacing w:before="60" w:line="360" w:lineRule="auto"/>
      <w:ind w:firstLine="200" w:firstLineChars="200"/>
    </w:pPr>
    <w:rPr>
      <w:szCs w:val="20"/>
    </w:rPr>
  </w:style>
  <w:style w:type="paragraph" w:customStyle="1" w:styleId="622">
    <w:name w:val="表号"/>
    <w:basedOn w:val="623"/>
    <w:next w:val="623"/>
    <w:link w:val="1198"/>
    <w:qFormat/>
    <w:uiPriority w:val="0"/>
    <w:pPr>
      <w:tabs>
        <w:tab w:val="left" w:pos="4500"/>
      </w:tabs>
      <w:spacing w:before="120" w:after="120" w:line="240" w:lineRule="atLeast"/>
      <w:ind w:left="3549" w:firstLine="231"/>
    </w:pPr>
    <w:rPr>
      <w:rFonts w:ascii="黑体" w:eastAsia="黑体"/>
      <w:b/>
      <w:color w:val="auto"/>
      <w:sz w:val="28"/>
    </w:rPr>
  </w:style>
  <w:style w:type="paragraph" w:customStyle="1" w:styleId="623">
    <w:name w:val="表内字"/>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624">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625">
    <w:name w:val="表格后文"/>
    <w:basedOn w:val="157"/>
    <w:uiPriority w:val="0"/>
    <w:pPr>
      <w:widowControl w:val="0"/>
      <w:spacing w:before="300" w:after="10" w:afterLines="10" w:line="460" w:lineRule="exact"/>
      <w:jc w:val="both"/>
    </w:pPr>
    <w:rPr>
      <w:snapToGrid w:val="0"/>
      <w:kern w:val="0"/>
      <w:sz w:val="24"/>
      <w:lang w:val="zh-CN"/>
    </w:rPr>
  </w:style>
  <w:style w:type="paragraph" w:customStyle="1" w:styleId="626">
    <w:name w:val="五号框图文字"/>
    <w:basedOn w:val="1"/>
    <w:qFormat/>
    <w:uiPriority w:val="0"/>
    <w:pPr>
      <w:tabs>
        <w:tab w:val="left" w:pos="567"/>
      </w:tabs>
      <w:jc w:val="center"/>
    </w:pPr>
    <w:rPr>
      <w:rFonts w:eastAsia="华文中宋"/>
      <w:szCs w:val="21"/>
    </w:rPr>
  </w:style>
  <w:style w:type="paragraph" w:customStyle="1" w:styleId="627">
    <w:name w:val="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628">
    <w:name w:val="样式 正文1 + 段前: 0.1 行 Char"/>
    <w:basedOn w:val="1"/>
    <w:qFormat/>
    <w:uiPriority w:val="99"/>
    <w:pPr>
      <w:snapToGrid w:val="0"/>
      <w:spacing w:beforeLines="10" w:line="440" w:lineRule="atLeast"/>
      <w:ind w:firstLine="200" w:firstLineChars="200"/>
    </w:pPr>
    <w:rPr>
      <w:sz w:val="24"/>
      <w:szCs w:val="20"/>
    </w:rPr>
  </w:style>
  <w:style w:type="paragraph" w:customStyle="1" w:styleId="629">
    <w:name w:val="Char Char Char2 Char Char Char Char Char Char Char Char Char Char Char1"/>
    <w:basedOn w:val="1"/>
    <w:uiPriority w:val="0"/>
    <w:pPr>
      <w:spacing w:before="20" w:beforeLines="20" w:line="440" w:lineRule="atLeast"/>
      <w:ind w:firstLine="200" w:firstLineChars="200"/>
    </w:pPr>
    <w:rPr>
      <w:sz w:val="24"/>
    </w:rPr>
  </w:style>
  <w:style w:type="paragraph" w:customStyle="1" w:styleId="630">
    <w:name w:val="SEK level 2"/>
    <w:basedOn w:val="631"/>
    <w:semiHidden/>
    <w:qFormat/>
    <w:uiPriority w:val="0"/>
    <w:pPr>
      <w:numPr>
        <w:ilvl w:val="0"/>
        <w:numId w:val="11"/>
      </w:numPr>
      <w:tabs>
        <w:tab w:val="left" w:pos="567"/>
        <w:tab w:val="left" w:pos="1080"/>
        <w:tab w:val="clear" w:pos="1440"/>
      </w:tabs>
      <w:ind w:left="567" w:hanging="567"/>
      <w:outlineLvl w:val="1"/>
    </w:pPr>
    <w:rPr>
      <w:caps w:val="0"/>
    </w:rPr>
  </w:style>
  <w:style w:type="paragraph" w:customStyle="1" w:styleId="631">
    <w:name w:val="SEK level 1"/>
    <w:basedOn w:val="1"/>
    <w:next w:val="632"/>
    <w:semiHidden/>
    <w:uiPriority w:val="0"/>
    <w:pPr>
      <w:keepNext/>
      <w:widowControl/>
      <w:tabs>
        <w:tab w:val="left" w:pos="1080"/>
      </w:tabs>
      <w:spacing w:before="380" w:line="360" w:lineRule="auto"/>
      <w:ind w:left="1080" w:hanging="1080" w:firstLineChars="200"/>
      <w:jc w:val="left"/>
      <w:outlineLvl w:val="0"/>
    </w:pPr>
    <w:rPr>
      <w:rFonts w:ascii="Arial" w:hAnsi="Arial" w:eastAsia="PMingLiU"/>
      <w:b/>
      <w:caps/>
      <w:kern w:val="0"/>
      <w:sz w:val="24"/>
      <w:szCs w:val="20"/>
      <w:lang w:val="en-GB" w:eastAsia="zh-TW"/>
    </w:rPr>
  </w:style>
  <w:style w:type="paragraph" w:customStyle="1" w:styleId="632">
    <w:name w:val="Report Text"/>
    <w:basedOn w:val="1"/>
    <w:semiHidden/>
    <w:qFormat/>
    <w:uiPriority w:val="0"/>
    <w:pPr>
      <w:widowControl/>
      <w:tabs>
        <w:tab w:val="left" w:pos="1134"/>
      </w:tabs>
      <w:spacing w:before="138" w:line="360" w:lineRule="auto"/>
      <w:ind w:left="1134" w:firstLine="200" w:firstLineChars="200"/>
      <w:jc w:val="left"/>
    </w:pPr>
    <w:rPr>
      <w:rFonts w:eastAsia="PMingLiU"/>
      <w:kern w:val="0"/>
      <w:sz w:val="22"/>
      <w:szCs w:val="20"/>
      <w:lang w:val="en-GB" w:eastAsia="zh-TW"/>
    </w:rPr>
  </w:style>
  <w:style w:type="paragraph" w:customStyle="1" w:styleId="633">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textAlignment w:val="top"/>
    </w:pPr>
    <w:rPr>
      <w:rFonts w:ascii="Arial Unicode MS" w:eastAsia="Arial Unicode MS" w:cs="Arial Unicode MS"/>
      <w:color w:val="FF0000"/>
      <w:kern w:val="0"/>
      <w:szCs w:val="21"/>
    </w:rPr>
  </w:style>
  <w:style w:type="paragraph" w:customStyle="1" w:styleId="634">
    <w:name w:val="Char Char Char Char Char Char Char1"/>
    <w:basedOn w:val="1"/>
    <w:uiPriority w:val="0"/>
  </w:style>
  <w:style w:type="paragraph" w:customStyle="1" w:styleId="63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460" w:lineRule="exact"/>
      <w:jc w:val="center"/>
      <w:textAlignment w:val="top"/>
    </w:pPr>
    <w:rPr>
      <w:rFonts w:ascii="Arial" w:hAnsi="Arial" w:cs="Arial"/>
      <w:kern w:val="0"/>
      <w:sz w:val="18"/>
      <w:szCs w:val="18"/>
    </w:rPr>
  </w:style>
  <w:style w:type="paragraph" w:customStyle="1" w:styleId="636">
    <w:name w:val="正文01 Char Char Char Char"/>
    <w:basedOn w:val="1"/>
    <w:qFormat/>
    <w:uiPriority w:val="0"/>
    <w:pPr>
      <w:spacing w:before="60" w:line="460" w:lineRule="exact"/>
      <w:ind w:firstLine="200" w:firstLineChars="200"/>
    </w:pPr>
    <w:rPr>
      <w:sz w:val="24"/>
    </w:rPr>
  </w:style>
  <w:style w:type="paragraph" w:customStyle="1" w:styleId="637">
    <w:name w:val="ljx正文1"/>
    <w:basedOn w:val="37"/>
    <w:qFormat/>
    <w:uiPriority w:val="0"/>
    <w:pPr>
      <w:spacing w:after="0"/>
      <w:ind w:left="0" w:leftChars="0"/>
    </w:pPr>
    <w:rPr>
      <w:kern w:val="2"/>
      <w:sz w:val="28"/>
    </w:rPr>
  </w:style>
  <w:style w:type="paragraph" w:customStyle="1" w:styleId="638">
    <w:name w:val="Char Char Char Char Char Char Char Char Char Char Char Char Char1 Char Char Char Char Char Char Char Char Char"/>
    <w:basedOn w:val="1"/>
    <w:uiPriority w:val="0"/>
    <w:pPr>
      <w:spacing w:line="360" w:lineRule="auto"/>
      <w:ind w:firstLine="200" w:firstLineChars="200"/>
    </w:pPr>
    <w:rPr>
      <w:rFonts w:ascii="宋体" w:hAnsi="宋体" w:cs="宋体"/>
      <w:sz w:val="24"/>
    </w:rPr>
  </w:style>
  <w:style w:type="paragraph" w:customStyle="1" w:styleId="639">
    <w:name w:val="二级条标题"/>
    <w:basedOn w:val="640"/>
    <w:next w:val="1"/>
    <w:qFormat/>
    <w:uiPriority w:val="0"/>
    <w:pPr>
      <w:tabs>
        <w:tab w:val="left" w:pos="360"/>
        <w:tab w:val="left" w:pos="1260"/>
        <w:tab w:val="left" w:pos="1680"/>
      </w:tabs>
      <w:ind w:left="1680"/>
      <w:outlineLvl w:val="3"/>
    </w:pPr>
  </w:style>
  <w:style w:type="paragraph" w:customStyle="1" w:styleId="640">
    <w:name w:val="一级条标题"/>
    <w:basedOn w:val="4"/>
    <w:next w:val="1"/>
    <w:qFormat/>
    <w:uiPriority w:val="0"/>
    <w:pPr>
      <w:keepNext w:val="0"/>
      <w:widowControl/>
      <w:tabs>
        <w:tab w:val="left" w:pos="360"/>
        <w:tab w:val="left" w:pos="1260"/>
      </w:tabs>
      <w:overflowPunct/>
      <w:snapToGrid/>
      <w:spacing w:before="0" w:after="0" w:line="460" w:lineRule="exact"/>
      <w:ind w:left="1260" w:hanging="420"/>
      <w:outlineLvl w:val="2"/>
    </w:pPr>
    <w:rPr>
      <w:rFonts w:ascii="黑体"/>
      <w:b w:val="0"/>
      <w:bCs w:val="0"/>
      <w:color w:val="auto"/>
      <w:kern w:val="0"/>
      <w:sz w:val="21"/>
      <w:szCs w:val="20"/>
      <w:lang w:val="zh-CN"/>
    </w:rPr>
  </w:style>
  <w:style w:type="paragraph" w:customStyle="1" w:styleId="641">
    <w:name w:val="样式 正文缩进 + 首行缩进:  2 字符 行距: 1.5 倍行距"/>
    <w:basedOn w:val="22"/>
    <w:qFormat/>
    <w:uiPriority w:val="0"/>
    <w:pPr>
      <w:widowControl w:val="0"/>
      <w:adjustRightInd w:val="0"/>
      <w:spacing w:line="300" w:lineRule="auto"/>
      <w:ind w:firstLine="200"/>
      <w:textAlignment w:val="baseline"/>
    </w:pPr>
    <w:rPr>
      <w:rFonts w:cs="宋体"/>
      <w:lang w:val="zh-CN"/>
    </w:rPr>
  </w:style>
  <w:style w:type="paragraph" w:customStyle="1" w:styleId="642">
    <w:name w:val="标题5"/>
    <w:next w:val="22"/>
    <w:uiPriority w:val="0"/>
    <w:pPr>
      <w:spacing w:line="360" w:lineRule="auto"/>
    </w:pPr>
    <w:rPr>
      <w:rFonts w:ascii="宋体" w:hAnsi="宋体" w:eastAsia="宋体" w:cs="Times New Roman"/>
      <w:b/>
      <w:bCs/>
      <w:kern w:val="2"/>
      <w:sz w:val="24"/>
      <w:szCs w:val="24"/>
      <w:lang w:val="en-US" w:eastAsia="zh-CN" w:bidi="ar-SA"/>
    </w:rPr>
  </w:style>
  <w:style w:type="paragraph" w:customStyle="1" w:styleId="643">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644">
    <w:name w:val="Char Char Char Char Char Char Char Char Char Char Char Char Char1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645">
    <w:name w:val="Char Char Char Char Char Char Char Char Char Char Char"/>
    <w:basedOn w:val="1"/>
    <w:qFormat/>
    <w:uiPriority w:val="0"/>
    <w:rPr>
      <w:sz w:val="24"/>
    </w:rPr>
  </w:style>
  <w:style w:type="paragraph" w:customStyle="1" w:styleId="646">
    <w:name w:val="reader-word-layer reader-word-s1-14"/>
    <w:basedOn w:val="1"/>
    <w:uiPriority w:val="0"/>
    <w:pPr>
      <w:widowControl/>
      <w:spacing w:before="100" w:beforeAutospacing="1" w:after="100" w:afterAutospacing="1"/>
      <w:jc w:val="left"/>
    </w:pPr>
    <w:rPr>
      <w:rFonts w:ascii="宋体" w:hAnsi="宋体" w:cs="宋体"/>
      <w:kern w:val="0"/>
      <w:sz w:val="24"/>
    </w:rPr>
  </w:style>
  <w:style w:type="paragraph" w:customStyle="1" w:styleId="647">
    <w:name w:val="样式 标题 3标题 3 Char Char + 黑体 四号 非加粗"/>
    <w:basedOn w:val="6"/>
    <w:qFormat/>
    <w:uiPriority w:val="0"/>
    <w:pPr>
      <w:keepLines/>
      <w:widowControl w:val="0"/>
      <w:tabs>
        <w:tab w:val="left" w:pos="3780"/>
      </w:tabs>
      <w:overflowPunct/>
      <w:autoSpaceDE/>
      <w:autoSpaceDN/>
      <w:adjustRightInd/>
      <w:spacing w:before="260" w:beforeLines="50" w:after="260" w:afterLines="50" w:line="415" w:lineRule="auto"/>
      <w:ind w:left="0" w:firstLine="0"/>
      <w:textAlignment w:val="auto"/>
    </w:pPr>
    <w:rPr>
      <w:rFonts w:ascii="黑体" w:hAnsi="黑体"/>
      <w:color w:val="auto"/>
      <w:spacing w:val="0"/>
      <w:kern w:val="2"/>
      <w:szCs w:val="32"/>
    </w:rPr>
  </w:style>
  <w:style w:type="paragraph" w:customStyle="1" w:styleId="648">
    <w:name w:val="aaa"/>
    <w:basedOn w:val="1"/>
    <w:qFormat/>
    <w:uiPriority w:val="0"/>
    <w:pPr>
      <w:spacing w:line="360" w:lineRule="auto"/>
      <w:ind w:firstLine="200" w:firstLineChars="200"/>
    </w:pPr>
    <w:rPr>
      <w:b/>
      <w:sz w:val="24"/>
    </w:rPr>
  </w:style>
  <w:style w:type="paragraph" w:customStyle="1" w:styleId="649">
    <w:name w:val="Char Char Char Char Char Char Char1 Char Char Char Char Char Char Char1"/>
    <w:basedOn w:val="1"/>
    <w:uiPriority w:val="0"/>
    <w:pPr>
      <w:tabs>
        <w:tab w:val="left" w:pos="432"/>
      </w:tabs>
      <w:ind w:left="432" w:hanging="432"/>
    </w:pPr>
    <w:rPr>
      <w:rFonts w:ascii="Tahoma" w:hAnsi="Tahoma"/>
      <w:sz w:val="24"/>
      <w:szCs w:val="20"/>
    </w:rPr>
  </w:style>
  <w:style w:type="paragraph" w:customStyle="1" w:styleId="650">
    <w:name w:val="Char Char Char Char Char Char Char Char Char Char Char Char Char1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651">
    <w:name w:val="Char Char Char2 Char Char Char Char Char Char Char Char Char Char"/>
    <w:basedOn w:val="1"/>
    <w:qFormat/>
    <w:uiPriority w:val="0"/>
    <w:pPr>
      <w:spacing w:before="20" w:beforeLines="20" w:line="440" w:lineRule="atLeast"/>
      <w:ind w:firstLine="200" w:firstLineChars="200"/>
    </w:pPr>
    <w:rPr>
      <w:sz w:val="24"/>
    </w:rPr>
  </w:style>
  <w:style w:type="paragraph" w:customStyle="1" w:styleId="652">
    <w:name w:val="Char Char Char Char Char Char Char Char Char Char Char Char Char1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6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54">
    <w:name w:val="表格题注"/>
    <w:basedOn w:val="1"/>
    <w:qFormat/>
    <w:uiPriority w:val="0"/>
    <w:pPr>
      <w:jc w:val="center"/>
    </w:pPr>
  </w:style>
  <w:style w:type="paragraph" w:customStyle="1" w:styleId="655">
    <w:name w:val="单元格"/>
    <w:basedOn w:val="1"/>
    <w:semiHidden/>
    <w:qFormat/>
    <w:uiPriority w:val="0"/>
    <w:pPr>
      <w:jc w:val="center"/>
    </w:pPr>
    <w:rPr>
      <w:rFonts w:ascii="楷体_GB2312" w:eastAsia="楷体_GB2312"/>
      <w:szCs w:val="20"/>
    </w:rPr>
  </w:style>
  <w:style w:type="paragraph" w:customStyle="1" w:styleId="656">
    <w:name w:val="a01"/>
    <w:basedOn w:val="1"/>
    <w:uiPriority w:val="0"/>
    <w:pPr>
      <w:widowControl/>
      <w:spacing w:before="100" w:beforeAutospacing="1" w:after="100" w:afterAutospacing="1" w:line="385" w:lineRule="atLeast"/>
      <w:jc w:val="left"/>
    </w:pPr>
    <w:rPr>
      <w:rFonts w:ascii="Arial Unicode MS" w:hAnsi="Arial Unicode MS"/>
      <w:color w:val="000000"/>
      <w:kern w:val="0"/>
      <w:sz w:val="23"/>
      <w:szCs w:val="23"/>
    </w:rPr>
  </w:style>
  <w:style w:type="paragraph" w:customStyle="1" w:styleId="657">
    <w:name w:val="表格式"/>
    <w:basedOn w:val="67"/>
    <w:semiHidden/>
    <w:uiPriority w:val="0"/>
    <w:pPr>
      <w:spacing w:before="60" w:beforeLines="50" w:afterLines="50" w:line="240" w:lineRule="exact"/>
    </w:pPr>
    <w:rPr>
      <w:rFonts w:ascii="宋体"/>
      <w:sz w:val="21"/>
      <w:szCs w:val="20"/>
    </w:rPr>
  </w:style>
  <w:style w:type="paragraph" w:customStyle="1" w:styleId="658">
    <w:name w:val="样式 正文缩进正文（首行缩进两字） + 宋体 行距: 1.5 倍行距"/>
    <w:basedOn w:val="22"/>
    <w:qFormat/>
    <w:uiPriority w:val="0"/>
    <w:pPr>
      <w:widowControl w:val="0"/>
      <w:adjustRightInd w:val="0"/>
      <w:spacing w:line="300" w:lineRule="auto"/>
      <w:ind w:firstLine="482" w:firstLineChars="0"/>
      <w:jc w:val="left"/>
      <w:textAlignment w:val="baseline"/>
    </w:pPr>
    <w:rPr>
      <w:rFonts w:ascii="宋体"/>
      <w:lang w:val="zh-CN"/>
    </w:rPr>
  </w:style>
  <w:style w:type="paragraph" w:customStyle="1" w:styleId="659">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660">
    <w:name w:val="方程式"/>
    <w:basedOn w:val="1"/>
    <w:qFormat/>
    <w:uiPriority w:val="0"/>
    <w:pPr>
      <w:overflowPunct w:val="0"/>
      <w:autoSpaceDE w:val="0"/>
      <w:autoSpaceDN w:val="0"/>
      <w:adjustRightInd w:val="0"/>
      <w:spacing w:before="60" w:after="60" w:line="340" w:lineRule="exact"/>
      <w:jc w:val="left"/>
      <w:textAlignment w:val="bottom"/>
    </w:pPr>
    <w:rPr>
      <w:rFonts w:ascii="宋体"/>
      <w:kern w:val="0"/>
      <w:sz w:val="24"/>
      <w:szCs w:val="20"/>
    </w:rPr>
  </w:style>
  <w:style w:type="paragraph" w:customStyle="1" w:styleId="661">
    <w:name w:val="样式3"/>
    <w:basedOn w:val="1"/>
    <w:qFormat/>
    <w:uiPriority w:val="0"/>
    <w:pPr>
      <w:spacing w:before="300" w:line="460" w:lineRule="exact"/>
      <w:outlineLvl w:val="2"/>
    </w:pPr>
    <w:rPr>
      <w:rFonts w:ascii="Arial" w:hAnsi="Arial"/>
      <w:b/>
      <w:sz w:val="24"/>
    </w:rPr>
  </w:style>
  <w:style w:type="paragraph" w:customStyle="1" w:styleId="662">
    <w:name w:val="项目编号"/>
    <w:basedOn w:val="1"/>
    <w:next w:val="1"/>
    <w:qFormat/>
    <w:uiPriority w:val="0"/>
    <w:pPr>
      <w:spacing w:before="120" w:after="120" w:line="360" w:lineRule="auto"/>
    </w:pPr>
    <w:rPr>
      <w:b/>
      <w:sz w:val="24"/>
      <w:szCs w:val="20"/>
    </w:rPr>
  </w:style>
  <w:style w:type="paragraph" w:customStyle="1" w:styleId="663">
    <w:name w:val="注解"/>
    <w:basedOn w:val="159"/>
    <w:qFormat/>
    <w:uiPriority w:val="0"/>
    <w:pPr>
      <w:widowControl w:val="0"/>
      <w:spacing w:before="60" w:line="360" w:lineRule="exact"/>
      <w:jc w:val="both"/>
    </w:pPr>
    <w:rPr>
      <w:rFonts w:ascii="Times New Roman"/>
      <w:kern w:val="0"/>
      <w:sz w:val="21"/>
      <w:lang w:val="zh-CN"/>
    </w:rPr>
  </w:style>
  <w:style w:type="paragraph" w:customStyle="1" w:styleId="664">
    <w:name w:val="Char Char Char2 Char Char Char Char Char Char Char Char Char Char Char Char Char"/>
    <w:basedOn w:val="1"/>
    <w:qFormat/>
    <w:uiPriority w:val="0"/>
    <w:pPr>
      <w:spacing w:beforeLines="20" w:line="440" w:lineRule="atLeast"/>
      <w:ind w:firstLine="200" w:firstLineChars="200"/>
    </w:pPr>
    <w:rPr>
      <w:sz w:val="24"/>
    </w:rPr>
  </w:style>
  <w:style w:type="paragraph" w:customStyle="1" w:styleId="665">
    <w:name w:val="xl36"/>
    <w:basedOn w:val="1"/>
    <w:qFormat/>
    <w:uiPriority w:val="0"/>
    <w:pPr>
      <w:widowControl/>
      <w:spacing w:before="100" w:after="100" w:line="460" w:lineRule="exact"/>
      <w:jc w:val="center"/>
    </w:pPr>
    <w:rPr>
      <w:rFonts w:ascii="宋体"/>
      <w:kern w:val="0"/>
      <w:sz w:val="24"/>
    </w:rPr>
  </w:style>
  <w:style w:type="paragraph" w:customStyle="1" w:styleId="666">
    <w:name w:val="标题002"/>
    <w:basedOn w:val="1"/>
    <w:qFormat/>
    <w:uiPriority w:val="0"/>
    <w:pPr>
      <w:adjustRightInd w:val="0"/>
      <w:spacing w:before="160" w:line="480" w:lineRule="exact"/>
      <w:textAlignment w:val="baseline"/>
      <w:outlineLvl w:val="1"/>
    </w:pPr>
    <w:rPr>
      <w:b/>
      <w:kern w:val="0"/>
      <w:sz w:val="28"/>
    </w:rPr>
  </w:style>
  <w:style w:type="paragraph" w:customStyle="1" w:styleId="667">
    <w:name w:val="表2-1"/>
    <w:basedOn w:val="1"/>
    <w:uiPriority w:val="0"/>
    <w:pPr>
      <w:tabs>
        <w:tab w:val="center" w:pos="1051"/>
        <w:tab w:val="left" w:pos="2251"/>
      </w:tabs>
      <w:adjustRightInd w:val="0"/>
      <w:snapToGrid w:val="0"/>
      <w:spacing w:before="60" w:line="360" w:lineRule="auto"/>
      <w:ind w:left="420" w:hanging="420"/>
      <w:jc w:val="center"/>
      <w:textAlignment w:val="baseline"/>
    </w:pPr>
    <w:rPr>
      <w:rFonts w:eastAsia="黑体"/>
      <w:sz w:val="28"/>
      <w:szCs w:val="28"/>
    </w:rPr>
  </w:style>
  <w:style w:type="paragraph" w:customStyle="1" w:styleId="668">
    <w:name w:val="标题111 Char Char Char Char"/>
    <w:basedOn w:val="1"/>
    <w:qFormat/>
    <w:uiPriority w:val="99"/>
    <w:pPr>
      <w:spacing w:line="360" w:lineRule="auto"/>
      <w:ind w:firstLine="200" w:firstLineChars="200"/>
    </w:pPr>
    <w:rPr>
      <w:rFonts w:ascii="宋体" w:hAnsi="宋体" w:cs="宋体"/>
      <w:sz w:val="24"/>
    </w:rPr>
  </w:style>
  <w:style w:type="paragraph" w:customStyle="1" w:styleId="669">
    <w:name w:val="表文左对齐"/>
    <w:basedOn w:val="540"/>
    <w:semiHidden/>
    <w:qFormat/>
    <w:uiPriority w:val="0"/>
    <w:pPr>
      <w:adjustRightInd w:val="0"/>
      <w:spacing w:after="120" w:line="240" w:lineRule="auto"/>
      <w:jc w:val="left"/>
    </w:pPr>
    <w:rPr>
      <w:rFonts w:ascii="Times" w:hAnsi="Times" w:eastAsia="仿宋_GB2312"/>
      <w:color w:val="auto"/>
      <w:sz w:val="18"/>
      <w:szCs w:val="24"/>
    </w:rPr>
  </w:style>
  <w:style w:type="paragraph" w:customStyle="1" w:styleId="670">
    <w:name w:val="正文报告"/>
    <w:basedOn w:val="1"/>
    <w:qFormat/>
    <w:uiPriority w:val="0"/>
    <w:pPr>
      <w:tabs>
        <w:tab w:val="left" w:pos="510"/>
      </w:tabs>
      <w:adjustRightInd w:val="0"/>
      <w:spacing w:before="60" w:line="460" w:lineRule="exact"/>
      <w:ind w:firstLine="200" w:firstLineChars="200"/>
      <w:textAlignment w:val="baseline"/>
    </w:pPr>
    <w:rPr>
      <w:kern w:val="0"/>
      <w:sz w:val="24"/>
      <w:szCs w:val="20"/>
    </w:rPr>
  </w:style>
  <w:style w:type="paragraph" w:customStyle="1" w:styleId="671">
    <w:name w:val="表头字体宋"/>
    <w:basedOn w:val="1"/>
    <w:uiPriority w:val="0"/>
    <w:pPr>
      <w:spacing w:line="500" w:lineRule="exact"/>
      <w:jc w:val="center"/>
    </w:pPr>
    <w:rPr>
      <w:rFonts w:ascii="宋体" w:hAnsi="宋体" w:cs="宋体"/>
      <w:b/>
      <w:bCs/>
      <w:sz w:val="24"/>
      <w:szCs w:val="20"/>
    </w:rPr>
  </w:style>
  <w:style w:type="paragraph" w:customStyle="1" w:styleId="672">
    <w:name w:val="图注"/>
    <w:basedOn w:val="1"/>
    <w:next w:val="1"/>
    <w:uiPriority w:val="0"/>
    <w:pPr>
      <w:spacing w:before="60" w:line="320" w:lineRule="exact"/>
      <w:jc w:val="center"/>
    </w:pPr>
    <w:rPr>
      <w:bCs/>
      <w:sz w:val="20"/>
    </w:rPr>
  </w:style>
  <w:style w:type="paragraph" w:customStyle="1" w:styleId="673">
    <w:name w:val="样式14"/>
    <w:basedOn w:val="1"/>
    <w:qFormat/>
    <w:uiPriority w:val="0"/>
    <w:pPr>
      <w:spacing w:before="60" w:line="500" w:lineRule="exact"/>
      <w:ind w:firstLine="200" w:firstLineChars="200"/>
    </w:pPr>
    <w:rPr>
      <w:sz w:val="24"/>
    </w:rPr>
  </w:style>
  <w:style w:type="paragraph" w:customStyle="1" w:styleId="674">
    <w:name w:val="标题003"/>
    <w:basedOn w:val="1"/>
    <w:qFormat/>
    <w:uiPriority w:val="0"/>
    <w:pPr>
      <w:adjustRightInd w:val="0"/>
      <w:spacing w:before="120" w:line="440" w:lineRule="exact"/>
      <w:textAlignment w:val="baseline"/>
      <w:outlineLvl w:val="2"/>
    </w:pPr>
    <w:rPr>
      <w:b/>
      <w:kern w:val="0"/>
      <w:sz w:val="27"/>
    </w:rPr>
  </w:style>
  <w:style w:type="paragraph" w:customStyle="1" w:styleId="675">
    <w:name w:val="批注框文本 Char Char"/>
    <w:basedOn w:val="1"/>
    <w:qFormat/>
    <w:uiPriority w:val="0"/>
    <w:rPr>
      <w:sz w:val="18"/>
      <w:szCs w:val="20"/>
    </w:rPr>
  </w:style>
  <w:style w:type="paragraph" w:customStyle="1" w:styleId="676">
    <w:name w:val="普通 (Web)"/>
    <w:basedOn w:val="1"/>
    <w:qFormat/>
    <w:uiPriority w:val="0"/>
    <w:pPr>
      <w:widowControl/>
      <w:spacing w:before="100" w:beforeAutospacing="1" w:after="100" w:afterAutospacing="1" w:line="460" w:lineRule="exact"/>
      <w:jc w:val="left"/>
    </w:pPr>
    <w:rPr>
      <w:rFonts w:ascii="宋体"/>
      <w:kern w:val="0"/>
      <w:sz w:val="18"/>
      <w:szCs w:val="18"/>
    </w:rPr>
  </w:style>
  <w:style w:type="paragraph" w:customStyle="1" w:styleId="677">
    <w:name w:val="文本框"/>
    <w:basedOn w:val="1"/>
    <w:uiPriority w:val="0"/>
    <w:pPr>
      <w:adjustRightInd w:val="0"/>
      <w:snapToGrid w:val="0"/>
      <w:spacing w:before="60" w:line="300" w:lineRule="exact"/>
      <w:ind w:firstLine="200" w:firstLineChars="200"/>
      <w:jc w:val="center"/>
    </w:pPr>
    <w:rPr>
      <w:sz w:val="24"/>
    </w:rPr>
  </w:style>
  <w:style w:type="paragraph" w:customStyle="1" w:styleId="678">
    <w:name w:val="Char Char Char Char Char Char Char Char Char Char Char Char Char1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679">
    <w:name w:val="宏福4"/>
    <w:basedOn w:val="1"/>
    <w:qFormat/>
    <w:uiPriority w:val="0"/>
    <w:pPr>
      <w:adjustRightInd w:val="0"/>
      <w:spacing w:before="60" w:line="400" w:lineRule="atLeast"/>
      <w:ind w:firstLine="200" w:firstLineChars="200"/>
      <w:jc w:val="left"/>
      <w:textAlignment w:val="baseline"/>
    </w:pPr>
    <w:rPr>
      <w:sz w:val="28"/>
      <w:szCs w:val="20"/>
    </w:rPr>
  </w:style>
  <w:style w:type="paragraph" w:customStyle="1" w:styleId="680">
    <w:name w:val="xl27"/>
    <w:basedOn w:val="1"/>
    <w:qFormat/>
    <w:uiPriority w:val="0"/>
    <w:pPr>
      <w:widowControl/>
      <w:pBdr>
        <w:bottom w:val="single" w:color="auto" w:sz="4" w:space="0"/>
        <w:right w:val="single" w:color="auto" w:sz="4" w:space="0"/>
      </w:pBdr>
      <w:spacing w:before="100" w:beforeAutospacing="1" w:after="100" w:afterAutospacing="1" w:line="460" w:lineRule="exact"/>
      <w:jc w:val="center"/>
      <w:textAlignment w:val="top"/>
    </w:pPr>
    <w:rPr>
      <w:kern w:val="0"/>
      <w:szCs w:val="21"/>
    </w:rPr>
  </w:style>
  <w:style w:type="paragraph" w:customStyle="1" w:styleId="681">
    <w:name w:val="Char Char Char2"/>
    <w:basedOn w:val="1"/>
    <w:uiPriority w:val="0"/>
    <w:pPr>
      <w:spacing w:before="20" w:beforeLines="20" w:line="440" w:lineRule="atLeast"/>
      <w:ind w:firstLine="200" w:firstLineChars="200"/>
    </w:pPr>
    <w:rPr>
      <w:sz w:val="24"/>
    </w:rPr>
  </w:style>
  <w:style w:type="paragraph" w:customStyle="1" w:styleId="682">
    <w:name w:val="表格正文 Char Char Char Char Char"/>
    <w:basedOn w:val="1"/>
    <w:uiPriority w:val="0"/>
    <w:pPr>
      <w:spacing w:line="360" w:lineRule="exact"/>
      <w:jc w:val="center"/>
    </w:pPr>
  </w:style>
  <w:style w:type="paragraph" w:customStyle="1" w:styleId="683">
    <w:name w:val="样式 小四 首行缩进:  24 磅 行距: 多倍行距 1.25 字行"/>
    <w:basedOn w:val="1"/>
    <w:qFormat/>
    <w:uiPriority w:val="0"/>
    <w:pPr>
      <w:adjustRightInd w:val="0"/>
      <w:spacing w:line="440" w:lineRule="exact"/>
      <w:ind w:firstLine="480"/>
      <w:textAlignment w:val="baseline"/>
    </w:pPr>
    <w:rPr>
      <w:rFonts w:cs="宋体"/>
      <w:kern w:val="0"/>
      <w:sz w:val="24"/>
      <w:szCs w:val="20"/>
    </w:rPr>
  </w:style>
  <w:style w:type="paragraph" w:customStyle="1" w:styleId="684">
    <w:name w:val="正文2 Char Char Char Char Char Char Char Char Char Char Char Char1 Char Char Char Char Char Char Char Char1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685">
    <w:name w:val="yz"/>
    <w:basedOn w:val="35"/>
    <w:uiPriority w:val="0"/>
    <w:pPr>
      <w:widowControl w:val="0"/>
      <w:tabs>
        <w:tab w:val="left" w:pos="900"/>
      </w:tabs>
      <w:adjustRightInd w:val="0"/>
      <w:snapToGrid/>
      <w:spacing w:after="0" w:line="460" w:lineRule="exact"/>
      <w:ind w:right="0" w:firstLine="200" w:firstLineChars="200"/>
      <w:textAlignment w:val="baseline"/>
    </w:pPr>
    <w:rPr>
      <w:rFonts w:ascii="宋体"/>
      <w:kern w:val="2"/>
      <w:sz w:val="24"/>
      <w:lang w:val="zh-CN"/>
    </w:rPr>
  </w:style>
  <w:style w:type="paragraph" w:customStyle="1" w:styleId="686">
    <w:name w:val="Char Char Char1 Char Char Char"/>
    <w:basedOn w:val="1"/>
    <w:qFormat/>
    <w:uiPriority w:val="0"/>
    <w:pPr>
      <w:spacing w:beforeLines="20" w:line="440" w:lineRule="atLeast"/>
      <w:ind w:firstLine="200" w:firstLineChars="200"/>
    </w:pPr>
    <w:rPr>
      <w:sz w:val="24"/>
    </w:rPr>
  </w:style>
  <w:style w:type="paragraph" w:customStyle="1" w:styleId="687">
    <w:name w:val="Char Char2"/>
    <w:basedOn w:val="1"/>
    <w:qFormat/>
    <w:uiPriority w:val="0"/>
    <w:pPr>
      <w:spacing w:before="60" w:line="360" w:lineRule="auto"/>
      <w:ind w:firstLine="200" w:firstLineChars="200"/>
    </w:pPr>
    <w:rPr>
      <w:rFonts w:ascii="宋体" w:cs="宋体"/>
      <w:sz w:val="24"/>
    </w:rPr>
  </w:style>
  <w:style w:type="paragraph" w:customStyle="1" w:styleId="688">
    <w:name w:val="普通(网站)1"/>
    <w:basedOn w:val="1"/>
    <w:qFormat/>
    <w:uiPriority w:val="0"/>
    <w:pPr>
      <w:adjustRightInd w:val="0"/>
      <w:spacing w:before="60" w:line="460" w:lineRule="exact"/>
      <w:ind w:firstLine="200" w:firstLineChars="200"/>
      <w:textAlignment w:val="baseline"/>
    </w:pPr>
    <w:rPr>
      <w:sz w:val="24"/>
      <w:szCs w:val="20"/>
    </w:rPr>
  </w:style>
  <w:style w:type="paragraph" w:customStyle="1" w:styleId="689">
    <w:name w:val="样式 表3－1 + 段前: 0.5 行 段后: 0.5 行"/>
    <w:basedOn w:val="690"/>
    <w:uiPriority w:val="0"/>
    <w:pPr>
      <w:tabs>
        <w:tab w:val="center" w:pos="992"/>
        <w:tab w:val="left" w:pos="3690"/>
      </w:tabs>
      <w:spacing w:beforeLines="0" w:afterLines="0"/>
      <w:ind w:left="100" w:leftChars="100" w:right="100" w:rightChars="100"/>
    </w:pPr>
    <w:rPr>
      <w:rFonts w:cs="宋体"/>
    </w:rPr>
  </w:style>
  <w:style w:type="paragraph" w:customStyle="1" w:styleId="690">
    <w:name w:val="表3－1"/>
    <w:basedOn w:val="1"/>
    <w:qFormat/>
    <w:uiPriority w:val="0"/>
    <w:pPr>
      <w:tabs>
        <w:tab w:val="center" w:pos="992"/>
        <w:tab w:val="left" w:pos="3690"/>
      </w:tabs>
      <w:adjustRightInd w:val="0"/>
      <w:spacing w:beforeLines="50" w:afterLines="50" w:line="460" w:lineRule="exact"/>
      <w:ind w:left="3102" w:hanging="132"/>
      <w:jc w:val="center"/>
      <w:textAlignment w:val="baseline"/>
    </w:pPr>
    <w:rPr>
      <w:sz w:val="24"/>
      <w:szCs w:val="20"/>
    </w:rPr>
  </w:style>
  <w:style w:type="paragraph" w:customStyle="1" w:styleId="691">
    <w:name w:val="Char Char Char1 Char Char Char1"/>
    <w:basedOn w:val="1"/>
    <w:qFormat/>
    <w:uiPriority w:val="0"/>
    <w:pPr>
      <w:spacing w:before="20" w:beforeLines="20" w:line="440" w:lineRule="atLeast"/>
      <w:ind w:firstLine="200" w:firstLineChars="200"/>
    </w:pPr>
    <w:rPr>
      <w:sz w:val="24"/>
    </w:rPr>
  </w:style>
  <w:style w:type="paragraph" w:customStyle="1" w:styleId="692">
    <w:name w:val="环评正文"/>
    <w:basedOn w:val="1"/>
    <w:uiPriority w:val="0"/>
    <w:pPr>
      <w:spacing w:line="360" w:lineRule="auto"/>
    </w:pPr>
    <w:rPr>
      <w:rFonts w:ascii="宋体" w:hAnsi="宋体" w:cs="宋体"/>
      <w:sz w:val="24"/>
    </w:rPr>
  </w:style>
  <w:style w:type="paragraph" w:customStyle="1" w:styleId="693">
    <w:name w:val="三级"/>
    <w:basedOn w:val="53"/>
    <w:next w:val="1"/>
    <w:qFormat/>
    <w:uiPriority w:val="99"/>
    <w:pPr>
      <w:spacing w:before="60" w:line="460" w:lineRule="exact"/>
      <w:ind w:firstLine="200"/>
    </w:pPr>
    <w:rPr>
      <w:rFonts w:ascii="Times New Roman" w:hAnsi="Times New Roman"/>
      <w:bCs/>
    </w:rPr>
  </w:style>
  <w:style w:type="paragraph" w:customStyle="1" w:styleId="694">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695">
    <w:name w:val="Char Char Char Char1"/>
    <w:basedOn w:val="1"/>
    <w:qFormat/>
    <w:uiPriority w:val="0"/>
    <w:pPr>
      <w:spacing w:beforeLines="20" w:line="440" w:lineRule="atLeast"/>
      <w:ind w:firstLine="200" w:firstLineChars="200"/>
    </w:pPr>
    <w:rPr>
      <w:sz w:val="24"/>
    </w:rPr>
  </w:style>
  <w:style w:type="paragraph" w:customStyle="1" w:styleId="696">
    <w:name w:val="表中正文居中"/>
    <w:semiHidden/>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697">
    <w:name w:val="样式 my + 黑色"/>
    <w:basedOn w:val="698"/>
    <w:qFormat/>
    <w:uiPriority w:val="0"/>
    <w:rPr>
      <w:color w:val="000000"/>
    </w:rPr>
  </w:style>
  <w:style w:type="paragraph" w:customStyle="1" w:styleId="698">
    <w:name w:val="my Char"/>
    <w:qFormat/>
    <w:uiPriority w:val="0"/>
    <w:pPr>
      <w:widowControl w:val="0"/>
      <w:spacing w:before="60" w:line="460" w:lineRule="exact"/>
      <w:ind w:firstLine="200" w:firstLineChars="200"/>
      <w:jc w:val="both"/>
    </w:pPr>
    <w:rPr>
      <w:rFonts w:ascii="Times New Roman" w:hAnsi="Times New Roman" w:eastAsia="宋体" w:cs="Times New Roman"/>
      <w:sz w:val="24"/>
      <w:lang w:val="en-US" w:eastAsia="zh-CN" w:bidi="ar-SA"/>
    </w:rPr>
  </w:style>
  <w:style w:type="paragraph" w:customStyle="1" w:styleId="699">
    <w:name w:val="样式 标题2 + 首行缩进:  1 字符 段前: 0.5 行"/>
    <w:basedOn w:val="1"/>
    <w:qFormat/>
    <w:uiPriority w:val="0"/>
    <w:pPr>
      <w:spacing w:beforeLines="50" w:line="500" w:lineRule="atLeast"/>
      <w:ind w:firstLine="100" w:firstLineChars="100"/>
      <w:jc w:val="left"/>
      <w:outlineLvl w:val="1"/>
    </w:pPr>
    <w:rPr>
      <w:b/>
      <w:bCs/>
      <w:sz w:val="28"/>
      <w:szCs w:val="20"/>
    </w:rPr>
  </w:style>
  <w:style w:type="paragraph" w:customStyle="1" w:styleId="700">
    <w:name w:val="Char Char Char2 Char Char Char Char Char Char Char Char Char Char Char Char Char1"/>
    <w:basedOn w:val="1"/>
    <w:qFormat/>
    <w:uiPriority w:val="0"/>
    <w:pPr>
      <w:spacing w:before="20" w:beforeLines="20" w:line="440" w:lineRule="atLeast"/>
      <w:ind w:firstLine="200" w:firstLineChars="200"/>
    </w:pPr>
    <w:rPr>
      <w:sz w:val="24"/>
    </w:rPr>
  </w:style>
  <w:style w:type="paragraph" w:customStyle="1" w:styleId="701">
    <w:name w:val="样式8"/>
    <w:basedOn w:val="1"/>
    <w:qFormat/>
    <w:uiPriority w:val="0"/>
    <w:pPr>
      <w:ind w:firstLine="499"/>
    </w:pPr>
    <w:rPr>
      <w:rFonts w:ascii="宋体"/>
      <w:sz w:val="24"/>
      <w:szCs w:val="20"/>
    </w:rPr>
  </w:style>
  <w:style w:type="paragraph" w:customStyle="1" w:styleId="702">
    <w:name w:val="Char2 Char Char Char Char Char Char Char Char Char Char Char Char1"/>
    <w:basedOn w:val="1"/>
    <w:qFormat/>
    <w:uiPriority w:val="0"/>
    <w:pPr>
      <w:spacing w:beforeLines="20" w:line="440" w:lineRule="atLeast"/>
      <w:ind w:firstLine="200" w:firstLineChars="200"/>
    </w:pPr>
    <w:rPr>
      <w:sz w:val="24"/>
    </w:rPr>
  </w:style>
  <w:style w:type="paragraph" w:customStyle="1" w:styleId="703">
    <w:name w:val="正文缩进11"/>
    <w:basedOn w:val="1"/>
    <w:qFormat/>
    <w:uiPriority w:val="0"/>
    <w:pPr>
      <w:spacing w:beforeLines="50" w:afterLines="50" w:line="460" w:lineRule="exact"/>
      <w:ind w:firstLine="1411" w:firstLineChars="588"/>
    </w:pPr>
    <w:rPr>
      <w:sz w:val="24"/>
      <w:szCs w:val="20"/>
    </w:rPr>
  </w:style>
  <w:style w:type="paragraph" w:customStyle="1" w:styleId="704">
    <w:name w:val="样式 样式 正文1 + 段前: 0.1 行1 + 段前: 0.1 行"/>
    <w:basedOn w:val="705"/>
    <w:qFormat/>
    <w:uiPriority w:val="0"/>
    <w:pPr>
      <w:spacing w:beforeLines="0"/>
      <w:ind w:firstLine="200" w:firstLineChars="200"/>
    </w:pPr>
    <w:rPr>
      <w:rFonts w:cs="Times New Roman"/>
      <w:szCs w:val="20"/>
    </w:rPr>
  </w:style>
  <w:style w:type="paragraph" w:customStyle="1" w:styleId="705">
    <w:name w:val="样式 正文1 + 段前: 0.1 行1"/>
    <w:basedOn w:val="190"/>
    <w:qFormat/>
    <w:uiPriority w:val="0"/>
    <w:pPr>
      <w:adjustRightInd/>
      <w:spacing w:before="60" w:beforeLines="10" w:line="440" w:lineRule="atLeast"/>
      <w:ind w:firstLine="567" w:firstLineChars="0"/>
    </w:pPr>
    <w:rPr>
      <w:rFonts w:eastAsia="宋体" w:cs="宋体"/>
    </w:rPr>
  </w:style>
  <w:style w:type="paragraph" w:customStyle="1" w:styleId="706">
    <w:name w:val="表格方案样式2"/>
    <w:basedOn w:val="1"/>
    <w:qFormat/>
    <w:uiPriority w:val="0"/>
    <w:pPr>
      <w:jc w:val="center"/>
    </w:pPr>
    <w:rPr>
      <w:rFonts w:eastAsia="华文中宋"/>
      <w:kern w:val="0"/>
      <w:sz w:val="24"/>
    </w:rPr>
  </w:style>
  <w:style w:type="paragraph" w:customStyle="1" w:styleId="707">
    <w:name w:val="Char1 Char Char Char Char Char"/>
    <w:basedOn w:val="1"/>
    <w:qFormat/>
    <w:uiPriority w:val="0"/>
    <w:rPr>
      <w:sz w:val="24"/>
    </w:rPr>
  </w:style>
  <w:style w:type="paragraph" w:customStyle="1" w:styleId="708">
    <w:name w:val="正文001 Char Char Char"/>
    <w:basedOn w:val="1"/>
    <w:qFormat/>
    <w:uiPriority w:val="0"/>
    <w:pPr>
      <w:spacing w:line="500" w:lineRule="atLeast"/>
      <w:ind w:firstLine="200" w:firstLineChars="200"/>
    </w:pPr>
    <w:rPr>
      <w:color w:val="000000"/>
      <w:sz w:val="24"/>
    </w:rPr>
  </w:style>
  <w:style w:type="paragraph" w:customStyle="1" w:styleId="709">
    <w:name w:val="样式 3级标题 + 非加粗 段前: 3 磅"/>
    <w:basedOn w:val="365"/>
    <w:qFormat/>
    <w:uiPriority w:val="0"/>
    <w:pPr>
      <w:adjustRightInd w:val="0"/>
      <w:snapToGrid w:val="0"/>
      <w:ind w:firstLine="200" w:firstLineChars="200"/>
      <w:outlineLvl w:val="9"/>
    </w:pPr>
    <w:rPr>
      <w:rFonts w:ascii="Times New Roman" w:hAnsi="Times New Roman" w:cs="宋体"/>
      <w:b w:val="0"/>
      <w:szCs w:val="20"/>
    </w:rPr>
  </w:style>
  <w:style w:type="paragraph" w:customStyle="1" w:styleId="710">
    <w:name w:val="图文框"/>
    <w:basedOn w:val="1"/>
    <w:uiPriority w:val="0"/>
    <w:pPr>
      <w:autoSpaceDE w:val="0"/>
      <w:autoSpaceDN w:val="0"/>
      <w:adjustRightInd w:val="0"/>
      <w:snapToGrid w:val="0"/>
      <w:spacing w:before="60" w:line="460" w:lineRule="exact"/>
      <w:ind w:firstLine="200" w:firstLineChars="200"/>
      <w:jc w:val="center"/>
      <w:textAlignment w:val="baseline"/>
    </w:pPr>
    <w:rPr>
      <w:kern w:val="0"/>
      <w:szCs w:val="21"/>
    </w:rPr>
  </w:style>
  <w:style w:type="paragraph" w:customStyle="1" w:styleId="711">
    <w:name w:val="ST20_1"/>
    <w:basedOn w:val="1"/>
    <w:qFormat/>
    <w:uiPriority w:val="0"/>
    <w:pPr>
      <w:autoSpaceDE w:val="0"/>
      <w:autoSpaceDN w:val="0"/>
      <w:adjustRightInd w:val="0"/>
      <w:spacing w:before="60" w:line="312" w:lineRule="atLeast"/>
      <w:ind w:firstLine="200" w:firstLineChars="200"/>
      <w:jc w:val="center"/>
      <w:textAlignment w:val="baseline"/>
    </w:pPr>
    <w:rPr>
      <w:rFonts w:ascii="宋体"/>
      <w:kern w:val="0"/>
      <w:sz w:val="24"/>
      <w:szCs w:val="20"/>
    </w:rPr>
  </w:style>
  <w:style w:type="paragraph" w:customStyle="1" w:styleId="712">
    <w:name w:val="6表(图)头(治)"/>
    <w:next w:val="1"/>
    <w:qFormat/>
    <w:uiPriority w:val="0"/>
    <w:pPr>
      <w:widowControl w:val="0"/>
      <w:spacing w:before="60" w:line="460" w:lineRule="exact"/>
      <w:jc w:val="center"/>
    </w:pPr>
    <w:rPr>
      <w:rFonts w:ascii="Times New Roman" w:hAnsi="Times New Roman" w:eastAsia="宋体" w:cs="Times New Roman"/>
      <w:sz w:val="24"/>
      <w:szCs w:val="24"/>
      <w:lang w:val="en-US" w:eastAsia="zh-CN" w:bidi="ar-SA"/>
    </w:rPr>
  </w:style>
  <w:style w:type="paragraph" w:customStyle="1" w:styleId="713">
    <w:name w:val="正文表标题"/>
    <w:next w:val="1"/>
    <w:uiPriority w:val="0"/>
    <w:pPr>
      <w:numPr>
        <w:ilvl w:val="0"/>
        <w:numId w:val="12"/>
      </w:numPr>
      <w:jc w:val="center"/>
    </w:pPr>
    <w:rPr>
      <w:rFonts w:ascii="黑体" w:hAnsi="Times New Roman" w:eastAsia="黑体" w:cs="Times New Roman"/>
      <w:sz w:val="21"/>
      <w:lang w:val="en-US" w:eastAsia="zh-CN" w:bidi="ar-SA"/>
    </w:rPr>
  </w:style>
  <w:style w:type="paragraph" w:customStyle="1" w:styleId="714">
    <w:name w:val="文本条款 Char Char"/>
    <w:basedOn w:val="188"/>
    <w:uiPriority w:val="0"/>
    <w:pPr>
      <w:widowControl w:val="0"/>
      <w:spacing w:before="40" w:after="60" w:line="420" w:lineRule="exact"/>
      <w:ind w:firstLine="0" w:firstLineChars="0"/>
      <w:jc w:val="center"/>
    </w:pPr>
    <w:rPr>
      <w:color w:val="000000"/>
    </w:rPr>
  </w:style>
  <w:style w:type="paragraph" w:customStyle="1" w:styleId="715">
    <w:name w:val="Char Char1 Char Char Char1 Char Char Char Char"/>
    <w:basedOn w:val="1"/>
    <w:qFormat/>
    <w:uiPriority w:val="0"/>
    <w:pPr>
      <w:spacing w:beforeLines="20" w:line="440" w:lineRule="atLeast"/>
      <w:ind w:firstLine="200" w:firstLineChars="200"/>
    </w:pPr>
    <w:rPr>
      <w:sz w:val="24"/>
    </w:rPr>
  </w:style>
  <w:style w:type="paragraph" w:customStyle="1" w:styleId="716">
    <w:name w:val="zhang正文"/>
    <w:basedOn w:val="37"/>
    <w:qFormat/>
    <w:uiPriority w:val="0"/>
    <w:pPr>
      <w:autoSpaceDE w:val="0"/>
      <w:autoSpaceDN w:val="0"/>
      <w:adjustRightInd w:val="0"/>
      <w:snapToGrid w:val="0"/>
      <w:spacing w:before="60" w:beforeLines="50" w:after="0" w:line="460" w:lineRule="exact"/>
      <w:ind w:left="0" w:leftChars="0" w:firstLine="539"/>
      <w:textAlignment w:val="baseline"/>
    </w:pPr>
    <w:rPr>
      <w:rFonts w:ascii="宋体"/>
      <w:szCs w:val="24"/>
    </w:rPr>
  </w:style>
  <w:style w:type="paragraph" w:customStyle="1" w:styleId="717">
    <w:name w:val="正文bg"/>
    <w:basedOn w:val="1"/>
    <w:qFormat/>
    <w:uiPriority w:val="0"/>
    <w:pPr>
      <w:spacing w:before="60" w:line="316" w:lineRule="exact"/>
      <w:jc w:val="center"/>
    </w:pPr>
    <w:rPr>
      <w:rFonts w:ascii="仿宋_GB2312" w:eastAsia="仿宋_GB2312"/>
      <w:color w:val="000000"/>
      <w:szCs w:val="20"/>
    </w:rPr>
  </w:style>
  <w:style w:type="paragraph" w:customStyle="1" w:styleId="718">
    <w:name w:val="样式 表格 + 左侧:  -0.5 字符 首行缩进:  0.74 厘米 右侧:  -0.5 字符"/>
    <w:basedOn w:val="1"/>
    <w:uiPriority w:val="0"/>
    <w:pPr>
      <w:ind w:left="-50" w:leftChars="-50" w:right="-50" w:rightChars="-50"/>
      <w:jc w:val="center"/>
    </w:pPr>
    <w:rPr>
      <w:rFonts w:cs="宋体"/>
      <w:kern w:val="0"/>
      <w:szCs w:val="20"/>
    </w:rPr>
  </w:style>
  <w:style w:type="paragraph" w:customStyle="1" w:styleId="719">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0">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721">
    <w:name w:val="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22">
    <w:name w:val="Char Char Char Char Char Char1 Char Char Char Char11"/>
    <w:basedOn w:val="1"/>
    <w:qFormat/>
    <w:uiPriority w:val="0"/>
    <w:rPr>
      <w:sz w:val="24"/>
    </w:rPr>
  </w:style>
  <w:style w:type="paragraph" w:customStyle="1" w:styleId="723">
    <w:name w:val="Char Char Char2 Char Char Char Char1"/>
    <w:basedOn w:val="1"/>
    <w:qFormat/>
    <w:uiPriority w:val="0"/>
    <w:pPr>
      <w:spacing w:beforeLines="20" w:line="440" w:lineRule="atLeast"/>
      <w:ind w:firstLine="200" w:firstLineChars="200"/>
    </w:pPr>
    <w:rPr>
      <w:sz w:val="24"/>
    </w:rPr>
  </w:style>
  <w:style w:type="paragraph" w:customStyle="1" w:styleId="724">
    <w:name w:val="久不通函，至以为念。"/>
    <w:uiPriority w:val="0"/>
    <w:pPr>
      <w:widowControl w:val="0"/>
      <w:spacing w:before="60" w:line="460" w:lineRule="exact"/>
      <w:jc w:val="both"/>
    </w:pPr>
    <w:rPr>
      <w:rFonts w:ascii="Times New Roman" w:hAnsi="Times New Roman" w:eastAsia="宋体" w:cs="Times New Roman"/>
      <w:kern w:val="2"/>
      <w:sz w:val="21"/>
      <w:szCs w:val="24"/>
      <w:lang w:val="en-US" w:eastAsia="zh-CN" w:bidi="ar-SA"/>
    </w:rPr>
  </w:style>
  <w:style w:type="paragraph" w:customStyle="1" w:styleId="725">
    <w:name w:val="样式 样式 样式 首行缩进:  2 字符 + 首行缩进:  2 字符2 + 仿宋_GB2312 行距: 1.5 倍行距"/>
    <w:basedOn w:val="1"/>
    <w:qFormat/>
    <w:uiPriority w:val="0"/>
    <w:pPr>
      <w:spacing w:line="440" w:lineRule="exact"/>
      <w:ind w:firstLine="200" w:firstLineChars="200"/>
    </w:pPr>
    <w:rPr>
      <w:rFonts w:eastAsia="楷体_GB2312"/>
      <w:spacing w:val="6"/>
      <w:kern w:val="0"/>
      <w:sz w:val="28"/>
      <w:szCs w:val="28"/>
    </w:rPr>
  </w:style>
  <w:style w:type="paragraph" w:customStyle="1" w:styleId="726">
    <w:name w:val="编号正文"/>
    <w:basedOn w:val="1"/>
    <w:qFormat/>
    <w:uiPriority w:val="0"/>
    <w:pPr>
      <w:tabs>
        <w:tab w:val="left" w:pos="1200"/>
      </w:tabs>
      <w:ind w:left="1200" w:hanging="720"/>
    </w:pPr>
    <w:rPr>
      <w:rFonts w:eastAsia="仿宋_GB2312"/>
      <w:sz w:val="28"/>
      <w:szCs w:val="20"/>
    </w:rPr>
  </w:style>
  <w:style w:type="paragraph" w:customStyle="1" w:styleId="727">
    <w:name w:val="文本"/>
    <w:basedOn w:val="1"/>
    <w:qFormat/>
    <w:uiPriority w:val="0"/>
    <w:pPr>
      <w:spacing w:line="360" w:lineRule="auto"/>
      <w:ind w:firstLine="200" w:firstLineChars="200"/>
    </w:pPr>
    <w:rPr>
      <w:sz w:val="24"/>
    </w:rPr>
  </w:style>
  <w:style w:type="paragraph" w:customStyle="1" w:styleId="728">
    <w:name w:val="题目2"/>
    <w:basedOn w:val="1"/>
    <w:next w:val="550"/>
    <w:uiPriority w:val="0"/>
    <w:pPr>
      <w:snapToGrid w:val="0"/>
      <w:spacing w:before="600" w:line="600" w:lineRule="atLeast"/>
      <w:ind w:firstLine="200" w:firstLineChars="200"/>
      <w:jc w:val="left"/>
    </w:pPr>
    <w:rPr>
      <w:b/>
      <w:sz w:val="28"/>
      <w:szCs w:val="20"/>
    </w:rPr>
  </w:style>
  <w:style w:type="paragraph" w:customStyle="1" w:styleId="729">
    <w:name w:val="xl32"/>
    <w:basedOn w:val="1"/>
    <w:qFormat/>
    <w:uiPriority w:val="0"/>
    <w:pPr>
      <w:widowControl/>
      <w:spacing w:before="100" w:beforeAutospacing="1" w:after="100" w:afterAutospacing="1" w:line="440" w:lineRule="exact"/>
      <w:ind w:firstLine="200" w:firstLineChars="200"/>
      <w:jc w:val="center"/>
    </w:pPr>
    <w:rPr>
      <w:rFonts w:ascii="宋体"/>
      <w:kern w:val="0"/>
      <w:sz w:val="28"/>
      <w:szCs w:val="28"/>
    </w:rPr>
  </w:style>
  <w:style w:type="paragraph" w:customStyle="1" w:styleId="730">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cs="宋体"/>
      <w:sz w:val="24"/>
    </w:rPr>
  </w:style>
  <w:style w:type="paragraph" w:customStyle="1" w:styleId="731">
    <w:name w:val="正文a"/>
    <w:basedOn w:val="377"/>
    <w:qFormat/>
    <w:uiPriority w:val="0"/>
    <w:pPr>
      <w:ind w:firstLine="0"/>
    </w:pPr>
  </w:style>
  <w:style w:type="paragraph" w:customStyle="1" w:styleId="732">
    <w:name w:val="Char Char Char Char Char Char Char Char Char Char Char Char Char Char Char Char"/>
    <w:basedOn w:val="1"/>
    <w:qFormat/>
    <w:uiPriority w:val="0"/>
    <w:pPr>
      <w:spacing w:before="60" w:line="460" w:lineRule="exact"/>
    </w:pPr>
    <w:rPr>
      <w:sz w:val="24"/>
    </w:rPr>
  </w:style>
  <w:style w:type="paragraph" w:customStyle="1" w:styleId="733">
    <w:name w:val="1表格"/>
    <w:basedOn w:val="1"/>
    <w:uiPriority w:val="0"/>
    <w:pPr>
      <w:adjustRightInd w:val="0"/>
      <w:snapToGrid w:val="0"/>
      <w:spacing w:before="60" w:line="460" w:lineRule="exact"/>
      <w:ind w:firstLine="200" w:firstLineChars="200"/>
      <w:jc w:val="center"/>
      <w:textAlignment w:val="baseline"/>
    </w:pPr>
    <w:rPr>
      <w:rFonts w:ascii="宋体"/>
      <w:spacing w:val="4"/>
      <w:sz w:val="24"/>
      <w:szCs w:val="20"/>
    </w:rPr>
  </w:style>
  <w:style w:type="paragraph" w:customStyle="1" w:styleId="734">
    <w:name w:val="表注"/>
    <w:basedOn w:val="1"/>
    <w:uiPriority w:val="0"/>
    <w:pPr>
      <w:adjustRightInd w:val="0"/>
      <w:spacing w:before="120" w:after="40" w:line="320" w:lineRule="exact"/>
      <w:ind w:firstLine="200" w:firstLineChars="200"/>
      <w:textAlignment w:val="baseline"/>
    </w:pPr>
    <w:rPr>
      <w:kern w:val="0"/>
      <w:szCs w:val="20"/>
    </w:rPr>
  </w:style>
  <w:style w:type="paragraph" w:customStyle="1" w:styleId="735">
    <w:name w:val="xl33"/>
    <w:basedOn w:val="1"/>
    <w:qFormat/>
    <w:uiPriority w:val="0"/>
    <w:pPr>
      <w:widowControl/>
      <w:pBdr>
        <w:left w:val="single" w:color="auto" w:sz="4" w:space="0"/>
        <w:bottom w:val="single" w:color="auto" w:sz="4" w:space="0"/>
        <w:right w:val="single" w:color="auto" w:sz="4" w:space="0"/>
      </w:pBdr>
      <w:spacing w:before="100" w:after="100" w:line="460" w:lineRule="exact"/>
      <w:jc w:val="center"/>
      <w:textAlignment w:val="center"/>
    </w:pPr>
    <w:rPr>
      <w:rFonts w:ascii="宋体"/>
      <w:kern w:val="0"/>
      <w:sz w:val="24"/>
      <w:szCs w:val="20"/>
    </w:rPr>
  </w:style>
  <w:style w:type="paragraph" w:customStyle="1" w:styleId="736">
    <w:name w:val="样式 样式 标题2 + 首行缩进:  1 字符 段前: 0.5 行 + 段前: 0.5 行"/>
    <w:basedOn w:val="699"/>
    <w:qFormat/>
    <w:uiPriority w:val="0"/>
    <w:pPr>
      <w:spacing w:beforeLines="0"/>
    </w:pPr>
  </w:style>
  <w:style w:type="paragraph" w:customStyle="1" w:styleId="737">
    <w:name w:val="表格表题"/>
    <w:basedOn w:val="1"/>
    <w:uiPriority w:val="0"/>
    <w:pPr>
      <w:spacing w:before="60" w:line="460" w:lineRule="exact"/>
      <w:ind w:firstLine="200" w:firstLineChars="200"/>
      <w:jc w:val="center"/>
    </w:pPr>
    <w:rPr>
      <w:bCs/>
      <w:snapToGrid w:val="0"/>
      <w:kern w:val="0"/>
      <w:sz w:val="24"/>
    </w:rPr>
  </w:style>
  <w:style w:type="paragraph" w:customStyle="1" w:styleId="738">
    <w:name w:val="Char Char Char2 Char Char Char Char Char Char Char Char Char Char1"/>
    <w:basedOn w:val="1"/>
    <w:qFormat/>
    <w:uiPriority w:val="0"/>
    <w:pPr>
      <w:spacing w:beforeLines="20" w:line="440" w:lineRule="atLeast"/>
      <w:ind w:firstLine="200" w:firstLineChars="200"/>
    </w:pPr>
    <w:rPr>
      <w:sz w:val="24"/>
    </w:rPr>
  </w:style>
  <w:style w:type="paragraph" w:customStyle="1" w:styleId="7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740">
    <w:name w:val="样式 标题 1 + 段前: 2 行"/>
    <w:basedOn w:val="4"/>
    <w:qFormat/>
    <w:uiPriority w:val="0"/>
    <w:pPr>
      <w:keepLines/>
      <w:widowControl/>
      <w:overflowPunct/>
      <w:snapToGrid/>
      <w:spacing w:before="0" w:after="0" w:line="312" w:lineRule="auto"/>
      <w:ind w:left="0" w:firstLine="0"/>
      <w:jc w:val="center"/>
    </w:pPr>
    <w:rPr>
      <w:rFonts w:ascii="黑体"/>
      <w:bCs w:val="0"/>
      <w:color w:val="auto"/>
      <w:spacing w:val="10"/>
      <w:kern w:val="0"/>
      <w:sz w:val="32"/>
      <w:szCs w:val="20"/>
      <w:lang w:val="zh-CN"/>
    </w:rPr>
  </w:style>
  <w:style w:type="paragraph" w:customStyle="1" w:styleId="741">
    <w:name w:val="样式 标题1 + 段前: 0.5 行"/>
    <w:basedOn w:val="1"/>
    <w:qFormat/>
    <w:uiPriority w:val="0"/>
    <w:pPr>
      <w:spacing w:beforeLines="50" w:line="500" w:lineRule="exact"/>
      <w:ind w:firstLine="200" w:firstLineChars="200"/>
      <w:jc w:val="left"/>
      <w:outlineLvl w:val="0"/>
    </w:pPr>
    <w:rPr>
      <w:b/>
      <w:bCs/>
      <w:sz w:val="32"/>
      <w:szCs w:val="20"/>
    </w:rPr>
  </w:style>
  <w:style w:type="paragraph" w:customStyle="1" w:styleId="742">
    <w:name w:val="假设列表"/>
    <w:semiHidden/>
    <w:qFormat/>
    <w:uiPriority w:val="0"/>
    <w:pPr>
      <w:tabs>
        <w:tab w:val="left" w:pos="1200"/>
      </w:tabs>
      <w:spacing w:before="156"/>
      <w:ind w:left="1200" w:hanging="720"/>
    </w:pPr>
    <w:rPr>
      <w:rFonts w:ascii="仿宋_GB2312" w:hAnsi="Times New Roman" w:eastAsia="仿宋_GB2312" w:cs="Times New Roman"/>
      <w:sz w:val="24"/>
      <w:lang w:val="en-US" w:eastAsia="zh-CN" w:bidi="ar-SA"/>
    </w:rPr>
  </w:style>
  <w:style w:type="paragraph" w:customStyle="1" w:styleId="743">
    <w:name w:val="Char Char Char2 Char Char Char Char Char"/>
    <w:basedOn w:val="1"/>
    <w:uiPriority w:val="0"/>
    <w:pPr>
      <w:spacing w:before="20" w:beforeLines="20" w:line="440" w:lineRule="atLeast"/>
      <w:ind w:firstLine="200" w:firstLineChars="200"/>
    </w:pPr>
    <w:rPr>
      <w:sz w:val="24"/>
    </w:rPr>
  </w:style>
  <w:style w:type="paragraph" w:customStyle="1" w:styleId="744">
    <w:name w:val="样式 (中文) 仿宋_GB2312 四号 黑色"/>
    <w:basedOn w:val="1"/>
    <w:qFormat/>
    <w:uiPriority w:val="99"/>
    <w:pPr>
      <w:spacing w:line="580" w:lineRule="exact"/>
      <w:ind w:left="178" w:leftChars="85" w:firstLine="496" w:firstLineChars="177"/>
    </w:pPr>
    <w:rPr>
      <w:rFonts w:eastAsia="仿宋_GB2312" w:cs="宋体"/>
      <w:color w:val="000000"/>
      <w:sz w:val="28"/>
      <w:szCs w:val="20"/>
    </w:rPr>
  </w:style>
  <w:style w:type="paragraph" w:customStyle="1" w:styleId="745">
    <w:name w:val="Char Char Char Char Char Char Char Char Char Char Char Char Char Char Char"/>
    <w:basedOn w:val="1"/>
    <w:qFormat/>
    <w:uiPriority w:val="0"/>
    <w:pPr>
      <w:spacing w:before="60" w:line="460" w:lineRule="exact"/>
    </w:pPr>
    <w:rPr>
      <w:szCs w:val="20"/>
    </w:rPr>
  </w:style>
  <w:style w:type="paragraph" w:customStyle="1" w:styleId="746">
    <w:name w:val="样式10"/>
    <w:basedOn w:val="747"/>
    <w:qFormat/>
    <w:uiPriority w:val="0"/>
    <w:pPr>
      <w:spacing w:before="0" w:line="500" w:lineRule="exact"/>
      <w:ind w:firstLine="480" w:firstLineChars="200"/>
      <w:jc w:val="both"/>
    </w:pPr>
    <w:rPr>
      <w:rFonts w:hAnsi="宋体"/>
    </w:rPr>
  </w:style>
  <w:style w:type="paragraph" w:customStyle="1" w:styleId="747">
    <w:name w:val="样式5"/>
    <w:basedOn w:val="1"/>
    <w:qFormat/>
    <w:uiPriority w:val="0"/>
    <w:pPr>
      <w:spacing w:before="60" w:line="460" w:lineRule="exact"/>
      <w:jc w:val="center"/>
    </w:pPr>
    <w:rPr>
      <w:sz w:val="24"/>
    </w:rPr>
  </w:style>
  <w:style w:type="paragraph" w:customStyle="1" w:styleId="748">
    <w:name w:val="Filename"/>
    <w:basedOn w:val="57"/>
    <w:semiHidden/>
    <w:qFormat/>
    <w:uiPriority w:val="0"/>
    <w:pPr>
      <w:widowControl/>
      <w:numPr>
        <w:ilvl w:val="0"/>
        <w:numId w:val="13"/>
      </w:numPr>
      <w:tabs>
        <w:tab w:val="clear" w:pos="1080"/>
      </w:tabs>
      <w:snapToGrid/>
      <w:spacing w:before="72"/>
      <w:ind w:left="0" w:firstLine="0" w:firstLineChars="200"/>
    </w:pPr>
    <w:rPr>
      <w:rFonts w:eastAsia="PMingLiU"/>
      <w:caps/>
      <w:sz w:val="12"/>
      <w:lang w:val="en-GB" w:eastAsia="zh-TW"/>
    </w:rPr>
  </w:style>
  <w:style w:type="paragraph" w:customStyle="1" w:styleId="749">
    <w:name w:val="Char Char Char Char Char Char Char 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cs="宋体"/>
      <w:sz w:val="24"/>
    </w:rPr>
  </w:style>
  <w:style w:type="paragraph" w:customStyle="1" w:styleId="750">
    <w:name w:val="表格01"/>
    <w:basedOn w:val="1"/>
    <w:qFormat/>
    <w:uiPriority w:val="0"/>
    <w:pPr>
      <w:spacing w:before="60" w:line="460" w:lineRule="exact"/>
      <w:jc w:val="center"/>
    </w:pPr>
    <w:rPr>
      <w:sz w:val="24"/>
      <w:szCs w:val="20"/>
    </w:rPr>
  </w:style>
  <w:style w:type="paragraph" w:customStyle="1" w:styleId="751">
    <w:name w:val="Char Char Char2 Char Char Char Char Char1"/>
    <w:basedOn w:val="1"/>
    <w:qFormat/>
    <w:uiPriority w:val="0"/>
    <w:pPr>
      <w:spacing w:beforeLines="20" w:line="440" w:lineRule="atLeast"/>
      <w:ind w:firstLine="200" w:firstLineChars="200"/>
    </w:pPr>
    <w:rPr>
      <w:sz w:val="24"/>
    </w:rPr>
  </w:style>
  <w:style w:type="paragraph" w:customStyle="1" w:styleId="752">
    <w:name w:val="批注主题 Char Char"/>
    <w:basedOn w:val="29"/>
    <w:next w:val="29"/>
    <w:qFormat/>
    <w:uiPriority w:val="0"/>
    <w:rPr>
      <w:b/>
      <w:szCs w:val="20"/>
      <w:lang w:val="zh-CN"/>
    </w:rPr>
  </w:style>
  <w:style w:type="paragraph" w:customStyle="1" w:styleId="753">
    <w:name w:val="biao2"/>
    <w:basedOn w:val="1"/>
    <w:qFormat/>
    <w:uiPriority w:val="0"/>
    <w:pPr>
      <w:widowControl/>
      <w:adjustRightInd w:val="0"/>
      <w:spacing w:before="100" w:after="100" w:line="460" w:lineRule="exact"/>
      <w:ind w:firstLine="200" w:firstLineChars="200"/>
      <w:jc w:val="center"/>
      <w:textAlignment w:val="center"/>
    </w:pPr>
    <w:rPr>
      <w:rFonts w:ascii="??" w:hAnsi="??"/>
      <w:color w:val="000000"/>
      <w:kern w:val="0"/>
      <w:sz w:val="27"/>
      <w:szCs w:val="20"/>
    </w:rPr>
  </w:style>
  <w:style w:type="paragraph" w:customStyle="1" w:styleId="754">
    <w:name w:val="标题11"/>
    <w:basedOn w:val="1"/>
    <w:next w:val="5"/>
    <w:uiPriority w:val="0"/>
    <w:pPr>
      <w:adjustRightInd w:val="0"/>
      <w:snapToGrid w:val="0"/>
      <w:spacing w:before="480" w:line="440" w:lineRule="exact"/>
      <w:ind w:firstLine="200" w:firstLineChars="200"/>
      <w:jc w:val="center"/>
    </w:pPr>
    <w:rPr>
      <w:rFonts w:eastAsia="黑体"/>
      <w:b/>
      <w:sz w:val="32"/>
      <w:szCs w:val="20"/>
    </w:rPr>
  </w:style>
  <w:style w:type="paragraph" w:customStyle="1" w:styleId="755">
    <w:name w:val="In Table (II)"/>
    <w:basedOn w:val="756"/>
    <w:qFormat/>
    <w:uiPriority w:val="0"/>
    <w:pPr>
      <w:tabs>
        <w:tab w:val="left" w:pos="2200"/>
        <w:tab w:val="left" w:pos="3960"/>
        <w:tab w:val="left" w:pos="5280"/>
      </w:tabs>
      <w:spacing w:before="60" w:after="60"/>
      <w:ind w:left="52" w:leftChars="20" w:right="-588"/>
      <w:jc w:val="both"/>
    </w:pPr>
    <w:rPr>
      <w:sz w:val="18"/>
    </w:rPr>
  </w:style>
  <w:style w:type="paragraph" w:customStyle="1" w:styleId="756">
    <w:name w:val="In Table"/>
    <w:basedOn w:val="1"/>
    <w:qFormat/>
    <w:uiPriority w:val="0"/>
    <w:pPr>
      <w:tabs>
        <w:tab w:val="left" w:pos="2200"/>
        <w:tab w:val="left" w:pos="3960"/>
        <w:tab w:val="left" w:pos="5280"/>
      </w:tabs>
      <w:spacing w:before="96" w:after="96" w:line="0" w:lineRule="atLeast"/>
      <w:jc w:val="center"/>
    </w:pPr>
    <w:rPr>
      <w:rFonts w:hint="eastAsia" w:ascii="Tahoma" w:hAnsi="Tahoma" w:eastAsia="华文中宋"/>
      <w:szCs w:val="20"/>
    </w:rPr>
  </w:style>
  <w:style w:type="paragraph" w:customStyle="1" w:styleId="757">
    <w:name w:val="样式7"/>
    <w:basedOn w:val="758"/>
    <w:qFormat/>
    <w:uiPriority w:val="0"/>
    <w:pPr>
      <w:spacing w:line="440" w:lineRule="exact"/>
    </w:pPr>
    <w:rPr>
      <w:snapToGrid/>
      <w:kern w:val="2"/>
    </w:rPr>
  </w:style>
  <w:style w:type="paragraph" w:customStyle="1" w:styleId="758">
    <w:name w:val="三级标题 Char"/>
    <w:basedOn w:val="1"/>
    <w:uiPriority w:val="0"/>
    <w:pPr>
      <w:spacing w:before="260" w:line="460" w:lineRule="exact"/>
      <w:outlineLvl w:val="2"/>
    </w:pPr>
    <w:rPr>
      <w:b/>
      <w:bCs/>
      <w:snapToGrid w:val="0"/>
      <w:kern w:val="0"/>
      <w:sz w:val="24"/>
    </w:rPr>
  </w:style>
  <w:style w:type="paragraph" w:customStyle="1" w:styleId="759">
    <w:name w:val="表格文字居中"/>
    <w:basedOn w:val="1"/>
    <w:qFormat/>
    <w:uiPriority w:val="0"/>
    <w:pPr>
      <w:adjustRightInd w:val="0"/>
      <w:snapToGrid w:val="0"/>
      <w:spacing w:before="60" w:line="440" w:lineRule="exact"/>
      <w:ind w:firstLine="200" w:firstLineChars="200"/>
      <w:jc w:val="center"/>
    </w:pPr>
    <w:rPr>
      <w:rFonts w:ascii="宋体"/>
      <w:szCs w:val="20"/>
    </w:rPr>
  </w:style>
  <w:style w:type="paragraph" w:customStyle="1" w:styleId="760">
    <w:name w:val="zg1"/>
    <w:basedOn w:val="1"/>
    <w:qFormat/>
    <w:uiPriority w:val="0"/>
    <w:pPr>
      <w:adjustRightInd w:val="0"/>
      <w:spacing w:before="60" w:line="500" w:lineRule="exact"/>
      <w:ind w:firstLine="200" w:firstLineChars="200"/>
      <w:textAlignment w:val="baseline"/>
    </w:pPr>
    <w:rPr>
      <w:rFonts w:ascii="宋体"/>
      <w:sz w:val="24"/>
      <w:szCs w:val="20"/>
    </w:rPr>
  </w:style>
  <w:style w:type="paragraph" w:customStyle="1" w:styleId="761">
    <w:name w:val="样式 1级标题 + Times New Roman"/>
    <w:basedOn w:val="240"/>
    <w:qFormat/>
    <w:uiPriority w:val="0"/>
    <w:pPr>
      <w:widowControl w:val="0"/>
    </w:pPr>
    <w:rPr>
      <w:bCs/>
      <w:color w:val="auto"/>
      <w:kern w:val="2"/>
      <w:szCs w:val="32"/>
    </w:rPr>
  </w:style>
  <w:style w:type="paragraph" w:customStyle="1" w:styleId="762">
    <w:name w:val="_Style 1"/>
    <w:basedOn w:val="1"/>
    <w:next w:val="22"/>
    <w:qFormat/>
    <w:uiPriority w:val="0"/>
    <w:pPr>
      <w:adjustRightInd w:val="0"/>
      <w:spacing w:before="60" w:line="288" w:lineRule="auto"/>
      <w:ind w:firstLine="200" w:firstLineChars="200"/>
      <w:textAlignment w:val="baseline"/>
    </w:pPr>
    <w:rPr>
      <w:rFonts w:ascii="宋体"/>
      <w:sz w:val="24"/>
      <w:szCs w:val="20"/>
    </w:rPr>
  </w:style>
  <w:style w:type="paragraph" w:customStyle="1" w:styleId="763">
    <w:name w:val="Char Char Char1 Char"/>
    <w:basedOn w:val="1"/>
    <w:qFormat/>
    <w:uiPriority w:val="0"/>
  </w:style>
  <w:style w:type="paragraph" w:customStyle="1" w:styleId="764">
    <w:name w:val="Body Text 22"/>
    <w:basedOn w:val="1"/>
    <w:qFormat/>
    <w:uiPriority w:val="99"/>
    <w:pPr>
      <w:adjustRightInd w:val="0"/>
      <w:spacing w:before="60" w:line="440" w:lineRule="atLeast"/>
      <w:ind w:firstLine="480"/>
      <w:textAlignment w:val="baseline"/>
    </w:pPr>
    <w:rPr>
      <w:rFonts w:eastAsia="仿宋_GB2312"/>
      <w:sz w:val="24"/>
      <w:szCs w:val="20"/>
    </w:rPr>
  </w:style>
  <w:style w:type="paragraph" w:customStyle="1" w:styleId="765">
    <w:name w:val="1标题2级"/>
    <w:basedOn w:val="1"/>
    <w:qFormat/>
    <w:uiPriority w:val="0"/>
    <w:pPr>
      <w:keepNext/>
      <w:snapToGrid w:val="0"/>
      <w:spacing w:before="60" w:line="420" w:lineRule="auto"/>
      <w:ind w:firstLine="200" w:firstLineChars="200"/>
    </w:pPr>
    <w:rPr>
      <w:rFonts w:eastAsia="黑体"/>
      <w:b/>
      <w:sz w:val="30"/>
      <w:szCs w:val="20"/>
    </w:rPr>
  </w:style>
  <w:style w:type="paragraph" w:customStyle="1" w:styleId="766">
    <w:name w:val="Char Char1 Char Char Char1 Char Char Char Char Char Char Char Char Char Char Char Char Char Char Char Char Char Char Char Char Char Char"/>
    <w:basedOn w:val="1"/>
    <w:qFormat/>
    <w:uiPriority w:val="0"/>
    <w:pPr>
      <w:spacing w:beforeLines="20" w:line="440" w:lineRule="atLeast"/>
      <w:ind w:firstLine="200" w:firstLineChars="200"/>
    </w:pPr>
    <w:rPr>
      <w:sz w:val="24"/>
    </w:rPr>
  </w:style>
  <w:style w:type="paragraph" w:customStyle="1" w:styleId="767">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68">
    <w:name w:val="表1"/>
    <w:basedOn w:val="1"/>
    <w:next w:val="1"/>
    <w:qFormat/>
    <w:uiPriority w:val="0"/>
    <w:pPr>
      <w:spacing w:line="300" w:lineRule="auto"/>
      <w:ind w:left="900" w:leftChars="200" w:hanging="480" w:hangingChars="200"/>
      <w:jc w:val="center"/>
    </w:pPr>
    <w:rPr>
      <w:sz w:val="24"/>
    </w:rPr>
  </w:style>
  <w:style w:type="paragraph" w:customStyle="1" w:styleId="769">
    <w:name w:val="表文_M5"/>
    <w:uiPriority w:val="0"/>
    <w:pPr>
      <w:widowControl w:val="0"/>
      <w:spacing w:line="360" w:lineRule="exact"/>
      <w:jc w:val="center"/>
    </w:pPr>
    <w:rPr>
      <w:rFonts w:ascii="Garamond" w:hAnsi="Garamond" w:eastAsia="楷体_GB2312" w:cs="Times New Roman"/>
      <w:bCs/>
      <w:color w:val="000000"/>
      <w:sz w:val="21"/>
      <w:szCs w:val="21"/>
      <w:lang w:val="en-US" w:eastAsia="zh-CN" w:bidi="ar-SA"/>
    </w:rPr>
  </w:style>
  <w:style w:type="paragraph" w:customStyle="1" w:styleId="770">
    <w:name w:val="样式9"/>
    <w:basedOn w:val="7"/>
    <w:qFormat/>
    <w:uiPriority w:val="0"/>
    <w:pPr>
      <w:widowControl w:val="0"/>
      <w:tabs>
        <w:tab w:val="left" w:pos="2903"/>
      </w:tabs>
      <w:spacing w:before="120" w:after="0" w:line="240" w:lineRule="auto"/>
      <w:ind w:left="2903" w:hanging="563" w:firstLineChars="0"/>
      <w:jc w:val="center"/>
    </w:pPr>
    <w:rPr>
      <w:rFonts w:ascii="Arial" w:hAnsi="Arial" w:eastAsia="仿宋_GB2312"/>
      <w:bCs w:val="0"/>
      <w:kern w:val="0"/>
      <w:sz w:val="24"/>
      <w:szCs w:val="20"/>
    </w:rPr>
  </w:style>
  <w:style w:type="paragraph" w:customStyle="1" w:styleId="771">
    <w:name w:val="title2"/>
    <w:basedOn w:val="1"/>
    <w:qFormat/>
    <w:uiPriority w:val="0"/>
    <w:pPr>
      <w:widowControl/>
      <w:spacing w:before="100" w:beforeAutospacing="1" w:after="100" w:afterAutospacing="1" w:line="312" w:lineRule="auto"/>
      <w:jc w:val="left"/>
    </w:pPr>
    <w:rPr>
      <w:kern w:val="0"/>
      <w:szCs w:val="21"/>
    </w:rPr>
  </w:style>
  <w:style w:type="paragraph" w:customStyle="1" w:styleId="772">
    <w:name w:val="燕山正文"/>
    <w:basedOn w:val="1"/>
    <w:qFormat/>
    <w:uiPriority w:val="0"/>
    <w:pPr>
      <w:tabs>
        <w:tab w:val="left" w:pos="4680"/>
      </w:tabs>
      <w:adjustRightInd w:val="0"/>
      <w:snapToGrid w:val="0"/>
      <w:spacing w:line="360" w:lineRule="auto"/>
      <w:ind w:firstLine="560" w:firstLineChars="200"/>
    </w:pPr>
    <w:rPr>
      <w:rFonts w:ascii="宋体" w:hAnsi="宋体"/>
      <w:color w:val="000000"/>
      <w:sz w:val="28"/>
      <w:szCs w:val="28"/>
    </w:rPr>
  </w:style>
  <w:style w:type="paragraph" w:customStyle="1" w:styleId="773">
    <w:name w:val="表格样式"/>
    <w:basedOn w:val="1"/>
    <w:uiPriority w:val="0"/>
    <w:pPr>
      <w:adjustRightInd w:val="0"/>
      <w:snapToGrid w:val="0"/>
    </w:pPr>
    <w:rPr>
      <w:sz w:val="24"/>
    </w:rPr>
  </w:style>
  <w:style w:type="paragraph" w:customStyle="1" w:styleId="774">
    <w:name w:val="Char Char Char2 Char Char Char"/>
    <w:basedOn w:val="1"/>
    <w:qFormat/>
    <w:uiPriority w:val="0"/>
    <w:pPr>
      <w:spacing w:beforeLines="20" w:line="440" w:lineRule="atLeast"/>
      <w:ind w:firstLine="200" w:firstLineChars="200"/>
    </w:pPr>
    <w:rPr>
      <w:sz w:val="24"/>
    </w:rPr>
  </w:style>
  <w:style w:type="paragraph" w:customStyle="1" w:styleId="775">
    <w:name w:val="f&lt;4&gt;23.5"/>
    <w:qFormat/>
    <w:uiPriority w:val="0"/>
    <w:pPr>
      <w:widowControl w:val="0"/>
      <w:adjustRightInd w:val="0"/>
      <w:spacing w:line="470" w:lineRule="atLeast"/>
      <w:textAlignment w:val="baseline"/>
    </w:pPr>
    <w:rPr>
      <w:rFonts w:ascii="仿宋体" w:hAnsi="Times New Roman" w:eastAsia="仿宋体" w:cs="Times New Roman"/>
      <w:kern w:val="24"/>
      <w:sz w:val="24"/>
      <w:lang w:val="en-US" w:eastAsia="zh-CN" w:bidi="ar-SA"/>
    </w:rPr>
  </w:style>
  <w:style w:type="paragraph" w:customStyle="1" w:styleId="776">
    <w:name w:val="新正文"/>
    <w:basedOn w:val="1"/>
    <w:qFormat/>
    <w:uiPriority w:val="0"/>
    <w:pPr>
      <w:spacing w:before="60" w:line="460" w:lineRule="exact"/>
      <w:ind w:firstLine="200" w:firstLineChars="200"/>
    </w:pPr>
    <w:rPr>
      <w:sz w:val="24"/>
    </w:rPr>
  </w:style>
  <w:style w:type="paragraph" w:customStyle="1" w:styleId="777">
    <w:name w:val="正文3"/>
    <w:qFormat/>
    <w:uiPriority w:val="0"/>
    <w:pPr>
      <w:widowControl w:val="0"/>
      <w:adjustRightInd w:val="0"/>
      <w:spacing w:before="60" w:line="360" w:lineRule="atLeast"/>
      <w:jc w:val="both"/>
      <w:textAlignment w:val="baseline"/>
    </w:pPr>
    <w:rPr>
      <w:rFonts w:ascii="宋体" w:hAnsi="Times New Roman" w:eastAsia="宋体" w:cs="Times New Roman"/>
      <w:sz w:val="24"/>
      <w:lang w:val="en-US" w:eastAsia="zh-CN" w:bidi="ar-SA"/>
    </w:rPr>
  </w:style>
  <w:style w:type="paragraph" w:customStyle="1" w:styleId="778">
    <w:name w:val="4"/>
    <w:basedOn w:val="1"/>
    <w:next w:val="41"/>
    <w:uiPriority w:val="0"/>
    <w:pPr>
      <w:spacing w:before="60" w:line="20" w:lineRule="atLeast"/>
      <w:ind w:left="-85" w:leftChars="-85" w:right="-187" w:rightChars="-187" w:firstLine="200" w:firstLineChars="200"/>
    </w:pPr>
    <w:rPr>
      <w:bCs/>
      <w:sz w:val="28"/>
    </w:rPr>
  </w:style>
  <w:style w:type="paragraph" w:customStyle="1" w:styleId="779">
    <w:name w:val="修订1"/>
    <w:uiPriority w:val="99"/>
    <w:rPr>
      <w:rFonts w:ascii="Calibri" w:hAnsi="Calibri" w:eastAsia="宋体" w:cs="Times New Roman"/>
      <w:kern w:val="2"/>
      <w:sz w:val="21"/>
      <w:szCs w:val="22"/>
      <w:lang w:val="en-US" w:eastAsia="zh-CN" w:bidi="ar-SA"/>
    </w:rPr>
  </w:style>
  <w:style w:type="paragraph" w:customStyle="1" w:styleId="780">
    <w:name w:val="正文文本 21"/>
    <w:basedOn w:val="1"/>
    <w:qFormat/>
    <w:uiPriority w:val="0"/>
    <w:pPr>
      <w:adjustRightInd w:val="0"/>
      <w:spacing w:before="60" w:line="460" w:lineRule="exact"/>
      <w:ind w:right="9" w:firstLine="630"/>
      <w:textAlignment w:val="baseline"/>
    </w:pPr>
    <w:rPr>
      <w:rFonts w:ascii="楷体_GB2312" w:eastAsia="楷体_GB2312"/>
      <w:sz w:val="28"/>
      <w:szCs w:val="20"/>
    </w:rPr>
  </w:style>
  <w:style w:type="paragraph" w:customStyle="1" w:styleId="781">
    <w:name w:val="表格_表头"/>
    <w:next w:val="1"/>
    <w:qFormat/>
    <w:uiPriority w:val="0"/>
    <w:pPr>
      <w:widowControl w:val="0"/>
      <w:spacing w:line="258" w:lineRule="atLeast"/>
      <w:jc w:val="center"/>
    </w:pPr>
    <w:rPr>
      <w:rFonts w:ascii="Times New Roman" w:hAnsi="Times New Roman" w:eastAsia="宋体" w:cs="Times New Roman"/>
      <w:b/>
      <w:bCs/>
      <w:kern w:val="2"/>
      <w:sz w:val="21"/>
      <w:szCs w:val="16"/>
      <w:lang w:val="en-US" w:eastAsia="zh-CN" w:bidi="ar-SA"/>
    </w:rPr>
  </w:style>
  <w:style w:type="paragraph" w:customStyle="1" w:styleId="782">
    <w:name w:val="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783">
    <w:name w:val="样式 正文001 + Times New Roman Char Char Char"/>
    <w:basedOn w:val="708"/>
    <w:qFormat/>
    <w:uiPriority w:val="0"/>
    <w:pPr>
      <w:spacing w:before="60" w:line="460" w:lineRule="exact"/>
      <w:ind w:firstLine="482" w:firstLineChars="0"/>
    </w:pPr>
  </w:style>
  <w:style w:type="paragraph" w:customStyle="1" w:styleId="784">
    <w:name w:val="Char Char Char Char Char Char Char Char Char1"/>
    <w:basedOn w:val="1"/>
    <w:uiPriority w:val="0"/>
    <w:pPr>
      <w:spacing w:line="360" w:lineRule="auto"/>
      <w:ind w:firstLine="200" w:firstLineChars="200"/>
    </w:pPr>
    <w:rPr>
      <w:rFonts w:ascii="宋体" w:hAnsi="宋体"/>
      <w:sz w:val="24"/>
      <w:szCs w:val="20"/>
    </w:rPr>
  </w:style>
  <w:style w:type="paragraph" w:customStyle="1" w:styleId="785">
    <w:name w:val="正文（首行缩进）"/>
    <w:basedOn w:val="1"/>
    <w:qFormat/>
    <w:uiPriority w:val="0"/>
    <w:pPr>
      <w:autoSpaceDE w:val="0"/>
      <w:autoSpaceDN w:val="0"/>
      <w:adjustRightInd w:val="0"/>
      <w:snapToGrid w:val="0"/>
      <w:spacing w:before="60" w:afterLines="50" w:line="460" w:lineRule="exact"/>
      <w:ind w:firstLine="200" w:firstLineChars="200"/>
    </w:pPr>
    <w:rPr>
      <w:rFonts w:ascii="仿宋_GB2312" w:eastAsia="仿宋_GB2312"/>
      <w:kern w:val="0"/>
      <w:sz w:val="24"/>
      <w:szCs w:val="25"/>
    </w:rPr>
  </w:style>
  <w:style w:type="paragraph" w:customStyle="1" w:styleId="786">
    <w:name w:val="标题03"/>
    <w:basedOn w:val="1"/>
    <w:next w:val="1"/>
    <w:qFormat/>
    <w:uiPriority w:val="0"/>
    <w:pPr>
      <w:spacing w:line="480" w:lineRule="atLeast"/>
      <w:ind w:firstLine="480"/>
    </w:pPr>
    <w:rPr>
      <w:b/>
      <w:sz w:val="24"/>
      <w:szCs w:val="20"/>
    </w:rPr>
  </w:style>
  <w:style w:type="paragraph" w:customStyle="1" w:styleId="787">
    <w:name w:val="标题 31"/>
    <w:basedOn w:val="1"/>
    <w:next w:val="1"/>
    <w:uiPriority w:val="0"/>
    <w:pPr>
      <w:keepNext/>
      <w:keepLines/>
      <w:adjustRightInd w:val="0"/>
      <w:spacing w:before="120" w:after="120" w:line="500" w:lineRule="exact"/>
      <w:ind w:firstLine="200" w:firstLineChars="200"/>
      <w:textAlignment w:val="baseline"/>
    </w:pPr>
    <w:rPr>
      <w:rFonts w:ascii="宋体" w:hAnsi="宋体" w:eastAsia="黑体"/>
      <w:sz w:val="30"/>
      <w:szCs w:val="20"/>
    </w:rPr>
  </w:style>
  <w:style w:type="paragraph" w:customStyle="1" w:styleId="788">
    <w:name w:val="框图"/>
    <w:basedOn w:val="1"/>
    <w:uiPriority w:val="0"/>
    <w:pPr>
      <w:adjustRightInd w:val="0"/>
      <w:snapToGrid w:val="0"/>
      <w:spacing w:before="60" w:line="320" w:lineRule="exact"/>
      <w:ind w:firstLine="200" w:firstLineChars="200"/>
      <w:jc w:val="center"/>
    </w:pPr>
    <w:rPr>
      <w:kern w:val="0"/>
      <w:szCs w:val="20"/>
    </w:rPr>
  </w:style>
  <w:style w:type="paragraph" w:customStyle="1" w:styleId="789">
    <w:name w:val="Char2 Char Char Char Char Char Char Char Char Char Char Char Char"/>
    <w:basedOn w:val="1"/>
    <w:qFormat/>
    <w:uiPriority w:val="0"/>
    <w:pPr>
      <w:spacing w:beforeLines="20" w:line="440" w:lineRule="atLeast"/>
      <w:ind w:firstLine="200" w:firstLineChars="200"/>
    </w:pPr>
    <w:rPr>
      <w:sz w:val="24"/>
    </w:rPr>
  </w:style>
  <w:style w:type="paragraph" w:customStyle="1" w:styleId="790">
    <w:name w:val="Char1 Char Char Char Char Char1"/>
    <w:basedOn w:val="1"/>
    <w:qFormat/>
    <w:uiPriority w:val="0"/>
    <w:rPr>
      <w:sz w:val="24"/>
    </w:rPr>
  </w:style>
  <w:style w:type="paragraph" w:customStyle="1" w:styleId="791">
    <w:name w:val="基准页眉样式"/>
    <w:basedOn w:val="35"/>
    <w:qFormat/>
    <w:uiPriority w:val="0"/>
    <w:pPr>
      <w:widowControl w:val="0"/>
      <w:spacing w:before="80" w:after="80" w:line="460" w:lineRule="exact"/>
      <w:ind w:right="0" w:firstLine="200" w:firstLineChars="200"/>
      <w:jc w:val="center"/>
    </w:pPr>
    <w:rPr>
      <w:color w:val="000000"/>
      <w:kern w:val="2"/>
      <w:sz w:val="24"/>
      <w:lang w:val="zh-CN"/>
    </w:rPr>
  </w:style>
  <w:style w:type="paragraph" w:customStyle="1" w:styleId="792">
    <w:name w:val="样式 2级标题 + Times New Roman"/>
    <w:basedOn w:val="569"/>
    <w:qFormat/>
    <w:uiPriority w:val="0"/>
    <w:rPr>
      <w:rFonts w:ascii="Times New Roman" w:hAnsi="Times New Roman"/>
      <w:bCs/>
      <w:szCs w:val="28"/>
    </w:rPr>
  </w:style>
  <w:style w:type="paragraph" w:customStyle="1" w:styleId="793">
    <w:name w:val="标题样式"/>
    <w:basedOn w:val="794"/>
    <w:uiPriority w:val="0"/>
    <w:pPr>
      <w:keepLines/>
      <w:adjustRightInd w:val="0"/>
      <w:spacing w:before="0" w:line="360" w:lineRule="auto"/>
      <w:ind w:firstLine="0" w:firstLineChars="0"/>
      <w:jc w:val="left"/>
      <w:textAlignment w:val="baseline"/>
    </w:pPr>
    <w:rPr>
      <w:rFonts w:ascii="宋体" w:hAnsi="宋体"/>
      <w:szCs w:val="18"/>
    </w:rPr>
  </w:style>
  <w:style w:type="paragraph" w:customStyle="1" w:styleId="794">
    <w:name w:val="正文样式1"/>
    <w:basedOn w:val="1"/>
    <w:uiPriority w:val="0"/>
    <w:pPr>
      <w:spacing w:before="60" w:line="460" w:lineRule="exact"/>
      <w:ind w:firstLine="200" w:firstLineChars="200"/>
    </w:pPr>
    <w:rPr>
      <w:kern w:val="0"/>
      <w:sz w:val="24"/>
    </w:rPr>
  </w:style>
  <w:style w:type="paragraph" w:customStyle="1" w:styleId="795">
    <w:name w:val="Char Char Char Char Char Char Char Char Char Char Char Char Char1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96">
    <w:name w:val="Char Char Char Char Char Char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797">
    <w:name w:val="Char Char Char2 Char Char Char Char Char Char Char Char Char Char Char Char Char Char Char"/>
    <w:basedOn w:val="1"/>
    <w:uiPriority w:val="0"/>
    <w:pPr>
      <w:spacing w:beforeLines="20" w:line="440" w:lineRule="atLeast"/>
      <w:ind w:firstLine="200" w:firstLineChars="200"/>
    </w:pPr>
    <w:rPr>
      <w:sz w:val="24"/>
    </w:rPr>
  </w:style>
  <w:style w:type="paragraph" w:customStyle="1" w:styleId="798">
    <w:name w:val="font6"/>
    <w:basedOn w:val="1"/>
    <w:qFormat/>
    <w:uiPriority w:val="0"/>
    <w:pPr>
      <w:widowControl/>
      <w:spacing w:before="100" w:beforeAutospacing="1" w:after="100" w:afterAutospacing="1" w:line="460" w:lineRule="exact"/>
      <w:jc w:val="left"/>
    </w:pPr>
    <w:rPr>
      <w:rFonts w:ascii="宋体"/>
      <w:kern w:val="0"/>
      <w:szCs w:val="21"/>
    </w:rPr>
  </w:style>
  <w:style w:type="paragraph" w:customStyle="1" w:styleId="799">
    <w:name w:val="lsw表格文字"/>
    <w:basedOn w:val="1"/>
    <w:uiPriority w:val="0"/>
    <w:pPr>
      <w:ind w:left="-32" w:leftChars="-32" w:hanging="67" w:hangingChars="32"/>
      <w:jc w:val="center"/>
    </w:pPr>
  </w:style>
  <w:style w:type="paragraph" w:customStyle="1" w:styleId="800">
    <w:name w:val="表格_正文"/>
    <w:qFormat/>
    <w:uiPriority w:val="0"/>
    <w:pPr>
      <w:snapToGrid w:val="0"/>
      <w:spacing w:before="60" w:after="60"/>
    </w:pPr>
    <w:rPr>
      <w:rFonts w:ascii="Times New Roman" w:hAnsi="Times New Roman" w:eastAsia="宋体" w:cs="Times New Roman"/>
      <w:sz w:val="21"/>
      <w:lang w:val="en-US" w:eastAsia="zh-CN" w:bidi="ar-SA"/>
    </w:rPr>
  </w:style>
  <w:style w:type="paragraph" w:customStyle="1" w:styleId="801">
    <w:name w:val="前言、引言标题"/>
    <w:next w:val="1"/>
    <w:qFormat/>
    <w:uiPriority w:val="0"/>
    <w:pPr>
      <w:shd w:val="clear" w:color="FFFFFF" w:fill="FFFFFF"/>
      <w:tabs>
        <w:tab w:val="left" w:pos="903"/>
      </w:tabs>
      <w:spacing w:before="640" w:after="560" w:line="460" w:lineRule="exact"/>
      <w:ind w:left="903" w:hanging="315"/>
      <w:jc w:val="center"/>
      <w:outlineLvl w:val="0"/>
    </w:pPr>
    <w:rPr>
      <w:rFonts w:ascii="黑体" w:hAnsi="Times New Roman" w:eastAsia="黑体" w:cs="Times New Roman"/>
      <w:sz w:val="32"/>
      <w:lang w:val="en-US" w:eastAsia="zh-CN" w:bidi="ar-SA"/>
    </w:rPr>
  </w:style>
  <w:style w:type="paragraph" w:customStyle="1" w:styleId="802">
    <w:name w:val="Char Char1 Char Char Char Char Char Char Char Char Char Char Char Char Char Char Char Char Char Char Char Char1 Char1"/>
    <w:basedOn w:val="1"/>
    <w:uiPriority w:val="0"/>
    <w:pPr>
      <w:spacing w:line="360" w:lineRule="auto"/>
      <w:ind w:firstLine="200" w:firstLineChars="200"/>
    </w:pPr>
    <w:rPr>
      <w:rFonts w:ascii="宋体" w:hAnsi="宋体" w:cs="宋体"/>
      <w:sz w:val="24"/>
    </w:rPr>
  </w:style>
  <w:style w:type="paragraph" w:customStyle="1" w:styleId="803">
    <w:name w:val="Report List 1"/>
    <w:basedOn w:val="67"/>
    <w:semiHidden/>
    <w:uiPriority w:val="0"/>
    <w:pPr>
      <w:widowControl/>
      <w:numPr>
        <w:ilvl w:val="0"/>
        <w:numId w:val="14"/>
      </w:numPr>
      <w:tabs>
        <w:tab w:val="left" w:pos="1440"/>
        <w:tab w:val="clear" w:pos="420"/>
      </w:tabs>
      <w:spacing w:before="138" w:line="360" w:lineRule="auto"/>
      <w:ind w:left="1440" w:hanging="360" w:firstLineChars="200"/>
      <w:jc w:val="left"/>
    </w:pPr>
    <w:rPr>
      <w:rFonts w:eastAsia="PMingLiU"/>
      <w:kern w:val="0"/>
      <w:szCs w:val="20"/>
      <w:lang w:val="en-GB" w:eastAsia="zh-TW"/>
    </w:rPr>
  </w:style>
  <w:style w:type="paragraph" w:customStyle="1" w:styleId="804">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DFKai-SB" w:eastAsia="DFKai-SB"/>
      <w:kern w:val="0"/>
      <w:sz w:val="24"/>
      <w:lang w:eastAsia="zh-TW"/>
    </w:rPr>
  </w:style>
  <w:style w:type="paragraph" w:customStyle="1" w:styleId="805">
    <w:name w:val="五号表格"/>
    <w:basedOn w:val="1"/>
    <w:qFormat/>
    <w:uiPriority w:val="99"/>
    <w:pPr>
      <w:spacing w:line="360" w:lineRule="auto"/>
      <w:jc w:val="center"/>
    </w:pPr>
    <w:rPr>
      <w:kern w:val="0"/>
      <w:sz w:val="24"/>
      <w:szCs w:val="20"/>
    </w:rPr>
  </w:style>
  <w:style w:type="paragraph" w:customStyle="1" w:styleId="806">
    <w:name w:val="表居中（中文）"/>
    <w:basedOn w:val="1"/>
    <w:qFormat/>
    <w:uiPriority w:val="0"/>
    <w:pPr>
      <w:adjustRightInd w:val="0"/>
      <w:spacing w:before="60" w:line="380" w:lineRule="atLeast"/>
      <w:ind w:firstLine="200" w:firstLineChars="200"/>
      <w:jc w:val="center"/>
    </w:pPr>
    <w:rPr>
      <w:rFonts w:eastAsia="楷体_GB2312"/>
      <w:kern w:val="0"/>
      <w:szCs w:val="20"/>
    </w:rPr>
  </w:style>
  <w:style w:type="paragraph" w:customStyle="1" w:styleId="80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460" w:lineRule="exact"/>
      <w:jc w:val="center"/>
      <w:textAlignment w:val="top"/>
    </w:pPr>
    <w:rPr>
      <w:kern w:val="0"/>
      <w:sz w:val="18"/>
      <w:szCs w:val="18"/>
    </w:rPr>
  </w:style>
  <w:style w:type="paragraph" w:customStyle="1" w:styleId="808">
    <w:name w:val="表2"/>
    <w:basedOn w:val="39"/>
    <w:uiPriority w:val="0"/>
    <w:pPr>
      <w:tabs>
        <w:tab w:val="left" w:pos="8304"/>
      </w:tabs>
      <w:autoSpaceDE w:val="0"/>
      <w:autoSpaceDN w:val="0"/>
      <w:adjustRightInd w:val="0"/>
      <w:ind w:left="2" w:leftChars="0" w:right="-32" w:rightChars="-32" w:firstLine="0" w:firstLineChars="0"/>
      <w:jc w:val="center"/>
    </w:pPr>
    <w:rPr>
      <w:rFonts w:ascii="宋体" w:hAnsi="宋体"/>
      <w:bCs/>
      <w:color w:val="000000"/>
      <w:kern w:val="0"/>
      <w:szCs w:val="21"/>
    </w:rPr>
  </w:style>
  <w:style w:type="paragraph" w:customStyle="1" w:styleId="809">
    <w:name w:val="正文缩进1"/>
    <w:basedOn w:val="1"/>
    <w:uiPriority w:val="0"/>
    <w:pPr>
      <w:widowControl/>
      <w:overflowPunct w:val="0"/>
      <w:autoSpaceDE w:val="0"/>
      <w:autoSpaceDN w:val="0"/>
      <w:adjustRightInd w:val="0"/>
      <w:spacing w:before="60" w:line="460" w:lineRule="exact"/>
      <w:ind w:firstLine="200"/>
      <w:textAlignment w:val="baseline"/>
    </w:pPr>
    <w:rPr>
      <w:kern w:val="0"/>
      <w:sz w:val="24"/>
    </w:rPr>
  </w:style>
  <w:style w:type="paragraph" w:customStyle="1" w:styleId="810">
    <w:name w:val="表题"/>
    <w:basedOn w:val="1"/>
    <w:qFormat/>
    <w:uiPriority w:val="0"/>
    <w:pPr>
      <w:snapToGrid w:val="0"/>
      <w:spacing w:before="60" w:line="460" w:lineRule="exact"/>
      <w:ind w:firstLine="200" w:firstLineChars="200"/>
      <w:jc w:val="center"/>
    </w:pPr>
    <w:rPr>
      <w:rFonts w:eastAsia="黑体"/>
      <w:sz w:val="24"/>
      <w:szCs w:val="20"/>
    </w:rPr>
  </w:style>
  <w:style w:type="paragraph" w:customStyle="1" w:styleId="811">
    <w:name w:val="表格编号"/>
    <w:basedOn w:val="1"/>
    <w:next w:val="1"/>
    <w:qFormat/>
    <w:uiPriority w:val="0"/>
    <w:pPr>
      <w:tabs>
        <w:tab w:val="left" w:pos="720"/>
      </w:tabs>
      <w:spacing w:before="300" w:after="200" w:line="460" w:lineRule="exact"/>
      <w:ind w:firstLine="200" w:firstLineChars="200"/>
      <w:jc w:val="center"/>
    </w:pPr>
    <w:rPr>
      <w:sz w:val="24"/>
      <w:szCs w:val="20"/>
    </w:rPr>
  </w:style>
  <w:style w:type="paragraph" w:customStyle="1" w:styleId="812">
    <w:name w:val="小四表文左齐"/>
    <w:basedOn w:val="1"/>
    <w:qFormat/>
    <w:uiPriority w:val="0"/>
    <w:pPr>
      <w:spacing w:before="60" w:line="460" w:lineRule="exact"/>
      <w:ind w:firstLine="200" w:firstLineChars="200"/>
      <w:jc w:val="center"/>
    </w:pPr>
  </w:style>
  <w:style w:type="paragraph" w:customStyle="1" w:styleId="813">
    <w:name w:val="批注框文本1"/>
    <w:basedOn w:val="1"/>
    <w:qFormat/>
    <w:uiPriority w:val="0"/>
    <w:pPr>
      <w:spacing w:before="60" w:line="460" w:lineRule="exact"/>
    </w:pPr>
    <w:rPr>
      <w:sz w:val="18"/>
      <w:szCs w:val="18"/>
    </w:rPr>
  </w:style>
  <w:style w:type="paragraph" w:customStyle="1" w:styleId="814">
    <w:name w:val="样式 首行缩进:  0.77 厘米 段前: 7.8 磅 段后: 0.5 行"/>
    <w:basedOn w:val="1"/>
    <w:uiPriority w:val="0"/>
    <w:pPr>
      <w:snapToGrid w:val="0"/>
      <w:spacing w:after="120" w:line="480" w:lineRule="exact"/>
      <w:ind w:firstLine="437"/>
    </w:pPr>
    <w:rPr>
      <w:rFonts w:eastAsia="仿宋_GB2312"/>
      <w:sz w:val="28"/>
      <w:szCs w:val="20"/>
    </w:rPr>
  </w:style>
  <w:style w:type="paragraph" w:customStyle="1" w:styleId="815">
    <w:name w:val="brdrw15brsp20 tqctx4153t"/>
    <w:qFormat/>
    <w:uiPriority w:val="0"/>
    <w:pPr>
      <w:widowControl w:val="0"/>
      <w:pBdr>
        <w:bottom w:val="single" w:color="auto" w:sz="6" w:space="0"/>
      </w:pBdr>
      <w:adjustRightInd w:val="0"/>
      <w:spacing w:before="60" w:line="312" w:lineRule="atLeast"/>
      <w:jc w:val="center"/>
      <w:textAlignment w:val="baseline"/>
    </w:pPr>
    <w:rPr>
      <w:rFonts w:ascii="Times New Roman" w:hAnsi="Times New Roman" w:eastAsia="宋体" w:cs="Times New Roman"/>
      <w:sz w:val="21"/>
      <w:lang w:val="en-US" w:eastAsia="zh-CN" w:bidi="ar-SA"/>
    </w:rPr>
  </w:style>
  <w:style w:type="paragraph" w:customStyle="1" w:styleId="816">
    <w:name w:val="表格样式2"/>
    <w:basedOn w:val="1"/>
    <w:qFormat/>
    <w:uiPriority w:val="0"/>
    <w:pPr>
      <w:spacing w:before="60" w:line="320" w:lineRule="exact"/>
      <w:jc w:val="center"/>
    </w:pPr>
    <w:rPr>
      <w:color w:val="000000"/>
      <w:szCs w:val="21"/>
    </w:rPr>
  </w:style>
  <w:style w:type="paragraph" w:customStyle="1" w:styleId="817">
    <w:name w:val="p15"/>
    <w:basedOn w:val="1"/>
    <w:qFormat/>
    <w:uiPriority w:val="0"/>
    <w:pPr>
      <w:widowControl/>
      <w:spacing w:before="60" w:line="460" w:lineRule="atLeast"/>
      <w:jc w:val="left"/>
    </w:pPr>
    <w:rPr>
      <w:kern w:val="0"/>
      <w:szCs w:val="21"/>
    </w:rPr>
  </w:style>
  <w:style w:type="paragraph" w:customStyle="1" w:styleId="818">
    <w:name w:val="样式20"/>
    <w:basedOn w:val="1"/>
    <w:qFormat/>
    <w:uiPriority w:val="0"/>
    <w:pPr>
      <w:spacing w:line="500" w:lineRule="exact"/>
      <w:ind w:firstLine="141" w:firstLineChars="50"/>
      <w:outlineLvl w:val="1"/>
    </w:pPr>
    <w:rPr>
      <w:rFonts w:eastAsia="Times New Roman"/>
      <w:b/>
      <w:sz w:val="28"/>
    </w:rPr>
  </w:style>
  <w:style w:type="paragraph" w:customStyle="1" w:styleId="819">
    <w:name w:val="正文文本缩进 21"/>
    <w:basedOn w:val="1"/>
    <w:qFormat/>
    <w:uiPriority w:val="0"/>
    <w:pPr>
      <w:adjustRightInd w:val="0"/>
      <w:spacing w:before="60" w:after="120" w:line="480" w:lineRule="auto"/>
      <w:ind w:left="420" w:firstLine="200" w:firstLineChars="200"/>
      <w:textAlignment w:val="baseline"/>
    </w:pPr>
    <w:rPr>
      <w:rFonts w:ascii="宋体"/>
      <w:sz w:val="24"/>
      <w:szCs w:val="20"/>
    </w:rPr>
  </w:style>
  <w:style w:type="paragraph" w:customStyle="1" w:styleId="820">
    <w:name w:val="my1"/>
    <w:basedOn w:val="595"/>
    <w:qFormat/>
    <w:uiPriority w:val="0"/>
    <w:pPr>
      <w:widowControl/>
      <w:spacing w:before="240" w:line="440" w:lineRule="exact"/>
      <w:ind w:firstLine="0" w:firstLineChars="0"/>
    </w:pPr>
    <w:rPr>
      <w:szCs w:val="20"/>
    </w:rPr>
  </w:style>
  <w:style w:type="paragraph" w:customStyle="1" w:styleId="821">
    <w:name w:val="Char Char Char2 Char Char Char Char Char Char Char Char Char Char Char Char Char Char Char Char Char Char Char Char"/>
    <w:basedOn w:val="1"/>
    <w:uiPriority w:val="0"/>
    <w:pPr>
      <w:spacing w:before="20" w:beforeLines="20" w:line="440" w:lineRule="atLeast"/>
      <w:ind w:firstLine="200" w:firstLineChars="200"/>
    </w:pPr>
    <w:rPr>
      <w:sz w:val="24"/>
    </w:rPr>
  </w:style>
  <w:style w:type="paragraph" w:customStyle="1" w:styleId="822">
    <w:name w:val="环正文"/>
    <w:basedOn w:val="1"/>
    <w:qFormat/>
    <w:uiPriority w:val="0"/>
    <w:pPr>
      <w:widowControl/>
      <w:tabs>
        <w:tab w:val="left" w:pos="5094"/>
      </w:tabs>
      <w:adjustRightInd w:val="0"/>
      <w:snapToGrid w:val="0"/>
      <w:spacing w:beforeLines="50" w:line="360" w:lineRule="auto"/>
      <w:ind w:firstLine="218" w:firstLineChars="218"/>
      <w:textAlignment w:val="baseline"/>
    </w:pPr>
    <w:rPr>
      <w:rFonts w:ascii="宋体"/>
      <w:kern w:val="0"/>
      <w:sz w:val="24"/>
      <w:szCs w:val="20"/>
    </w:rPr>
  </w:style>
  <w:style w:type="paragraph" w:customStyle="1" w:styleId="823">
    <w:name w:val="td"/>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824">
    <w:name w:val="正文文本 31"/>
    <w:basedOn w:val="1"/>
    <w:semiHidden/>
    <w:uiPriority w:val="0"/>
    <w:pPr>
      <w:adjustRightInd w:val="0"/>
      <w:spacing w:line="360" w:lineRule="atLeast"/>
      <w:jc w:val="center"/>
      <w:textAlignment w:val="baseline"/>
    </w:pPr>
    <w:rPr>
      <w:rFonts w:ascii="仿宋体" w:eastAsia="仿宋体"/>
      <w:kern w:val="0"/>
      <w:sz w:val="24"/>
      <w:szCs w:val="20"/>
    </w:rPr>
  </w:style>
  <w:style w:type="paragraph" w:customStyle="1" w:styleId="825">
    <w:name w:val="reader-word-layer reader-word-s1-19"/>
    <w:basedOn w:val="1"/>
    <w:uiPriority w:val="0"/>
    <w:pPr>
      <w:widowControl/>
      <w:spacing w:before="100" w:beforeAutospacing="1" w:after="100" w:afterAutospacing="1"/>
      <w:jc w:val="left"/>
    </w:pPr>
    <w:rPr>
      <w:rFonts w:ascii="宋体" w:hAnsi="宋体" w:cs="宋体"/>
      <w:kern w:val="0"/>
      <w:sz w:val="24"/>
    </w:rPr>
  </w:style>
  <w:style w:type="paragraph" w:customStyle="1" w:styleId="826">
    <w:name w:val="y表格"/>
    <w:basedOn w:val="35"/>
    <w:qFormat/>
    <w:uiPriority w:val="0"/>
    <w:pPr>
      <w:adjustRightInd w:val="0"/>
      <w:spacing w:after="0" w:line="460" w:lineRule="exact"/>
      <w:ind w:right="0" w:firstLine="200" w:firstLineChars="200"/>
      <w:jc w:val="center"/>
      <w:textAlignment w:val="baseline"/>
    </w:pPr>
    <w:rPr>
      <w:rFonts w:ascii="宋体"/>
      <w:sz w:val="24"/>
      <w:lang w:val="zh-CN"/>
    </w:rPr>
  </w:style>
  <w:style w:type="paragraph" w:customStyle="1" w:styleId="827">
    <w:name w:val="1 Char Char Char"/>
    <w:basedOn w:val="1"/>
    <w:qFormat/>
    <w:uiPriority w:val="0"/>
    <w:pPr>
      <w:spacing w:before="60" w:line="360" w:lineRule="auto"/>
      <w:ind w:firstLine="200" w:firstLineChars="200"/>
    </w:pPr>
    <w:rPr>
      <w:rFonts w:ascii="宋体" w:cs="宋体"/>
      <w:sz w:val="24"/>
    </w:rPr>
  </w:style>
  <w:style w:type="paragraph" w:customStyle="1" w:styleId="828">
    <w:name w:val="样式 题注 + 小四"/>
    <w:basedOn w:val="23"/>
    <w:uiPriority w:val="0"/>
    <w:pPr>
      <w:keepNext/>
      <w:tabs>
        <w:tab w:val="left" w:pos="1727"/>
        <w:tab w:val="left" w:pos="1884"/>
      </w:tabs>
      <w:spacing w:before="0" w:after="0" w:line="360" w:lineRule="auto"/>
    </w:pPr>
    <w:rPr>
      <w:rFonts w:hint="eastAsia" w:ascii="Times New Roman" w:hAnsi="Times New Roman" w:cs="Times New Roman"/>
      <w:sz w:val="24"/>
      <w:szCs w:val="20"/>
    </w:rPr>
  </w:style>
  <w:style w:type="paragraph" w:customStyle="1" w:styleId="829">
    <w:name w:val="样式 正文缩进首行缩进两字标题4正文不缩进s4正文（首行缩进两字） Char Char Char Char Char ..."/>
    <w:basedOn w:val="22"/>
    <w:uiPriority w:val="0"/>
    <w:pPr>
      <w:widowControl w:val="0"/>
      <w:ind w:firstLine="480"/>
    </w:pPr>
    <w:rPr>
      <w:rFonts w:ascii="Arial" w:hAnsi="Arial"/>
      <w:color w:val="FF0000"/>
      <w:lang w:val="zh-CN"/>
    </w:rPr>
  </w:style>
  <w:style w:type="paragraph" w:customStyle="1" w:styleId="830">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831">
    <w:name w:val="二级无标题条"/>
    <w:basedOn w:val="1"/>
    <w:qFormat/>
    <w:uiPriority w:val="0"/>
    <w:pPr>
      <w:spacing w:before="60" w:line="460" w:lineRule="exact"/>
    </w:pPr>
  </w:style>
  <w:style w:type="paragraph" w:customStyle="1" w:styleId="832">
    <w:name w:val="列表段落1"/>
    <w:basedOn w:val="1"/>
    <w:qFormat/>
    <w:uiPriority w:val="0"/>
    <w:pPr>
      <w:ind w:firstLine="420" w:firstLineChars="200"/>
    </w:pPr>
    <w:rPr>
      <w:szCs w:val="21"/>
    </w:rPr>
  </w:style>
  <w:style w:type="paragraph" w:customStyle="1" w:styleId="833">
    <w:name w:val="CM4"/>
    <w:basedOn w:val="1"/>
    <w:next w:val="1"/>
    <w:uiPriority w:val="0"/>
    <w:pPr>
      <w:autoSpaceDE w:val="0"/>
      <w:autoSpaceDN w:val="0"/>
      <w:adjustRightInd w:val="0"/>
      <w:spacing w:line="468" w:lineRule="atLeast"/>
      <w:jc w:val="left"/>
    </w:pPr>
    <w:rPr>
      <w:rFonts w:ascii="楷体_GB2312" w:eastAsia="楷体_GB2312"/>
      <w:kern w:val="0"/>
      <w:sz w:val="24"/>
    </w:rPr>
  </w:style>
  <w:style w:type="paragraph" w:customStyle="1" w:styleId="834">
    <w:name w:val="样式 四号 首行缩进:  2 字符"/>
    <w:basedOn w:val="1"/>
    <w:uiPriority w:val="0"/>
    <w:pPr>
      <w:spacing w:line="480" w:lineRule="atLeast"/>
      <w:ind w:firstLine="200" w:firstLineChars="200"/>
    </w:pPr>
    <w:rPr>
      <w:sz w:val="24"/>
      <w:szCs w:val="20"/>
    </w:rPr>
  </w:style>
  <w:style w:type="paragraph" w:customStyle="1" w:styleId="835">
    <w:name w:val="样式 样式 正文1 + 段前: 0.1 行 + 段前: 0.1 行"/>
    <w:basedOn w:val="1"/>
    <w:qFormat/>
    <w:uiPriority w:val="99"/>
    <w:pPr>
      <w:snapToGrid w:val="0"/>
      <w:spacing w:beforeLines="10" w:line="440" w:lineRule="atLeast"/>
      <w:ind w:firstLine="567"/>
    </w:pPr>
    <w:rPr>
      <w:rFonts w:cs="宋体"/>
      <w:sz w:val="24"/>
      <w:szCs w:val="20"/>
    </w:rPr>
  </w:style>
  <w:style w:type="paragraph" w:customStyle="1" w:styleId="836">
    <w:name w:val="Char Char21"/>
    <w:basedOn w:val="1"/>
    <w:qFormat/>
    <w:uiPriority w:val="0"/>
    <w:pPr>
      <w:spacing w:before="60" w:line="360" w:lineRule="auto"/>
      <w:ind w:firstLine="200" w:firstLineChars="200"/>
    </w:pPr>
    <w:rPr>
      <w:rFonts w:ascii="宋体" w:cs="宋体"/>
      <w:sz w:val="24"/>
    </w:rPr>
  </w:style>
  <w:style w:type="paragraph" w:customStyle="1" w:styleId="837">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4"/>
    </w:rPr>
  </w:style>
  <w:style w:type="paragraph" w:customStyle="1" w:styleId="838">
    <w:name w:val="CM13"/>
    <w:basedOn w:val="1"/>
    <w:next w:val="1"/>
    <w:uiPriority w:val="0"/>
    <w:pPr>
      <w:autoSpaceDE w:val="0"/>
      <w:autoSpaceDN w:val="0"/>
      <w:adjustRightInd w:val="0"/>
      <w:jc w:val="left"/>
    </w:pPr>
    <w:rPr>
      <w:rFonts w:ascii="楷体_GB2312" w:eastAsia="楷体_GB2312"/>
      <w:kern w:val="0"/>
      <w:sz w:val="24"/>
    </w:rPr>
  </w:style>
  <w:style w:type="paragraph" w:customStyle="1" w:styleId="839">
    <w:name w:val="正文b"/>
    <w:basedOn w:val="1"/>
    <w:qFormat/>
    <w:uiPriority w:val="0"/>
    <w:pPr>
      <w:spacing w:line="360" w:lineRule="auto"/>
      <w:ind w:firstLine="200" w:firstLineChars="200"/>
    </w:pPr>
    <w:rPr>
      <w:rFonts w:cs="宋体"/>
      <w:sz w:val="24"/>
      <w:szCs w:val="20"/>
    </w:rPr>
  </w:style>
  <w:style w:type="paragraph" w:customStyle="1" w:styleId="840">
    <w:name w:val="四级标题"/>
    <w:basedOn w:val="590"/>
    <w:qFormat/>
    <w:uiPriority w:val="0"/>
    <w:pPr>
      <w:adjustRightInd/>
      <w:snapToGrid/>
      <w:spacing w:before="60" w:line="460" w:lineRule="exact"/>
      <w:jc w:val="both"/>
      <w:outlineLvl w:val="9"/>
    </w:pPr>
    <w:rPr>
      <w:rFonts w:ascii="Times New Roman" w:hAnsi="Times New Roman" w:eastAsia="宋体"/>
      <w:b/>
      <w:snapToGrid/>
      <w:kern w:val="2"/>
      <w:sz w:val="24"/>
    </w:rPr>
  </w:style>
  <w:style w:type="paragraph" w:customStyle="1" w:styleId="841">
    <w:name w:val="表格001"/>
    <w:basedOn w:val="1"/>
    <w:qFormat/>
    <w:uiPriority w:val="0"/>
    <w:pPr>
      <w:spacing w:before="60" w:line="360" w:lineRule="exact"/>
      <w:jc w:val="center"/>
    </w:pPr>
    <w:rPr>
      <w:rFonts w:ascii="Arial" w:hAnsi="Arial"/>
      <w:sz w:val="24"/>
    </w:rPr>
  </w:style>
  <w:style w:type="paragraph" w:customStyle="1" w:styleId="842">
    <w:name w:val="zxj三级节标题"/>
    <w:basedOn w:val="1"/>
    <w:next w:val="1"/>
    <w:uiPriority w:val="0"/>
    <w:pPr>
      <w:tabs>
        <w:tab w:val="left" w:pos="1425"/>
      </w:tabs>
      <w:snapToGrid w:val="0"/>
      <w:spacing w:beforeLines="100" w:afterLines="50" w:line="360" w:lineRule="auto"/>
      <w:ind w:left="420" w:leftChars="200"/>
      <w:outlineLvl w:val="2"/>
    </w:pPr>
    <w:rPr>
      <w:rFonts w:ascii="楷体_GB2312" w:eastAsia="黑体"/>
      <w:b/>
      <w:sz w:val="24"/>
      <w:szCs w:val="21"/>
    </w:rPr>
  </w:style>
  <w:style w:type="paragraph" w:customStyle="1" w:styleId="843">
    <w:name w:val="报告表格"/>
    <w:basedOn w:val="1"/>
    <w:uiPriority w:val="0"/>
    <w:pPr>
      <w:autoSpaceDE w:val="0"/>
      <w:autoSpaceDN w:val="0"/>
      <w:adjustRightInd w:val="0"/>
      <w:spacing w:before="40" w:after="40"/>
      <w:jc w:val="center"/>
      <w:textAlignment w:val="bottom"/>
    </w:pPr>
    <w:rPr>
      <w:kern w:val="0"/>
      <w:szCs w:val="20"/>
    </w:rPr>
  </w:style>
  <w:style w:type="paragraph" w:customStyle="1" w:styleId="844">
    <w:name w:val="标1"/>
    <w:basedOn w:val="1"/>
    <w:uiPriority w:val="0"/>
    <w:pPr>
      <w:spacing w:before="60" w:line="460" w:lineRule="exact"/>
      <w:ind w:firstLine="200" w:firstLineChars="200"/>
      <w:outlineLvl w:val="0"/>
    </w:pPr>
    <w:rPr>
      <w:b/>
      <w:sz w:val="32"/>
      <w:szCs w:val="20"/>
    </w:rPr>
  </w:style>
  <w:style w:type="paragraph" w:customStyle="1" w:styleId="845">
    <w:name w:val="样式 样式 标题1 + 段前: 0.5 行 + 段前: 0.5 行"/>
    <w:basedOn w:val="741"/>
    <w:qFormat/>
    <w:uiPriority w:val="0"/>
    <w:pPr>
      <w:spacing w:beforeLines="0"/>
    </w:pPr>
  </w:style>
  <w:style w:type="paragraph" w:customStyle="1" w:styleId="846">
    <w:name w:val="样式 左侧:  -0.21 厘米 首行缩进:  0.85 厘米 右侧:  -0.21 厘米1"/>
    <w:basedOn w:val="1"/>
    <w:uiPriority w:val="0"/>
    <w:pPr>
      <w:spacing w:line="360" w:lineRule="auto"/>
      <w:ind w:left="-119" w:right="-119" w:firstLine="482"/>
    </w:pPr>
    <w:rPr>
      <w:rFonts w:cs="宋体"/>
      <w:kern w:val="0"/>
      <w:sz w:val="24"/>
      <w:szCs w:val="20"/>
    </w:rPr>
  </w:style>
  <w:style w:type="paragraph" w:customStyle="1" w:styleId="847">
    <w:name w:val="Char Char Char Char Char Char Char Char Char Char Char Char Char Char Char Char1"/>
    <w:basedOn w:val="1"/>
    <w:qFormat/>
    <w:uiPriority w:val="99"/>
    <w:pPr>
      <w:spacing w:before="60" w:line="460" w:lineRule="exact"/>
    </w:pPr>
    <w:rPr>
      <w:sz w:val="24"/>
    </w:rPr>
  </w:style>
  <w:style w:type="paragraph" w:customStyle="1" w:styleId="848">
    <w:name w:val="表格标题居中"/>
    <w:basedOn w:val="759"/>
    <w:uiPriority w:val="0"/>
    <w:pPr>
      <w:tabs>
        <w:tab w:val="left" w:pos="180"/>
        <w:tab w:val="center" w:pos="279"/>
      </w:tabs>
      <w:adjustRightInd/>
      <w:snapToGrid/>
      <w:spacing w:before="0" w:line="240" w:lineRule="auto"/>
      <w:ind w:firstLine="0" w:firstLineChars="0"/>
    </w:pPr>
    <w:rPr>
      <w:rFonts w:hint="eastAsia" w:ascii="Times New Roman" w:hAnsi="宋体" w:eastAsia="黑体"/>
      <w:color w:val="000000"/>
      <w:szCs w:val="21"/>
    </w:rPr>
  </w:style>
  <w:style w:type="paragraph" w:customStyle="1" w:styleId="849">
    <w:name w:val="表"/>
    <w:basedOn w:val="1"/>
    <w:qFormat/>
    <w:uiPriority w:val="0"/>
    <w:pPr>
      <w:snapToGrid w:val="0"/>
      <w:spacing w:before="60" w:line="440" w:lineRule="exact"/>
      <w:ind w:firstLine="200" w:firstLineChars="200"/>
      <w:jc w:val="center"/>
    </w:pPr>
    <w:rPr>
      <w:spacing w:val="2"/>
      <w:sz w:val="24"/>
      <w:szCs w:val="20"/>
    </w:rPr>
  </w:style>
  <w:style w:type="paragraph" w:customStyle="1" w:styleId="850">
    <w:name w:val="表格一"/>
    <w:basedOn w:val="1"/>
    <w:qFormat/>
    <w:uiPriority w:val="0"/>
    <w:pPr>
      <w:spacing w:line="360" w:lineRule="auto"/>
      <w:jc w:val="center"/>
    </w:pPr>
    <w:rPr>
      <w:rFonts w:ascii="宋体" w:hAnsi="宋体" w:cs="宋体"/>
      <w:szCs w:val="20"/>
    </w:rPr>
  </w:style>
  <w:style w:type="paragraph" w:customStyle="1" w:styleId="851">
    <w:name w:val="正文新"/>
    <w:basedOn w:val="1"/>
    <w:uiPriority w:val="0"/>
    <w:pPr>
      <w:spacing w:before="80" w:after="60" w:line="300" w:lineRule="auto"/>
      <w:ind w:firstLine="510"/>
    </w:pPr>
    <w:rPr>
      <w:snapToGrid w:val="0"/>
      <w:sz w:val="24"/>
    </w:rPr>
  </w:style>
  <w:style w:type="paragraph" w:customStyle="1" w:styleId="852">
    <w:name w:val="样式 正文一 + 首行缩进:  2 字符"/>
    <w:basedOn w:val="596"/>
    <w:uiPriority w:val="0"/>
  </w:style>
  <w:style w:type="paragraph" w:customStyle="1" w:styleId="853">
    <w:name w:val="项目编号文字"/>
    <w:basedOn w:val="1"/>
    <w:next w:val="22"/>
    <w:uiPriority w:val="0"/>
    <w:pPr>
      <w:spacing w:before="120" w:after="120" w:line="360" w:lineRule="auto"/>
      <w:ind w:left="1077" w:firstLine="200" w:firstLineChars="200"/>
    </w:pPr>
    <w:rPr>
      <w:sz w:val="24"/>
      <w:szCs w:val="20"/>
    </w:rPr>
  </w:style>
  <w:style w:type="paragraph" w:customStyle="1" w:styleId="854">
    <w:name w:val="样式 正文01 +"/>
    <w:basedOn w:val="188"/>
    <w:qFormat/>
    <w:uiPriority w:val="0"/>
    <w:pPr>
      <w:widowControl w:val="0"/>
    </w:pPr>
    <w:rPr>
      <w:b/>
      <w:kern w:val="0"/>
      <w:szCs w:val="20"/>
    </w:rPr>
  </w:style>
  <w:style w:type="paragraph" w:customStyle="1" w:styleId="855">
    <w:name w:val="三级条标题"/>
    <w:basedOn w:val="639"/>
    <w:next w:val="1"/>
    <w:uiPriority w:val="0"/>
    <w:pPr>
      <w:tabs>
        <w:tab w:val="left" w:pos="2100"/>
      </w:tabs>
      <w:ind w:left="2100"/>
      <w:outlineLvl w:val="4"/>
    </w:pPr>
  </w:style>
  <w:style w:type="paragraph" w:customStyle="1" w:styleId="856">
    <w:name w:val="表格后正文"/>
    <w:basedOn w:val="1"/>
    <w:uiPriority w:val="0"/>
    <w:pPr>
      <w:spacing w:before="260" w:line="460" w:lineRule="exact"/>
      <w:ind w:firstLine="200" w:firstLineChars="200"/>
    </w:pPr>
    <w:rPr>
      <w:sz w:val="24"/>
    </w:rPr>
  </w:style>
  <w:style w:type="paragraph" w:customStyle="1" w:styleId="857">
    <w:name w:val="Char Char Char Char Char Char Char Char Char Char Char Char Char1 Char Char Char Char Char Char Char Char"/>
    <w:basedOn w:val="1"/>
    <w:uiPriority w:val="0"/>
    <w:pPr>
      <w:spacing w:line="360" w:lineRule="auto"/>
      <w:ind w:firstLine="200" w:firstLineChars="200"/>
    </w:pPr>
    <w:rPr>
      <w:rFonts w:ascii="宋体" w:hAnsi="宋体" w:cs="宋体"/>
      <w:sz w:val="24"/>
    </w:rPr>
  </w:style>
  <w:style w:type="paragraph" w:customStyle="1" w:styleId="858">
    <w:name w:val="标准表格"/>
    <w:basedOn w:val="133"/>
    <w:qFormat/>
    <w:uiPriority w:val="0"/>
    <w:pPr>
      <w:adjustRightInd/>
      <w:snapToGrid/>
      <w:spacing w:beforeLines="0" w:afterLines="0" w:line="240" w:lineRule="auto"/>
    </w:pPr>
    <w:rPr>
      <w:rFonts w:ascii="Times New Roman" w:cs="宋体"/>
      <w:kern w:val="2"/>
    </w:rPr>
  </w:style>
  <w:style w:type="paragraph" w:customStyle="1" w:styleId="859">
    <w:name w:val="Char Char Char Char Char Char Char Char Char Char Char Char Char1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860">
    <w:name w:val="王向东正文"/>
    <w:uiPriority w:val="0"/>
    <w:pPr>
      <w:spacing w:before="60" w:line="460" w:lineRule="exact"/>
      <w:ind w:firstLine="560"/>
      <w:jc w:val="both"/>
    </w:pPr>
    <w:rPr>
      <w:rFonts w:ascii="Times New Roman" w:hAnsi="Times New Roman" w:eastAsia="宋体" w:cs="Times New Roman"/>
      <w:sz w:val="24"/>
      <w:szCs w:val="24"/>
      <w:lang w:val="en-US" w:eastAsia="zh-CN" w:bidi="ar-SA"/>
    </w:rPr>
  </w:style>
  <w:style w:type="paragraph" w:customStyle="1" w:styleId="861">
    <w:name w:val="样式 标题 + 黑体 小三 两端对齐 左侧:  0 厘米 首行缩进:  0 厘米 段前: 0 磅 段后: 0 磅 ...1"/>
    <w:basedOn w:val="85"/>
    <w:uiPriority w:val="0"/>
    <w:pPr>
      <w:pageBreakBefore/>
      <w:tabs>
        <w:tab w:val="left" w:pos="425"/>
      </w:tabs>
      <w:spacing w:before="100" w:beforeAutospacing="1" w:after="100" w:afterAutospacing="1" w:line="360" w:lineRule="auto"/>
      <w:ind w:left="425" w:hanging="425"/>
      <w:jc w:val="both"/>
    </w:pPr>
    <w:rPr>
      <w:rFonts w:ascii="黑体" w:eastAsia="黑体"/>
      <w:bCs/>
    </w:rPr>
  </w:style>
  <w:style w:type="paragraph" w:customStyle="1" w:styleId="862">
    <w:name w:val="Char1 Char Char Char11"/>
    <w:basedOn w:val="1"/>
    <w:qFormat/>
    <w:uiPriority w:val="0"/>
    <w:rPr>
      <w:rFonts w:ascii="Tahoma" w:hAnsi="Tahoma"/>
      <w:sz w:val="24"/>
      <w:szCs w:val="20"/>
    </w:rPr>
  </w:style>
  <w:style w:type="paragraph" w:customStyle="1" w:styleId="863">
    <w:name w:val="样式 三级标题 + (符号) 宋体"/>
    <w:basedOn w:val="758"/>
    <w:qFormat/>
    <w:uiPriority w:val="0"/>
    <w:pPr>
      <w:spacing w:line="440" w:lineRule="exact"/>
    </w:pPr>
    <w:rPr>
      <w:kern w:val="2"/>
    </w:rPr>
  </w:style>
  <w:style w:type="character" w:customStyle="1" w:styleId="864">
    <w:name w:val="z-窗体底端 字符"/>
    <w:basedOn w:val="96"/>
    <w:semiHidden/>
    <w:uiPriority w:val="99"/>
    <w:rPr>
      <w:rFonts w:ascii="Arial" w:hAnsi="Arial" w:eastAsia="宋体" w:cs="Arial"/>
      <w:vanish/>
      <w:kern w:val="2"/>
      <w:sz w:val="16"/>
      <w:szCs w:val="16"/>
    </w:rPr>
  </w:style>
  <w:style w:type="character" w:customStyle="1" w:styleId="865">
    <w:name w:val="z-窗体底端 Char2"/>
    <w:semiHidden/>
    <w:qFormat/>
    <w:uiPriority w:val="99"/>
    <w:rPr>
      <w:rFonts w:ascii="Arial" w:hAnsi="Arial" w:cs="Arial"/>
      <w:vanish/>
      <w:kern w:val="2"/>
      <w:sz w:val="16"/>
      <w:szCs w:val="16"/>
    </w:rPr>
  </w:style>
  <w:style w:type="paragraph" w:customStyle="1" w:styleId="866">
    <w:name w:val="Char Char Char Char"/>
    <w:basedOn w:val="1"/>
    <w:uiPriority w:val="0"/>
    <w:pPr>
      <w:tabs>
        <w:tab w:val="left" w:pos="360"/>
      </w:tabs>
    </w:pPr>
  </w:style>
  <w:style w:type="paragraph" w:customStyle="1" w:styleId="867">
    <w:name w:val="流程图"/>
    <w:basedOn w:val="1"/>
    <w:qFormat/>
    <w:uiPriority w:val="0"/>
    <w:pPr>
      <w:suppressAutoHyphens/>
      <w:spacing w:before="60" w:line="460" w:lineRule="exact"/>
      <w:ind w:firstLine="200" w:firstLineChars="200"/>
      <w:jc w:val="center"/>
    </w:pPr>
    <w:rPr>
      <w:rFonts w:ascii="宋体"/>
      <w:szCs w:val="20"/>
    </w:rPr>
  </w:style>
  <w:style w:type="paragraph" w:customStyle="1" w:styleId="868">
    <w:name w:val="样式 正文1 Char + 段前: 0.1 行"/>
    <w:qFormat/>
    <w:uiPriority w:val="0"/>
    <w:pPr>
      <w:snapToGrid w:val="0"/>
      <w:spacing w:line="440" w:lineRule="atLeast"/>
      <w:ind w:firstLine="200" w:firstLineChars="200"/>
    </w:pPr>
    <w:rPr>
      <w:rFonts w:asciiTheme="minorHAnsi" w:hAnsiTheme="minorHAnsi" w:eastAsiaTheme="minorEastAsia" w:cstheme="minorBidi"/>
      <w:sz w:val="24"/>
      <w:lang w:val="en-US" w:eastAsia="zh-CN" w:bidi="ar-SA"/>
    </w:rPr>
  </w:style>
  <w:style w:type="paragraph" w:customStyle="1" w:styleId="869">
    <w:name w:val="h"/>
    <w:basedOn w:val="1"/>
    <w:uiPriority w:val="0"/>
    <w:pPr>
      <w:adjustRightInd w:val="0"/>
      <w:spacing w:before="60" w:line="460" w:lineRule="exact"/>
      <w:ind w:firstLine="200" w:firstLineChars="200"/>
      <w:textAlignment w:val="baseline"/>
    </w:pPr>
    <w:rPr>
      <w:rFonts w:ascii="Arial" w:hAnsi="Arial" w:eastAsia="仿宋_GB2312"/>
      <w:sz w:val="24"/>
      <w:szCs w:val="20"/>
    </w:rPr>
  </w:style>
  <w:style w:type="paragraph" w:customStyle="1" w:styleId="870">
    <w:name w:val="table1"/>
    <w:basedOn w:val="1"/>
    <w:uiPriority w:val="0"/>
    <w:pPr>
      <w:adjustRightInd w:val="0"/>
      <w:spacing w:before="60" w:line="240" w:lineRule="atLeast"/>
      <w:ind w:firstLine="200" w:firstLineChars="200"/>
      <w:jc w:val="center"/>
      <w:textAlignment w:val="baseline"/>
    </w:pPr>
    <w:rPr>
      <w:rFonts w:eastAsia="黑体"/>
      <w:kern w:val="0"/>
      <w:sz w:val="24"/>
      <w:szCs w:val="20"/>
    </w:rPr>
  </w:style>
  <w:style w:type="paragraph" w:customStyle="1" w:styleId="871">
    <w:name w:val="Date1"/>
    <w:basedOn w:val="1"/>
    <w:next w:val="1"/>
    <w:uiPriority w:val="0"/>
    <w:pPr>
      <w:adjustRightInd w:val="0"/>
      <w:spacing w:before="60" w:line="460" w:lineRule="exact"/>
      <w:ind w:firstLine="200" w:firstLineChars="200"/>
      <w:textAlignment w:val="baseline"/>
    </w:pPr>
    <w:rPr>
      <w:szCs w:val="20"/>
    </w:rPr>
  </w:style>
  <w:style w:type="paragraph" w:customStyle="1" w:styleId="872">
    <w:name w:val="Char Char Char2 Char Char Char1"/>
    <w:basedOn w:val="1"/>
    <w:qFormat/>
    <w:uiPriority w:val="0"/>
    <w:pPr>
      <w:spacing w:before="20" w:beforeLines="20" w:line="440" w:lineRule="atLeast"/>
      <w:ind w:firstLine="200" w:firstLineChars="200"/>
    </w:pPr>
    <w:rPr>
      <w:sz w:val="24"/>
    </w:rPr>
  </w:style>
  <w:style w:type="paragraph" w:customStyle="1" w:styleId="873">
    <w:name w:val="Char Char Char21"/>
    <w:basedOn w:val="1"/>
    <w:uiPriority w:val="0"/>
    <w:pPr>
      <w:spacing w:beforeLines="20" w:line="440" w:lineRule="atLeast"/>
      <w:ind w:firstLine="200" w:firstLineChars="200"/>
    </w:pPr>
    <w:rPr>
      <w:sz w:val="24"/>
    </w:rPr>
  </w:style>
  <w:style w:type="paragraph" w:customStyle="1" w:styleId="874">
    <w:name w:val="Char Char Char Char Char Char1"/>
    <w:basedOn w:val="1"/>
    <w:next w:val="1"/>
    <w:uiPriority w:val="0"/>
  </w:style>
  <w:style w:type="paragraph" w:customStyle="1" w:styleId="875">
    <w:name w:val="样式 样式4 + (中文) 宋体 左侧:  0 厘米 行距: 1.5 倍行距"/>
    <w:basedOn w:val="591"/>
    <w:uiPriority w:val="0"/>
    <w:rPr>
      <w:rFonts w:ascii="Times New Roman" w:hAnsi="Times New Roman" w:cs="Times New Roman"/>
      <w:snapToGrid w:val="0"/>
      <w:szCs w:val="20"/>
    </w:rPr>
  </w:style>
  <w:style w:type="paragraph" w:customStyle="1" w:styleId="876">
    <w:name w:val="样式6"/>
    <w:basedOn w:val="35"/>
    <w:link w:val="1226"/>
    <w:qFormat/>
    <w:uiPriority w:val="0"/>
    <w:pPr>
      <w:widowControl w:val="0"/>
      <w:tabs>
        <w:tab w:val="left" w:pos="1218"/>
      </w:tabs>
      <w:adjustRightInd w:val="0"/>
      <w:spacing w:after="0" w:line="460" w:lineRule="exact"/>
      <w:ind w:right="0"/>
      <w:jc w:val="center"/>
    </w:pPr>
    <w:rPr>
      <w:color w:val="0000FF"/>
      <w:sz w:val="21"/>
      <w:szCs w:val="24"/>
      <w:lang w:val="zh-CN"/>
    </w:rPr>
  </w:style>
  <w:style w:type="paragraph" w:customStyle="1" w:styleId="877">
    <w:name w:val="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878">
    <w:name w:val="样式 样式 标题1 + 段前: 0.5 行 + 段前: 0.5 行1"/>
    <w:basedOn w:val="1"/>
    <w:uiPriority w:val="0"/>
    <w:pPr>
      <w:spacing w:beforeLines="50" w:line="500" w:lineRule="exact"/>
      <w:ind w:firstLine="200" w:firstLineChars="200"/>
      <w:jc w:val="left"/>
      <w:outlineLvl w:val="0"/>
    </w:pPr>
    <w:rPr>
      <w:b/>
      <w:bCs/>
      <w:sz w:val="32"/>
      <w:szCs w:val="32"/>
    </w:rPr>
  </w:style>
  <w:style w:type="paragraph" w:customStyle="1" w:styleId="879">
    <w:name w:val="Char Char Char Char Char Char Char Char1"/>
    <w:basedOn w:val="1"/>
    <w:uiPriority w:val="0"/>
    <w:pPr>
      <w:spacing w:line="360" w:lineRule="auto"/>
      <w:ind w:firstLine="200" w:firstLineChars="200"/>
    </w:pPr>
    <w:rPr>
      <w:rFonts w:ascii="宋体" w:hAnsi="宋体" w:cs="宋体"/>
      <w:sz w:val="24"/>
    </w:rPr>
  </w:style>
  <w:style w:type="paragraph" w:customStyle="1" w:styleId="880">
    <w:name w:val="Char Char Char Char Char Char1 Char Char Char Char1"/>
    <w:basedOn w:val="1"/>
    <w:qFormat/>
    <w:uiPriority w:val="0"/>
    <w:rPr>
      <w:sz w:val="24"/>
    </w:rPr>
  </w:style>
  <w:style w:type="paragraph" w:customStyle="1" w:styleId="881">
    <w:name w:val="TABLE2"/>
    <w:basedOn w:val="870"/>
    <w:uiPriority w:val="0"/>
    <w:pPr>
      <w:spacing w:before="0"/>
    </w:pPr>
    <w:rPr>
      <w:rFonts w:eastAsia="宋体"/>
      <w:szCs w:val="24"/>
    </w:rPr>
  </w:style>
  <w:style w:type="paragraph" w:customStyle="1" w:styleId="882">
    <w:name w:val="样式 四号 黑色 行距: 1.5 倍行距 首行缩进:  2 字符"/>
    <w:basedOn w:val="1"/>
    <w:uiPriority w:val="0"/>
    <w:pPr>
      <w:spacing w:line="360" w:lineRule="auto"/>
      <w:ind w:firstLine="560" w:firstLineChars="200"/>
    </w:pPr>
    <w:rPr>
      <w:rFonts w:eastAsia="仿宋_GB2312"/>
      <w:color w:val="000000"/>
      <w:sz w:val="28"/>
      <w:szCs w:val="28"/>
    </w:rPr>
  </w:style>
  <w:style w:type="paragraph" w:customStyle="1" w:styleId="883">
    <w:name w:val="样式 表格2 + 行距: 最小值 16 磅"/>
    <w:basedOn w:val="1"/>
    <w:uiPriority w:val="0"/>
    <w:pPr>
      <w:spacing w:before="60" w:line="360" w:lineRule="atLeast"/>
      <w:ind w:firstLine="200" w:firstLineChars="200"/>
      <w:jc w:val="center"/>
    </w:pPr>
    <w:rPr>
      <w:szCs w:val="20"/>
    </w:rPr>
  </w:style>
  <w:style w:type="paragraph" w:customStyle="1" w:styleId="884">
    <w:name w:val="表文_L5"/>
    <w:qFormat/>
    <w:uiPriority w:val="0"/>
    <w:rPr>
      <w:rFonts w:ascii="Garamond" w:hAnsi="Garamond" w:eastAsia="楷体_GB2312" w:cs="Times New Roman"/>
      <w:bCs/>
      <w:kern w:val="2"/>
      <w:sz w:val="21"/>
      <w:szCs w:val="21"/>
      <w:lang w:val="en-US" w:eastAsia="zh-CN" w:bidi="ar-SA"/>
    </w:rPr>
  </w:style>
  <w:style w:type="paragraph" w:customStyle="1" w:styleId="885">
    <w:name w:val="reader-word-layer reader-word-s1-6"/>
    <w:basedOn w:val="1"/>
    <w:qFormat/>
    <w:uiPriority w:val="99"/>
    <w:pPr>
      <w:widowControl/>
      <w:spacing w:before="100" w:beforeAutospacing="1" w:after="100" w:afterAutospacing="1"/>
      <w:jc w:val="left"/>
    </w:pPr>
    <w:rPr>
      <w:rFonts w:ascii="宋体" w:hAnsi="宋体" w:cs="宋体"/>
      <w:kern w:val="0"/>
      <w:sz w:val="24"/>
    </w:rPr>
  </w:style>
  <w:style w:type="paragraph" w:customStyle="1" w:styleId="886">
    <w:name w:val="标题004"/>
    <w:basedOn w:val="327"/>
    <w:uiPriority w:val="0"/>
    <w:pPr>
      <w:ind w:firstLine="0"/>
      <w:outlineLvl w:val="3"/>
    </w:pPr>
    <w:rPr>
      <w:b/>
      <w:bCs/>
    </w:rPr>
  </w:style>
  <w:style w:type="paragraph" w:customStyle="1" w:styleId="887">
    <w:name w:val="Char Char Char Char Char Char Char Char Char Char Char Char Char Char Char1"/>
    <w:basedOn w:val="1"/>
    <w:uiPriority w:val="0"/>
    <w:pPr>
      <w:spacing w:before="60" w:line="460" w:lineRule="exact"/>
    </w:pPr>
    <w:rPr>
      <w:szCs w:val="20"/>
    </w:rPr>
  </w:style>
  <w:style w:type="paragraph" w:customStyle="1" w:styleId="888">
    <w:name w:val="样式 表格标题 + 首行缩进:  0.93 厘米"/>
    <w:basedOn w:val="159"/>
    <w:uiPriority w:val="0"/>
    <w:pPr>
      <w:widowControl w:val="0"/>
      <w:snapToGrid w:val="0"/>
      <w:spacing w:before="0" w:beforeLines="10" w:line="440" w:lineRule="atLeast"/>
      <w:ind w:firstLine="528" w:firstLineChars="0"/>
    </w:pPr>
    <w:rPr>
      <w:rFonts w:ascii="Times New Roman"/>
      <w:kern w:val="0"/>
      <w:lang w:val="zh-CN"/>
    </w:rPr>
  </w:style>
  <w:style w:type="paragraph" w:customStyle="1" w:styleId="889">
    <w:name w:val="样式 3级标题 + Times New Roman"/>
    <w:basedOn w:val="365"/>
    <w:qFormat/>
    <w:uiPriority w:val="0"/>
    <w:pPr>
      <w:outlineLvl w:val="2"/>
    </w:pPr>
    <w:rPr>
      <w:rFonts w:ascii="Times New Roman" w:hAnsi="Times New Roman" w:cs="Times New Roman"/>
      <w:bCs/>
    </w:rPr>
  </w:style>
  <w:style w:type="paragraph" w:customStyle="1" w:styleId="890">
    <w:name w:val="表格下方文字"/>
    <w:basedOn w:val="1"/>
    <w:uiPriority w:val="0"/>
    <w:pPr>
      <w:adjustRightInd w:val="0"/>
      <w:snapToGrid w:val="0"/>
      <w:spacing w:before="400" w:line="460" w:lineRule="exact"/>
      <w:ind w:firstLine="200" w:firstLineChars="200"/>
    </w:pPr>
    <w:rPr>
      <w:sz w:val="24"/>
    </w:rPr>
  </w:style>
  <w:style w:type="paragraph" w:customStyle="1" w:styleId="891">
    <w:name w:val="样式 居中 行距: 固定值 20 磅"/>
    <w:basedOn w:val="1"/>
    <w:uiPriority w:val="0"/>
    <w:pPr>
      <w:spacing w:line="400" w:lineRule="exact"/>
      <w:jc w:val="center"/>
    </w:pPr>
    <w:rPr>
      <w:sz w:val="24"/>
    </w:rPr>
  </w:style>
  <w:style w:type="paragraph" w:customStyle="1" w:styleId="892">
    <w:name w:val="表格下文正文"/>
    <w:basedOn w:val="1"/>
    <w:uiPriority w:val="0"/>
    <w:pPr>
      <w:spacing w:before="300" w:line="420" w:lineRule="exact"/>
      <w:ind w:firstLine="200" w:firstLineChars="200"/>
    </w:pPr>
    <w:rPr>
      <w:bCs/>
      <w:color w:val="000000"/>
      <w:sz w:val="24"/>
      <w:szCs w:val="20"/>
    </w:rPr>
  </w:style>
  <w:style w:type="paragraph" w:customStyle="1" w:styleId="893">
    <w:name w:val="c"/>
    <w:qFormat/>
    <w:uiPriority w:val="0"/>
    <w:pPr>
      <w:widowControl w:val="0"/>
      <w:autoSpaceDE w:val="0"/>
      <w:autoSpaceDN w:val="0"/>
      <w:adjustRightInd w:val="0"/>
      <w:jc w:val="both"/>
    </w:pPr>
    <w:rPr>
      <w:rFonts w:hint="eastAsia" w:ascii="Arial" w:hAnsi="Arial" w:eastAsia="宋体" w:cs="Times New Roman"/>
      <w:sz w:val="24"/>
      <w:lang w:val="en-US" w:eastAsia="zh-CN" w:bidi="ar-SA"/>
    </w:rPr>
  </w:style>
  <w:style w:type="paragraph" w:customStyle="1" w:styleId="894">
    <w:name w:val="注"/>
    <w:basedOn w:val="1"/>
    <w:next w:val="1"/>
    <w:qFormat/>
    <w:uiPriority w:val="0"/>
    <w:pPr>
      <w:widowControl/>
      <w:spacing w:before="60" w:after="60" w:line="324" w:lineRule="auto"/>
      <w:jc w:val="left"/>
    </w:pPr>
    <w:rPr>
      <w:rFonts w:ascii="黑体" w:eastAsia="黑体"/>
      <w:kern w:val="0"/>
      <w:szCs w:val="20"/>
    </w:rPr>
  </w:style>
  <w:style w:type="paragraph" w:customStyle="1" w:styleId="895">
    <w:name w:val="xl40"/>
    <w:basedOn w:val="1"/>
    <w:qFormat/>
    <w:uiPriority w:val="0"/>
    <w:pPr>
      <w:widowControl/>
      <w:spacing w:before="100" w:after="100" w:line="440" w:lineRule="exact"/>
      <w:ind w:firstLine="200" w:firstLineChars="200"/>
      <w:jc w:val="center"/>
    </w:pPr>
    <w:rPr>
      <w:rFonts w:ascii="宋体"/>
      <w:kern w:val="0"/>
      <w:szCs w:val="20"/>
    </w:rPr>
  </w:style>
  <w:style w:type="paragraph" w:customStyle="1" w:styleId="896">
    <w:name w:val="表中正文"/>
    <w:basedOn w:val="1"/>
    <w:semiHidden/>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897">
    <w:name w:val="CM16"/>
    <w:basedOn w:val="1"/>
    <w:next w:val="1"/>
    <w:uiPriority w:val="0"/>
    <w:pPr>
      <w:autoSpaceDE w:val="0"/>
      <w:autoSpaceDN w:val="0"/>
      <w:adjustRightInd w:val="0"/>
      <w:spacing w:line="466" w:lineRule="atLeast"/>
      <w:jc w:val="left"/>
    </w:pPr>
    <w:rPr>
      <w:rFonts w:ascii="楷体_GB2312" w:eastAsia="楷体_GB2312"/>
      <w:kern w:val="0"/>
      <w:sz w:val="24"/>
    </w:rPr>
  </w:style>
  <w:style w:type="paragraph" w:customStyle="1" w:styleId="898">
    <w:name w:val="Char Char Char Char Char Char Char Char Char Char Char Char Char"/>
    <w:basedOn w:val="1"/>
    <w:qFormat/>
    <w:uiPriority w:val="99"/>
    <w:pPr>
      <w:spacing w:line="360" w:lineRule="auto"/>
      <w:ind w:firstLine="200" w:firstLineChars="200"/>
    </w:pPr>
    <w:rPr>
      <w:rFonts w:ascii="宋体" w:hAnsi="宋体" w:cs="宋体"/>
      <w:sz w:val="24"/>
    </w:rPr>
  </w:style>
  <w:style w:type="paragraph" w:customStyle="1" w:styleId="899">
    <w:name w:val="保留正文"/>
    <w:basedOn w:val="1"/>
    <w:uiPriority w:val="0"/>
    <w:pPr>
      <w:keepNext/>
      <w:widowControl/>
      <w:overflowPunct w:val="0"/>
      <w:autoSpaceDE w:val="0"/>
      <w:autoSpaceDN w:val="0"/>
      <w:adjustRightInd w:val="0"/>
      <w:spacing w:before="60" w:after="160" w:line="480" w:lineRule="auto"/>
      <w:jc w:val="left"/>
      <w:textAlignment w:val="baseline"/>
    </w:pPr>
    <w:rPr>
      <w:rFonts w:ascii="@宋体" w:hAnsi="@宋体"/>
      <w:kern w:val="0"/>
      <w:sz w:val="28"/>
      <w:szCs w:val="20"/>
    </w:rPr>
  </w:style>
  <w:style w:type="paragraph" w:customStyle="1" w:styleId="900">
    <w:name w:val="Char Char Char Char Char Char Char Char Char Char Char Char Char Char Char Char Char Char Char Char Char Char Char Char Char Char Char Char Char Char Char Char Char2"/>
    <w:basedOn w:val="1"/>
    <w:uiPriority w:val="0"/>
    <w:pPr>
      <w:spacing w:line="360" w:lineRule="auto"/>
      <w:ind w:firstLine="200" w:firstLineChars="200"/>
    </w:pPr>
    <w:rPr>
      <w:rFonts w:ascii="宋体" w:hAnsi="宋体" w:cs="宋体"/>
      <w:sz w:val="24"/>
    </w:rPr>
  </w:style>
  <w:style w:type="paragraph" w:customStyle="1" w:styleId="901">
    <w:name w:val="xl28"/>
    <w:basedOn w:val="1"/>
    <w:qFormat/>
    <w:uiPriority w:val="0"/>
    <w:pPr>
      <w:widowControl/>
      <w:pBdr>
        <w:bottom w:val="single" w:color="auto" w:sz="4" w:space="0"/>
        <w:right w:val="single" w:color="auto" w:sz="4" w:space="0"/>
      </w:pBdr>
      <w:spacing w:before="100" w:beforeAutospacing="1" w:after="100" w:afterAutospacing="1" w:line="460" w:lineRule="exact"/>
      <w:jc w:val="center"/>
    </w:pPr>
    <w:rPr>
      <w:rFonts w:ascii="宋体"/>
      <w:kern w:val="0"/>
      <w:szCs w:val="21"/>
    </w:rPr>
  </w:style>
  <w:style w:type="paragraph" w:customStyle="1" w:styleId="902">
    <w:name w:val="Char Char1 Char Char Char Char Char Char Char Char Char Char Char Char Char Char Char Char Char Char Char Char1 Char3"/>
    <w:basedOn w:val="1"/>
    <w:qFormat/>
    <w:uiPriority w:val="0"/>
    <w:pPr>
      <w:spacing w:before="60" w:line="360" w:lineRule="auto"/>
      <w:ind w:firstLine="200" w:firstLineChars="200"/>
    </w:pPr>
    <w:rPr>
      <w:rFonts w:ascii="宋体" w:hAnsi="宋体" w:cs="宋体"/>
      <w:sz w:val="24"/>
    </w:rPr>
  </w:style>
  <w:style w:type="paragraph" w:customStyle="1" w:styleId="903">
    <w:name w:val="_Style 2"/>
    <w:basedOn w:val="1"/>
    <w:next w:val="71"/>
    <w:qFormat/>
    <w:uiPriority w:val="0"/>
    <w:pPr>
      <w:adjustRightInd w:val="0"/>
      <w:spacing w:before="60" w:line="460" w:lineRule="exact"/>
      <w:ind w:firstLine="200" w:firstLineChars="200"/>
      <w:textAlignment w:val="baseline"/>
    </w:pPr>
    <w:rPr>
      <w:rFonts w:ascii="宋体"/>
      <w:sz w:val="24"/>
      <w:szCs w:val="20"/>
    </w:rPr>
  </w:style>
  <w:style w:type="paragraph" w:customStyle="1" w:styleId="904">
    <w:name w:val="正文文字缩进1"/>
    <w:basedOn w:val="1"/>
    <w:next w:val="37"/>
    <w:qFormat/>
    <w:uiPriority w:val="0"/>
    <w:pPr>
      <w:autoSpaceDE w:val="0"/>
      <w:autoSpaceDN w:val="0"/>
      <w:adjustRightInd w:val="0"/>
      <w:spacing w:before="60" w:line="360" w:lineRule="atLeast"/>
      <w:ind w:firstLine="200" w:firstLineChars="200"/>
      <w:textAlignment w:val="baseline"/>
    </w:pPr>
    <w:rPr>
      <w:rFonts w:ascii="宋体"/>
      <w:kern w:val="0"/>
      <w:sz w:val="28"/>
      <w:szCs w:val="28"/>
    </w:rPr>
  </w:style>
  <w:style w:type="paragraph" w:customStyle="1" w:styleId="905">
    <w:name w:val="默认段落字体 Para Char"/>
    <w:basedOn w:val="1"/>
    <w:uiPriority w:val="0"/>
    <w:pPr>
      <w:spacing w:line="360" w:lineRule="auto"/>
      <w:ind w:firstLine="200" w:firstLineChars="200"/>
    </w:pPr>
    <w:rPr>
      <w:rFonts w:ascii="宋体" w:hAnsi="宋体" w:cs="宋体"/>
      <w:sz w:val="24"/>
    </w:rPr>
  </w:style>
  <w:style w:type="paragraph" w:customStyle="1" w:styleId="906">
    <w:name w:val="首行缩进"/>
    <w:basedOn w:val="1"/>
    <w:qFormat/>
    <w:uiPriority w:val="0"/>
    <w:pPr>
      <w:snapToGrid w:val="0"/>
      <w:ind w:firstLine="425"/>
    </w:pPr>
    <w:rPr>
      <w:rFonts w:ascii="宋体"/>
      <w:sz w:val="24"/>
      <w:szCs w:val="20"/>
    </w:rPr>
  </w:style>
  <w:style w:type="paragraph" w:customStyle="1" w:styleId="907">
    <w:name w:val="样式 正文001 + Times New Roman"/>
    <w:basedOn w:val="1"/>
    <w:qFormat/>
    <w:uiPriority w:val="0"/>
    <w:pPr>
      <w:spacing w:before="60" w:line="460" w:lineRule="exact"/>
      <w:ind w:firstLine="482"/>
    </w:pPr>
    <w:rPr>
      <w:sz w:val="24"/>
      <w:szCs w:val="20"/>
    </w:rPr>
  </w:style>
  <w:style w:type="paragraph" w:customStyle="1" w:styleId="908">
    <w:name w:val="font7"/>
    <w:basedOn w:val="1"/>
    <w:uiPriority w:val="0"/>
    <w:pPr>
      <w:widowControl/>
      <w:spacing w:before="100" w:beforeAutospacing="1" w:after="100" w:afterAutospacing="1" w:line="460" w:lineRule="exact"/>
      <w:ind w:firstLine="200" w:firstLineChars="200"/>
      <w:jc w:val="left"/>
    </w:pPr>
    <w:rPr>
      <w:rFonts w:eastAsia="Arial Unicode MS"/>
      <w:kern w:val="0"/>
      <w:sz w:val="24"/>
    </w:rPr>
  </w:style>
  <w:style w:type="paragraph" w:customStyle="1" w:styleId="909">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60" w:lineRule="exact"/>
      <w:jc w:val="center"/>
      <w:textAlignment w:val="top"/>
    </w:pPr>
    <w:rPr>
      <w:rFonts w:ascii="Arial" w:hAnsi="Arial" w:cs="Arial"/>
      <w:kern w:val="0"/>
      <w:sz w:val="18"/>
      <w:szCs w:val="18"/>
    </w:rPr>
  </w:style>
  <w:style w:type="paragraph" w:customStyle="1" w:styleId="910">
    <w:name w:val="表格目录"/>
    <w:basedOn w:val="1"/>
    <w:next w:val="1"/>
    <w:uiPriority w:val="0"/>
    <w:pPr>
      <w:widowControl/>
      <w:spacing w:line="240" w:lineRule="atLeast"/>
      <w:jc w:val="center"/>
    </w:pPr>
    <w:rPr>
      <w:b/>
      <w:bCs/>
      <w:kern w:val="0"/>
      <w:szCs w:val="20"/>
    </w:rPr>
  </w:style>
  <w:style w:type="paragraph" w:customStyle="1" w:styleId="911">
    <w:name w:val="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912">
    <w:name w:val="y表头"/>
    <w:basedOn w:val="35"/>
    <w:qFormat/>
    <w:uiPriority w:val="0"/>
    <w:pPr>
      <w:widowControl w:val="0"/>
      <w:tabs>
        <w:tab w:val="left" w:pos="900"/>
      </w:tabs>
      <w:adjustRightInd w:val="0"/>
      <w:snapToGrid/>
      <w:spacing w:after="0" w:line="460" w:lineRule="exact"/>
      <w:ind w:right="0" w:firstLine="200" w:firstLineChars="200"/>
      <w:jc w:val="center"/>
      <w:textAlignment w:val="baseline"/>
    </w:pPr>
    <w:rPr>
      <w:rFonts w:ascii="宋体" w:hAnsi="宋体" w:eastAsia="楷体_GB2312"/>
      <w:b/>
      <w:kern w:val="2"/>
      <w:sz w:val="24"/>
      <w:lang w:val="zh-CN"/>
    </w:rPr>
  </w:style>
  <w:style w:type="paragraph" w:customStyle="1" w:styleId="913">
    <w:name w:val="Char Char1 Char Char Char Char Char Char Char Char Char Char Char Char Char Char Char Char Char Char11"/>
    <w:basedOn w:val="1"/>
    <w:uiPriority w:val="0"/>
    <w:pPr>
      <w:spacing w:line="360" w:lineRule="auto"/>
      <w:ind w:firstLine="200" w:firstLineChars="200"/>
    </w:pPr>
    <w:rPr>
      <w:rFonts w:ascii="宋体" w:hAnsi="宋体" w:cs="宋体"/>
      <w:sz w:val="24"/>
    </w:rPr>
  </w:style>
  <w:style w:type="paragraph" w:customStyle="1" w:styleId="914">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15">
    <w:name w:val="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cs="宋体"/>
      <w:sz w:val="24"/>
    </w:rPr>
  </w:style>
  <w:style w:type="paragraph" w:customStyle="1" w:styleId="91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917">
    <w:name w:val="WPS Plain"/>
    <w:qFormat/>
    <w:uiPriority w:val="0"/>
    <w:rPr>
      <w:rFonts w:ascii="Times New Roman" w:hAnsi="Times New Roman" w:eastAsia="宋体" w:cs="Times New Roman"/>
      <w:lang w:val="en-US" w:eastAsia="zh-CN" w:bidi="ar-SA"/>
    </w:rPr>
  </w:style>
  <w:style w:type="paragraph" w:customStyle="1" w:styleId="918">
    <w:name w:val="样式 1级标题 + 行距: 单倍行距"/>
    <w:basedOn w:val="240"/>
    <w:qFormat/>
    <w:uiPriority w:val="0"/>
    <w:pPr>
      <w:widowControl w:val="0"/>
      <w:spacing w:line="480" w:lineRule="exact"/>
    </w:pPr>
    <w:rPr>
      <w:rFonts w:ascii="Arial" w:hAnsi="Arial" w:cs="宋体"/>
      <w:bCs/>
      <w:kern w:val="2"/>
    </w:rPr>
  </w:style>
  <w:style w:type="paragraph" w:customStyle="1" w:styleId="919">
    <w:name w:val="font5"/>
    <w:basedOn w:val="1"/>
    <w:qFormat/>
    <w:uiPriority w:val="0"/>
    <w:pPr>
      <w:widowControl/>
      <w:spacing w:before="100" w:beforeAutospacing="1" w:after="100" w:afterAutospacing="1" w:line="460" w:lineRule="exact"/>
      <w:jc w:val="left"/>
    </w:pPr>
    <w:rPr>
      <w:rFonts w:ascii="宋体" w:cs="Arial Unicode MS"/>
      <w:kern w:val="0"/>
      <w:sz w:val="18"/>
      <w:szCs w:val="18"/>
    </w:rPr>
  </w:style>
  <w:style w:type="paragraph" w:customStyle="1" w:styleId="920">
    <w:name w:val="gao"/>
    <w:basedOn w:val="1"/>
    <w:qFormat/>
    <w:uiPriority w:val="0"/>
    <w:pPr>
      <w:autoSpaceDE w:val="0"/>
      <w:autoSpaceDN w:val="0"/>
      <w:adjustRightInd w:val="0"/>
      <w:spacing w:line="360" w:lineRule="auto"/>
    </w:pPr>
    <w:rPr>
      <w:rFonts w:ascii="宋体"/>
      <w:spacing w:val="-20"/>
      <w:kern w:val="0"/>
      <w:sz w:val="28"/>
    </w:rPr>
  </w:style>
  <w:style w:type="paragraph" w:customStyle="1" w:styleId="921">
    <w:name w:val="CM35"/>
    <w:basedOn w:val="1"/>
    <w:next w:val="1"/>
    <w:qFormat/>
    <w:uiPriority w:val="0"/>
    <w:pPr>
      <w:autoSpaceDE w:val="0"/>
      <w:autoSpaceDN w:val="0"/>
      <w:adjustRightInd w:val="0"/>
      <w:spacing w:line="363" w:lineRule="atLeast"/>
      <w:jc w:val="left"/>
    </w:pPr>
    <w:rPr>
      <w:rFonts w:ascii="楷体_GB2312" w:eastAsia="楷体_GB2312"/>
      <w:kern w:val="0"/>
      <w:sz w:val="24"/>
    </w:rPr>
  </w:style>
  <w:style w:type="paragraph" w:customStyle="1" w:styleId="922">
    <w:name w:val="四级条标题"/>
    <w:basedOn w:val="855"/>
    <w:next w:val="1"/>
    <w:uiPriority w:val="0"/>
    <w:pPr>
      <w:tabs>
        <w:tab w:val="left" w:pos="2520"/>
      </w:tabs>
      <w:ind w:left="2520"/>
      <w:outlineLvl w:val="5"/>
    </w:pPr>
  </w:style>
  <w:style w:type="paragraph" w:customStyle="1" w:styleId="923">
    <w:name w:val="文字段落10"/>
    <w:basedOn w:val="1"/>
    <w:uiPriority w:val="0"/>
    <w:pPr>
      <w:overflowPunct w:val="0"/>
      <w:autoSpaceDE w:val="0"/>
      <w:autoSpaceDN w:val="0"/>
      <w:adjustRightInd w:val="0"/>
      <w:snapToGrid w:val="0"/>
      <w:spacing w:beforeLines="50" w:afterLines="50" w:line="360" w:lineRule="auto"/>
      <w:ind w:firstLine="200" w:firstLineChars="200"/>
      <w:textAlignment w:val="baseline"/>
    </w:pPr>
    <w:rPr>
      <w:sz w:val="28"/>
      <w:szCs w:val="20"/>
    </w:rPr>
  </w:style>
  <w:style w:type="paragraph" w:customStyle="1" w:styleId="924">
    <w:name w:val="Char Char Char Char Char Char Char Char Char Char Char1"/>
    <w:basedOn w:val="1"/>
    <w:qFormat/>
    <w:uiPriority w:val="0"/>
    <w:rPr>
      <w:sz w:val="24"/>
    </w:rPr>
  </w:style>
  <w:style w:type="paragraph" w:customStyle="1" w:styleId="925">
    <w:name w:val="Main"/>
    <w:basedOn w:val="1"/>
    <w:qFormat/>
    <w:uiPriority w:val="0"/>
    <w:pPr>
      <w:spacing w:line="480" w:lineRule="atLeast"/>
      <w:ind w:left="400" w:leftChars="400" w:right="400" w:rightChars="400" w:firstLine="200" w:firstLineChars="200"/>
    </w:pPr>
    <w:rPr>
      <w:rFonts w:ascii="Tahoma" w:hAnsi="Tahoma"/>
      <w:sz w:val="28"/>
      <w:szCs w:val="28"/>
    </w:rPr>
  </w:style>
  <w:style w:type="paragraph" w:customStyle="1" w:styleId="926">
    <w:name w:val="Char Char Char Char Char Char Char Char Char Char Char Char Char Char1"/>
    <w:basedOn w:val="1"/>
    <w:uiPriority w:val="0"/>
    <w:rPr>
      <w:sz w:val="24"/>
    </w:rPr>
  </w:style>
  <w:style w:type="paragraph" w:customStyle="1" w:styleId="927">
    <w:name w:val="1标题4级"/>
    <w:basedOn w:val="928"/>
    <w:uiPriority w:val="0"/>
  </w:style>
  <w:style w:type="paragraph" w:customStyle="1" w:styleId="928">
    <w:name w:val="1标题3级"/>
    <w:basedOn w:val="1"/>
    <w:uiPriority w:val="0"/>
    <w:pPr>
      <w:keepNext/>
      <w:adjustRightInd w:val="0"/>
      <w:snapToGrid w:val="0"/>
      <w:spacing w:before="60" w:line="420" w:lineRule="auto"/>
      <w:ind w:firstLine="200" w:firstLineChars="200"/>
      <w:textAlignment w:val="baseline"/>
    </w:pPr>
    <w:rPr>
      <w:rFonts w:ascii="宋体" w:hAnsi="宋体" w:eastAsia="黑体"/>
      <w:b/>
      <w:sz w:val="28"/>
      <w:szCs w:val="20"/>
    </w:rPr>
  </w:style>
  <w:style w:type="paragraph" w:customStyle="1" w:styleId="929">
    <w:name w:val="表4-1"/>
    <w:basedOn w:val="1"/>
    <w:qFormat/>
    <w:uiPriority w:val="0"/>
    <w:pPr>
      <w:tabs>
        <w:tab w:val="center" w:pos="992"/>
        <w:tab w:val="left" w:pos="2340"/>
      </w:tabs>
      <w:adjustRightInd w:val="0"/>
      <w:spacing w:beforeLines="50" w:afterLines="50" w:line="460" w:lineRule="exact"/>
      <w:ind w:left="1752" w:hanging="132"/>
      <w:jc w:val="center"/>
      <w:textAlignment w:val="baseline"/>
    </w:pPr>
    <w:rPr>
      <w:sz w:val="24"/>
      <w:szCs w:val="20"/>
    </w:rPr>
  </w:style>
  <w:style w:type="paragraph" w:customStyle="1" w:styleId="930">
    <w:name w:val="表头文字"/>
    <w:basedOn w:val="1"/>
    <w:qFormat/>
    <w:uiPriority w:val="0"/>
    <w:pPr>
      <w:widowControl/>
      <w:adjustRightInd w:val="0"/>
      <w:snapToGrid w:val="0"/>
      <w:spacing w:before="60" w:line="400" w:lineRule="exact"/>
      <w:jc w:val="center"/>
      <w:textAlignment w:val="baseline"/>
    </w:pPr>
    <w:rPr>
      <w:b/>
      <w:kern w:val="0"/>
      <w:szCs w:val="20"/>
    </w:rPr>
  </w:style>
  <w:style w:type="paragraph" w:customStyle="1" w:styleId="931">
    <w:name w:val="Char Char1 Char Char Char1 Char Char Char Char Char Char Char Char Char Char Char Char Char1"/>
    <w:basedOn w:val="1"/>
    <w:uiPriority w:val="0"/>
    <w:pPr>
      <w:spacing w:before="20" w:beforeLines="20" w:line="440" w:lineRule="atLeast"/>
      <w:ind w:firstLine="200" w:firstLineChars="200"/>
    </w:pPr>
    <w:rPr>
      <w:sz w:val="24"/>
    </w:rPr>
  </w:style>
  <w:style w:type="paragraph" w:customStyle="1" w:styleId="932">
    <w:name w:val="主体无缩进"/>
    <w:basedOn w:val="255"/>
    <w:uiPriority w:val="0"/>
    <w:pPr>
      <w:ind w:firstLine="0" w:firstLineChars="0"/>
    </w:pPr>
    <w:rPr>
      <w:rFonts w:cs="宋体"/>
      <w:bCs w:val="0"/>
      <w:szCs w:val="20"/>
    </w:rPr>
  </w:style>
  <w:style w:type="paragraph" w:customStyle="1" w:styleId="933">
    <w:name w:val="Table-I(S)"/>
    <w:basedOn w:val="1"/>
    <w:qFormat/>
    <w:uiPriority w:val="0"/>
    <w:pPr>
      <w:tabs>
        <w:tab w:val="left" w:pos="2160"/>
        <w:tab w:val="left" w:pos="3840"/>
        <w:tab w:val="left" w:pos="5280"/>
      </w:tabs>
      <w:spacing w:line="0" w:lineRule="atLeast"/>
      <w:jc w:val="center"/>
    </w:pPr>
    <w:rPr>
      <w:rFonts w:hint="eastAsia" w:ascii="Tahoma" w:hAnsi="Tahoma" w:eastAsia="华文中宋"/>
      <w:sz w:val="18"/>
      <w:szCs w:val="20"/>
    </w:rPr>
  </w:style>
  <w:style w:type="paragraph" w:customStyle="1" w:styleId="934">
    <w:name w:val="4级标题"/>
    <w:next w:val="159"/>
    <w:qFormat/>
    <w:uiPriority w:val="0"/>
    <w:pPr>
      <w:widowControl w:val="0"/>
      <w:spacing w:before="60" w:line="460" w:lineRule="exact"/>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935">
    <w:name w:val="正文中对齐"/>
    <w:basedOn w:val="1"/>
    <w:qFormat/>
    <w:uiPriority w:val="0"/>
    <w:pPr>
      <w:adjustRightInd w:val="0"/>
      <w:snapToGrid w:val="0"/>
      <w:spacing w:before="60" w:after="60" w:line="60" w:lineRule="atLeast"/>
      <w:ind w:firstLine="200" w:firstLineChars="200"/>
      <w:jc w:val="center"/>
      <w:textAlignment w:val="baseline"/>
    </w:pPr>
    <w:rPr>
      <w:rFonts w:ascii="宋体"/>
      <w:sz w:val="24"/>
      <w:szCs w:val="20"/>
    </w:rPr>
  </w:style>
  <w:style w:type="paragraph" w:customStyle="1" w:styleId="936">
    <w:name w:val="样式 标题 + 黑体 小三 两端对齐 左侧:  0 厘米 首行缩进:  0 厘米 段前: 0 磅 段后: 0 磅 ...2"/>
    <w:basedOn w:val="85"/>
    <w:uiPriority w:val="0"/>
    <w:pPr>
      <w:pageBreakBefore/>
      <w:tabs>
        <w:tab w:val="left" w:pos="432"/>
      </w:tabs>
      <w:spacing w:before="100" w:beforeAutospacing="1" w:afterLines="150" w:line="360" w:lineRule="auto"/>
      <w:ind w:left="432" w:hanging="432"/>
      <w:jc w:val="both"/>
    </w:pPr>
    <w:rPr>
      <w:rFonts w:ascii="黑体" w:eastAsia="黑体"/>
      <w:bCs/>
      <w:sz w:val="36"/>
    </w:rPr>
  </w:style>
  <w:style w:type="paragraph" w:customStyle="1" w:styleId="937">
    <w:name w:val=":("/>
    <w:uiPriority w:val="0"/>
    <w:pPr>
      <w:widowControl w:val="0"/>
      <w:adjustRightInd w:val="0"/>
      <w:spacing w:line="312" w:lineRule="atLeast"/>
      <w:jc w:val="both"/>
      <w:textAlignment w:val="baseline"/>
    </w:pPr>
    <w:rPr>
      <w:rFonts w:ascii="Times New Roman" w:hAnsi="Times New Roman" w:eastAsia="·s²Ó©úÅé" w:cs="Times New Roman"/>
      <w:sz w:val="21"/>
      <w:lang w:val="en-US" w:eastAsia="zh-CN" w:bidi="ar-SA"/>
    </w:rPr>
  </w:style>
  <w:style w:type="paragraph" w:customStyle="1" w:styleId="938">
    <w:name w:val="样式 正文缩进 + 宋体 首行缩进:  2 字符 行距: 1.5 倍行距"/>
    <w:basedOn w:val="22"/>
    <w:qFormat/>
    <w:uiPriority w:val="0"/>
    <w:pPr>
      <w:widowControl w:val="0"/>
      <w:adjustRightInd w:val="0"/>
      <w:spacing w:line="300" w:lineRule="auto"/>
      <w:ind w:firstLine="200"/>
      <w:textAlignment w:val="baseline"/>
    </w:pPr>
    <w:rPr>
      <w:rFonts w:ascii="宋体" w:cs="宋体"/>
      <w:lang w:val="zh-CN"/>
    </w:rPr>
  </w:style>
  <w:style w:type="paragraph" w:customStyle="1" w:styleId="939">
    <w:name w:val="五级条标题"/>
    <w:basedOn w:val="922"/>
    <w:next w:val="1"/>
    <w:qFormat/>
    <w:uiPriority w:val="0"/>
    <w:pPr>
      <w:tabs>
        <w:tab w:val="left" w:pos="2940"/>
      </w:tabs>
      <w:ind w:left="2940"/>
      <w:outlineLvl w:val="6"/>
    </w:pPr>
  </w:style>
  <w:style w:type="paragraph" w:customStyle="1" w:styleId="940">
    <w:name w:val="斜体加粗"/>
    <w:basedOn w:val="1"/>
    <w:next w:val="1"/>
    <w:uiPriority w:val="0"/>
    <w:pPr>
      <w:widowControl/>
    </w:pPr>
    <w:rPr>
      <w:b/>
      <w:i/>
      <w:iCs/>
      <w:kern w:val="0"/>
      <w:sz w:val="22"/>
      <w:szCs w:val="20"/>
    </w:rPr>
  </w:style>
  <w:style w:type="paragraph" w:customStyle="1" w:styleId="941">
    <w:name w:val="Char Char Char Char Char Char Char2"/>
    <w:basedOn w:val="1"/>
    <w:uiPriority w:val="0"/>
    <w:pPr>
      <w:spacing w:before="60" w:line="360" w:lineRule="auto"/>
      <w:ind w:firstLine="200" w:firstLineChars="200"/>
    </w:pPr>
    <w:rPr>
      <w:rFonts w:ascii="宋体" w:cs="宋体"/>
      <w:sz w:val="24"/>
    </w:rPr>
  </w:style>
  <w:style w:type="paragraph" w:customStyle="1" w:styleId="942">
    <w:name w:val="CM7"/>
    <w:basedOn w:val="1"/>
    <w:next w:val="1"/>
    <w:uiPriority w:val="0"/>
    <w:pPr>
      <w:autoSpaceDE w:val="0"/>
      <w:autoSpaceDN w:val="0"/>
      <w:adjustRightInd w:val="0"/>
      <w:jc w:val="left"/>
    </w:pPr>
    <w:rPr>
      <w:rFonts w:ascii="NPPKGL+ArialUnicodeMS" w:eastAsia="NPPKGL+ArialUnicodeMS"/>
      <w:kern w:val="0"/>
      <w:sz w:val="24"/>
    </w:rPr>
  </w:style>
  <w:style w:type="paragraph" w:customStyle="1" w:styleId="94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44">
    <w:name w:val="表格2"/>
    <w:basedOn w:val="1"/>
    <w:qFormat/>
    <w:uiPriority w:val="0"/>
    <w:pPr>
      <w:spacing w:before="60" w:line="360" w:lineRule="atLeast"/>
      <w:jc w:val="center"/>
    </w:pPr>
    <w:rPr>
      <w:szCs w:val="21"/>
    </w:rPr>
  </w:style>
  <w:style w:type="paragraph" w:customStyle="1" w:styleId="945">
    <w:name w:val="样式 标题 3 + 首行缩进:  2 字符"/>
    <w:basedOn w:val="6"/>
    <w:uiPriority w:val="0"/>
    <w:pPr>
      <w:keepNext w:val="0"/>
      <w:widowControl w:val="0"/>
      <w:tabs>
        <w:tab w:val="left" w:pos="420"/>
      </w:tabs>
      <w:overflowPunct/>
      <w:autoSpaceDE/>
      <w:autoSpaceDN/>
      <w:adjustRightInd/>
      <w:spacing w:before="0" w:line="360" w:lineRule="auto"/>
      <w:ind w:left="0" w:firstLine="480" w:firstLineChars="200"/>
      <w:jc w:val="left"/>
      <w:textAlignment w:val="auto"/>
    </w:pPr>
    <w:rPr>
      <w:rFonts w:ascii="Times New Roman" w:hAnsi="Times New Roman" w:cs="宋体"/>
      <w:bCs/>
      <w:color w:val="auto"/>
      <w:spacing w:val="0"/>
      <w:kern w:val="2"/>
      <w:sz w:val="24"/>
      <w:szCs w:val="24"/>
    </w:rPr>
  </w:style>
  <w:style w:type="paragraph" w:customStyle="1" w:styleId="946">
    <w:name w:val="正文文本 22"/>
    <w:basedOn w:val="1"/>
    <w:qFormat/>
    <w:uiPriority w:val="0"/>
    <w:pPr>
      <w:adjustRightInd w:val="0"/>
      <w:spacing w:before="60" w:line="460" w:lineRule="exact"/>
      <w:ind w:right="9" w:firstLine="630"/>
      <w:textAlignment w:val="baseline"/>
    </w:pPr>
    <w:rPr>
      <w:rFonts w:ascii="楷体_GB2312" w:eastAsia="楷体_GB2312"/>
      <w:sz w:val="28"/>
      <w:szCs w:val="20"/>
    </w:rPr>
  </w:style>
  <w:style w:type="paragraph" w:customStyle="1" w:styleId="947">
    <w:name w:val="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948">
    <w:name w:val="Char Char Char1 Char11"/>
    <w:basedOn w:val="1"/>
    <w:qFormat/>
    <w:uiPriority w:val="0"/>
  </w:style>
  <w:style w:type="paragraph" w:customStyle="1" w:styleId="949">
    <w:name w:val="Char Char11"/>
    <w:basedOn w:val="1"/>
    <w:uiPriority w:val="0"/>
    <w:pPr>
      <w:spacing w:line="360" w:lineRule="auto"/>
      <w:ind w:firstLine="200" w:firstLineChars="200"/>
    </w:pPr>
    <w:rPr>
      <w:rFonts w:ascii="宋体" w:hAnsi="宋体" w:cs="宋体"/>
      <w:sz w:val="24"/>
    </w:rPr>
  </w:style>
  <w:style w:type="paragraph" w:customStyle="1" w:styleId="950">
    <w:name w:val="Char Char Char2 Char Char Char Char Char Char Char Char Char Char Char Char Char Char Char Char Char Char Char Char1"/>
    <w:basedOn w:val="1"/>
    <w:uiPriority w:val="0"/>
    <w:pPr>
      <w:spacing w:beforeLines="20" w:line="440" w:lineRule="atLeast"/>
      <w:ind w:firstLine="200" w:firstLineChars="200"/>
    </w:pPr>
    <w:rPr>
      <w:sz w:val="24"/>
    </w:rPr>
  </w:style>
  <w:style w:type="paragraph" w:customStyle="1" w:styleId="951">
    <w:name w:val="样式 段前: 0.5 行 段后: 0.5 行"/>
    <w:basedOn w:val="1"/>
    <w:semiHidden/>
    <w:qFormat/>
    <w:uiPriority w:val="0"/>
    <w:pPr>
      <w:adjustRightInd w:val="0"/>
      <w:snapToGrid w:val="0"/>
      <w:spacing w:beforeLines="25" w:afterLines="25" w:line="300" w:lineRule="auto"/>
      <w:ind w:firstLine="510" w:firstLineChars="200"/>
    </w:pPr>
    <w:rPr>
      <w:rFonts w:cs="宋体"/>
      <w:spacing w:val="10"/>
      <w:sz w:val="28"/>
      <w:szCs w:val="20"/>
    </w:rPr>
  </w:style>
  <w:style w:type="paragraph" w:customStyle="1" w:styleId="952">
    <w:name w:val="Char Char Char Char Char Char Char Char Char Char Char Char Char11"/>
    <w:basedOn w:val="1"/>
    <w:qFormat/>
    <w:uiPriority w:val="0"/>
    <w:pPr>
      <w:spacing w:line="360" w:lineRule="auto"/>
      <w:ind w:firstLine="200" w:firstLineChars="200"/>
    </w:pPr>
    <w:rPr>
      <w:rFonts w:ascii="宋体" w:hAnsi="宋体" w:cs="宋体"/>
      <w:sz w:val="24"/>
    </w:rPr>
  </w:style>
  <w:style w:type="paragraph" w:customStyle="1" w:styleId="953">
    <w:name w:val="xl39"/>
    <w:basedOn w:val="1"/>
    <w:uiPriority w:val="0"/>
    <w:pPr>
      <w:widowControl/>
      <w:spacing w:before="100" w:beforeAutospacing="1" w:after="100" w:afterAutospacing="1"/>
      <w:jc w:val="left"/>
    </w:pPr>
    <w:rPr>
      <w:rFonts w:hint="eastAsia" w:ascii="Arial Unicode MS" w:hAnsi="Arial Unicode MS" w:eastAsia="Arial Unicode MS"/>
      <w:szCs w:val="20"/>
    </w:rPr>
  </w:style>
  <w:style w:type="paragraph" w:customStyle="1" w:styleId="954">
    <w:name w:val="正文文本 32"/>
    <w:basedOn w:val="1"/>
    <w:semiHidden/>
    <w:uiPriority w:val="0"/>
    <w:pPr>
      <w:adjustRightInd w:val="0"/>
      <w:spacing w:line="360" w:lineRule="atLeast"/>
      <w:jc w:val="center"/>
      <w:textAlignment w:val="baseline"/>
    </w:pPr>
    <w:rPr>
      <w:rFonts w:ascii="仿宋体" w:eastAsia="仿宋体"/>
      <w:kern w:val="0"/>
      <w:sz w:val="24"/>
      <w:szCs w:val="20"/>
    </w:rPr>
  </w:style>
  <w:style w:type="paragraph" w:customStyle="1" w:styleId="955">
    <w:name w:val="正文5"/>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956">
    <w:name w:val="Char Char Char Char Char Char Char Char Char Char Char Char Char1 Char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957">
    <w:name w:val="Char Char Char Char Char Char Char Char Char Char Char Char Char1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958">
    <w:name w:val="Char Char Char Char Char Char Char Char Char Char Char Char Char2"/>
    <w:basedOn w:val="1"/>
    <w:uiPriority w:val="0"/>
    <w:pPr>
      <w:spacing w:line="360" w:lineRule="auto"/>
      <w:ind w:firstLine="200" w:firstLineChars="200"/>
    </w:pPr>
    <w:rPr>
      <w:rFonts w:ascii="宋体" w:hAnsi="宋体" w:cs="宋体"/>
      <w:sz w:val="24"/>
    </w:rPr>
  </w:style>
  <w:style w:type="paragraph" w:customStyle="1" w:styleId="959">
    <w:name w:val="Char Char1 Char Char Char1 Char Char Char Char1"/>
    <w:basedOn w:val="1"/>
    <w:uiPriority w:val="0"/>
    <w:pPr>
      <w:spacing w:before="20" w:beforeLines="20" w:line="440" w:lineRule="atLeast"/>
      <w:ind w:firstLine="200" w:firstLineChars="200"/>
    </w:pPr>
    <w:rPr>
      <w:sz w:val="24"/>
    </w:rPr>
  </w:style>
  <w:style w:type="paragraph" w:customStyle="1" w:styleId="960">
    <w:name w:val="Char Char Char2 Char Char Char Char Char Char Char Char Char Char Char Char Char Char Char1"/>
    <w:basedOn w:val="1"/>
    <w:uiPriority w:val="0"/>
    <w:pPr>
      <w:spacing w:before="20" w:beforeLines="20" w:line="440" w:lineRule="atLeast"/>
      <w:ind w:firstLine="200" w:firstLineChars="200"/>
    </w:pPr>
    <w:rPr>
      <w:sz w:val="24"/>
    </w:rPr>
  </w:style>
  <w:style w:type="paragraph" w:customStyle="1" w:styleId="961">
    <w:name w:val="Char Char1 Char Char Char1 Char Char Char Char Char Char Char Char Char Char Char Char Char Char Char Char Char Char Char Char Char Char1"/>
    <w:basedOn w:val="1"/>
    <w:qFormat/>
    <w:uiPriority w:val="0"/>
    <w:pPr>
      <w:spacing w:before="20" w:beforeLines="20" w:line="440" w:lineRule="atLeast"/>
      <w:ind w:firstLine="200" w:firstLineChars="200"/>
    </w:pPr>
    <w:rPr>
      <w:sz w:val="24"/>
    </w:rPr>
  </w:style>
  <w:style w:type="paragraph" w:customStyle="1" w:styleId="962">
    <w:name w:val="Char Char Char Char Char Char Char Char Char1 Char Char Char Char Char Char Char11"/>
    <w:basedOn w:val="1"/>
    <w:uiPriority w:val="0"/>
    <w:pPr>
      <w:spacing w:line="360" w:lineRule="auto"/>
      <w:ind w:firstLine="200" w:firstLineChars="200"/>
    </w:pPr>
    <w:rPr>
      <w:rFonts w:ascii="宋体" w:hAnsi="宋体" w:cs="宋体"/>
      <w:sz w:val="24"/>
    </w:rPr>
  </w:style>
  <w:style w:type="paragraph" w:customStyle="1" w:styleId="963">
    <w:name w:val="样式 页眉页眉1页眉2 + (中文) 黑体 小四 加粗 首行缩进:  0.85 厘米 顶端: (单实线 自动设置..."/>
    <w:basedOn w:val="1"/>
    <w:uiPriority w:val="0"/>
    <w:pPr>
      <w:pBdr>
        <w:top w:val="single" w:color="auto" w:sz="4" w:space="7"/>
      </w:pBdr>
      <w:tabs>
        <w:tab w:val="center" w:pos="4153"/>
        <w:tab w:val="right" w:pos="8306"/>
      </w:tabs>
      <w:snapToGrid w:val="0"/>
      <w:jc w:val="center"/>
    </w:pPr>
    <w:rPr>
      <w:rFonts w:eastAsia="黑体" w:cs="宋体"/>
      <w:b/>
      <w:bCs/>
      <w:sz w:val="24"/>
      <w:szCs w:val="20"/>
    </w:rPr>
  </w:style>
  <w:style w:type="paragraph" w:customStyle="1" w:styleId="964">
    <w:name w:val="font8"/>
    <w:basedOn w:val="1"/>
    <w:qFormat/>
    <w:uiPriority w:val="0"/>
    <w:pPr>
      <w:widowControl/>
      <w:spacing w:before="100" w:beforeAutospacing="1" w:after="100" w:afterAutospacing="1"/>
      <w:jc w:val="left"/>
    </w:pPr>
    <w:rPr>
      <w:rFonts w:ascii="Arial" w:hAnsi="Arial" w:cs="Arial"/>
      <w:color w:val="000000"/>
      <w:kern w:val="0"/>
      <w:sz w:val="22"/>
      <w:szCs w:val="22"/>
    </w:rPr>
  </w:style>
  <w:style w:type="paragraph" w:customStyle="1" w:styleId="965">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Cs w:val="21"/>
    </w:rPr>
  </w:style>
  <w:style w:type="paragraph" w:customStyle="1" w:styleId="96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Cs w:val="21"/>
    </w:rPr>
  </w:style>
  <w:style w:type="paragraph" w:customStyle="1" w:styleId="967">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968">
    <w:name w:val="xl6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69">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970">
    <w:name w:val="xl7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71">
    <w:name w:val="表格文字1"/>
    <w:basedOn w:val="233"/>
    <w:uiPriority w:val="0"/>
    <w:pPr>
      <w:jc w:val="both"/>
    </w:pPr>
    <w:rPr>
      <w:rFonts w:ascii="Times New Roman" w:hAnsi="Times New Roman" w:cs="宋体"/>
    </w:rPr>
  </w:style>
  <w:style w:type="paragraph" w:customStyle="1" w:styleId="972">
    <w:name w:val="样式 环保局表格 + 首行缩进:  2 字符"/>
    <w:basedOn w:val="1"/>
    <w:semiHidden/>
    <w:uiPriority w:val="0"/>
    <w:pPr>
      <w:adjustRightInd w:val="0"/>
      <w:snapToGrid w:val="0"/>
      <w:jc w:val="center"/>
    </w:pPr>
    <w:rPr>
      <w:rFonts w:eastAsia="仿宋_GB2312" w:cs="宋体"/>
      <w:snapToGrid w:val="0"/>
      <w:kern w:val="24"/>
      <w:szCs w:val="20"/>
    </w:rPr>
  </w:style>
  <w:style w:type="paragraph" w:customStyle="1" w:styleId="973">
    <w:name w:val="_Style 4"/>
    <w:basedOn w:val="1"/>
    <w:qFormat/>
    <w:uiPriority w:val="34"/>
    <w:pPr>
      <w:ind w:firstLine="420" w:firstLineChars="200"/>
    </w:pPr>
    <w:rPr>
      <w:szCs w:val="21"/>
    </w:rPr>
  </w:style>
  <w:style w:type="paragraph" w:customStyle="1" w:styleId="974">
    <w:name w:val="Char11"/>
    <w:basedOn w:val="1"/>
    <w:next w:val="1"/>
    <w:qFormat/>
    <w:uiPriority w:val="0"/>
  </w:style>
  <w:style w:type="table" w:customStyle="1" w:styleId="975">
    <w:name w:val="网格型c2"/>
    <w:basedOn w:val="8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4"/>
    <w:basedOn w:val="89"/>
    <w:qFormat/>
    <w:uiPriority w:val="59"/>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网格型13"/>
    <w:basedOn w:val="89"/>
    <w:qFormat/>
    <w:uiPriority w:val="99"/>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网格型c9"/>
    <w:basedOn w:val="89"/>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网格型c7"/>
    <w:basedOn w:val="8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0">
    <w:name w:val="网格型2"/>
    <w:basedOn w:val="89"/>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网格型c1"/>
    <w:basedOn w:val="8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网格型111"/>
    <w:basedOn w:val="89"/>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网格型12"/>
    <w:basedOn w:val="89"/>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网格型112"/>
    <w:basedOn w:val="8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网格型5"/>
    <w:basedOn w:val="89"/>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网格型c8"/>
    <w:basedOn w:val="89"/>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7">
    <w:name w:val="网格型c6"/>
    <w:basedOn w:val="89"/>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8">
    <w:name w:val="网格型c3"/>
    <w:basedOn w:val="89"/>
    <w:qFormat/>
    <w:uiPriority w:val="0"/>
    <w:pPr>
      <w:widowControl w:val="0"/>
      <w:spacing w:line="460" w:lineRule="exact"/>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9">
    <w:name w:val="网格型1"/>
    <w:basedOn w:val="89"/>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0">
    <w:name w:val="网格型c5"/>
    <w:basedOn w:val="8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网格型11"/>
    <w:basedOn w:val="89"/>
    <w:uiPriority w:val="59"/>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网格型c4"/>
    <w:basedOn w:val="89"/>
    <w:qFormat/>
    <w:uiPriority w:val="0"/>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3">
    <w:name w:val="网格型3"/>
    <w:basedOn w:val="89"/>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4">
    <w:name w:val="表格内标 Char"/>
    <w:qFormat/>
    <w:uiPriority w:val="99"/>
    <w:rPr>
      <w:rFonts w:ascii="黑体" w:eastAsia="黑体"/>
      <w:kern w:val="2"/>
      <w:lang w:val="en-US" w:eastAsia="zh-CN"/>
    </w:rPr>
  </w:style>
  <w:style w:type="character" w:customStyle="1" w:styleId="995">
    <w:name w:val="表格内标 Char Char"/>
    <w:link w:val="996"/>
    <w:qFormat/>
    <w:locked/>
    <w:uiPriority w:val="99"/>
    <w:rPr>
      <w:rFonts w:ascii="黑体" w:eastAsia="黑体"/>
      <w:kern w:val="2"/>
    </w:rPr>
  </w:style>
  <w:style w:type="paragraph" w:customStyle="1" w:styleId="996">
    <w:name w:val="表格内标"/>
    <w:basedOn w:val="1"/>
    <w:next w:val="1"/>
    <w:link w:val="995"/>
    <w:qFormat/>
    <w:uiPriority w:val="99"/>
    <w:pPr>
      <w:keepNext/>
      <w:keepLines/>
      <w:jc w:val="center"/>
    </w:pPr>
    <w:rPr>
      <w:rFonts w:ascii="黑体" w:eastAsia="黑体" w:hAnsiTheme="minorHAnsi" w:cstheme="minorBidi"/>
      <w:sz w:val="20"/>
      <w:szCs w:val="20"/>
    </w:rPr>
  </w:style>
  <w:style w:type="character" w:customStyle="1" w:styleId="997">
    <w:name w:val="lh15"/>
    <w:qFormat/>
    <w:uiPriority w:val="99"/>
  </w:style>
  <w:style w:type="character" w:customStyle="1" w:styleId="998">
    <w:name w:val="description"/>
    <w:qFormat/>
    <w:uiPriority w:val="0"/>
  </w:style>
  <w:style w:type="character" w:customStyle="1" w:styleId="999">
    <w:name w:val="Body Text Char1"/>
    <w:semiHidden/>
    <w:qFormat/>
    <w:uiPriority w:val="99"/>
    <w:rPr>
      <w:kern w:val="2"/>
      <w:sz w:val="21"/>
    </w:rPr>
  </w:style>
  <w:style w:type="character" w:customStyle="1" w:styleId="1000">
    <w:name w:val="bsharetext"/>
    <w:basedOn w:val="96"/>
    <w:qFormat/>
    <w:uiPriority w:val="0"/>
  </w:style>
  <w:style w:type="character" w:customStyle="1" w:styleId="1001">
    <w:name w:val="cur1"/>
    <w:qFormat/>
    <w:uiPriority w:val="0"/>
    <w:rPr>
      <w:color w:val="FFFFFF"/>
      <w:shd w:val="clear" w:color="auto" w:fill="2F6B98"/>
    </w:rPr>
  </w:style>
  <w:style w:type="character" w:customStyle="1" w:styleId="1002">
    <w:name w:val="radio-btn2"/>
    <w:qFormat/>
    <w:uiPriority w:val="0"/>
    <w:rPr>
      <w:sz w:val="24"/>
      <w:szCs w:val="24"/>
    </w:rPr>
  </w:style>
  <w:style w:type="character" w:customStyle="1" w:styleId="1003">
    <w:name w:val="radio-btn1"/>
    <w:uiPriority w:val="0"/>
    <w:rPr>
      <w:sz w:val="24"/>
      <w:szCs w:val="24"/>
    </w:rPr>
  </w:style>
  <w:style w:type="character" w:customStyle="1" w:styleId="1004">
    <w:name w:val="style391"/>
    <w:qFormat/>
    <w:uiPriority w:val="99"/>
    <w:rPr>
      <w:b/>
      <w:color w:val="287D3C"/>
      <w:sz w:val="26"/>
    </w:rPr>
  </w:style>
  <w:style w:type="character" w:customStyle="1" w:styleId="1005">
    <w:name w:val="正文文本首行缩进 2 字符"/>
    <w:qFormat/>
    <w:locked/>
    <w:uiPriority w:val="0"/>
    <w:rPr>
      <w:rFonts w:cs="Times New Roman"/>
      <w:kern w:val="2"/>
      <w:sz w:val="27"/>
    </w:rPr>
  </w:style>
  <w:style w:type="character" w:customStyle="1" w:styleId="1006">
    <w:name w:val="Char Char7"/>
    <w:qFormat/>
    <w:uiPriority w:val="99"/>
    <w:rPr>
      <w:rFonts w:eastAsia="宋体"/>
      <w:kern w:val="2"/>
      <w:sz w:val="27"/>
      <w:lang w:val="en-US" w:eastAsia="zh-CN"/>
    </w:rPr>
  </w:style>
  <w:style w:type="character" w:customStyle="1" w:styleId="1007">
    <w:name w:val="radio-btn"/>
    <w:uiPriority w:val="0"/>
    <w:rPr>
      <w:sz w:val="21"/>
      <w:szCs w:val="21"/>
    </w:rPr>
  </w:style>
  <w:style w:type="character" w:customStyle="1" w:styleId="1008">
    <w:name w:val="dec_font_style"/>
    <w:qFormat/>
    <w:uiPriority w:val="99"/>
  </w:style>
  <w:style w:type="character" w:customStyle="1" w:styleId="1009">
    <w:name w:val="居中正文 Char"/>
    <w:link w:val="546"/>
    <w:qFormat/>
    <w:locked/>
    <w:uiPriority w:val="99"/>
    <w:rPr>
      <w:rFonts w:ascii="宋体"/>
      <w:kern w:val="28"/>
      <w:sz w:val="24"/>
      <w:lang w:val="zh-CN" w:eastAsia="zh-CN"/>
    </w:rPr>
  </w:style>
  <w:style w:type="character" w:customStyle="1" w:styleId="1010">
    <w:name w:val="Header Char1"/>
    <w:semiHidden/>
    <w:qFormat/>
    <w:uiPriority w:val="99"/>
    <w:rPr>
      <w:kern w:val="2"/>
      <w:sz w:val="18"/>
    </w:rPr>
  </w:style>
  <w:style w:type="character" w:customStyle="1" w:styleId="1011">
    <w:name w:val="lable"/>
    <w:qFormat/>
    <w:uiPriority w:val="0"/>
    <w:rPr>
      <w:sz w:val="24"/>
      <w:szCs w:val="24"/>
    </w:rPr>
  </w:style>
  <w:style w:type="character" w:customStyle="1" w:styleId="1012">
    <w:name w:val="正文1 Char1"/>
    <w:qFormat/>
    <w:locked/>
    <w:uiPriority w:val="99"/>
    <w:rPr>
      <w:rFonts w:cs="宋体"/>
      <w:color w:val="000000"/>
      <w:sz w:val="24"/>
      <w:szCs w:val="24"/>
    </w:rPr>
  </w:style>
  <w:style w:type="character" w:customStyle="1" w:styleId="1013">
    <w:name w:val="正文缩进 字符"/>
    <w:qFormat/>
    <w:locked/>
    <w:uiPriority w:val="0"/>
    <w:rPr>
      <w:rFonts w:eastAsia="宋体"/>
      <w:kern w:val="2"/>
      <w:sz w:val="27"/>
      <w:lang w:val="en-US" w:eastAsia="zh-CN"/>
    </w:rPr>
  </w:style>
  <w:style w:type="character" w:customStyle="1" w:styleId="1014">
    <w:name w:val="正文文本首行缩进 字符"/>
    <w:qFormat/>
    <w:locked/>
    <w:uiPriority w:val="0"/>
    <w:rPr>
      <w:rFonts w:ascii="黑体" w:eastAsia="宋体" w:cs="Times New Roman"/>
      <w:kern w:val="2"/>
      <w:sz w:val="27"/>
      <w:lang w:val="en-US" w:eastAsia="zh-CN"/>
    </w:rPr>
  </w:style>
  <w:style w:type="character" w:customStyle="1" w:styleId="1015">
    <w:name w:val="Char Char Char"/>
    <w:qFormat/>
    <w:uiPriority w:val="99"/>
    <w:rPr>
      <w:rFonts w:ascii="宋体" w:hAnsi="Courier New" w:eastAsia="宋体"/>
      <w:kern w:val="2"/>
      <w:sz w:val="21"/>
      <w:lang w:val="en-US" w:eastAsia="zh-CN"/>
    </w:rPr>
  </w:style>
  <w:style w:type="character" w:customStyle="1" w:styleId="1016">
    <w:name w:val="信息表 Char"/>
    <w:link w:val="1017"/>
    <w:qFormat/>
    <w:locked/>
    <w:uiPriority w:val="99"/>
    <w:rPr>
      <w:rFonts w:hAnsi="宋体"/>
      <w:sz w:val="22"/>
    </w:rPr>
  </w:style>
  <w:style w:type="paragraph" w:customStyle="1" w:styleId="1017">
    <w:name w:val="信息表"/>
    <w:next w:val="1"/>
    <w:link w:val="1016"/>
    <w:qFormat/>
    <w:uiPriority w:val="99"/>
    <w:pPr>
      <w:adjustRightInd w:val="0"/>
      <w:snapToGrid w:val="0"/>
      <w:spacing w:line="440" w:lineRule="exact"/>
      <w:jc w:val="both"/>
    </w:pPr>
    <w:rPr>
      <w:rFonts w:hAnsi="宋体" w:asciiTheme="minorHAnsi" w:eastAsiaTheme="minorEastAsia" w:cstheme="minorBidi"/>
      <w:sz w:val="22"/>
      <w:lang w:val="en-US" w:eastAsia="zh-CN" w:bidi="ar-SA"/>
    </w:rPr>
  </w:style>
  <w:style w:type="character" w:customStyle="1" w:styleId="1018">
    <w:name w:val="Body Text Indent Char1"/>
    <w:semiHidden/>
    <w:qFormat/>
    <w:uiPriority w:val="99"/>
    <w:rPr>
      <w:kern w:val="2"/>
      <w:sz w:val="21"/>
    </w:rPr>
  </w:style>
  <w:style w:type="character" w:customStyle="1" w:styleId="1019">
    <w:name w:val="lishishuju"/>
    <w:qFormat/>
    <w:uiPriority w:val="0"/>
    <w:rPr>
      <w:b/>
      <w:color w:val="000052"/>
      <w:sz w:val="24"/>
      <w:szCs w:val="24"/>
      <w:bdr w:val="single" w:color="E3E3E3" w:sz="6" w:space="0"/>
    </w:rPr>
  </w:style>
  <w:style w:type="character" w:customStyle="1" w:styleId="1020">
    <w:name w:val="报告表表格 Char"/>
    <w:link w:val="1021"/>
    <w:qFormat/>
    <w:locked/>
    <w:uiPriority w:val="99"/>
    <w:rPr>
      <w:rFonts w:ascii="Arial" w:hAnsi="Arial"/>
      <w:kern w:val="2"/>
      <w:sz w:val="21"/>
    </w:rPr>
  </w:style>
  <w:style w:type="paragraph" w:customStyle="1" w:styleId="1021">
    <w:name w:val="报告表表格"/>
    <w:basedOn w:val="1"/>
    <w:link w:val="1020"/>
    <w:qFormat/>
    <w:uiPriority w:val="99"/>
    <w:pPr>
      <w:spacing w:line="360" w:lineRule="exact"/>
      <w:jc w:val="center"/>
    </w:pPr>
    <w:rPr>
      <w:rFonts w:ascii="Arial" w:hAnsi="Arial" w:eastAsiaTheme="minorEastAsia" w:cstheme="minorBidi"/>
      <w:szCs w:val="20"/>
    </w:rPr>
  </w:style>
  <w:style w:type="character" w:customStyle="1" w:styleId="1022">
    <w:name w:val="Body Text First Indent 2 Char1"/>
    <w:semiHidden/>
    <w:qFormat/>
    <w:uiPriority w:val="99"/>
    <w:rPr>
      <w:kern w:val="2"/>
      <w:sz w:val="21"/>
    </w:rPr>
  </w:style>
  <w:style w:type="character" w:customStyle="1" w:styleId="1023">
    <w:name w:val="style421"/>
    <w:qFormat/>
    <w:uiPriority w:val="99"/>
    <w:rPr>
      <w:color w:val="287D3C"/>
      <w:sz w:val="26"/>
    </w:rPr>
  </w:style>
  <w:style w:type="character" w:customStyle="1" w:styleId="1024">
    <w:name w:val="Title Char1"/>
    <w:qFormat/>
    <w:uiPriority w:val="99"/>
    <w:rPr>
      <w:rFonts w:ascii="Cambria" w:hAnsi="Cambria"/>
      <w:b/>
      <w:kern w:val="2"/>
      <w:sz w:val="32"/>
    </w:rPr>
  </w:style>
  <w:style w:type="character" w:customStyle="1" w:styleId="1025">
    <w:name w:val="普通文字 Char2"/>
    <w:qFormat/>
    <w:uiPriority w:val="99"/>
    <w:rPr>
      <w:rFonts w:ascii="宋体" w:hAnsi="Courier New" w:eastAsia="宋体"/>
      <w:kern w:val="2"/>
      <w:lang w:val="en-US" w:eastAsia="zh-CN"/>
    </w:rPr>
  </w:style>
  <w:style w:type="character" w:customStyle="1" w:styleId="1026">
    <w:name w:val="znspantitle"/>
    <w:uiPriority w:val="0"/>
    <w:rPr>
      <w:b/>
      <w:color w:val="333333"/>
    </w:rPr>
  </w:style>
  <w:style w:type="paragraph" w:customStyle="1" w:styleId="1027">
    <w:name w:val="表格文字2018"/>
    <w:qFormat/>
    <w:uiPriority w:val="0"/>
    <w:pPr>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1028">
    <w:name w:val="文字"/>
    <w:basedOn w:val="1"/>
    <w:qFormat/>
    <w:uiPriority w:val="0"/>
    <w:pPr>
      <w:widowControl/>
      <w:spacing w:afterLines="50" w:line="360" w:lineRule="auto"/>
      <w:ind w:firstLine="420"/>
    </w:pPr>
    <w:rPr>
      <w:kern w:val="0"/>
      <w:sz w:val="24"/>
    </w:rPr>
  </w:style>
  <w:style w:type="paragraph" w:customStyle="1" w:styleId="1029">
    <w:name w:val="封面6"/>
    <w:qFormat/>
    <w:uiPriority w:val="99"/>
    <w:pPr>
      <w:widowControl w:val="0"/>
      <w:ind w:firstLine="200" w:firstLineChars="200"/>
    </w:pPr>
    <w:rPr>
      <w:rFonts w:ascii="宋体" w:hAnsi="Times New Roman" w:eastAsia="宋体" w:cs="Times New Roman"/>
      <w:b/>
      <w:kern w:val="2"/>
      <w:sz w:val="30"/>
      <w:szCs w:val="24"/>
      <w:lang w:val="en-US" w:eastAsia="zh-CN" w:bidi="ar-SA"/>
    </w:rPr>
  </w:style>
  <w:style w:type="paragraph" w:customStyle="1" w:styleId="1030">
    <w:name w:val="reader-word-layer reader-word-s1-2"/>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1">
    <w:name w:val="表格标题-02"/>
    <w:basedOn w:val="1"/>
    <w:uiPriority w:val="0"/>
    <w:pPr>
      <w:spacing w:beforeLines="30" w:line="460" w:lineRule="exact"/>
      <w:jc w:val="center"/>
    </w:pPr>
    <w:rPr>
      <w:snapToGrid w:val="0"/>
      <w:kern w:val="0"/>
    </w:rPr>
  </w:style>
  <w:style w:type="paragraph" w:customStyle="1" w:styleId="1032">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3">
    <w:name w:val="reader-word-layer reader-word-s1-7"/>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4">
    <w:name w:val="正文-1"/>
    <w:basedOn w:val="1"/>
    <w:qFormat/>
    <w:uiPriority w:val="99"/>
    <w:pPr>
      <w:spacing w:line="560" w:lineRule="exact"/>
      <w:ind w:firstLine="200" w:firstLineChars="200"/>
    </w:pPr>
    <w:rPr>
      <w:rFonts w:eastAsia="仿宋_GB2312"/>
      <w:sz w:val="32"/>
    </w:rPr>
  </w:style>
  <w:style w:type="paragraph" w:customStyle="1" w:styleId="1035">
    <w:name w:val="Normal1"/>
    <w:qFormat/>
    <w:uiPriority w:val="99"/>
    <w:pPr>
      <w:jc w:val="both"/>
    </w:pPr>
    <w:rPr>
      <w:rFonts w:ascii="Times New Roman" w:hAnsi="Times New Roman" w:eastAsia="宋体" w:cs="Times New Roman"/>
      <w:kern w:val="2"/>
      <w:sz w:val="21"/>
      <w:szCs w:val="21"/>
      <w:lang w:val="en-US" w:eastAsia="zh-CN" w:bidi="ar-SA"/>
    </w:rPr>
  </w:style>
  <w:style w:type="paragraph" w:customStyle="1" w:styleId="1036">
    <w:name w:val="标题2"/>
    <w:basedOn w:val="1"/>
    <w:qFormat/>
    <w:uiPriority w:val="0"/>
    <w:pPr>
      <w:outlineLvl w:val="1"/>
    </w:pPr>
    <w:rPr>
      <w:rFonts w:ascii="宋体" w:hAnsi="宋体"/>
      <w:b/>
      <w:sz w:val="28"/>
      <w:szCs w:val="28"/>
    </w:rPr>
  </w:style>
  <w:style w:type="paragraph" w:customStyle="1" w:styleId="1037">
    <w:name w:val="style44"/>
    <w:basedOn w:val="1"/>
    <w:qFormat/>
    <w:uiPriority w:val="99"/>
    <w:pPr>
      <w:widowControl/>
      <w:spacing w:before="100" w:beforeAutospacing="1" w:after="100" w:afterAutospacing="1"/>
      <w:jc w:val="left"/>
    </w:pPr>
    <w:rPr>
      <w:rFonts w:ascii="宋体" w:hAnsi="宋体" w:cs="宋体"/>
      <w:kern w:val="0"/>
      <w:sz w:val="22"/>
      <w:szCs w:val="22"/>
    </w:rPr>
  </w:style>
  <w:style w:type="paragraph" w:customStyle="1" w:styleId="1038">
    <w:name w:val="reader-word-layer reader-word-s1-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9">
    <w:name w:val="改表内容居中"/>
    <w:basedOn w:val="1"/>
    <w:qFormat/>
    <w:uiPriority w:val="99"/>
    <w:pPr>
      <w:jc w:val="center"/>
      <w:textAlignment w:val="center"/>
    </w:pPr>
  </w:style>
  <w:style w:type="paragraph" w:customStyle="1" w:styleId="1040">
    <w:name w:val="reader-word-layer reader-word-s1-5"/>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1">
    <w:name w:val="reader-word-layer reader-word-s1-9"/>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2">
    <w:name w:val="正文开头二"/>
    <w:basedOn w:val="1"/>
    <w:qFormat/>
    <w:uiPriority w:val="99"/>
    <w:pPr>
      <w:autoSpaceDE w:val="0"/>
      <w:autoSpaceDN w:val="0"/>
      <w:adjustRightInd w:val="0"/>
      <w:spacing w:line="400" w:lineRule="atLeast"/>
      <w:textAlignment w:val="baseline"/>
    </w:pPr>
    <w:rPr>
      <w:rFonts w:ascii="Calibri" w:hAnsi="Calibri"/>
      <w:kern w:val="0"/>
      <w:szCs w:val="20"/>
    </w:rPr>
  </w:style>
  <w:style w:type="paragraph" w:customStyle="1" w:styleId="1043">
    <w:name w:val="reader-word-layer reader-word-s1-10"/>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4">
    <w:name w:val="reader-word-layer reader-word-s1-4"/>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5">
    <w:name w:val="修订11"/>
    <w:qFormat/>
    <w:uiPriority w:val="99"/>
    <w:rPr>
      <w:rFonts w:ascii="Times New Roman" w:hAnsi="Times New Roman" w:eastAsia="宋体" w:cs="Times New Roman"/>
      <w:kern w:val="2"/>
      <w:sz w:val="21"/>
      <w:szCs w:val="21"/>
      <w:lang w:val="en-US" w:eastAsia="zh-CN" w:bidi="ar-SA"/>
    </w:rPr>
  </w:style>
  <w:style w:type="paragraph" w:customStyle="1" w:styleId="1046">
    <w:name w:val="文本2018"/>
    <w:qFormat/>
    <w:uiPriority w:val="0"/>
    <w:pPr>
      <w:spacing w:line="440" w:lineRule="exact"/>
      <w:ind w:firstLine="200" w:firstLineChars="200"/>
    </w:pPr>
    <w:rPr>
      <w:rFonts w:ascii="Times New Roman" w:hAnsi="Times New Roman" w:eastAsia="仿宋_GB2312" w:cs="Times New Roman"/>
      <w:kern w:val="2"/>
      <w:sz w:val="24"/>
      <w:lang w:val="en-US" w:eastAsia="zh-CN" w:bidi="ar-SA"/>
    </w:rPr>
  </w:style>
  <w:style w:type="table" w:customStyle="1" w:styleId="1047">
    <w:name w:val="网格型6"/>
    <w:basedOn w:val="89"/>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48">
    <w:name w:val="正文文本首行缩进 2 字符1"/>
    <w:basedOn w:val="146"/>
    <w:qFormat/>
    <w:uiPriority w:val="0"/>
    <w:rPr>
      <w:rFonts w:ascii="Times New Roman" w:hAnsi="Times New Roman" w:eastAsia="宋体" w:cs="Times New Roman"/>
      <w:kern w:val="2"/>
      <w:sz w:val="21"/>
      <w:szCs w:val="24"/>
    </w:rPr>
  </w:style>
  <w:style w:type="character" w:customStyle="1" w:styleId="1049">
    <w:name w:val="正文首行缩进 2 Char2"/>
    <w:uiPriority w:val="0"/>
    <w:rPr>
      <w:rFonts w:ascii="Times New Roman" w:hAnsi="Times New Roman" w:eastAsia="宋体"/>
      <w:kern w:val="2"/>
      <w:sz w:val="21"/>
      <w:szCs w:val="24"/>
    </w:rPr>
  </w:style>
  <w:style w:type="character" w:customStyle="1" w:styleId="1050">
    <w:name w:val="正文文本首行缩进 字符1"/>
    <w:basedOn w:val="141"/>
    <w:qFormat/>
    <w:uiPriority w:val="0"/>
    <w:rPr>
      <w:rFonts w:ascii="Times New Roman" w:hAnsi="Times New Roman" w:eastAsia="宋体" w:cs="Times New Roman"/>
      <w:kern w:val="2"/>
      <w:sz w:val="21"/>
      <w:szCs w:val="24"/>
    </w:rPr>
  </w:style>
  <w:style w:type="character" w:customStyle="1" w:styleId="1051">
    <w:name w:val="正文首行缩进 Char4"/>
    <w:uiPriority w:val="0"/>
    <w:rPr>
      <w:kern w:val="2"/>
      <w:sz w:val="21"/>
      <w:szCs w:val="24"/>
    </w:rPr>
  </w:style>
  <w:style w:type="character" w:customStyle="1" w:styleId="1052">
    <w:name w:val="az Char Char"/>
    <w:link w:val="1053"/>
    <w:qFormat/>
    <w:uiPriority w:val="0"/>
    <w:rPr>
      <w:sz w:val="24"/>
    </w:rPr>
  </w:style>
  <w:style w:type="paragraph" w:customStyle="1" w:styleId="1053">
    <w:name w:val="az"/>
    <w:basedOn w:val="1"/>
    <w:link w:val="1052"/>
    <w:qFormat/>
    <w:uiPriority w:val="0"/>
    <w:pPr>
      <w:spacing w:line="360" w:lineRule="auto"/>
      <w:ind w:firstLine="480" w:firstLineChars="200"/>
    </w:pPr>
    <w:rPr>
      <w:rFonts w:asciiTheme="minorHAnsi" w:hAnsiTheme="minorHAnsi" w:eastAsiaTheme="minorEastAsia" w:cstheme="minorBidi"/>
      <w:kern w:val="0"/>
      <w:sz w:val="24"/>
      <w:szCs w:val="20"/>
    </w:rPr>
  </w:style>
  <w:style w:type="character" w:customStyle="1" w:styleId="1054">
    <w:name w:val="报告 Char Char"/>
    <w:link w:val="1055"/>
    <w:qFormat/>
    <w:uiPriority w:val="0"/>
    <w:rPr>
      <w:rFonts w:ascii="TimesNewRoman" w:hAnsi="TimesNewRoman"/>
      <w:sz w:val="24"/>
    </w:rPr>
  </w:style>
  <w:style w:type="paragraph" w:customStyle="1" w:styleId="1055">
    <w:name w:val="报告"/>
    <w:basedOn w:val="1"/>
    <w:link w:val="1054"/>
    <w:qFormat/>
    <w:uiPriority w:val="0"/>
    <w:pPr>
      <w:adjustRightInd w:val="0"/>
      <w:spacing w:line="360" w:lineRule="auto"/>
      <w:ind w:firstLine="505"/>
      <w:textAlignment w:val="center"/>
    </w:pPr>
    <w:rPr>
      <w:rFonts w:ascii="TimesNewRoman" w:hAnsi="TimesNewRoman" w:eastAsiaTheme="minorEastAsia" w:cstheme="minorBidi"/>
      <w:kern w:val="0"/>
      <w:sz w:val="24"/>
      <w:szCs w:val="20"/>
    </w:rPr>
  </w:style>
  <w:style w:type="character" w:customStyle="1" w:styleId="1056">
    <w:name w:val="尾注文本 字符"/>
    <w:link w:val="54"/>
    <w:qFormat/>
    <w:uiPriority w:val="0"/>
    <w:rPr>
      <w:szCs w:val="24"/>
    </w:rPr>
  </w:style>
  <w:style w:type="character" w:customStyle="1" w:styleId="1057">
    <w:name w:val="报告书正文 Char"/>
    <w:link w:val="1058"/>
    <w:uiPriority w:val="0"/>
    <w:rPr>
      <w:rFonts w:eastAsia="仿宋_GB2312"/>
      <w:sz w:val="24"/>
    </w:rPr>
  </w:style>
  <w:style w:type="paragraph" w:customStyle="1" w:styleId="1058">
    <w:name w:val="报告书正文"/>
    <w:basedOn w:val="1"/>
    <w:link w:val="1057"/>
    <w:qFormat/>
    <w:uiPriority w:val="0"/>
    <w:pPr>
      <w:spacing w:line="360" w:lineRule="auto"/>
      <w:ind w:firstLine="200" w:firstLineChars="200"/>
    </w:pPr>
    <w:rPr>
      <w:rFonts w:eastAsia="仿宋_GB2312" w:asciiTheme="minorHAnsi" w:hAnsiTheme="minorHAnsi" w:cstheme="minorBidi"/>
      <w:kern w:val="0"/>
      <w:sz w:val="24"/>
      <w:szCs w:val="20"/>
    </w:rPr>
  </w:style>
  <w:style w:type="character" w:customStyle="1" w:styleId="1059">
    <w:name w:val="正文文本 (2)_"/>
    <w:link w:val="1060"/>
    <w:unhideWhenUsed/>
    <w:qFormat/>
    <w:uiPriority w:val="99"/>
    <w:rPr>
      <w:rFonts w:ascii="MingLiU" w:hAnsi="MingLiU" w:eastAsia="MingLiU"/>
      <w:shd w:val="clear" w:color="auto" w:fill="FFFFFF"/>
      <w:lang w:eastAsia="en-US"/>
    </w:rPr>
  </w:style>
  <w:style w:type="paragraph" w:customStyle="1" w:styleId="1060">
    <w:name w:val="正文文本 (2)"/>
    <w:basedOn w:val="1"/>
    <w:link w:val="1059"/>
    <w:unhideWhenUsed/>
    <w:qFormat/>
    <w:uiPriority w:val="99"/>
    <w:pPr>
      <w:shd w:val="clear" w:color="auto" w:fill="FFFFFF"/>
      <w:spacing w:line="466" w:lineRule="exact"/>
    </w:pPr>
    <w:rPr>
      <w:rFonts w:ascii="MingLiU" w:hAnsi="MingLiU" w:eastAsia="MingLiU" w:cstheme="minorBidi"/>
      <w:kern w:val="0"/>
      <w:sz w:val="20"/>
      <w:szCs w:val="20"/>
      <w:lang w:eastAsia="en-US"/>
    </w:rPr>
  </w:style>
  <w:style w:type="character" w:customStyle="1" w:styleId="1061">
    <w:name w:val="标题 #13_"/>
    <w:link w:val="1062"/>
    <w:unhideWhenUsed/>
    <w:qFormat/>
    <w:uiPriority w:val="99"/>
    <w:rPr>
      <w:rFonts w:ascii="MingLiU" w:hAnsi="MingLiU" w:eastAsia="MingLiU"/>
      <w:shd w:val="clear" w:color="auto" w:fill="FFFFFF"/>
      <w:lang w:eastAsia="en-US"/>
    </w:rPr>
  </w:style>
  <w:style w:type="paragraph" w:customStyle="1" w:styleId="1062">
    <w:name w:val="标题 #13"/>
    <w:basedOn w:val="1"/>
    <w:link w:val="1061"/>
    <w:unhideWhenUsed/>
    <w:qFormat/>
    <w:uiPriority w:val="99"/>
    <w:pPr>
      <w:shd w:val="clear" w:color="auto" w:fill="FFFFFF"/>
      <w:spacing w:line="600" w:lineRule="exact"/>
    </w:pPr>
    <w:rPr>
      <w:rFonts w:ascii="MingLiU" w:hAnsi="MingLiU" w:eastAsia="MingLiU" w:cstheme="minorBidi"/>
      <w:kern w:val="0"/>
      <w:sz w:val="20"/>
      <w:szCs w:val="20"/>
      <w:lang w:eastAsia="en-US"/>
    </w:rPr>
  </w:style>
  <w:style w:type="character" w:customStyle="1" w:styleId="1063">
    <w:name w:val="标题 #9 (2)_"/>
    <w:link w:val="1064"/>
    <w:unhideWhenUsed/>
    <w:qFormat/>
    <w:uiPriority w:val="99"/>
    <w:rPr>
      <w:rFonts w:ascii="MingLiU" w:hAnsi="MingLiU" w:eastAsia="MingLiU"/>
      <w:spacing w:val="-10"/>
      <w:shd w:val="clear" w:color="auto" w:fill="FFFFFF"/>
    </w:rPr>
  </w:style>
  <w:style w:type="paragraph" w:customStyle="1" w:styleId="1064">
    <w:name w:val="标题 #9 (2)"/>
    <w:basedOn w:val="1"/>
    <w:link w:val="1063"/>
    <w:unhideWhenUsed/>
    <w:qFormat/>
    <w:uiPriority w:val="99"/>
    <w:pPr>
      <w:shd w:val="clear" w:color="auto" w:fill="FFFFFF"/>
      <w:spacing w:line="240" w:lineRule="atLeast"/>
      <w:outlineLvl w:val="8"/>
    </w:pPr>
    <w:rPr>
      <w:rFonts w:ascii="MingLiU" w:hAnsi="MingLiU" w:eastAsia="MingLiU" w:cstheme="minorBidi"/>
      <w:spacing w:val="-10"/>
      <w:kern w:val="0"/>
      <w:sz w:val="20"/>
      <w:szCs w:val="20"/>
    </w:rPr>
  </w:style>
  <w:style w:type="character" w:customStyle="1" w:styleId="1065">
    <w:name w:val="正weng Char"/>
    <w:link w:val="1066"/>
    <w:qFormat/>
    <w:uiPriority w:val="0"/>
    <w:rPr>
      <w:rFonts w:cs="宋体"/>
      <w:sz w:val="24"/>
      <w:szCs w:val="24"/>
    </w:rPr>
  </w:style>
  <w:style w:type="paragraph" w:customStyle="1" w:styleId="1066">
    <w:name w:val="正weng"/>
    <w:basedOn w:val="1"/>
    <w:link w:val="1065"/>
    <w:qFormat/>
    <w:uiPriority w:val="0"/>
    <w:pPr>
      <w:widowControl/>
      <w:overflowPunct w:val="0"/>
      <w:spacing w:line="360" w:lineRule="auto"/>
      <w:ind w:firstLine="200" w:firstLineChars="200"/>
      <w:jc w:val="left"/>
    </w:pPr>
    <w:rPr>
      <w:rFonts w:cs="宋体" w:asciiTheme="minorHAnsi" w:hAnsiTheme="minorHAnsi" w:eastAsiaTheme="minorEastAsia"/>
      <w:kern w:val="0"/>
      <w:sz w:val="24"/>
    </w:rPr>
  </w:style>
  <w:style w:type="character" w:customStyle="1" w:styleId="1067">
    <w:name w:val="正文文本 + AngsanaUPC"/>
    <w:unhideWhenUsed/>
    <w:qFormat/>
    <w:uiPriority w:val="99"/>
    <w:rPr>
      <w:rFonts w:hint="eastAsia" w:ascii="AngsanaUPC" w:hAnsi="AngsanaUPC" w:eastAsia="AngsanaUPC"/>
      <w:spacing w:val="10"/>
      <w:sz w:val="20"/>
      <w:u w:val="single"/>
    </w:rPr>
  </w:style>
  <w:style w:type="character" w:customStyle="1" w:styleId="1068">
    <w:name w:val="正文文本 (4)_"/>
    <w:link w:val="1069"/>
    <w:unhideWhenUsed/>
    <w:qFormat/>
    <w:uiPriority w:val="99"/>
    <w:rPr>
      <w:rFonts w:ascii="MingLiU" w:hAnsi="MingLiU" w:eastAsia="MingLiU"/>
      <w:shd w:val="clear" w:color="auto" w:fill="FFFFFF"/>
    </w:rPr>
  </w:style>
  <w:style w:type="paragraph" w:customStyle="1" w:styleId="1069">
    <w:name w:val="正文文本 (4)"/>
    <w:basedOn w:val="1"/>
    <w:link w:val="1068"/>
    <w:unhideWhenUsed/>
    <w:qFormat/>
    <w:uiPriority w:val="99"/>
    <w:pPr>
      <w:shd w:val="clear" w:color="auto" w:fill="FFFFFF"/>
      <w:spacing w:line="466" w:lineRule="exact"/>
    </w:pPr>
    <w:rPr>
      <w:rFonts w:ascii="MingLiU" w:hAnsi="MingLiU" w:eastAsia="MingLiU" w:cstheme="minorBidi"/>
      <w:kern w:val="0"/>
      <w:sz w:val="20"/>
      <w:szCs w:val="20"/>
    </w:rPr>
  </w:style>
  <w:style w:type="character" w:customStyle="1" w:styleId="1070">
    <w:name w:val="正文文本 (4)1"/>
    <w:unhideWhenUsed/>
    <w:qFormat/>
    <w:uiPriority w:val="99"/>
    <w:rPr>
      <w:rFonts w:hint="default" w:ascii="MingLiU" w:hAnsi="MingLiU" w:eastAsia="MingLiU"/>
      <w:sz w:val="21"/>
      <w:lang w:val="en-US" w:eastAsia="en-US"/>
    </w:rPr>
  </w:style>
  <w:style w:type="character" w:customStyle="1" w:styleId="1071">
    <w:name w:val="a3"/>
    <w:basedOn w:val="96"/>
    <w:qFormat/>
    <w:uiPriority w:val="0"/>
  </w:style>
  <w:style w:type="character" w:customStyle="1" w:styleId="1072">
    <w:name w:val="正文文本_"/>
    <w:link w:val="1073"/>
    <w:unhideWhenUsed/>
    <w:qFormat/>
    <w:uiPriority w:val="99"/>
    <w:rPr>
      <w:rFonts w:ascii="MingLiU" w:hAnsi="MingLiU" w:eastAsia="MingLiU"/>
      <w:spacing w:val="10"/>
      <w:shd w:val="clear" w:color="auto" w:fill="FFFFFF"/>
    </w:rPr>
  </w:style>
  <w:style w:type="paragraph" w:customStyle="1" w:styleId="1073">
    <w:name w:val="正文文本1"/>
    <w:basedOn w:val="1"/>
    <w:link w:val="1072"/>
    <w:unhideWhenUsed/>
    <w:qFormat/>
    <w:uiPriority w:val="99"/>
    <w:pPr>
      <w:shd w:val="clear" w:color="auto" w:fill="FFFFFF"/>
      <w:spacing w:line="466" w:lineRule="exact"/>
      <w:jc w:val="distribute"/>
    </w:pPr>
    <w:rPr>
      <w:rFonts w:ascii="MingLiU" w:hAnsi="MingLiU" w:eastAsia="MingLiU" w:cstheme="minorBidi"/>
      <w:spacing w:val="10"/>
      <w:kern w:val="0"/>
      <w:sz w:val="20"/>
      <w:szCs w:val="20"/>
    </w:rPr>
  </w:style>
  <w:style w:type="character" w:customStyle="1" w:styleId="1074">
    <w:name w:val="文本 Char"/>
    <w:link w:val="1075"/>
    <w:qFormat/>
    <w:uiPriority w:val="0"/>
    <w:rPr>
      <w:rFonts w:cs="黑体"/>
    </w:rPr>
  </w:style>
  <w:style w:type="paragraph" w:customStyle="1" w:styleId="1075">
    <w:name w:val="无间隔1"/>
    <w:link w:val="1074"/>
    <w:qFormat/>
    <w:uiPriority w:val="0"/>
    <w:pPr>
      <w:widowControl w:val="0"/>
      <w:jc w:val="center"/>
    </w:pPr>
    <w:rPr>
      <w:rFonts w:cs="黑体" w:asciiTheme="minorHAnsi" w:hAnsiTheme="minorHAnsi" w:eastAsiaTheme="minorEastAsia"/>
      <w:lang w:val="en-US" w:eastAsia="zh-CN" w:bidi="ar-SA"/>
    </w:rPr>
  </w:style>
  <w:style w:type="character" w:customStyle="1" w:styleId="1076">
    <w:name w:val="标题 #41"/>
    <w:unhideWhenUsed/>
    <w:qFormat/>
    <w:uiPriority w:val="99"/>
    <w:rPr>
      <w:rFonts w:hint="eastAsia" w:ascii="MingLiU" w:hAnsi="MingLiU" w:eastAsia="MingLiU"/>
      <w:spacing w:val="10"/>
      <w:sz w:val="21"/>
    </w:rPr>
  </w:style>
  <w:style w:type="character" w:customStyle="1" w:styleId="1077">
    <w:name w:val="MY正文 Char"/>
    <w:link w:val="1078"/>
    <w:qFormat/>
    <w:uiPriority w:val="0"/>
    <w:rPr>
      <w:sz w:val="28"/>
      <w:szCs w:val="28"/>
    </w:rPr>
  </w:style>
  <w:style w:type="paragraph" w:customStyle="1" w:styleId="1078">
    <w:name w:val="MY正文"/>
    <w:basedOn w:val="1"/>
    <w:link w:val="1077"/>
    <w:qFormat/>
    <w:uiPriority w:val="0"/>
    <w:pPr>
      <w:spacing w:line="360" w:lineRule="auto"/>
      <w:ind w:firstLine="560" w:firstLineChars="200"/>
    </w:pPr>
    <w:rPr>
      <w:rFonts w:asciiTheme="minorHAnsi" w:hAnsiTheme="minorHAnsi" w:eastAsiaTheme="minorEastAsia" w:cstheme="minorBidi"/>
      <w:kern w:val="0"/>
      <w:sz w:val="28"/>
      <w:szCs w:val="28"/>
    </w:rPr>
  </w:style>
  <w:style w:type="character" w:customStyle="1" w:styleId="1079">
    <w:name w:val="font01"/>
    <w:qFormat/>
    <w:uiPriority w:val="0"/>
    <w:rPr>
      <w:rFonts w:hint="eastAsia" w:ascii="宋体" w:hAnsi="宋体" w:eastAsia="宋体"/>
      <w:color w:val="000000"/>
      <w:sz w:val="24"/>
    </w:rPr>
  </w:style>
  <w:style w:type="character" w:customStyle="1" w:styleId="1080">
    <w:name w:val="标题 #13 + 17.5 pt"/>
    <w:unhideWhenUsed/>
    <w:qFormat/>
    <w:uiPriority w:val="99"/>
    <w:rPr>
      <w:rFonts w:hint="eastAsia" w:ascii="MingLiU" w:hAnsi="MingLiU" w:eastAsia="MingLiU"/>
      <w:sz w:val="35"/>
      <w:lang w:val="en-US" w:eastAsia="en-US"/>
    </w:rPr>
  </w:style>
  <w:style w:type="character" w:customStyle="1" w:styleId="1081">
    <w:name w:val="标题 #61"/>
    <w:unhideWhenUsed/>
    <w:qFormat/>
    <w:uiPriority w:val="99"/>
    <w:rPr>
      <w:rFonts w:hint="eastAsia" w:ascii="MingLiU" w:hAnsi="MingLiU" w:eastAsia="MingLiU"/>
      <w:spacing w:val="10"/>
      <w:sz w:val="21"/>
    </w:rPr>
  </w:style>
  <w:style w:type="character" w:customStyle="1" w:styleId="1082">
    <w:name w:val="标题 #5_"/>
    <w:link w:val="1083"/>
    <w:unhideWhenUsed/>
    <w:qFormat/>
    <w:uiPriority w:val="99"/>
    <w:rPr>
      <w:rFonts w:ascii="MingLiU" w:hAnsi="MingLiU" w:eastAsia="MingLiU"/>
      <w:spacing w:val="10"/>
      <w:shd w:val="clear" w:color="auto" w:fill="FFFFFF"/>
    </w:rPr>
  </w:style>
  <w:style w:type="paragraph" w:customStyle="1" w:styleId="1083">
    <w:name w:val="标题 #5"/>
    <w:basedOn w:val="1"/>
    <w:link w:val="1082"/>
    <w:unhideWhenUsed/>
    <w:qFormat/>
    <w:uiPriority w:val="99"/>
    <w:pPr>
      <w:shd w:val="clear" w:color="auto" w:fill="FFFFFF"/>
      <w:spacing w:line="240" w:lineRule="atLeast"/>
      <w:outlineLvl w:val="4"/>
    </w:pPr>
    <w:rPr>
      <w:rFonts w:ascii="MingLiU" w:hAnsi="MingLiU" w:eastAsia="MingLiU" w:cstheme="minorBidi"/>
      <w:spacing w:val="10"/>
      <w:kern w:val="0"/>
      <w:sz w:val="20"/>
      <w:szCs w:val="20"/>
    </w:rPr>
  </w:style>
  <w:style w:type="character" w:customStyle="1" w:styleId="1084">
    <w:name w:val="正文文本 (2) + 间距 6 pt"/>
    <w:unhideWhenUsed/>
    <w:qFormat/>
    <w:uiPriority w:val="99"/>
    <w:rPr>
      <w:rFonts w:hint="eastAsia" w:ascii="MingLiU" w:hAnsi="MingLiU" w:eastAsia="MingLiU"/>
      <w:spacing w:val="130"/>
      <w:sz w:val="21"/>
      <w:lang w:val="en-US" w:eastAsia="en-US"/>
    </w:rPr>
  </w:style>
  <w:style w:type="character" w:customStyle="1" w:styleId="1085">
    <w:name w:val="正文（首行缩进两字） Char"/>
    <w:qFormat/>
    <w:uiPriority w:val="0"/>
    <w:rPr>
      <w:rFonts w:eastAsia="宋体"/>
      <w:kern w:val="2"/>
      <w:sz w:val="24"/>
      <w:lang w:val="en-US" w:eastAsia="zh-CN"/>
    </w:rPr>
  </w:style>
  <w:style w:type="character" w:customStyle="1" w:styleId="1086">
    <w:name w:val="fontborder"/>
    <w:qFormat/>
    <w:uiPriority w:val="0"/>
    <w:rPr>
      <w:bdr w:val="single" w:color="000000" w:sz="6" w:space="0"/>
    </w:rPr>
  </w:style>
  <w:style w:type="character" w:customStyle="1" w:styleId="1087">
    <w:name w:val="正文文本 (2) + 间距 5 pt"/>
    <w:unhideWhenUsed/>
    <w:qFormat/>
    <w:uiPriority w:val="99"/>
    <w:rPr>
      <w:rFonts w:hint="eastAsia" w:ascii="MingLiU" w:hAnsi="MingLiU" w:eastAsia="MingLiU"/>
      <w:spacing w:val="100"/>
      <w:sz w:val="21"/>
      <w:u w:val="single"/>
      <w:lang w:val="en-US" w:eastAsia="en-US"/>
    </w:rPr>
  </w:style>
  <w:style w:type="character" w:customStyle="1" w:styleId="1088">
    <w:name w:val="表格标题 + 间距 0 pt"/>
    <w:unhideWhenUsed/>
    <w:qFormat/>
    <w:uiPriority w:val="99"/>
    <w:rPr>
      <w:rFonts w:hint="default" w:ascii="MingLiU" w:hAnsi="MingLiU" w:eastAsia="MingLiU"/>
      <w:spacing w:val="0"/>
      <w:sz w:val="21"/>
      <w:lang w:val="en-US" w:eastAsia="en-US"/>
    </w:rPr>
  </w:style>
  <w:style w:type="character" w:customStyle="1" w:styleId="1089">
    <w:name w:val="正文文本 + Georgia"/>
    <w:unhideWhenUsed/>
    <w:qFormat/>
    <w:uiPriority w:val="99"/>
    <w:rPr>
      <w:rFonts w:hint="default" w:ascii="Georgia" w:hAnsi="Georgia" w:eastAsia="Georgia"/>
      <w:spacing w:val="10"/>
      <w:sz w:val="13"/>
      <w:u w:val="single"/>
    </w:rPr>
  </w:style>
  <w:style w:type="character" w:customStyle="1" w:styleId="1090">
    <w:name w:val="正文2 Char"/>
    <w:link w:val="550"/>
    <w:qFormat/>
    <w:uiPriority w:val="0"/>
    <w:rPr>
      <w:rFonts w:ascii="Times New Roman" w:hAnsi="Times New Roman" w:eastAsia="宋体" w:cs="Times New Roman"/>
      <w:kern w:val="2"/>
      <w:sz w:val="24"/>
    </w:rPr>
  </w:style>
  <w:style w:type="character" w:customStyle="1" w:styleId="1091">
    <w:name w:val="正文文本 + 间距 1 pt"/>
    <w:unhideWhenUsed/>
    <w:qFormat/>
    <w:uiPriority w:val="99"/>
    <w:rPr>
      <w:rFonts w:hint="default" w:ascii="MingLiU" w:hAnsi="MingLiU" w:eastAsia="MingLiU"/>
      <w:spacing w:val="30"/>
      <w:sz w:val="21"/>
      <w:u w:val="single"/>
      <w:lang w:val="en-US" w:eastAsia="en-US"/>
    </w:rPr>
  </w:style>
  <w:style w:type="character" w:customStyle="1" w:styleId="1092">
    <w:name w:val="标题 #9_"/>
    <w:link w:val="1093"/>
    <w:unhideWhenUsed/>
    <w:qFormat/>
    <w:uiPriority w:val="99"/>
    <w:rPr>
      <w:rFonts w:ascii="MingLiU" w:hAnsi="MingLiU" w:eastAsia="MingLiU"/>
      <w:spacing w:val="10"/>
      <w:shd w:val="clear" w:color="auto" w:fill="FFFFFF"/>
    </w:rPr>
  </w:style>
  <w:style w:type="paragraph" w:customStyle="1" w:styleId="1093">
    <w:name w:val="标题 #9"/>
    <w:basedOn w:val="1"/>
    <w:link w:val="1092"/>
    <w:unhideWhenUsed/>
    <w:qFormat/>
    <w:uiPriority w:val="99"/>
    <w:pPr>
      <w:shd w:val="clear" w:color="auto" w:fill="FFFFFF"/>
      <w:spacing w:line="240" w:lineRule="atLeast"/>
      <w:outlineLvl w:val="8"/>
    </w:pPr>
    <w:rPr>
      <w:rFonts w:ascii="MingLiU" w:hAnsi="MingLiU" w:eastAsia="MingLiU" w:cstheme="minorBidi"/>
      <w:spacing w:val="10"/>
      <w:kern w:val="0"/>
      <w:sz w:val="20"/>
      <w:szCs w:val="20"/>
    </w:rPr>
  </w:style>
  <w:style w:type="character" w:customStyle="1" w:styleId="1094">
    <w:name w:val="表格标题 + Georgia"/>
    <w:unhideWhenUsed/>
    <w:qFormat/>
    <w:uiPriority w:val="99"/>
    <w:rPr>
      <w:rFonts w:hint="default" w:ascii="Georgia" w:hAnsi="Georgia" w:eastAsia="Georgia"/>
      <w:spacing w:val="10"/>
      <w:sz w:val="13"/>
    </w:rPr>
  </w:style>
  <w:style w:type="character" w:customStyle="1" w:styleId="1095">
    <w:name w:val="bg"/>
    <w:basedOn w:val="96"/>
    <w:qFormat/>
    <w:uiPriority w:val="0"/>
  </w:style>
  <w:style w:type="character" w:customStyle="1" w:styleId="1096">
    <w:name w:val="标题 #91"/>
    <w:unhideWhenUsed/>
    <w:qFormat/>
    <w:uiPriority w:val="99"/>
    <w:rPr>
      <w:rFonts w:hint="eastAsia" w:ascii="MingLiU" w:hAnsi="MingLiU" w:eastAsia="MingLiU"/>
      <w:spacing w:val="10"/>
      <w:sz w:val="21"/>
      <w:u w:val="single"/>
    </w:rPr>
  </w:style>
  <w:style w:type="character" w:customStyle="1" w:styleId="1097">
    <w:name w:val="表格标题_"/>
    <w:unhideWhenUsed/>
    <w:qFormat/>
    <w:uiPriority w:val="99"/>
    <w:rPr>
      <w:rFonts w:ascii="MingLiU" w:hAnsi="MingLiU" w:eastAsia="MingLiU"/>
      <w:spacing w:val="10"/>
      <w:shd w:val="clear" w:color="auto" w:fill="FFFFFF"/>
    </w:rPr>
  </w:style>
  <w:style w:type="character" w:customStyle="1" w:styleId="1098">
    <w:name w:val="正文文本 (4) + 间距 0 pt"/>
    <w:unhideWhenUsed/>
    <w:qFormat/>
    <w:uiPriority w:val="99"/>
    <w:rPr>
      <w:rFonts w:hint="eastAsia" w:ascii="MingLiU" w:hAnsi="MingLiU" w:eastAsia="MingLiU"/>
      <w:spacing w:val="10"/>
      <w:sz w:val="21"/>
    </w:rPr>
  </w:style>
  <w:style w:type="character" w:customStyle="1" w:styleId="1099">
    <w:name w:val="fontstrikethrough"/>
    <w:qFormat/>
    <w:uiPriority w:val="0"/>
    <w:rPr>
      <w:strike/>
    </w:rPr>
  </w:style>
  <w:style w:type="character" w:customStyle="1" w:styleId="1100">
    <w:name w:val="标题 #51"/>
    <w:unhideWhenUsed/>
    <w:qFormat/>
    <w:uiPriority w:val="99"/>
    <w:rPr>
      <w:rFonts w:hint="eastAsia" w:ascii="MingLiU" w:hAnsi="MingLiU" w:eastAsia="MingLiU"/>
      <w:spacing w:val="10"/>
      <w:sz w:val="21"/>
    </w:rPr>
  </w:style>
  <w:style w:type="character" w:customStyle="1" w:styleId="1101">
    <w:name w:val="fontstyle31"/>
    <w:qFormat/>
    <w:uiPriority w:val="0"/>
    <w:rPr>
      <w:rFonts w:hint="default" w:ascii="Times New Roman" w:hAnsi="Times New Roman" w:cs="Times New Roman"/>
      <w:color w:val="000000"/>
      <w:sz w:val="24"/>
      <w:szCs w:val="24"/>
    </w:rPr>
  </w:style>
  <w:style w:type="character" w:customStyle="1" w:styleId="1102">
    <w:name w:val="Character Style 11"/>
    <w:unhideWhenUsed/>
    <w:qFormat/>
    <w:uiPriority w:val="0"/>
    <w:rPr>
      <w:rFonts w:hint="default"/>
      <w:sz w:val="20"/>
    </w:rPr>
  </w:style>
  <w:style w:type="character" w:customStyle="1" w:styleId="1103">
    <w:name w:val="标题 #6_"/>
    <w:link w:val="1104"/>
    <w:unhideWhenUsed/>
    <w:qFormat/>
    <w:uiPriority w:val="99"/>
    <w:rPr>
      <w:rFonts w:ascii="MingLiU" w:hAnsi="MingLiU" w:eastAsia="MingLiU"/>
      <w:spacing w:val="10"/>
      <w:shd w:val="clear" w:color="auto" w:fill="FFFFFF"/>
    </w:rPr>
  </w:style>
  <w:style w:type="paragraph" w:customStyle="1" w:styleId="1104">
    <w:name w:val="标题 #6"/>
    <w:basedOn w:val="1"/>
    <w:link w:val="1103"/>
    <w:unhideWhenUsed/>
    <w:qFormat/>
    <w:uiPriority w:val="99"/>
    <w:pPr>
      <w:shd w:val="clear" w:color="auto" w:fill="FFFFFF"/>
      <w:spacing w:line="240" w:lineRule="atLeast"/>
      <w:outlineLvl w:val="5"/>
    </w:pPr>
    <w:rPr>
      <w:rFonts w:ascii="MingLiU" w:hAnsi="MingLiU" w:eastAsia="MingLiU" w:cstheme="minorBidi"/>
      <w:spacing w:val="10"/>
      <w:kern w:val="0"/>
      <w:sz w:val="20"/>
      <w:szCs w:val="20"/>
    </w:rPr>
  </w:style>
  <w:style w:type="character" w:customStyle="1" w:styleId="1105">
    <w:name w:val="正文文本 + MingLiU"/>
    <w:unhideWhenUsed/>
    <w:qFormat/>
    <w:uiPriority w:val="99"/>
    <w:rPr>
      <w:rFonts w:hint="default" w:ascii="MingLiU" w:hAnsi="MingLiU" w:eastAsia="MingLiU"/>
      <w:spacing w:val="10"/>
      <w:sz w:val="10"/>
    </w:rPr>
  </w:style>
  <w:style w:type="character" w:customStyle="1" w:styleId="1106">
    <w:name w:val="正文文本 + 间距 2 pt"/>
    <w:unhideWhenUsed/>
    <w:qFormat/>
    <w:uiPriority w:val="99"/>
    <w:rPr>
      <w:rFonts w:hint="eastAsia" w:ascii="MingLiU" w:hAnsi="MingLiU" w:eastAsia="MingLiU"/>
      <w:spacing w:val="40"/>
      <w:sz w:val="21"/>
    </w:rPr>
  </w:style>
  <w:style w:type="character" w:customStyle="1" w:styleId="1107">
    <w:name w:val="表格标题 (4)_"/>
    <w:link w:val="1108"/>
    <w:unhideWhenUsed/>
    <w:qFormat/>
    <w:uiPriority w:val="99"/>
    <w:rPr>
      <w:rFonts w:ascii="MingLiU" w:hAnsi="MingLiU" w:eastAsia="MingLiU"/>
      <w:sz w:val="18"/>
      <w:shd w:val="clear" w:color="auto" w:fill="FFFFFF"/>
    </w:rPr>
  </w:style>
  <w:style w:type="paragraph" w:customStyle="1" w:styleId="1108">
    <w:name w:val="表格标题 (4)"/>
    <w:basedOn w:val="1"/>
    <w:link w:val="1107"/>
    <w:unhideWhenUsed/>
    <w:qFormat/>
    <w:uiPriority w:val="99"/>
    <w:pPr>
      <w:shd w:val="clear" w:color="auto" w:fill="FFFFFF"/>
      <w:spacing w:line="240" w:lineRule="atLeast"/>
    </w:pPr>
    <w:rPr>
      <w:rFonts w:ascii="MingLiU" w:hAnsi="MingLiU" w:eastAsia="MingLiU" w:cstheme="minorBidi"/>
      <w:kern w:val="0"/>
      <w:sz w:val="18"/>
      <w:szCs w:val="20"/>
    </w:rPr>
  </w:style>
  <w:style w:type="character" w:customStyle="1" w:styleId="1109">
    <w:name w:val="正文文本 + 间距 0 pt"/>
    <w:unhideWhenUsed/>
    <w:qFormat/>
    <w:uiPriority w:val="99"/>
    <w:rPr>
      <w:rFonts w:hint="eastAsia" w:ascii="MingLiU" w:hAnsi="MingLiU" w:eastAsia="MingLiU"/>
      <w:spacing w:val="10"/>
      <w:sz w:val="48"/>
    </w:rPr>
  </w:style>
  <w:style w:type="character" w:customStyle="1" w:styleId="1110">
    <w:name w:val="标题 #4_"/>
    <w:link w:val="1111"/>
    <w:unhideWhenUsed/>
    <w:qFormat/>
    <w:uiPriority w:val="99"/>
    <w:rPr>
      <w:rFonts w:ascii="MingLiU" w:hAnsi="MingLiU" w:eastAsia="MingLiU"/>
      <w:spacing w:val="10"/>
      <w:shd w:val="clear" w:color="auto" w:fill="FFFFFF"/>
    </w:rPr>
  </w:style>
  <w:style w:type="paragraph" w:customStyle="1" w:styleId="1111">
    <w:name w:val="标题 #4"/>
    <w:basedOn w:val="1"/>
    <w:link w:val="1110"/>
    <w:unhideWhenUsed/>
    <w:qFormat/>
    <w:uiPriority w:val="99"/>
    <w:pPr>
      <w:shd w:val="clear" w:color="auto" w:fill="FFFFFF"/>
      <w:spacing w:line="240" w:lineRule="atLeast"/>
      <w:outlineLvl w:val="3"/>
    </w:pPr>
    <w:rPr>
      <w:rFonts w:ascii="MingLiU" w:hAnsi="MingLiU" w:eastAsia="MingLiU" w:cstheme="minorBidi"/>
      <w:spacing w:val="10"/>
      <w:kern w:val="0"/>
      <w:sz w:val="20"/>
      <w:szCs w:val="20"/>
    </w:rPr>
  </w:style>
  <w:style w:type="character" w:customStyle="1" w:styleId="1112">
    <w:name w:val="正文111 Char"/>
    <w:link w:val="1113"/>
    <w:qFormat/>
    <w:uiPriority w:val="0"/>
    <w:rPr>
      <w:sz w:val="24"/>
      <w:szCs w:val="24"/>
    </w:rPr>
  </w:style>
  <w:style w:type="paragraph" w:customStyle="1" w:styleId="1113">
    <w:name w:val="正文111"/>
    <w:basedOn w:val="1"/>
    <w:link w:val="1112"/>
    <w:qFormat/>
    <w:uiPriority w:val="0"/>
    <w:pPr>
      <w:spacing w:line="440" w:lineRule="exact"/>
      <w:ind w:firstLine="480" w:firstLineChars="200"/>
    </w:pPr>
    <w:rPr>
      <w:rFonts w:asciiTheme="minorHAnsi" w:hAnsiTheme="minorHAnsi" w:eastAsiaTheme="minorEastAsia" w:cstheme="minorBidi"/>
      <w:kern w:val="0"/>
      <w:sz w:val="24"/>
    </w:rPr>
  </w:style>
  <w:style w:type="character" w:customStyle="1" w:styleId="1114">
    <w:name w:val="标题 #9 (2) + 间距 0 pt"/>
    <w:unhideWhenUsed/>
    <w:qFormat/>
    <w:uiPriority w:val="99"/>
    <w:rPr>
      <w:rFonts w:hint="eastAsia" w:ascii="MingLiU" w:hAnsi="MingLiU" w:eastAsia="MingLiU"/>
      <w:spacing w:val="10"/>
      <w:sz w:val="21"/>
      <w:u w:val="single"/>
    </w:rPr>
  </w:style>
  <w:style w:type="character" w:customStyle="1" w:styleId="1115">
    <w:name w:val="方案正文样式 Char Char"/>
    <w:link w:val="1116"/>
    <w:qFormat/>
    <w:locked/>
    <w:uiPriority w:val="0"/>
    <w:rPr>
      <w:szCs w:val="24"/>
    </w:rPr>
  </w:style>
  <w:style w:type="paragraph" w:customStyle="1" w:styleId="1116">
    <w:name w:val="方案正文样式"/>
    <w:basedOn w:val="1"/>
    <w:link w:val="1115"/>
    <w:qFormat/>
    <w:uiPriority w:val="0"/>
    <w:pPr>
      <w:ind w:firstLine="454"/>
    </w:pPr>
    <w:rPr>
      <w:rFonts w:asciiTheme="minorHAnsi" w:hAnsiTheme="minorHAnsi" w:eastAsiaTheme="minorEastAsia" w:cstheme="minorBidi"/>
      <w:kern w:val="0"/>
      <w:sz w:val="20"/>
    </w:rPr>
  </w:style>
  <w:style w:type="character" w:customStyle="1" w:styleId="1117">
    <w:name w:val="正文文本 + 7 pt"/>
    <w:unhideWhenUsed/>
    <w:qFormat/>
    <w:uiPriority w:val="99"/>
    <w:rPr>
      <w:rFonts w:hint="default" w:ascii="MingLiU" w:hAnsi="MingLiU" w:eastAsia="MingLiU"/>
      <w:spacing w:val="0"/>
      <w:sz w:val="14"/>
    </w:rPr>
  </w:style>
  <w:style w:type="character" w:customStyle="1" w:styleId="1118">
    <w:name w:val="款标题1.1.1 Char1"/>
    <w:qFormat/>
    <w:uiPriority w:val="0"/>
    <w:rPr>
      <w:rFonts w:eastAsia="宋体" w:cs="宋体"/>
      <w:b/>
      <w:kern w:val="2"/>
      <w:sz w:val="24"/>
      <w:szCs w:val="24"/>
      <w:lang w:val="en-US" w:eastAsia="zh-CN" w:bidi="ar-SA"/>
    </w:rPr>
  </w:style>
  <w:style w:type="character" w:customStyle="1" w:styleId="1119">
    <w:name w:val="fontstyle41"/>
    <w:qFormat/>
    <w:uiPriority w:val="0"/>
    <w:rPr>
      <w:rFonts w:hint="eastAsia" w:ascii="Arial Unicode MS" w:hAnsi="Arial Unicode MS" w:eastAsia="Arial Unicode MS" w:cs="Arial Unicode MS"/>
      <w:color w:val="000000"/>
      <w:sz w:val="22"/>
      <w:szCs w:val="22"/>
    </w:rPr>
  </w:style>
  <w:style w:type="character" w:customStyle="1" w:styleId="1120">
    <w:name w:val="尾注文本 字符1"/>
    <w:basedOn w:val="96"/>
    <w:qFormat/>
    <w:uiPriority w:val="0"/>
    <w:rPr>
      <w:rFonts w:ascii="Times New Roman" w:hAnsi="Times New Roman" w:eastAsia="宋体" w:cs="Times New Roman"/>
      <w:kern w:val="2"/>
      <w:sz w:val="21"/>
      <w:szCs w:val="24"/>
    </w:rPr>
  </w:style>
  <w:style w:type="character" w:customStyle="1" w:styleId="1121">
    <w:name w:val="尾注文本 Char1"/>
    <w:basedOn w:val="96"/>
    <w:semiHidden/>
    <w:qFormat/>
    <w:uiPriority w:val="99"/>
  </w:style>
  <w:style w:type="paragraph" w:customStyle="1" w:styleId="1122">
    <w:name w:val="正文 + 首行缩进:  2 字符"/>
    <w:basedOn w:val="1"/>
    <w:qFormat/>
    <w:uiPriority w:val="0"/>
    <w:pPr>
      <w:spacing w:line="460" w:lineRule="atLeast"/>
      <w:ind w:firstLine="528"/>
    </w:pPr>
    <w:rPr>
      <w:spacing w:val="12"/>
      <w:szCs w:val="20"/>
    </w:rPr>
  </w:style>
  <w:style w:type="paragraph" w:customStyle="1" w:styleId="1123">
    <w:name w:val="正文-欣欣"/>
    <w:basedOn w:val="1"/>
    <w:next w:val="1"/>
    <w:qFormat/>
    <w:uiPriority w:val="0"/>
    <w:pPr>
      <w:spacing w:line="360" w:lineRule="auto"/>
      <w:ind w:firstLine="480" w:firstLineChars="200"/>
    </w:pPr>
    <w:rPr>
      <w:bCs/>
      <w:sz w:val="24"/>
    </w:rPr>
  </w:style>
  <w:style w:type="paragraph" w:customStyle="1" w:styleId="1124">
    <w:name w:val="表体"/>
    <w:basedOn w:val="313"/>
    <w:qFormat/>
    <w:uiPriority w:val="0"/>
    <w:pPr>
      <w:keepNext w:val="0"/>
      <w:overflowPunct w:val="0"/>
      <w:adjustRightInd w:val="0"/>
      <w:snapToGrid/>
      <w:spacing w:before="0" w:line="300" w:lineRule="atLeast"/>
      <w:ind w:left="-57" w:right="-57"/>
      <w:textAlignment w:val="baseline"/>
    </w:pPr>
    <w:rPr>
      <w:b w:val="0"/>
      <w:snapToGrid w:val="0"/>
      <w:kern w:val="0"/>
      <w:sz w:val="18"/>
      <w:szCs w:val="20"/>
    </w:rPr>
  </w:style>
  <w:style w:type="paragraph" w:customStyle="1" w:styleId="1125">
    <w:name w:val="标题五"/>
    <w:basedOn w:val="1"/>
    <w:qFormat/>
    <w:uiPriority w:val="0"/>
    <w:pPr>
      <w:spacing w:line="500" w:lineRule="atLeast"/>
      <w:jc w:val="center"/>
    </w:pPr>
    <w:rPr>
      <w:rFonts w:ascii="宋体" w:hAnsi="宋体"/>
      <w:sz w:val="24"/>
    </w:rPr>
  </w:style>
  <w:style w:type="paragraph" w:customStyle="1" w:styleId="1126">
    <w:name w:val="正文（DMS）"/>
    <w:basedOn w:val="1"/>
    <w:qFormat/>
    <w:uiPriority w:val="0"/>
    <w:pPr>
      <w:spacing w:line="520" w:lineRule="atLeast"/>
      <w:ind w:firstLine="472" w:firstLineChars="200"/>
    </w:pPr>
    <w:rPr>
      <w:color w:val="FF0000"/>
      <w:spacing w:val="-2"/>
      <w:kern w:val="28"/>
      <w:sz w:val="24"/>
    </w:rPr>
  </w:style>
  <w:style w:type="paragraph" w:customStyle="1" w:styleId="1127">
    <w:name w:val="样式 标题 3 + 段前: 自动 段后: 自动"/>
    <w:basedOn w:val="6"/>
    <w:qFormat/>
    <w:uiPriority w:val="0"/>
    <w:pPr>
      <w:keepNext w:val="0"/>
      <w:widowControl w:val="0"/>
      <w:tabs>
        <w:tab w:val="left" w:pos="420"/>
      </w:tabs>
      <w:overflowPunct/>
      <w:autoSpaceDE/>
      <w:autoSpaceDN/>
      <w:snapToGrid w:val="0"/>
      <w:spacing w:before="0" w:afterLines="50" w:line="360" w:lineRule="auto"/>
      <w:ind w:left="720" w:hanging="720"/>
      <w:jc w:val="left"/>
      <w:textAlignment w:val="auto"/>
    </w:pPr>
    <w:rPr>
      <w:rFonts w:ascii="黑体" w:hAnsi="黑体" w:eastAsia="黑体" w:cs="宋体"/>
      <w:b/>
      <w:snapToGrid w:val="0"/>
      <w:color w:val="auto"/>
      <w:spacing w:val="0"/>
      <w:kern w:val="0"/>
      <w:szCs w:val="28"/>
      <w:lang w:val="en-US"/>
    </w:rPr>
  </w:style>
  <w:style w:type="paragraph" w:customStyle="1" w:styleId="1128">
    <w:name w:val="统一正文"/>
    <w:basedOn w:val="1"/>
    <w:qFormat/>
    <w:uiPriority w:val="0"/>
    <w:pPr>
      <w:autoSpaceDE w:val="0"/>
      <w:autoSpaceDN w:val="0"/>
      <w:spacing w:line="360" w:lineRule="auto"/>
      <w:ind w:firstLine="567" w:firstLineChars="200"/>
      <w:jc w:val="left"/>
      <w:textAlignment w:val="baseline"/>
    </w:pPr>
    <w:rPr>
      <w:rFonts w:eastAsia="仿宋_GB2312"/>
      <w:kern w:val="0"/>
      <w:sz w:val="28"/>
      <w:szCs w:val="20"/>
    </w:rPr>
  </w:style>
  <w:style w:type="paragraph" w:customStyle="1" w:styleId="1129">
    <w:name w:val="图表头"/>
    <w:basedOn w:val="1"/>
    <w:qFormat/>
    <w:uiPriority w:val="0"/>
    <w:pPr>
      <w:adjustRightInd w:val="0"/>
      <w:spacing w:line="360" w:lineRule="auto"/>
      <w:jc w:val="center"/>
    </w:pPr>
    <w:rPr>
      <w:rFonts w:ascii="黑体" w:eastAsia="黑体"/>
      <w:spacing w:val="5"/>
      <w:kern w:val="0"/>
      <w:szCs w:val="20"/>
    </w:rPr>
  </w:style>
  <w:style w:type="paragraph" w:customStyle="1" w:styleId="1130">
    <w:name w:val="无间隔21"/>
    <w:basedOn w:val="1"/>
    <w:qFormat/>
    <w:uiPriority w:val="0"/>
    <w:pPr>
      <w:jc w:val="left"/>
    </w:pPr>
    <w:rPr>
      <w:rFonts w:eastAsia="Times New Roman"/>
      <w:kern w:val="0"/>
      <w:szCs w:val="20"/>
    </w:rPr>
  </w:style>
  <w:style w:type="paragraph" w:customStyle="1" w:styleId="1131">
    <w:name w:val="报告书正文段落"/>
    <w:basedOn w:val="1"/>
    <w:qFormat/>
    <w:uiPriority w:val="0"/>
    <w:pPr>
      <w:spacing w:line="520" w:lineRule="exact"/>
      <w:ind w:firstLine="480"/>
    </w:pPr>
    <w:rPr>
      <w:rFonts w:cs="宋体"/>
      <w:kern w:val="0"/>
      <w:szCs w:val="22"/>
      <w:lang w:val="zh-CN"/>
    </w:rPr>
  </w:style>
  <w:style w:type="paragraph" w:customStyle="1" w:styleId="1132">
    <w:name w:val="_Style 74"/>
    <w:basedOn w:val="1"/>
    <w:qFormat/>
    <w:uiPriority w:val="0"/>
    <w:rPr>
      <w:szCs w:val="22"/>
    </w:rPr>
  </w:style>
  <w:style w:type="paragraph" w:customStyle="1" w:styleId="1133">
    <w:name w:val="样式34"/>
    <w:basedOn w:val="818"/>
    <w:qFormat/>
    <w:uiPriority w:val="0"/>
    <w:pPr>
      <w:spacing w:line="360" w:lineRule="auto"/>
      <w:ind w:right="525" w:firstLine="422" w:firstLineChars="200"/>
      <w:outlineLvl w:val="9"/>
    </w:pPr>
    <w:rPr>
      <w:rFonts w:hAnsi="宋体" w:eastAsia="黑体"/>
      <w:sz w:val="21"/>
      <w:szCs w:val="21"/>
      <w:lang w:val="zh-CN"/>
    </w:rPr>
  </w:style>
  <w:style w:type="paragraph" w:customStyle="1" w:styleId="1134">
    <w:name w:val="5文章(治)"/>
    <w:basedOn w:val="1"/>
    <w:qFormat/>
    <w:uiPriority w:val="0"/>
    <w:pPr>
      <w:spacing w:line="360" w:lineRule="auto"/>
      <w:ind w:firstLine="560" w:firstLineChars="200"/>
    </w:pPr>
    <w:rPr>
      <w:rFonts w:eastAsia="楷体_GB2312"/>
      <w:sz w:val="28"/>
      <w:szCs w:val="20"/>
    </w:rPr>
  </w:style>
  <w:style w:type="paragraph" w:customStyle="1" w:styleId="1135">
    <w:name w:val="样式 小四 行距: 1.5 倍行距"/>
    <w:basedOn w:val="1"/>
    <w:qFormat/>
    <w:uiPriority w:val="0"/>
    <w:pPr>
      <w:spacing w:line="360" w:lineRule="auto"/>
      <w:ind w:firstLine="480" w:firstLineChars="200"/>
    </w:pPr>
    <w:rPr>
      <w:rFonts w:cs="宋体"/>
      <w:sz w:val="24"/>
      <w:szCs w:val="20"/>
    </w:rPr>
  </w:style>
  <w:style w:type="paragraph" w:customStyle="1" w:styleId="1136">
    <w:name w:val="自动表格内部"/>
    <w:basedOn w:val="1"/>
    <w:qFormat/>
    <w:uiPriority w:val="0"/>
    <w:pPr>
      <w:numPr>
        <w:ilvl w:val="3"/>
        <w:numId w:val="15"/>
      </w:numPr>
      <w:adjustRightInd w:val="0"/>
      <w:snapToGrid w:val="0"/>
      <w:ind w:left="0" w:firstLine="0"/>
      <w:jc w:val="center"/>
    </w:pPr>
    <w:rPr>
      <w:szCs w:val="21"/>
    </w:rPr>
  </w:style>
  <w:style w:type="paragraph" w:customStyle="1" w:styleId="1137">
    <w:name w:val="表图"/>
    <w:basedOn w:val="1"/>
    <w:qFormat/>
    <w:uiPriority w:val="0"/>
    <w:pPr>
      <w:widowControl/>
      <w:adjustRightInd w:val="0"/>
      <w:snapToGrid w:val="0"/>
      <w:spacing w:line="320" w:lineRule="atLeast"/>
      <w:jc w:val="center"/>
    </w:pPr>
    <w:rPr>
      <w:szCs w:val="22"/>
    </w:rPr>
  </w:style>
  <w:style w:type="paragraph" w:customStyle="1" w:styleId="1138">
    <w:name w:val="无间隔2"/>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1139">
    <w:name w:val="标题 #6 (2)"/>
    <w:basedOn w:val="1"/>
    <w:unhideWhenUsed/>
    <w:qFormat/>
    <w:uiPriority w:val="99"/>
    <w:pPr>
      <w:shd w:val="clear" w:color="auto" w:fill="FFFFFF"/>
      <w:spacing w:line="240" w:lineRule="atLeast"/>
      <w:outlineLvl w:val="5"/>
    </w:pPr>
    <w:rPr>
      <w:rFonts w:ascii="MingLiU" w:hAnsi="MingLiU" w:eastAsia="MingLiU"/>
      <w:szCs w:val="22"/>
      <w:lang w:eastAsia="en-US"/>
    </w:rPr>
  </w:style>
  <w:style w:type="paragraph" w:customStyle="1" w:styleId="1140">
    <w:name w:val="王五"/>
    <w:basedOn w:val="1"/>
    <w:qFormat/>
    <w:uiPriority w:val="0"/>
  </w:style>
  <w:style w:type="paragraph" w:customStyle="1" w:styleId="1141">
    <w:name w:val="aa正文"/>
    <w:basedOn w:val="1"/>
    <w:qFormat/>
    <w:uiPriority w:val="0"/>
    <w:pPr>
      <w:spacing w:line="360" w:lineRule="auto"/>
      <w:ind w:firstLine="200" w:firstLineChars="200"/>
    </w:pPr>
    <w:rPr>
      <w:sz w:val="24"/>
    </w:rPr>
  </w:style>
  <w:style w:type="paragraph" w:customStyle="1" w:styleId="1142">
    <w:name w:val="3级"/>
    <w:basedOn w:val="1143"/>
    <w:qFormat/>
    <w:uiPriority w:val="0"/>
    <w:pPr>
      <w:tabs>
        <w:tab w:val="left" w:pos="420"/>
      </w:tabs>
    </w:pPr>
    <w:rPr>
      <w:szCs w:val="28"/>
    </w:rPr>
  </w:style>
  <w:style w:type="paragraph" w:customStyle="1" w:styleId="1143">
    <w:name w:val="样式 样式 标题 3 + 段前: 自动 段后: 自动 + 段后: 0.5 行"/>
    <w:basedOn w:val="1127"/>
    <w:qFormat/>
    <w:uiPriority w:val="0"/>
    <w:pPr>
      <w:spacing w:afterLines="0"/>
    </w:pPr>
    <w:rPr>
      <w:sz w:val="24"/>
      <w:szCs w:val="24"/>
    </w:rPr>
  </w:style>
  <w:style w:type="paragraph" w:customStyle="1" w:styleId="1144">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145">
    <w:name w:val="正文YHY"/>
    <w:basedOn w:val="1"/>
    <w:semiHidden/>
    <w:qFormat/>
    <w:uiPriority w:val="0"/>
    <w:pPr>
      <w:spacing w:beforeLines="50" w:afterLines="50"/>
      <w:ind w:firstLine="200" w:firstLineChars="200"/>
    </w:pPr>
    <w:rPr>
      <w:rFonts w:cs="宋体"/>
      <w:szCs w:val="22"/>
    </w:rPr>
  </w:style>
  <w:style w:type="paragraph" w:customStyle="1" w:styleId="1146">
    <w:name w:val="Style 3"/>
    <w:basedOn w:val="1"/>
    <w:unhideWhenUsed/>
    <w:qFormat/>
    <w:uiPriority w:val="0"/>
    <w:pPr>
      <w:autoSpaceDE w:val="0"/>
      <w:autoSpaceDN w:val="0"/>
      <w:adjustRightInd w:val="0"/>
    </w:pPr>
    <w:rPr>
      <w:sz w:val="20"/>
      <w:szCs w:val="20"/>
    </w:rPr>
  </w:style>
  <w:style w:type="paragraph" w:customStyle="1" w:styleId="1147">
    <w:name w:val="Char Char6"/>
    <w:basedOn w:val="1"/>
    <w:qFormat/>
    <w:uiPriority w:val="0"/>
    <w:pPr>
      <w:widowControl/>
      <w:spacing w:after="160" w:line="240" w:lineRule="exact"/>
      <w:ind w:left="835"/>
      <w:jc w:val="left"/>
    </w:pPr>
    <w:rPr>
      <w:rFonts w:ascii="Arial" w:hAnsi="Arial"/>
      <w:spacing w:val="-5"/>
      <w:kern w:val="0"/>
      <w:sz w:val="20"/>
      <w:szCs w:val="20"/>
      <w:lang w:bidi="he-IL"/>
    </w:rPr>
  </w:style>
  <w:style w:type="paragraph" w:customStyle="1" w:styleId="1148">
    <w:name w:val="正文样式 Char"/>
    <w:basedOn w:val="1"/>
    <w:qFormat/>
    <w:uiPriority w:val="0"/>
    <w:pPr>
      <w:ind w:firstLine="560" w:firstLineChars="200"/>
    </w:pPr>
    <w:rPr>
      <w:kern w:val="0"/>
      <w:sz w:val="28"/>
      <w:szCs w:val="22"/>
    </w:rPr>
  </w:style>
  <w:style w:type="paragraph" w:customStyle="1" w:styleId="1149">
    <w:name w:val="CM22"/>
    <w:basedOn w:val="174"/>
    <w:next w:val="174"/>
    <w:qFormat/>
    <w:uiPriority w:val="99"/>
    <w:pPr>
      <w:spacing w:after="165"/>
    </w:pPr>
    <w:rPr>
      <w:rFonts w:ascii="仿宋_GB2312" w:hAnsi="等线" w:eastAsia="仿宋_GB2312" w:cs="Times New Roman"/>
      <w:color w:val="auto"/>
    </w:rPr>
  </w:style>
  <w:style w:type="paragraph" w:customStyle="1" w:styleId="1150">
    <w:name w:val="列出段落1"/>
    <w:basedOn w:val="1"/>
    <w:qFormat/>
    <w:uiPriority w:val="34"/>
    <w:pPr>
      <w:ind w:firstLine="420" w:firstLineChars="200"/>
    </w:pPr>
    <w:rPr>
      <w:szCs w:val="22"/>
    </w:rPr>
  </w:style>
  <w:style w:type="paragraph" w:customStyle="1" w:styleId="1151">
    <w:name w:val="无悬挂正文5号"/>
    <w:basedOn w:val="1"/>
    <w:qFormat/>
    <w:uiPriority w:val="0"/>
    <w:pPr>
      <w:jc w:val="center"/>
    </w:pPr>
    <w:rPr>
      <w:szCs w:val="22"/>
    </w:rPr>
  </w:style>
  <w:style w:type="paragraph" w:customStyle="1" w:styleId="1152">
    <w:name w:val="标题 #7"/>
    <w:basedOn w:val="1"/>
    <w:unhideWhenUsed/>
    <w:qFormat/>
    <w:uiPriority w:val="99"/>
    <w:pPr>
      <w:shd w:val="clear" w:color="auto" w:fill="FFFFFF"/>
      <w:spacing w:line="240" w:lineRule="atLeast"/>
      <w:outlineLvl w:val="6"/>
    </w:pPr>
    <w:rPr>
      <w:rFonts w:hint="eastAsia" w:ascii="MingLiU" w:hAnsi="MingLiU" w:eastAsia="MingLiU"/>
      <w:spacing w:val="10"/>
      <w:szCs w:val="22"/>
    </w:rPr>
  </w:style>
  <w:style w:type="paragraph" w:customStyle="1" w:styleId="1153">
    <w:name w:val="表格标题 (2)"/>
    <w:basedOn w:val="1"/>
    <w:unhideWhenUsed/>
    <w:qFormat/>
    <w:uiPriority w:val="99"/>
    <w:pPr>
      <w:shd w:val="clear" w:color="auto" w:fill="FFFFFF"/>
      <w:spacing w:line="240" w:lineRule="atLeast"/>
    </w:pPr>
    <w:rPr>
      <w:rFonts w:ascii="MingLiU" w:hAnsi="MingLiU" w:eastAsia="MingLiU"/>
      <w:szCs w:val="22"/>
      <w:lang w:eastAsia="en-US"/>
    </w:rPr>
  </w:style>
  <w:style w:type="paragraph" w:customStyle="1" w:styleId="1154">
    <w:name w:val="表1表2"/>
    <w:basedOn w:val="1"/>
    <w:qFormat/>
    <w:uiPriority w:val="0"/>
    <w:pPr>
      <w:autoSpaceDE w:val="0"/>
      <w:autoSpaceDN w:val="0"/>
      <w:adjustRightInd w:val="0"/>
      <w:jc w:val="center"/>
      <w:textAlignment w:val="center"/>
    </w:pPr>
    <w:rPr>
      <w:rFonts w:eastAsia="仿宋_GB2312"/>
      <w:kern w:val="0"/>
      <w:szCs w:val="21"/>
    </w:rPr>
  </w:style>
  <w:style w:type="paragraph" w:customStyle="1" w:styleId="1155">
    <w:name w:val="文本 卢谌"/>
    <w:basedOn w:val="22"/>
    <w:qFormat/>
    <w:uiPriority w:val="0"/>
    <w:pPr>
      <w:widowControl w:val="0"/>
      <w:spacing w:line="240" w:lineRule="auto"/>
      <w:ind w:firstLine="480"/>
    </w:pPr>
    <w:rPr>
      <w:sz w:val="28"/>
      <w:szCs w:val="24"/>
    </w:rPr>
  </w:style>
  <w:style w:type="paragraph" w:customStyle="1" w:styleId="1156">
    <w:name w:val="标准"/>
    <w:basedOn w:val="1"/>
    <w:qFormat/>
    <w:uiPriority w:val="0"/>
    <w:pPr>
      <w:tabs>
        <w:tab w:val="left" w:pos="720"/>
      </w:tabs>
      <w:adjustRightInd w:val="0"/>
      <w:spacing w:line="312" w:lineRule="atLeast"/>
      <w:textAlignment w:val="baseline"/>
    </w:pPr>
    <w:rPr>
      <w:spacing w:val="-20"/>
      <w:kern w:val="0"/>
      <w:szCs w:val="21"/>
    </w:rPr>
  </w:style>
  <w:style w:type="paragraph" w:customStyle="1" w:styleId="1157">
    <w:name w:val="表标题1"/>
    <w:basedOn w:val="1"/>
    <w:qFormat/>
    <w:uiPriority w:val="0"/>
    <w:pPr>
      <w:tabs>
        <w:tab w:val="left" w:pos="1848"/>
        <w:tab w:val="left" w:pos="6061"/>
        <w:tab w:val="left" w:pos="8665"/>
      </w:tabs>
      <w:adjustRightInd w:val="0"/>
      <w:snapToGrid w:val="0"/>
      <w:spacing w:beforeLines="50" w:line="460" w:lineRule="exact"/>
      <w:ind w:firstLine="480" w:firstLineChars="200"/>
      <w:jc w:val="center"/>
    </w:pPr>
    <w:rPr>
      <w:rFonts w:ascii="宋体" w:hAnsi="宋体"/>
      <w:sz w:val="24"/>
      <w:szCs w:val="20"/>
    </w:rPr>
  </w:style>
  <w:style w:type="paragraph" w:customStyle="1" w:styleId="1158">
    <w:name w:val="table"/>
    <w:basedOn w:val="1"/>
    <w:next w:val="1"/>
    <w:qFormat/>
    <w:uiPriority w:val="0"/>
    <w:pPr>
      <w:adjustRightInd w:val="0"/>
      <w:snapToGrid w:val="0"/>
      <w:jc w:val="center"/>
    </w:pPr>
    <w:rPr>
      <w:color w:val="000000"/>
      <w:szCs w:val="28"/>
    </w:rPr>
  </w:style>
  <w:style w:type="paragraph" w:customStyle="1" w:styleId="1159">
    <w:name w:val="样2"/>
    <w:basedOn w:val="1"/>
    <w:next w:val="1"/>
    <w:qFormat/>
    <w:uiPriority w:val="0"/>
    <w:pPr>
      <w:adjustRightInd w:val="0"/>
      <w:jc w:val="center"/>
      <w:textAlignment w:val="baseline"/>
    </w:pPr>
    <w:rPr>
      <w:kern w:val="0"/>
      <w:szCs w:val="20"/>
    </w:rPr>
  </w:style>
  <w:style w:type="paragraph" w:customStyle="1" w:styleId="1160">
    <w:name w:val="缩进正文"/>
    <w:basedOn w:val="1"/>
    <w:qFormat/>
    <w:uiPriority w:val="0"/>
    <w:pPr>
      <w:snapToGrid w:val="0"/>
      <w:spacing w:line="480" w:lineRule="atLeast"/>
      <w:ind w:firstLine="567"/>
    </w:pPr>
    <w:rPr>
      <w:sz w:val="24"/>
      <w:szCs w:val="20"/>
    </w:rPr>
  </w:style>
  <w:style w:type="paragraph" w:customStyle="1" w:styleId="1161">
    <w:name w:val="无间隔3"/>
    <w:basedOn w:val="1"/>
    <w:qFormat/>
    <w:uiPriority w:val="1"/>
    <w:rPr>
      <w:szCs w:val="22"/>
    </w:rPr>
  </w:style>
  <w:style w:type="paragraph" w:customStyle="1" w:styleId="1162">
    <w:name w:val="样式22"/>
    <w:basedOn w:val="1136"/>
    <w:qFormat/>
    <w:uiPriority w:val="0"/>
    <w:pPr>
      <w:numPr>
        <w:ilvl w:val="0"/>
        <w:numId w:val="0"/>
      </w:numPr>
      <w:spacing w:line="300" w:lineRule="exact"/>
    </w:pPr>
    <w:rPr>
      <w:color w:val="000000"/>
    </w:rPr>
  </w:style>
  <w:style w:type="table" w:customStyle="1" w:styleId="1163">
    <w:name w:val="专业网格1"/>
    <w:basedOn w:val="89"/>
    <w:qFormat/>
    <w:uiPriority w:val="59"/>
    <w:rPr>
      <w:rFonts w:ascii="Calibri" w:hAnsi="Calibri" w:eastAsia="宋体" w:cs="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64">
    <w:name w:val="未处理的提及1"/>
    <w:semiHidden/>
    <w:unhideWhenUsed/>
    <w:qFormat/>
    <w:uiPriority w:val="99"/>
    <w:rPr>
      <w:color w:val="605E5C"/>
      <w:shd w:val="clear" w:color="auto" w:fill="E1DFDD"/>
    </w:rPr>
  </w:style>
  <w:style w:type="paragraph" w:customStyle="1" w:styleId="1165">
    <w:name w:val="中文报告书样式"/>
    <w:basedOn w:val="1"/>
    <w:link w:val="1166"/>
    <w:qFormat/>
    <w:uiPriority w:val="0"/>
    <w:pPr>
      <w:adjustRightInd w:val="0"/>
      <w:spacing w:line="480" w:lineRule="atLeast"/>
      <w:ind w:firstLine="482"/>
      <w:textAlignment w:val="baseline"/>
    </w:pPr>
    <w:rPr>
      <w:kern w:val="24"/>
      <w:sz w:val="24"/>
      <w:szCs w:val="20"/>
    </w:rPr>
  </w:style>
  <w:style w:type="character" w:customStyle="1" w:styleId="1166">
    <w:name w:val="中文报告书样式 Char Char"/>
    <w:link w:val="1165"/>
    <w:qFormat/>
    <w:uiPriority w:val="0"/>
    <w:rPr>
      <w:rFonts w:ascii="Times New Roman" w:hAnsi="Times New Roman" w:eastAsia="宋体" w:cs="Times New Roman"/>
      <w:kern w:val="24"/>
      <w:sz w:val="24"/>
    </w:rPr>
  </w:style>
  <w:style w:type="paragraph" w:customStyle="1" w:styleId="1167">
    <w:name w:val="图表文字注释"/>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character" w:customStyle="1" w:styleId="1168">
    <w:name w:val="Body text|1_"/>
    <w:link w:val="1169"/>
    <w:qFormat/>
    <w:uiPriority w:val="0"/>
    <w:rPr>
      <w:rFonts w:ascii="宋体" w:hAnsi="宋体" w:cs="宋体"/>
      <w:color w:val="231F20"/>
      <w:lang w:val="zh-TW" w:eastAsia="zh-TW" w:bidi="zh-TW"/>
    </w:rPr>
  </w:style>
  <w:style w:type="paragraph" w:customStyle="1" w:styleId="1169">
    <w:name w:val="Body text|1"/>
    <w:basedOn w:val="1"/>
    <w:link w:val="1168"/>
    <w:qFormat/>
    <w:uiPriority w:val="0"/>
    <w:pPr>
      <w:spacing w:line="394" w:lineRule="auto"/>
      <w:ind w:firstLine="400"/>
      <w:jc w:val="left"/>
    </w:pPr>
    <w:rPr>
      <w:rFonts w:ascii="宋体" w:hAnsi="宋体" w:cs="宋体" w:eastAsiaTheme="minorEastAsia"/>
      <w:color w:val="231F20"/>
      <w:kern w:val="0"/>
      <w:sz w:val="20"/>
      <w:szCs w:val="20"/>
      <w:lang w:val="zh-TW" w:eastAsia="zh-TW" w:bidi="zh-TW"/>
    </w:rPr>
  </w:style>
  <w:style w:type="character" w:customStyle="1" w:styleId="1170">
    <w:name w:val="宏文本 字符"/>
    <w:basedOn w:val="96"/>
    <w:link w:val="3"/>
    <w:qFormat/>
    <w:uiPriority w:val="0"/>
    <w:rPr>
      <w:rFonts w:ascii="Courier New" w:hAnsi="Courier New" w:eastAsia="宋体" w:cs="Courier New"/>
      <w:kern w:val="2"/>
      <w:sz w:val="24"/>
      <w:szCs w:val="24"/>
    </w:rPr>
  </w:style>
  <w:style w:type="character" w:customStyle="1" w:styleId="1171">
    <w:name w:val="注释标题 字符"/>
    <w:basedOn w:val="96"/>
    <w:link w:val="17"/>
    <w:qFormat/>
    <w:uiPriority w:val="0"/>
    <w:rPr>
      <w:rFonts w:ascii="宋体" w:hAnsi="宋体" w:eastAsia="宋体" w:cs="Times New Roman"/>
      <w:kern w:val="2"/>
      <w:sz w:val="24"/>
    </w:rPr>
  </w:style>
  <w:style w:type="character" w:customStyle="1" w:styleId="1172">
    <w:name w:val="电子邮件签名 字符"/>
    <w:basedOn w:val="96"/>
    <w:link w:val="20"/>
    <w:qFormat/>
    <w:uiPriority w:val="0"/>
    <w:rPr>
      <w:rFonts w:ascii="宋体" w:hAnsi="Courier New" w:eastAsia="宋体" w:cs="Times New Roman"/>
      <w:kern w:val="2"/>
      <w:sz w:val="26"/>
    </w:rPr>
  </w:style>
  <w:style w:type="character" w:customStyle="1" w:styleId="1173">
    <w:name w:val="结束语 字符"/>
    <w:basedOn w:val="96"/>
    <w:link w:val="33"/>
    <w:qFormat/>
    <w:uiPriority w:val="0"/>
    <w:rPr>
      <w:rFonts w:ascii="宋体" w:hAnsi="Courier New" w:eastAsia="宋体" w:cs="Times New Roman"/>
      <w:kern w:val="2"/>
      <w:sz w:val="26"/>
    </w:rPr>
  </w:style>
  <w:style w:type="character" w:customStyle="1" w:styleId="1174">
    <w:name w:val="HTML 地址 字符"/>
    <w:basedOn w:val="96"/>
    <w:link w:val="43"/>
    <w:qFormat/>
    <w:uiPriority w:val="0"/>
    <w:rPr>
      <w:rFonts w:ascii="宋体" w:hAnsi="Courier New" w:eastAsia="宋体" w:cs="Times New Roman"/>
      <w:i/>
      <w:iCs/>
      <w:kern w:val="2"/>
      <w:sz w:val="26"/>
    </w:rPr>
  </w:style>
  <w:style w:type="character" w:customStyle="1" w:styleId="1175">
    <w:name w:val="签名 字符"/>
    <w:basedOn w:val="96"/>
    <w:link w:val="59"/>
    <w:qFormat/>
    <w:uiPriority w:val="0"/>
    <w:rPr>
      <w:rFonts w:ascii="宋体" w:hAnsi="Courier New" w:eastAsia="宋体" w:cs="Times New Roman"/>
      <w:kern w:val="2"/>
      <w:sz w:val="26"/>
    </w:rPr>
  </w:style>
  <w:style w:type="character" w:customStyle="1" w:styleId="1176">
    <w:name w:val="信息标题 字符"/>
    <w:basedOn w:val="96"/>
    <w:link w:val="80"/>
    <w:qFormat/>
    <w:uiPriority w:val="0"/>
    <w:rPr>
      <w:rFonts w:ascii="Arial" w:hAnsi="Arial" w:eastAsia="宋体" w:cs="Arial"/>
      <w:kern w:val="2"/>
      <w:sz w:val="24"/>
      <w:szCs w:val="24"/>
      <w:shd w:val="pct20" w:color="auto" w:fill="auto"/>
    </w:rPr>
  </w:style>
  <w:style w:type="character" w:customStyle="1" w:styleId="1177">
    <w:name w:val="标题 1 字符1"/>
    <w:qFormat/>
    <w:uiPriority w:val="0"/>
    <w:rPr>
      <w:rFonts w:ascii="Times New Roman" w:hAnsi="Times New Roman" w:eastAsia="宋体" w:cs="Times New Roman"/>
      <w:b/>
      <w:bCs/>
      <w:kern w:val="44"/>
      <w:sz w:val="36"/>
      <w:szCs w:val="44"/>
    </w:rPr>
  </w:style>
  <w:style w:type="character" w:customStyle="1" w:styleId="1178">
    <w:name w:val="纯文本 字符1"/>
    <w:qFormat/>
    <w:uiPriority w:val="0"/>
    <w:rPr>
      <w:rFonts w:ascii="宋体" w:hAnsi="Courier New" w:cs="Courier New"/>
      <w:szCs w:val="24"/>
    </w:rPr>
  </w:style>
  <w:style w:type="character" w:customStyle="1" w:styleId="1179">
    <w:name w:val="段落正文 Char"/>
    <w:link w:val="1180"/>
    <w:qFormat/>
    <w:uiPriority w:val="0"/>
    <w:rPr>
      <w:rFonts w:cs="宋体"/>
      <w:sz w:val="24"/>
    </w:rPr>
  </w:style>
  <w:style w:type="paragraph" w:customStyle="1" w:styleId="1180">
    <w:name w:val="段落正文"/>
    <w:basedOn w:val="1"/>
    <w:link w:val="1179"/>
    <w:qFormat/>
    <w:uiPriority w:val="0"/>
    <w:pPr>
      <w:ind w:firstLine="480" w:firstLineChars="200"/>
    </w:pPr>
    <w:rPr>
      <w:rFonts w:cs="宋体" w:asciiTheme="minorHAnsi" w:hAnsiTheme="minorHAnsi" w:eastAsiaTheme="minorEastAsia"/>
      <w:kern w:val="0"/>
      <w:sz w:val="24"/>
      <w:szCs w:val="20"/>
    </w:rPr>
  </w:style>
  <w:style w:type="character" w:customStyle="1" w:styleId="1181">
    <w:name w:val="表格文字 Char Char"/>
    <w:link w:val="581"/>
    <w:qFormat/>
    <w:uiPriority w:val="0"/>
    <w:rPr>
      <w:rFonts w:ascii="仿宋_GB2312" w:hAnsi="宋体" w:eastAsia="仿宋_GB2312"/>
      <w:kern w:val="2"/>
      <w:sz w:val="21"/>
      <w:szCs w:val="21"/>
    </w:rPr>
  </w:style>
  <w:style w:type="paragraph" w:customStyle="1" w:styleId="1182">
    <w:name w:val="图表"/>
    <w:basedOn w:val="74"/>
    <w:next w:val="1"/>
    <w:link w:val="1183"/>
    <w:qFormat/>
    <w:uiPriority w:val="0"/>
    <w:pPr>
      <w:ind w:left="0" w:leftChars="0" w:firstLine="200" w:firstLineChars="200"/>
      <w:jc w:val="left"/>
    </w:pPr>
    <w:rPr>
      <w:rFonts w:ascii="Arial" w:hAnsi="Arial"/>
      <w:smallCaps/>
      <w:sz w:val="24"/>
    </w:rPr>
  </w:style>
  <w:style w:type="character" w:customStyle="1" w:styleId="1183">
    <w:name w:val="图表 Char"/>
    <w:link w:val="1182"/>
    <w:qFormat/>
    <w:uiPriority w:val="0"/>
    <w:rPr>
      <w:rFonts w:ascii="Arial" w:hAnsi="Arial" w:eastAsia="宋体" w:cs="Times New Roman"/>
      <w:smallCaps/>
      <w:kern w:val="2"/>
      <w:sz w:val="24"/>
      <w:szCs w:val="24"/>
    </w:rPr>
  </w:style>
  <w:style w:type="character" w:customStyle="1" w:styleId="1184">
    <w:name w:val="样式 宋体 四号 黑色"/>
    <w:qFormat/>
    <w:uiPriority w:val="0"/>
    <w:rPr>
      <w:rFonts w:ascii="Times New Roman" w:hAnsi="Times New Roman" w:eastAsia="宋体"/>
      <w:color w:val="000000"/>
      <w:sz w:val="28"/>
    </w:rPr>
  </w:style>
  <w:style w:type="character" w:customStyle="1" w:styleId="1185">
    <w:name w:val="HBZW"/>
    <w:qFormat/>
    <w:uiPriority w:val="0"/>
    <w:rPr>
      <w:rFonts w:ascii="宋体" w:hAnsi="宋体" w:eastAsia="宋体"/>
      <w:kern w:val="0"/>
      <w:sz w:val="24"/>
      <w:lang w:val="en-US" w:eastAsia="zh-CN" w:bidi="ar-SA"/>
    </w:rPr>
  </w:style>
  <w:style w:type="character" w:customStyle="1" w:styleId="1186">
    <w:name w:val="题注 字符"/>
    <w:link w:val="23"/>
    <w:qFormat/>
    <w:uiPriority w:val="0"/>
    <w:rPr>
      <w:rFonts w:ascii="Arial" w:hAnsi="Arial" w:eastAsia="黑体" w:cs="Arial"/>
      <w:kern w:val="2"/>
      <w:szCs w:val="24"/>
    </w:rPr>
  </w:style>
  <w:style w:type="character" w:customStyle="1" w:styleId="1187">
    <w:name w:val="unnamed1 style2"/>
    <w:basedOn w:val="96"/>
    <w:qFormat/>
    <w:uiPriority w:val="0"/>
  </w:style>
  <w:style w:type="character" w:customStyle="1" w:styleId="1188">
    <w:name w:val="文档结构图 字符1"/>
    <w:qFormat/>
    <w:uiPriority w:val="0"/>
    <w:rPr>
      <w:rFonts w:eastAsia="宋体"/>
      <w:szCs w:val="24"/>
      <w:shd w:val="clear" w:color="auto" w:fill="000080"/>
    </w:rPr>
  </w:style>
  <w:style w:type="character" w:customStyle="1" w:styleId="1189">
    <w:name w:val="标 正文 Char Char"/>
    <w:link w:val="1190"/>
    <w:qFormat/>
    <w:uiPriority w:val="0"/>
    <w:rPr>
      <w:sz w:val="24"/>
    </w:rPr>
  </w:style>
  <w:style w:type="paragraph" w:customStyle="1" w:styleId="1190">
    <w:name w:val="标 正文"/>
    <w:link w:val="1189"/>
    <w:qFormat/>
    <w:uiPriority w:val="0"/>
    <w:pPr>
      <w:spacing w:line="360" w:lineRule="auto"/>
      <w:ind w:firstLine="200" w:firstLineChars="200"/>
      <w:jc w:val="both"/>
    </w:pPr>
    <w:rPr>
      <w:rFonts w:asciiTheme="minorHAnsi" w:hAnsiTheme="minorHAnsi" w:eastAsiaTheme="minorEastAsia" w:cstheme="minorBidi"/>
      <w:sz w:val="24"/>
      <w:lang w:val="en-US" w:eastAsia="zh-CN" w:bidi="ar-SA"/>
    </w:rPr>
  </w:style>
  <w:style w:type="character" w:customStyle="1" w:styleId="1191">
    <w:name w:val="表格备注"/>
    <w:qFormat/>
    <w:uiPriority w:val="0"/>
    <w:rPr>
      <w:rFonts w:ascii="华文楷体" w:hAnsi="华文楷体" w:eastAsia="楷体_GB2312"/>
      <w:kern w:val="0"/>
      <w:sz w:val="21"/>
    </w:rPr>
  </w:style>
  <w:style w:type="character" w:customStyle="1" w:styleId="1192">
    <w:name w:val="样式 首行缩进:  1.92 字符 Char Char"/>
    <w:link w:val="1193"/>
    <w:qFormat/>
    <w:uiPriority w:val="0"/>
    <w:rPr>
      <w:rFonts w:ascii="宋体" w:hAnsi="宋体" w:cs="宋体"/>
      <w:sz w:val="28"/>
    </w:rPr>
  </w:style>
  <w:style w:type="paragraph" w:customStyle="1" w:styleId="1193">
    <w:name w:val="样式 首行缩进:  1.92 字符"/>
    <w:basedOn w:val="1"/>
    <w:link w:val="1192"/>
    <w:qFormat/>
    <w:uiPriority w:val="0"/>
    <w:pPr>
      <w:adjustRightInd w:val="0"/>
      <w:snapToGrid w:val="0"/>
      <w:spacing w:line="360" w:lineRule="auto"/>
      <w:ind w:firstLine="560" w:firstLineChars="200"/>
    </w:pPr>
    <w:rPr>
      <w:rFonts w:ascii="宋体" w:hAnsi="宋体" w:cs="宋体" w:eastAsiaTheme="minorEastAsia"/>
      <w:kern w:val="0"/>
      <w:sz w:val="28"/>
      <w:szCs w:val="20"/>
    </w:rPr>
  </w:style>
  <w:style w:type="character" w:customStyle="1" w:styleId="1194">
    <w:name w:val="qj报告正文 Char Char"/>
    <w:link w:val="1195"/>
    <w:qFormat/>
    <w:uiPriority w:val="0"/>
    <w:rPr>
      <w:rFonts w:ascii="宋体" w:hAnsi="宋体"/>
      <w:sz w:val="24"/>
    </w:rPr>
  </w:style>
  <w:style w:type="paragraph" w:customStyle="1" w:styleId="1195">
    <w:name w:val="qj报告正文"/>
    <w:basedOn w:val="1"/>
    <w:link w:val="1194"/>
    <w:qFormat/>
    <w:uiPriority w:val="0"/>
    <w:pPr>
      <w:adjustRightInd w:val="0"/>
      <w:snapToGrid w:val="0"/>
      <w:spacing w:line="360" w:lineRule="auto"/>
      <w:ind w:firstLine="200" w:firstLineChars="200"/>
    </w:pPr>
    <w:rPr>
      <w:rFonts w:ascii="宋体" w:hAnsi="宋体" w:eastAsiaTheme="minorEastAsia" w:cstheme="minorBidi"/>
      <w:kern w:val="0"/>
      <w:sz w:val="24"/>
      <w:szCs w:val="20"/>
    </w:rPr>
  </w:style>
  <w:style w:type="character" w:customStyle="1" w:styleId="1196">
    <w:name w:val="排版正文 Char Char Char Char Char Char"/>
    <w:link w:val="1197"/>
    <w:qFormat/>
    <w:uiPriority w:val="0"/>
    <w:rPr>
      <w:color w:val="000000"/>
      <w:sz w:val="26"/>
      <w:szCs w:val="26"/>
    </w:rPr>
  </w:style>
  <w:style w:type="paragraph" w:customStyle="1" w:styleId="1197">
    <w:name w:val="排版正文 Char"/>
    <w:basedOn w:val="1"/>
    <w:link w:val="1196"/>
    <w:qFormat/>
    <w:uiPriority w:val="0"/>
    <w:pPr>
      <w:adjustRightInd w:val="0"/>
      <w:snapToGrid w:val="0"/>
      <w:spacing w:line="460" w:lineRule="exact"/>
      <w:ind w:firstLine="200" w:firstLineChars="200"/>
    </w:pPr>
    <w:rPr>
      <w:rFonts w:asciiTheme="minorHAnsi" w:hAnsiTheme="minorHAnsi" w:eastAsiaTheme="minorEastAsia" w:cstheme="minorBidi"/>
      <w:color w:val="000000"/>
      <w:kern w:val="0"/>
      <w:sz w:val="26"/>
      <w:szCs w:val="26"/>
    </w:rPr>
  </w:style>
  <w:style w:type="character" w:customStyle="1" w:styleId="1198">
    <w:name w:val="表号 Char1"/>
    <w:link w:val="622"/>
    <w:qFormat/>
    <w:uiPriority w:val="0"/>
    <w:rPr>
      <w:rFonts w:ascii="黑体" w:hAnsi="Times New Roman" w:eastAsia="黑体" w:cs="Times New Roman"/>
      <w:b/>
      <w:sz w:val="28"/>
    </w:rPr>
  </w:style>
  <w:style w:type="character" w:customStyle="1" w:styleId="1199">
    <w:name w:val="b21"/>
    <w:qFormat/>
    <w:uiPriority w:val="0"/>
    <w:rPr>
      <w:color w:val="000000"/>
      <w:spacing w:val="270"/>
      <w:sz w:val="20"/>
      <w:szCs w:val="20"/>
    </w:rPr>
  </w:style>
  <w:style w:type="character" w:customStyle="1" w:styleId="1200">
    <w:name w:val="居中 Char Char"/>
    <w:link w:val="1201"/>
    <w:qFormat/>
    <w:uiPriority w:val="0"/>
    <w:rPr>
      <w:sz w:val="24"/>
      <w:szCs w:val="24"/>
    </w:rPr>
  </w:style>
  <w:style w:type="paragraph" w:customStyle="1" w:styleId="1201">
    <w:name w:val="居中"/>
    <w:basedOn w:val="1"/>
    <w:link w:val="1200"/>
    <w:qFormat/>
    <w:uiPriority w:val="0"/>
    <w:pPr>
      <w:adjustRightInd w:val="0"/>
      <w:snapToGrid w:val="0"/>
      <w:spacing w:line="500" w:lineRule="exact"/>
      <w:ind w:firstLine="832" w:firstLineChars="200"/>
      <w:jc w:val="center"/>
    </w:pPr>
    <w:rPr>
      <w:rFonts w:asciiTheme="minorHAnsi" w:hAnsiTheme="minorHAnsi" w:eastAsiaTheme="minorEastAsia" w:cstheme="minorBidi"/>
      <w:kern w:val="0"/>
      <w:sz w:val="24"/>
    </w:rPr>
  </w:style>
  <w:style w:type="character" w:customStyle="1" w:styleId="1202">
    <w:name w:val="正文文本 3 字符1"/>
    <w:qFormat/>
    <w:uiPriority w:val="0"/>
    <w:rPr>
      <w:sz w:val="16"/>
      <w:szCs w:val="16"/>
    </w:rPr>
  </w:style>
  <w:style w:type="character" w:customStyle="1" w:styleId="1203">
    <w:name w:val="表名 Char Char"/>
    <w:link w:val="1204"/>
    <w:qFormat/>
    <w:uiPriority w:val="0"/>
    <w:rPr>
      <w:rFonts w:eastAsia="黑体" w:cs="宋体"/>
      <w:szCs w:val="21"/>
    </w:rPr>
  </w:style>
  <w:style w:type="paragraph" w:customStyle="1" w:styleId="1204">
    <w:name w:val="表名"/>
    <w:basedOn w:val="1"/>
    <w:link w:val="1203"/>
    <w:qFormat/>
    <w:uiPriority w:val="0"/>
    <w:pPr>
      <w:adjustRightInd w:val="0"/>
      <w:snapToGrid w:val="0"/>
      <w:spacing w:line="440" w:lineRule="exact"/>
      <w:jc w:val="center"/>
    </w:pPr>
    <w:rPr>
      <w:rFonts w:eastAsia="黑体" w:cs="宋体" w:asciiTheme="minorHAnsi" w:hAnsiTheme="minorHAnsi"/>
      <w:kern w:val="0"/>
      <w:sz w:val="20"/>
      <w:szCs w:val="21"/>
    </w:rPr>
  </w:style>
  <w:style w:type="character" w:customStyle="1" w:styleId="1205">
    <w:name w:val="tt3"/>
    <w:basedOn w:val="96"/>
    <w:qFormat/>
    <w:uiPriority w:val="0"/>
  </w:style>
  <w:style w:type="character" w:customStyle="1" w:styleId="1206">
    <w:name w:val="表格居中 Char Char Char Char Char"/>
    <w:link w:val="1207"/>
    <w:qFormat/>
    <w:uiPriority w:val="0"/>
    <w:rPr>
      <w:rFonts w:ascii="??¨¬?" w:hAnsi="??¨¬?"/>
      <w:sz w:val="24"/>
      <w:szCs w:val="24"/>
    </w:rPr>
  </w:style>
  <w:style w:type="paragraph" w:customStyle="1" w:styleId="1207">
    <w:name w:val="表格居中 Char Char Char"/>
    <w:basedOn w:val="1"/>
    <w:link w:val="1206"/>
    <w:qFormat/>
    <w:uiPriority w:val="0"/>
    <w:pPr>
      <w:adjustRightInd w:val="0"/>
      <w:snapToGrid w:val="0"/>
      <w:spacing w:line="440" w:lineRule="exact"/>
      <w:ind w:firstLine="832" w:firstLineChars="200"/>
      <w:jc w:val="center"/>
    </w:pPr>
    <w:rPr>
      <w:rFonts w:ascii="??¨¬?" w:hAnsi="??¨¬?" w:eastAsiaTheme="minorEastAsia" w:cstheme="minorBidi"/>
      <w:kern w:val="0"/>
      <w:sz w:val="24"/>
    </w:rPr>
  </w:style>
  <w:style w:type="character" w:customStyle="1" w:styleId="1208">
    <w:name w:val="无间隔 字符"/>
    <w:qFormat/>
    <w:uiPriority w:val="1"/>
  </w:style>
  <w:style w:type="character" w:customStyle="1" w:styleId="1209">
    <w:name w:val="Char Char12"/>
    <w:qFormat/>
    <w:uiPriority w:val="0"/>
    <w:rPr>
      <w:rFonts w:ascii="宋体" w:hAnsi="Courier New" w:eastAsia="宋体"/>
      <w:b/>
      <w:kern w:val="2"/>
      <w:sz w:val="28"/>
      <w:lang w:val="en-US" w:eastAsia="zh-CN" w:bidi="ar-SA"/>
    </w:rPr>
  </w:style>
  <w:style w:type="character" w:customStyle="1" w:styleId="1210">
    <w:name w:val="表文字 Char1"/>
    <w:link w:val="589"/>
    <w:qFormat/>
    <w:uiPriority w:val="0"/>
    <w:rPr>
      <w:rFonts w:ascii="Times New Roman" w:hAnsi="Times New Roman" w:eastAsia="宋体" w:cs="Times New Roman"/>
      <w:kern w:val="2"/>
      <w:sz w:val="21"/>
      <w:szCs w:val="21"/>
    </w:rPr>
  </w:style>
  <w:style w:type="character" w:customStyle="1" w:styleId="1211">
    <w:name w:val="表格文字2 Char Char"/>
    <w:qFormat/>
    <w:uiPriority w:val="0"/>
    <w:rPr>
      <w:rFonts w:eastAsia="宋体"/>
    </w:rPr>
  </w:style>
  <w:style w:type="character" w:customStyle="1" w:styleId="1212">
    <w:name w:val="Char Char13"/>
    <w:qFormat/>
    <w:uiPriority w:val="0"/>
    <w:rPr>
      <w:rFonts w:eastAsia="宋体"/>
      <w:kern w:val="2"/>
      <w:sz w:val="21"/>
      <w:szCs w:val="24"/>
      <w:lang w:val="en-US" w:eastAsia="zh-CN" w:bidi="ar-SA"/>
    </w:rPr>
  </w:style>
  <w:style w:type="character" w:customStyle="1" w:styleId="1213">
    <w:name w:val="标题 字符1"/>
    <w:qFormat/>
    <w:uiPriority w:val="0"/>
    <w:rPr>
      <w:rFonts w:ascii="Cambria" w:hAnsi="Cambria" w:cs="Times New Roman"/>
      <w:b/>
      <w:bCs/>
      <w:sz w:val="24"/>
      <w:szCs w:val="32"/>
    </w:rPr>
  </w:style>
  <w:style w:type="character" w:customStyle="1" w:styleId="1214">
    <w:name w:val="样式1 Char Char"/>
    <w:qFormat/>
    <w:uiPriority w:val="0"/>
    <w:rPr>
      <w:sz w:val="24"/>
      <w:szCs w:val="24"/>
    </w:rPr>
  </w:style>
  <w:style w:type="character" w:customStyle="1" w:styleId="1215">
    <w:name w:val="排版正文 Char Char Char Char Char"/>
    <w:link w:val="1216"/>
    <w:qFormat/>
    <w:uiPriority w:val="0"/>
    <w:rPr>
      <w:color w:val="000000"/>
      <w:sz w:val="26"/>
      <w:szCs w:val="26"/>
    </w:rPr>
  </w:style>
  <w:style w:type="paragraph" w:customStyle="1" w:styleId="1216">
    <w:name w:val="排版正文 Char Char Char"/>
    <w:basedOn w:val="1"/>
    <w:link w:val="1215"/>
    <w:qFormat/>
    <w:uiPriority w:val="0"/>
    <w:pPr>
      <w:adjustRightInd w:val="0"/>
      <w:snapToGrid w:val="0"/>
      <w:spacing w:line="460" w:lineRule="exact"/>
      <w:ind w:firstLine="200" w:firstLineChars="200"/>
    </w:pPr>
    <w:rPr>
      <w:rFonts w:asciiTheme="minorHAnsi" w:hAnsiTheme="minorHAnsi" w:eastAsiaTheme="minorEastAsia" w:cstheme="minorBidi"/>
      <w:color w:val="000000"/>
      <w:kern w:val="0"/>
      <w:sz w:val="26"/>
      <w:szCs w:val="26"/>
    </w:rPr>
  </w:style>
  <w:style w:type="character" w:customStyle="1" w:styleId="1217">
    <w:name w:val="中远正文 Char Char"/>
    <w:link w:val="1218"/>
    <w:qFormat/>
    <w:uiPriority w:val="0"/>
    <w:rPr>
      <w:snapToGrid w:val="0"/>
      <w:kern w:val="24"/>
      <w:sz w:val="24"/>
    </w:rPr>
  </w:style>
  <w:style w:type="paragraph" w:customStyle="1" w:styleId="1218">
    <w:name w:val="中远正文"/>
    <w:basedOn w:val="1"/>
    <w:link w:val="1217"/>
    <w:qFormat/>
    <w:uiPriority w:val="0"/>
    <w:pPr>
      <w:adjustRightInd w:val="0"/>
      <w:snapToGrid w:val="0"/>
      <w:spacing w:line="360" w:lineRule="auto"/>
      <w:ind w:firstLine="480" w:firstLineChars="200"/>
      <w:jc w:val="center"/>
      <w:textAlignment w:val="baseline"/>
    </w:pPr>
    <w:rPr>
      <w:rFonts w:asciiTheme="minorHAnsi" w:hAnsiTheme="minorHAnsi" w:eastAsiaTheme="minorEastAsia" w:cstheme="minorBidi"/>
      <w:snapToGrid w:val="0"/>
      <w:kern w:val="24"/>
      <w:sz w:val="24"/>
      <w:szCs w:val="20"/>
    </w:rPr>
  </w:style>
  <w:style w:type="character" w:customStyle="1" w:styleId="1219">
    <w:name w:val="段落文 Char Char"/>
    <w:link w:val="1220"/>
    <w:qFormat/>
    <w:uiPriority w:val="0"/>
    <w:rPr>
      <w:rFonts w:cs="宋体"/>
      <w:sz w:val="24"/>
    </w:rPr>
  </w:style>
  <w:style w:type="paragraph" w:customStyle="1" w:styleId="1220">
    <w:name w:val="段落文"/>
    <w:basedOn w:val="1"/>
    <w:link w:val="1219"/>
    <w:qFormat/>
    <w:uiPriority w:val="0"/>
    <w:pPr>
      <w:adjustRightInd w:val="0"/>
      <w:snapToGrid w:val="0"/>
      <w:spacing w:line="360" w:lineRule="auto"/>
      <w:ind w:firstLine="480" w:firstLineChars="200"/>
    </w:pPr>
    <w:rPr>
      <w:rFonts w:cs="宋体" w:asciiTheme="minorHAnsi" w:hAnsiTheme="minorHAnsi" w:eastAsiaTheme="minorEastAsia"/>
      <w:kern w:val="0"/>
      <w:sz w:val="24"/>
      <w:szCs w:val="20"/>
    </w:rPr>
  </w:style>
  <w:style w:type="character" w:customStyle="1" w:styleId="1221">
    <w:name w:val="标题 3 Char Char"/>
    <w:qFormat/>
    <w:uiPriority w:val="0"/>
    <w:rPr>
      <w:rFonts w:eastAsia="宋体"/>
      <w:b/>
      <w:sz w:val="32"/>
      <w:szCs w:val="24"/>
      <w:lang w:val="en-US" w:eastAsia="zh-CN" w:bidi="ar-SA"/>
    </w:rPr>
  </w:style>
  <w:style w:type="character" w:customStyle="1" w:styleId="1222">
    <w:name w:val="文本 Char Char Char"/>
    <w:qFormat/>
    <w:uiPriority w:val="0"/>
    <w:rPr>
      <w:rFonts w:ascii="宋体" w:hAnsi="Courier New" w:eastAsia="宋体"/>
      <w:kern w:val="2"/>
      <w:sz w:val="28"/>
      <w:lang w:val="en-US" w:eastAsia="zh-CN" w:bidi="ar-SA"/>
    </w:rPr>
  </w:style>
  <w:style w:type="character" w:customStyle="1" w:styleId="1223">
    <w:name w:val="报告表中 Char"/>
    <w:qFormat/>
    <w:uiPriority w:val="0"/>
    <w:rPr>
      <w:rFonts w:eastAsia="宋体"/>
      <w:kern w:val="2"/>
      <w:sz w:val="18"/>
      <w:lang w:val="en-US" w:eastAsia="zh-CN"/>
    </w:rPr>
  </w:style>
  <w:style w:type="character" w:customStyle="1" w:styleId="1224">
    <w:name w:val="0-shiw-正文 4号宋体 Char Char"/>
    <w:link w:val="1225"/>
    <w:qFormat/>
    <w:uiPriority w:val="0"/>
    <w:rPr>
      <w:sz w:val="28"/>
      <w:szCs w:val="28"/>
    </w:rPr>
  </w:style>
  <w:style w:type="paragraph" w:customStyle="1" w:styleId="1225">
    <w:name w:val="0-shiw-正文 4号宋体"/>
    <w:link w:val="1224"/>
    <w:qFormat/>
    <w:uiPriority w:val="0"/>
    <w:pPr>
      <w:widowControl w:val="0"/>
      <w:adjustRightInd w:val="0"/>
      <w:snapToGrid w:val="0"/>
      <w:spacing w:line="520" w:lineRule="exact"/>
      <w:ind w:firstLine="560" w:firstLineChars="200"/>
      <w:jc w:val="both"/>
    </w:pPr>
    <w:rPr>
      <w:rFonts w:asciiTheme="minorHAnsi" w:hAnsiTheme="minorHAnsi" w:eastAsiaTheme="minorEastAsia" w:cstheme="minorBidi"/>
      <w:sz w:val="28"/>
      <w:szCs w:val="28"/>
      <w:lang w:val="en-US" w:eastAsia="zh-CN" w:bidi="ar-SA"/>
    </w:rPr>
  </w:style>
  <w:style w:type="character" w:customStyle="1" w:styleId="1226">
    <w:name w:val="样式6 Char Char"/>
    <w:link w:val="876"/>
    <w:qFormat/>
    <w:uiPriority w:val="0"/>
    <w:rPr>
      <w:color w:val="0000FF"/>
      <w:sz w:val="21"/>
      <w:szCs w:val="24"/>
      <w:lang w:val="zh-CN" w:eastAsia="zh-CN"/>
    </w:rPr>
  </w:style>
  <w:style w:type="character" w:customStyle="1" w:styleId="1227">
    <w:name w:val="font201"/>
    <w:qFormat/>
    <w:uiPriority w:val="0"/>
  </w:style>
  <w:style w:type="character" w:customStyle="1" w:styleId="1228">
    <w:name w:val="样式 13 磅 行距: 固定值 23 磅 首行缩进:  2 字符 Char Char Char"/>
    <w:link w:val="1229"/>
    <w:qFormat/>
    <w:uiPriority w:val="0"/>
    <w:rPr>
      <w:rFonts w:cs="宋体"/>
      <w:sz w:val="26"/>
      <w:szCs w:val="26"/>
    </w:rPr>
  </w:style>
  <w:style w:type="paragraph" w:customStyle="1" w:styleId="1229">
    <w:name w:val="样式 13 磅 行距: 固定值 23 磅 首行缩进:  2 字符 Char"/>
    <w:basedOn w:val="1"/>
    <w:link w:val="1228"/>
    <w:qFormat/>
    <w:uiPriority w:val="0"/>
    <w:pPr>
      <w:adjustRightInd w:val="0"/>
      <w:snapToGrid w:val="0"/>
      <w:spacing w:line="460" w:lineRule="exact"/>
      <w:ind w:firstLine="520" w:firstLineChars="200"/>
    </w:pPr>
    <w:rPr>
      <w:rFonts w:cs="宋体" w:asciiTheme="minorHAnsi" w:hAnsiTheme="minorHAnsi" w:eastAsiaTheme="minorEastAsia"/>
      <w:kern w:val="0"/>
      <w:sz w:val="26"/>
      <w:szCs w:val="26"/>
    </w:rPr>
  </w:style>
  <w:style w:type="character" w:customStyle="1" w:styleId="1230">
    <w:name w:val="正文文本缩进 字符1"/>
    <w:qFormat/>
    <w:uiPriority w:val="0"/>
    <w:rPr>
      <w:sz w:val="24"/>
      <w:szCs w:val="24"/>
    </w:rPr>
  </w:style>
  <w:style w:type="character" w:customStyle="1" w:styleId="1231">
    <w:name w:val="样式33 标题 3标题 3 Char2标题 3 CharSottoparagrafo条标题1.1.1h3H3level...2 Char Char"/>
    <w:link w:val="1232"/>
    <w:qFormat/>
    <w:uiPriority w:val="0"/>
    <w:rPr>
      <w:rFonts w:cs="宋体"/>
      <w:b/>
      <w:color w:val="000000"/>
      <w:sz w:val="28"/>
    </w:rPr>
  </w:style>
  <w:style w:type="paragraph" w:customStyle="1" w:styleId="1232">
    <w:name w:val="样式33 标题 3标题 3 Char2标题 3 CharSottoparagrafo条标题1.1.1h3H3level...2"/>
    <w:basedOn w:val="6"/>
    <w:link w:val="1231"/>
    <w:qFormat/>
    <w:uiPriority w:val="0"/>
    <w:pPr>
      <w:keepLines/>
      <w:widowControl w:val="0"/>
      <w:tabs>
        <w:tab w:val="left" w:pos="0"/>
      </w:tabs>
      <w:overflowPunct/>
      <w:autoSpaceDE/>
      <w:autoSpaceDN/>
      <w:snapToGrid w:val="0"/>
      <w:spacing w:after="120"/>
      <w:ind w:left="0" w:right="108" w:firstLine="0"/>
      <w:textAlignment w:val="auto"/>
    </w:pPr>
    <w:rPr>
      <w:rFonts w:cs="宋体" w:asciiTheme="minorHAnsi" w:hAnsiTheme="minorHAnsi" w:eastAsiaTheme="minorEastAsia"/>
      <w:b/>
      <w:spacing w:val="0"/>
      <w:kern w:val="0"/>
      <w:lang w:val="en-US"/>
    </w:rPr>
  </w:style>
  <w:style w:type="character" w:customStyle="1" w:styleId="1233">
    <w:name w:val="textjianju2"/>
    <w:basedOn w:val="96"/>
    <w:qFormat/>
    <w:uiPriority w:val="0"/>
  </w:style>
  <w:style w:type="character" w:customStyle="1" w:styleId="1234">
    <w:name w:val="style91"/>
    <w:qFormat/>
    <w:uiPriority w:val="0"/>
    <w:rPr>
      <w:sz w:val="30"/>
      <w:szCs w:val="30"/>
    </w:rPr>
  </w:style>
  <w:style w:type="character" w:customStyle="1" w:styleId="1235">
    <w:name w:val="postbody1"/>
    <w:qFormat/>
    <w:uiPriority w:val="0"/>
    <w:rPr>
      <w:sz w:val="18"/>
      <w:szCs w:val="18"/>
    </w:rPr>
  </w:style>
  <w:style w:type="character" w:customStyle="1" w:styleId="1236">
    <w:name w:val="wz"/>
    <w:basedOn w:val="96"/>
    <w:qFormat/>
    <w:uiPriority w:val="0"/>
  </w:style>
  <w:style w:type="character" w:customStyle="1" w:styleId="1237">
    <w:name w:val="tpc_content"/>
    <w:basedOn w:val="96"/>
    <w:qFormat/>
    <w:uiPriority w:val="0"/>
  </w:style>
  <w:style w:type="character" w:customStyle="1" w:styleId="1238">
    <w:name w:val="正文小四 Char Char"/>
    <w:link w:val="1239"/>
    <w:qFormat/>
    <w:uiPriority w:val="0"/>
    <w:rPr>
      <w:sz w:val="24"/>
      <w:szCs w:val="24"/>
    </w:rPr>
  </w:style>
  <w:style w:type="paragraph" w:customStyle="1" w:styleId="1239">
    <w:name w:val="正文小四"/>
    <w:basedOn w:val="1"/>
    <w:link w:val="1238"/>
    <w:qFormat/>
    <w:uiPriority w:val="0"/>
    <w:pPr>
      <w:adjustRightInd w:val="0"/>
      <w:snapToGrid w:val="0"/>
      <w:spacing w:line="360" w:lineRule="auto"/>
      <w:ind w:firstLine="200" w:firstLineChars="200"/>
      <w:jc w:val="left"/>
    </w:pPr>
    <w:rPr>
      <w:rFonts w:asciiTheme="minorHAnsi" w:hAnsiTheme="minorHAnsi" w:eastAsiaTheme="minorEastAsia" w:cstheme="minorBidi"/>
      <w:kern w:val="0"/>
      <w:sz w:val="24"/>
    </w:rPr>
  </w:style>
  <w:style w:type="character" w:customStyle="1" w:styleId="1240">
    <w:name w:val="样式 宋体 加粗"/>
    <w:qFormat/>
    <w:uiPriority w:val="0"/>
    <w:rPr>
      <w:rFonts w:ascii="Times New Roman" w:hAnsi="Times New Roman"/>
      <w:bCs/>
      <w:sz w:val="28"/>
    </w:rPr>
  </w:style>
  <w:style w:type="character" w:customStyle="1" w:styleId="1241">
    <w:name w:val="批注主题 字符1"/>
    <w:qFormat/>
    <w:uiPriority w:val="0"/>
    <w:rPr>
      <w:b/>
      <w:bCs/>
      <w:szCs w:val="24"/>
    </w:rPr>
  </w:style>
  <w:style w:type="character" w:customStyle="1" w:styleId="1242">
    <w:name w:val="题注 Char Char Char Char Char Char Char1"/>
    <w:qFormat/>
    <w:uiPriority w:val="0"/>
    <w:rPr>
      <w:rFonts w:ascii="Arial" w:hAnsi="Arial" w:eastAsia="宋体" w:cs="Arial"/>
      <w:b/>
      <w:kern w:val="2"/>
      <w:sz w:val="24"/>
      <w:lang w:val="en-US" w:eastAsia="zh-CN" w:bidi="ar-SA"/>
    </w:rPr>
  </w:style>
  <w:style w:type="character" w:customStyle="1" w:styleId="1243">
    <w:name w:val="样式 样式 标题2 + Char Char"/>
    <w:link w:val="1244"/>
    <w:qFormat/>
    <w:uiPriority w:val="0"/>
    <w:rPr>
      <w:rFonts w:cs="宋体"/>
      <w:b/>
      <w:bCs/>
      <w:sz w:val="28"/>
    </w:rPr>
  </w:style>
  <w:style w:type="paragraph" w:customStyle="1" w:styleId="1244">
    <w:name w:val="样式 样式 标题2 +"/>
    <w:basedOn w:val="1"/>
    <w:link w:val="1243"/>
    <w:qFormat/>
    <w:uiPriority w:val="0"/>
    <w:pPr>
      <w:keepNext/>
      <w:keepLines/>
      <w:adjustRightInd w:val="0"/>
      <w:snapToGrid w:val="0"/>
      <w:spacing w:line="360" w:lineRule="auto"/>
      <w:ind w:hanging="420" w:firstLineChars="200"/>
      <w:jc w:val="left"/>
      <w:textAlignment w:val="baseline"/>
      <w:outlineLvl w:val="1"/>
    </w:pPr>
    <w:rPr>
      <w:rFonts w:cs="宋体" w:asciiTheme="minorHAnsi" w:hAnsiTheme="minorHAnsi" w:eastAsiaTheme="minorEastAsia"/>
      <w:b/>
      <w:bCs/>
      <w:kern w:val="0"/>
      <w:sz w:val="28"/>
      <w:szCs w:val="20"/>
    </w:rPr>
  </w:style>
  <w:style w:type="character" w:customStyle="1" w:styleId="1245">
    <w:name w:val="正文C1 Char Char"/>
    <w:link w:val="1246"/>
    <w:qFormat/>
    <w:uiPriority w:val="0"/>
    <w:rPr>
      <w:rFonts w:ascii="宋体"/>
      <w:sz w:val="24"/>
      <w:szCs w:val="28"/>
    </w:rPr>
  </w:style>
  <w:style w:type="paragraph" w:customStyle="1" w:styleId="1246">
    <w:name w:val="正文C1"/>
    <w:basedOn w:val="88"/>
    <w:link w:val="1245"/>
    <w:qFormat/>
    <w:uiPriority w:val="0"/>
    <w:pPr>
      <w:tabs>
        <w:tab w:val="left" w:pos="420"/>
        <w:tab w:val="left" w:pos="870"/>
        <w:tab w:val="left" w:pos="3150"/>
      </w:tabs>
      <w:autoSpaceDE w:val="0"/>
      <w:autoSpaceDN w:val="0"/>
      <w:adjustRightInd w:val="0"/>
      <w:snapToGrid w:val="0"/>
      <w:spacing w:after="0" w:line="336" w:lineRule="auto"/>
      <w:ind w:left="0" w:leftChars="0" w:firstLine="425" w:firstLineChars="177"/>
      <w:textAlignment w:val="baseline"/>
    </w:pPr>
    <w:rPr>
      <w:rFonts w:ascii="宋体" w:hAnsiTheme="minorHAnsi"/>
      <w:kern w:val="0"/>
      <w:sz w:val="24"/>
      <w:szCs w:val="28"/>
    </w:rPr>
  </w:style>
  <w:style w:type="paragraph" w:customStyle="1" w:styleId="1247">
    <w:name w:val="正文样式"/>
    <w:basedOn w:val="1"/>
    <w:qFormat/>
    <w:uiPriority w:val="0"/>
    <w:pPr>
      <w:adjustRightInd w:val="0"/>
      <w:snapToGrid w:val="0"/>
      <w:spacing w:line="460" w:lineRule="exact"/>
      <w:ind w:firstLine="200" w:firstLineChars="200"/>
    </w:pPr>
    <w:rPr>
      <w:rFonts w:ascii="宋体" w:hAnsi="宋体"/>
      <w:sz w:val="24"/>
    </w:rPr>
  </w:style>
  <w:style w:type="paragraph" w:customStyle="1" w:styleId="1248">
    <w:name w:val="环境影响报告书"/>
    <w:basedOn w:val="1"/>
    <w:next w:val="1"/>
    <w:qFormat/>
    <w:uiPriority w:val="0"/>
    <w:pPr>
      <w:adjustRightInd w:val="0"/>
      <w:snapToGrid w:val="0"/>
      <w:spacing w:line="440" w:lineRule="exact"/>
      <w:ind w:firstLine="832" w:firstLineChars="200"/>
      <w:jc w:val="center"/>
    </w:pPr>
    <w:rPr>
      <w:rFonts w:eastAsia="黑体" w:cs="宋体"/>
      <w:b/>
      <w:bCs/>
      <w:spacing w:val="30"/>
      <w:sz w:val="52"/>
      <w:szCs w:val="20"/>
    </w:rPr>
  </w:style>
  <w:style w:type="paragraph" w:customStyle="1" w:styleId="1249">
    <w:name w:val="503定义表格内容格式"/>
    <w:basedOn w:val="1"/>
    <w:next w:val="1"/>
    <w:qFormat/>
    <w:uiPriority w:val="0"/>
    <w:pPr>
      <w:adjustRightInd w:val="0"/>
      <w:snapToGrid w:val="0"/>
      <w:spacing w:line="440" w:lineRule="exact"/>
      <w:ind w:firstLine="832" w:firstLineChars="200"/>
      <w:jc w:val="center"/>
    </w:pPr>
    <w:rPr>
      <w:sz w:val="24"/>
      <w:szCs w:val="21"/>
    </w:rPr>
  </w:style>
  <w:style w:type="paragraph" w:customStyle="1" w:styleId="1250">
    <w:name w:val="目录"/>
    <w:basedOn w:val="1"/>
    <w:next w:val="1"/>
    <w:qFormat/>
    <w:uiPriority w:val="0"/>
    <w:pPr>
      <w:adjustRightInd w:val="0"/>
      <w:snapToGrid w:val="0"/>
      <w:spacing w:before="240" w:after="240" w:line="312" w:lineRule="auto"/>
      <w:ind w:firstLine="832" w:firstLineChars="200"/>
      <w:jc w:val="center"/>
    </w:pPr>
    <w:rPr>
      <w:rFonts w:cs="宋体"/>
      <w:b/>
      <w:bCs/>
      <w:sz w:val="36"/>
      <w:szCs w:val="20"/>
    </w:rPr>
  </w:style>
  <w:style w:type="paragraph" w:customStyle="1" w:styleId="1251">
    <w:name w:val="样式35"/>
    <w:basedOn w:val="1"/>
    <w:qFormat/>
    <w:uiPriority w:val="0"/>
    <w:pPr>
      <w:adjustRightInd w:val="0"/>
      <w:snapToGrid w:val="0"/>
      <w:spacing w:line="312" w:lineRule="auto"/>
      <w:ind w:firstLine="567" w:firstLineChars="200"/>
      <w:textAlignment w:val="baseline"/>
    </w:pPr>
    <w:rPr>
      <w:kern w:val="0"/>
      <w:sz w:val="28"/>
    </w:rPr>
  </w:style>
  <w:style w:type="paragraph" w:customStyle="1" w:styleId="1252">
    <w:name w:val="_Style 113"/>
    <w:basedOn w:val="1"/>
    <w:qFormat/>
    <w:uiPriority w:val="0"/>
    <w:pPr>
      <w:widowControl/>
      <w:adjustRightInd w:val="0"/>
      <w:snapToGrid w:val="0"/>
      <w:spacing w:after="160" w:line="240" w:lineRule="exact"/>
      <w:ind w:firstLine="832" w:firstLineChars="200"/>
      <w:jc w:val="left"/>
    </w:pPr>
    <w:rPr>
      <w:sz w:val="24"/>
    </w:rPr>
  </w:style>
  <w:style w:type="paragraph" w:customStyle="1" w:styleId="1253">
    <w:name w:val="黄小林正文"/>
    <w:qFormat/>
    <w:uiPriority w:val="0"/>
    <w:pPr>
      <w:ind w:firstLine="567"/>
    </w:pPr>
    <w:rPr>
      <w:rFonts w:ascii="Times New Roman" w:hAnsi="Times New Roman" w:eastAsia="宋体" w:cs="Times New Roman"/>
      <w:sz w:val="28"/>
      <w:lang w:val="en-US" w:eastAsia="zh-CN" w:bidi="ar-SA"/>
    </w:rPr>
  </w:style>
  <w:style w:type="paragraph" w:customStyle="1" w:styleId="1254">
    <w:name w:val="表格（5号）"/>
    <w:basedOn w:val="1"/>
    <w:qFormat/>
    <w:uiPriority w:val="0"/>
    <w:pPr>
      <w:adjustRightInd w:val="0"/>
      <w:snapToGrid w:val="0"/>
      <w:spacing w:line="440" w:lineRule="exact"/>
      <w:ind w:firstLine="832" w:firstLineChars="200"/>
      <w:jc w:val="center"/>
    </w:pPr>
    <w:rPr>
      <w:sz w:val="18"/>
      <w:szCs w:val="18"/>
    </w:rPr>
  </w:style>
  <w:style w:type="paragraph" w:customStyle="1" w:styleId="1255">
    <w:name w:val="表内容"/>
    <w:basedOn w:val="1"/>
    <w:qFormat/>
    <w:uiPriority w:val="0"/>
    <w:pPr>
      <w:adjustRightInd w:val="0"/>
      <w:snapToGrid w:val="0"/>
      <w:spacing w:line="440" w:lineRule="exact"/>
      <w:ind w:firstLine="832" w:firstLineChars="200"/>
      <w:jc w:val="center"/>
    </w:pPr>
    <w:rPr>
      <w:sz w:val="24"/>
      <w:szCs w:val="21"/>
    </w:rPr>
  </w:style>
  <w:style w:type="paragraph" w:customStyle="1" w:styleId="1256">
    <w:name w:val="样式17"/>
    <w:basedOn w:val="1"/>
    <w:qFormat/>
    <w:uiPriority w:val="0"/>
    <w:pPr>
      <w:adjustRightInd w:val="0"/>
      <w:snapToGrid w:val="0"/>
      <w:spacing w:line="440" w:lineRule="exact"/>
      <w:ind w:firstLine="480" w:firstLineChars="200"/>
    </w:pPr>
    <w:rPr>
      <w:rFonts w:ascii="Arial" w:hAnsi="Arial" w:cs="Arial"/>
      <w:color w:val="000000"/>
      <w:sz w:val="24"/>
    </w:rPr>
  </w:style>
  <w:style w:type="paragraph" w:customStyle="1" w:styleId="1257">
    <w:name w:val="标书正文"/>
    <w:basedOn w:val="1"/>
    <w:qFormat/>
    <w:uiPriority w:val="0"/>
    <w:pPr>
      <w:adjustRightInd w:val="0"/>
      <w:snapToGrid w:val="0"/>
      <w:spacing w:line="520" w:lineRule="exact"/>
      <w:ind w:firstLine="567" w:firstLineChars="200"/>
    </w:pPr>
    <w:rPr>
      <w:rFonts w:ascii="宋体" w:hAnsi="Courier New"/>
      <w:sz w:val="28"/>
      <w:szCs w:val="20"/>
    </w:rPr>
  </w:style>
  <w:style w:type="paragraph" w:customStyle="1" w:styleId="1258">
    <w:name w:val="p17"/>
    <w:basedOn w:val="1"/>
    <w:qFormat/>
    <w:uiPriority w:val="0"/>
    <w:pPr>
      <w:widowControl/>
      <w:adjustRightInd w:val="0"/>
      <w:snapToGrid w:val="0"/>
      <w:spacing w:before="60" w:line="460" w:lineRule="atLeast"/>
      <w:ind w:firstLine="420" w:firstLineChars="200"/>
    </w:pPr>
    <w:rPr>
      <w:rFonts w:ascii="宋体" w:hAnsi="宋体" w:cs="宋体"/>
      <w:kern w:val="0"/>
      <w:sz w:val="24"/>
    </w:rPr>
  </w:style>
  <w:style w:type="paragraph" w:customStyle="1" w:styleId="1259">
    <w:name w:val="首行缩进11 Char"/>
    <w:basedOn w:val="1"/>
    <w:qFormat/>
    <w:uiPriority w:val="0"/>
    <w:pPr>
      <w:adjustRightInd w:val="0"/>
      <w:snapToGrid w:val="0"/>
      <w:spacing w:line="360" w:lineRule="auto"/>
      <w:ind w:firstLine="480" w:firstLineChars="200"/>
    </w:pPr>
    <w:rPr>
      <w:rFonts w:cs="宋体"/>
      <w:kern w:val="0"/>
      <w:sz w:val="24"/>
    </w:rPr>
  </w:style>
  <w:style w:type="paragraph" w:customStyle="1" w:styleId="1260">
    <w:name w:val="表格字"/>
    <w:basedOn w:val="1"/>
    <w:qFormat/>
    <w:uiPriority w:val="0"/>
    <w:pPr>
      <w:tabs>
        <w:tab w:val="left" w:pos="0"/>
      </w:tabs>
      <w:suppressAutoHyphens/>
      <w:autoSpaceDE w:val="0"/>
      <w:adjustRightInd w:val="0"/>
      <w:snapToGrid w:val="0"/>
      <w:spacing w:line="540" w:lineRule="exact"/>
      <w:ind w:firstLine="832" w:firstLineChars="200"/>
      <w:jc w:val="center"/>
    </w:pPr>
    <w:rPr>
      <w:rFonts w:ascii="宋体" w:hAnsi="宋体"/>
      <w:bCs/>
      <w:color w:val="000000"/>
      <w:sz w:val="24"/>
    </w:rPr>
  </w:style>
  <w:style w:type="paragraph" w:customStyle="1" w:styleId="1261">
    <w:name w:val="标题04"/>
    <w:basedOn w:val="47"/>
    <w:next w:val="53"/>
    <w:qFormat/>
    <w:uiPriority w:val="0"/>
    <w:pPr>
      <w:widowControl w:val="0"/>
      <w:adjustRightInd w:val="0"/>
      <w:snapToGrid w:val="0"/>
      <w:spacing w:line="460" w:lineRule="exact"/>
      <w:ind w:firstLine="832"/>
      <w:jc w:val="left"/>
    </w:pPr>
    <w:rPr>
      <w:rFonts w:ascii="Times New Roman" w:hAnsi="Times New Roman"/>
      <w:szCs w:val="24"/>
    </w:rPr>
  </w:style>
  <w:style w:type="paragraph" w:customStyle="1" w:styleId="1262">
    <w:name w:val="pic-info"/>
    <w:basedOn w:val="1"/>
    <w:qFormat/>
    <w:uiPriority w:val="0"/>
    <w:pPr>
      <w:widowControl/>
      <w:adjustRightInd w:val="0"/>
      <w:snapToGrid w:val="0"/>
      <w:spacing w:before="100" w:beforeAutospacing="1" w:after="100" w:afterAutospacing="1" w:line="440" w:lineRule="exact"/>
      <w:ind w:firstLine="832" w:firstLineChars="200"/>
      <w:jc w:val="left"/>
    </w:pPr>
    <w:rPr>
      <w:rFonts w:ascii="宋体" w:hAnsi="宋体" w:cs="宋体"/>
      <w:kern w:val="0"/>
      <w:sz w:val="24"/>
    </w:rPr>
  </w:style>
  <w:style w:type="paragraph" w:customStyle="1" w:styleId="1263">
    <w:name w:val="样式 正文首行缩进 + 宋体"/>
    <w:basedOn w:val="87"/>
    <w:qFormat/>
    <w:uiPriority w:val="0"/>
    <w:pPr>
      <w:topLinePunct/>
      <w:adjustRightInd w:val="0"/>
      <w:snapToGrid w:val="0"/>
      <w:spacing w:after="0" w:line="360" w:lineRule="auto"/>
      <w:ind w:firstLine="480" w:firstLineChars="0"/>
      <w:textAlignment w:val="baseline"/>
    </w:pPr>
    <w:rPr>
      <w:kern w:val="0"/>
      <w:sz w:val="24"/>
    </w:rPr>
  </w:style>
  <w:style w:type="paragraph" w:customStyle="1" w:styleId="1264">
    <w:name w:val="char"/>
    <w:basedOn w:val="1"/>
    <w:qFormat/>
    <w:uiPriority w:val="0"/>
    <w:pPr>
      <w:widowControl/>
      <w:adjustRightInd w:val="0"/>
      <w:snapToGrid w:val="0"/>
      <w:spacing w:after="160" w:line="240" w:lineRule="exact"/>
      <w:ind w:firstLine="832" w:firstLineChars="200"/>
      <w:jc w:val="left"/>
    </w:pPr>
    <w:rPr>
      <w:rFonts w:ascii="Verdana" w:hAnsi="Verdana" w:eastAsia="仿宋_GB2312" w:cs="”“Times New Roman”“"/>
      <w:kern w:val="0"/>
      <w:sz w:val="24"/>
      <w:szCs w:val="20"/>
      <w:lang w:eastAsia="en-US"/>
    </w:rPr>
  </w:style>
  <w:style w:type="paragraph" w:customStyle="1" w:styleId="1265">
    <w:name w:val="样式 样式 宋体 四号 黑色 行距: 1.5 倍行距 + 首行缩进:  2 字符"/>
    <w:basedOn w:val="1"/>
    <w:qFormat/>
    <w:uiPriority w:val="0"/>
    <w:pPr>
      <w:adjustRightInd w:val="0"/>
      <w:snapToGrid w:val="0"/>
      <w:spacing w:line="360" w:lineRule="auto"/>
      <w:ind w:firstLine="560" w:firstLineChars="200"/>
    </w:pPr>
    <w:rPr>
      <w:rFonts w:hAnsi="宋体"/>
      <w:bCs/>
      <w:kern w:val="0"/>
      <w:sz w:val="28"/>
      <w:szCs w:val="28"/>
    </w:rPr>
  </w:style>
  <w:style w:type="paragraph" w:customStyle="1" w:styleId="1266">
    <w:name w:val="环科院名称"/>
    <w:basedOn w:val="1"/>
    <w:qFormat/>
    <w:uiPriority w:val="0"/>
    <w:pPr>
      <w:adjustRightInd w:val="0"/>
      <w:snapToGrid w:val="0"/>
      <w:spacing w:line="440" w:lineRule="exact"/>
      <w:ind w:left="-7" w:leftChars="-10" w:hanging="14" w:hangingChars="4"/>
      <w:jc w:val="center"/>
    </w:pPr>
    <w:rPr>
      <w:rFonts w:ascii="楷体_GB2312" w:hAnsi="华文楷体" w:eastAsia="楷体_GB2312" w:cs="宋体"/>
      <w:b/>
      <w:bCs/>
      <w:spacing w:val="20"/>
      <w:sz w:val="32"/>
      <w:szCs w:val="20"/>
    </w:rPr>
  </w:style>
  <w:style w:type="paragraph" w:customStyle="1" w:styleId="1267">
    <w:name w:val="YY"/>
    <w:basedOn w:val="1"/>
    <w:qFormat/>
    <w:uiPriority w:val="0"/>
    <w:pPr>
      <w:adjustRightInd w:val="0"/>
      <w:snapToGrid w:val="0"/>
      <w:spacing w:line="360" w:lineRule="auto"/>
      <w:ind w:firstLine="200" w:firstLineChars="200"/>
    </w:pPr>
    <w:rPr>
      <w:sz w:val="24"/>
    </w:rPr>
  </w:style>
  <w:style w:type="paragraph" w:customStyle="1" w:styleId="1268">
    <w:name w:val="正文001 Char Char"/>
    <w:basedOn w:val="1"/>
    <w:qFormat/>
    <w:uiPriority w:val="0"/>
    <w:pPr>
      <w:adjustRightInd w:val="0"/>
      <w:snapToGrid w:val="0"/>
      <w:spacing w:before="60" w:line="420" w:lineRule="exact"/>
      <w:ind w:firstLine="482" w:firstLineChars="200"/>
    </w:pPr>
    <w:rPr>
      <w:sz w:val="24"/>
      <w:szCs w:val="20"/>
    </w:rPr>
  </w:style>
  <w:style w:type="paragraph" w:customStyle="1" w:styleId="1269">
    <w:name w:val="封面工程项目名称"/>
    <w:basedOn w:val="1"/>
    <w:qFormat/>
    <w:uiPriority w:val="0"/>
    <w:pPr>
      <w:adjustRightInd w:val="0"/>
      <w:snapToGrid w:val="0"/>
      <w:spacing w:line="360" w:lineRule="auto"/>
      <w:ind w:firstLine="832" w:firstLineChars="200"/>
      <w:jc w:val="center"/>
    </w:pPr>
    <w:rPr>
      <w:rFonts w:eastAsia="楷体_GB2312" w:cs="宋体"/>
      <w:b/>
      <w:bCs/>
      <w:spacing w:val="24"/>
      <w:sz w:val="52"/>
      <w:szCs w:val="20"/>
    </w:rPr>
  </w:style>
  <w:style w:type="paragraph" w:customStyle="1" w:styleId="1270">
    <w:name w:val="编号1）2）"/>
    <w:basedOn w:val="1"/>
    <w:qFormat/>
    <w:uiPriority w:val="0"/>
    <w:pPr>
      <w:tabs>
        <w:tab w:val="left" w:pos="851"/>
      </w:tabs>
      <w:adjustRightInd w:val="0"/>
      <w:snapToGrid w:val="0"/>
      <w:spacing w:line="520" w:lineRule="exact"/>
      <w:ind w:firstLine="200" w:firstLineChars="200"/>
    </w:pPr>
    <w:rPr>
      <w:rFonts w:ascii="宋体" w:hAnsi="Courier New"/>
      <w:sz w:val="28"/>
      <w:szCs w:val="28"/>
    </w:rPr>
  </w:style>
  <w:style w:type="paragraph" w:customStyle="1" w:styleId="1271">
    <w:name w:val="样式 四号 行距: 1.5 倍行距 首行缩进:  2 字符"/>
    <w:basedOn w:val="1"/>
    <w:qFormat/>
    <w:uiPriority w:val="0"/>
    <w:pPr>
      <w:adjustRightInd w:val="0"/>
      <w:snapToGrid w:val="0"/>
      <w:spacing w:line="360" w:lineRule="auto"/>
      <w:ind w:firstLine="560" w:firstLineChars="200"/>
    </w:pPr>
    <w:rPr>
      <w:color w:val="000000"/>
      <w:sz w:val="28"/>
      <w:szCs w:val="28"/>
    </w:rPr>
  </w:style>
  <w:style w:type="paragraph" w:customStyle="1" w:styleId="1272">
    <w:name w:val="p18"/>
    <w:basedOn w:val="1"/>
    <w:qFormat/>
    <w:uiPriority w:val="0"/>
    <w:pPr>
      <w:widowControl/>
      <w:adjustRightInd w:val="0"/>
      <w:snapToGrid w:val="0"/>
      <w:spacing w:before="400" w:line="460" w:lineRule="atLeast"/>
      <w:ind w:firstLine="420" w:firstLineChars="200"/>
    </w:pPr>
    <w:rPr>
      <w:kern w:val="0"/>
      <w:sz w:val="24"/>
    </w:rPr>
  </w:style>
  <w:style w:type="paragraph" w:customStyle="1" w:styleId="1273">
    <w:name w:val="样式 标题 3 + 小四 加粗 自动设置"/>
    <w:basedOn w:val="6"/>
    <w:qFormat/>
    <w:uiPriority w:val="0"/>
    <w:pPr>
      <w:widowControl w:val="0"/>
      <w:tabs>
        <w:tab w:val="left" w:pos="0"/>
      </w:tabs>
      <w:overflowPunct/>
      <w:autoSpaceDE/>
      <w:autoSpaceDN/>
      <w:snapToGrid w:val="0"/>
      <w:spacing w:before="0" w:line="360" w:lineRule="auto"/>
      <w:ind w:left="0" w:firstLine="0"/>
      <w:textAlignment w:val="auto"/>
    </w:pPr>
    <w:rPr>
      <w:rFonts w:ascii="Times New Roman" w:hAnsi="Times New Roman"/>
      <w:b/>
      <w:bCs/>
      <w:color w:val="auto"/>
      <w:spacing w:val="0"/>
      <w:kern w:val="2"/>
      <w:sz w:val="24"/>
      <w:szCs w:val="28"/>
      <w:lang w:val="en-US"/>
    </w:rPr>
  </w:style>
  <w:style w:type="paragraph" w:customStyle="1" w:styleId="1274">
    <w:name w:val="框图文字"/>
    <w:basedOn w:val="1"/>
    <w:qFormat/>
    <w:uiPriority w:val="0"/>
    <w:pPr>
      <w:adjustRightInd w:val="0"/>
      <w:snapToGrid w:val="0"/>
      <w:spacing w:before="31" w:line="240" w:lineRule="exact"/>
      <w:ind w:firstLine="832" w:firstLineChars="200"/>
      <w:jc w:val="center"/>
    </w:pPr>
    <w:rPr>
      <w:spacing w:val="20"/>
      <w:sz w:val="24"/>
      <w:szCs w:val="20"/>
    </w:rPr>
  </w:style>
  <w:style w:type="paragraph" w:customStyle="1" w:styleId="1275">
    <w:name w:val="样式 标题 2标题 2 Char + (西文) Times New Roman (中文) 宋体 四号 段前: 9 磅 ..."/>
    <w:basedOn w:val="5"/>
    <w:qFormat/>
    <w:uiPriority w:val="0"/>
    <w:pPr>
      <w:tabs>
        <w:tab w:val="left" w:pos="2250"/>
      </w:tabs>
      <w:adjustRightInd w:val="0"/>
      <w:snapToGrid w:val="0"/>
      <w:spacing w:before="100" w:beforeAutospacing="1" w:after="10" w:line="360" w:lineRule="auto"/>
      <w:ind w:left="567"/>
      <w:jc w:val="left"/>
    </w:pPr>
    <w:rPr>
      <w:rFonts w:ascii="Times New Roman" w:hAnsi="Times New Roman" w:eastAsia="黑体"/>
      <w:b w:val="0"/>
      <w:bCs w:val="0"/>
      <w:color w:val="000000"/>
      <w:szCs w:val="24"/>
    </w:rPr>
  </w:style>
  <w:style w:type="paragraph" w:customStyle="1" w:styleId="1276">
    <w:name w:val="样式 首行缩进:  2 字符1"/>
    <w:basedOn w:val="1"/>
    <w:qFormat/>
    <w:uiPriority w:val="0"/>
    <w:pPr>
      <w:adjustRightInd w:val="0"/>
      <w:snapToGrid w:val="0"/>
      <w:spacing w:line="460" w:lineRule="exact"/>
      <w:ind w:firstLine="520" w:firstLineChars="200"/>
    </w:pPr>
    <w:rPr>
      <w:rFonts w:cs="宋体"/>
      <w:sz w:val="26"/>
      <w:szCs w:val="20"/>
    </w:rPr>
  </w:style>
  <w:style w:type="paragraph" w:customStyle="1" w:styleId="1277">
    <w:name w:val="xl35"/>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line="440" w:lineRule="exact"/>
      <w:ind w:firstLine="832" w:firstLineChars="200"/>
      <w:jc w:val="center"/>
      <w:textAlignment w:val="center"/>
    </w:pPr>
    <w:rPr>
      <w:rFonts w:ascii="Arial Unicode MS" w:hAnsi="Arial Unicode MS" w:eastAsia="Arial Unicode MS" w:cs="Arial Unicode MS"/>
      <w:kern w:val="0"/>
      <w:sz w:val="24"/>
    </w:rPr>
  </w:style>
  <w:style w:type="paragraph" w:customStyle="1" w:styleId="1278">
    <w:name w:val="Char Char3 Char Char"/>
    <w:basedOn w:val="1"/>
    <w:qFormat/>
    <w:uiPriority w:val="0"/>
    <w:pPr>
      <w:jc w:val="center"/>
    </w:pPr>
    <w:rPr>
      <w:rFonts w:eastAsia="仿宋_GB2312"/>
      <w:sz w:val="28"/>
      <w:szCs w:val="20"/>
    </w:rPr>
  </w:style>
  <w:style w:type="paragraph" w:customStyle="1" w:styleId="1279">
    <w:name w:val="样式 左 首行缩进:  1.01 厘米"/>
    <w:basedOn w:val="1"/>
    <w:qFormat/>
    <w:uiPriority w:val="0"/>
    <w:pPr>
      <w:adjustRightInd w:val="0"/>
      <w:snapToGrid w:val="0"/>
      <w:spacing w:line="460" w:lineRule="exact"/>
      <w:ind w:firstLine="200" w:firstLineChars="200"/>
    </w:pPr>
    <w:rPr>
      <w:rFonts w:cs="宋体"/>
      <w:sz w:val="26"/>
      <w:szCs w:val="26"/>
    </w:rPr>
  </w:style>
  <w:style w:type="paragraph" w:customStyle="1" w:styleId="1280">
    <w:name w:val="Char Char29"/>
    <w:basedOn w:val="1"/>
    <w:qFormat/>
    <w:uiPriority w:val="0"/>
    <w:pPr>
      <w:adjustRightInd w:val="0"/>
      <w:snapToGrid w:val="0"/>
      <w:spacing w:line="440" w:lineRule="exact"/>
      <w:ind w:firstLine="832" w:firstLineChars="200"/>
      <w:jc w:val="center"/>
    </w:pPr>
    <w:rPr>
      <w:sz w:val="24"/>
    </w:rPr>
  </w:style>
  <w:style w:type="paragraph" w:customStyle="1" w:styleId="1281">
    <w:name w:val="标准样式"/>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1282">
    <w:name w:val="样式 左  0 字符"/>
    <w:basedOn w:val="1"/>
    <w:qFormat/>
    <w:uiPriority w:val="0"/>
    <w:pPr>
      <w:adjustRightInd w:val="0"/>
      <w:snapToGrid w:val="0"/>
      <w:spacing w:line="600" w:lineRule="exact"/>
      <w:ind w:firstLine="200" w:firstLineChars="200"/>
    </w:pPr>
    <w:rPr>
      <w:rFonts w:cs="宋体"/>
      <w:sz w:val="24"/>
      <w:szCs w:val="20"/>
    </w:rPr>
  </w:style>
  <w:style w:type="paragraph" w:customStyle="1" w:styleId="1283">
    <w:name w:val="Char1 Char Char Char1 Char Char Char Char Char Char Char Char Char Char Char Char"/>
    <w:basedOn w:val="1"/>
    <w:next w:val="1"/>
    <w:qFormat/>
    <w:uiPriority w:val="0"/>
    <w:pPr>
      <w:adjustRightInd w:val="0"/>
      <w:snapToGrid w:val="0"/>
      <w:spacing w:line="440" w:lineRule="exact"/>
      <w:ind w:firstLine="832" w:firstLineChars="200"/>
    </w:pPr>
    <w:rPr>
      <w:sz w:val="24"/>
    </w:rPr>
  </w:style>
  <w:style w:type="paragraph" w:customStyle="1" w:styleId="1284">
    <w:name w:val="表格内容刷！"/>
    <w:basedOn w:val="1"/>
    <w:qFormat/>
    <w:uiPriority w:val="0"/>
    <w:pPr>
      <w:adjustRightInd w:val="0"/>
      <w:snapToGrid w:val="0"/>
      <w:spacing w:line="440" w:lineRule="exact"/>
      <w:ind w:firstLine="832" w:firstLineChars="200"/>
      <w:jc w:val="center"/>
    </w:pPr>
    <w:rPr>
      <w:rFonts w:eastAsia="仿宋_GB2312"/>
      <w:kern w:val="0"/>
      <w:sz w:val="24"/>
      <w:szCs w:val="21"/>
    </w:rPr>
  </w:style>
  <w:style w:type="paragraph" w:customStyle="1" w:styleId="1285">
    <w:name w:val="样式 表格正文 + 段前: 20 磅"/>
    <w:basedOn w:val="1"/>
    <w:qFormat/>
    <w:uiPriority w:val="0"/>
    <w:pPr>
      <w:adjustRightInd w:val="0"/>
      <w:snapToGrid w:val="0"/>
      <w:spacing w:line="360" w:lineRule="exact"/>
      <w:ind w:firstLine="832" w:firstLineChars="200"/>
      <w:jc w:val="center"/>
    </w:pPr>
    <w:rPr>
      <w:sz w:val="24"/>
    </w:rPr>
  </w:style>
  <w:style w:type="paragraph" w:customStyle="1" w:styleId="1286">
    <w:name w:val="正文文本首行缩进1"/>
    <w:basedOn w:val="35"/>
    <w:qFormat/>
    <w:uiPriority w:val="0"/>
    <w:pPr>
      <w:widowControl w:val="0"/>
      <w:adjustRightInd w:val="0"/>
      <w:spacing w:before="0" w:after="120" w:line="312" w:lineRule="atLeast"/>
      <w:ind w:right="0" w:firstLine="420" w:firstLineChars="200"/>
      <w:textAlignment w:val="baseline"/>
    </w:pPr>
    <w:rPr>
      <w:sz w:val="27"/>
    </w:rPr>
  </w:style>
  <w:style w:type="paragraph" w:customStyle="1" w:styleId="1287">
    <w:name w:val="四号 首行缩进:  2 字符"/>
    <w:basedOn w:val="1"/>
    <w:qFormat/>
    <w:uiPriority w:val="0"/>
    <w:pPr>
      <w:adjustRightInd w:val="0"/>
      <w:snapToGrid w:val="0"/>
      <w:spacing w:line="500" w:lineRule="exact"/>
      <w:ind w:firstLine="832" w:firstLineChars="200"/>
    </w:pPr>
    <w:rPr>
      <w:rFonts w:hAnsi="宋体" w:cs="宋体"/>
      <w:b/>
      <w:sz w:val="24"/>
    </w:rPr>
  </w:style>
  <w:style w:type="paragraph" w:customStyle="1" w:styleId="1288">
    <w:name w:val="lzl"/>
    <w:basedOn w:val="64"/>
    <w:qFormat/>
    <w:uiPriority w:val="0"/>
    <w:pPr>
      <w:adjustRightInd w:val="0"/>
      <w:snapToGrid w:val="0"/>
      <w:spacing w:line="440" w:lineRule="exact"/>
      <w:ind w:firstLine="832" w:firstLineChars="200"/>
    </w:pPr>
  </w:style>
  <w:style w:type="paragraph" w:customStyle="1" w:styleId="1289">
    <w:name w:val="样式 首行缩进:  2 字符"/>
    <w:basedOn w:val="1"/>
    <w:qFormat/>
    <w:uiPriority w:val="0"/>
    <w:pPr>
      <w:adjustRightInd w:val="0"/>
      <w:snapToGrid w:val="0"/>
      <w:spacing w:line="360" w:lineRule="auto"/>
      <w:ind w:firstLine="200" w:firstLineChars="200"/>
    </w:pPr>
    <w:rPr>
      <w:rFonts w:cs="宋体"/>
      <w:sz w:val="24"/>
      <w:szCs w:val="20"/>
    </w:rPr>
  </w:style>
  <w:style w:type="paragraph" w:customStyle="1" w:styleId="1290">
    <w:name w:val="xl45"/>
    <w:basedOn w:val="1"/>
    <w:qFormat/>
    <w:uiPriority w:val="0"/>
    <w:pPr>
      <w:widowControl/>
      <w:pBdr>
        <w:top w:val="single" w:color="auto" w:sz="4" w:space="0"/>
        <w:left w:val="single" w:color="auto" w:sz="8" w:space="0"/>
        <w:bottom w:val="single" w:color="auto" w:sz="4" w:space="0"/>
        <w:right w:val="single" w:color="auto" w:sz="4" w:space="0"/>
      </w:pBdr>
      <w:adjustRightInd w:val="0"/>
      <w:snapToGrid w:val="0"/>
      <w:spacing w:before="100" w:beforeAutospacing="1" w:after="100" w:afterAutospacing="1" w:line="440" w:lineRule="exact"/>
      <w:ind w:firstLine="832" w:firstLineChars="200"/>
      <w:jc w:val="left"/>
    </w:pPr>
    <w:rPr>
      <w:rFonts w:ascii="Arial Unicode MS" w:hAnsi="Arial Unicode MS" w:eastAsia="Arial Unicode MS" w:cs="Arial Unicode MS"/>
      <w:color w:val="000000"/>
      <w:kern w:val="0"/>
      <w:sz w:val="22"/>
      <w:szCs w:val="22"/>
    </w:rPr>
  </w:style>
  <w:style w:type="paragraph" w:customStyle="1" w:styleId="1291">
    <w:name w:val="环科院英文名称"/>
    <w:basedOn w:val="1"/>
    <w:qFormat/>
    <w:uiPriority w:val="0"/>
    <w:pPr>
      <w:pBdr>
        <w:top w:val="single" w:color="auto" w:sz="4" w:space="1"/>
        <w:between w:val="single" w:color="auto" w:sz="4" w:space="1"/>
      </w:pBdr>
      <w:adjustRightInd w:val="0"/>
      <w:snapToGrid w:val="0"/>
      <w:spacing w:line="440" w:lineRule="exact"/>
      <w:ind w:firstLine="21" w:firstLineChars="10"/>
      <w:jc w:val="center"/>
    </w:pPr>
    <w:rPr>
      <w:rFonts w:cs="宋体"/>
      <w:sz w:val="24"/>
      <w:szCs w:val="20"/>
    </w:rPr>
  </w:style>
  <w:style w:type="paragraph" w:customStyle="1" w:styleId="1292">
    <w:name w:val="目录1"/>
    <w:basedOn w:val="1"/>
    <w:qFormat/>
    <w:uiPriority w:val="0"/>
    <w:pPr>
      <w:adjustRightInd w:val="0"/>
      <w:snapToGrid w:val="0"/>
      <w:spacing w:line="400" w:lineRule="exact"/>
      <w:ind w:firstLine="832" w:firstLineChars="200"/>
      <w:jc w:val="center"/>
    </w:pPr>
    <w:rPr>
      <w:rFonts w:ascii="宋体" w:hAnsi="Courier New"/>
      <w:sz w:val="28"/>
      <w:szCs w:val="20"/>
    </w:rPr>
  </w:style>
  <w:style w:type="paragraph" w:customStyle="1" w:styleId="1293">
    <w:name w:val="MTDisplayEquation"/>
    <w:basedOn w:val="1"/>
    <w:next w:val="1"/>
    <w:qFormat/>
    <w:uiPriority w:val="0"/>
    <w:pPr>
      <w:tabs>
        <w:tab w:val="center" w:pos="4160"/>
        <w:tab w:val="right" w:pos="8320"/>
      </w:tabs>
      <w:adjustRightInd w:val="0"/>
      <w:snapToGrid w:val="0"/>
      <w:spacing w:line="440" w:lineRule="exact"/>
      <w:ind w:firstLine="832" w:firstLineChars="200"/>
      <w:jc w:val="center"/>
    </w:pPr>
    <w:rPr>
      <w:rFonts w:eastAsia="仿宋_GB2312"/>
      <w:sz w:val="28"/>
    </w:rPr>
  </w:style>
  <w:style w:type="paragraph" w:customStyle="1" w:styleId="1294">
    <w:name w:val="内容"/>
    <w:basedOn w:val="1"/>
    <w:qFormat/>
    <w:uiPriority w:val="0"/>
    <w:pPr>
      <w:adjustRightInd w:val="0"/>
      <w:snapToGrid w:val="0"/>
      <w:spacing w:line="336" w:lineRule="auto"/>
      <w:ind w:firstLine="200" w:firstLineChars="200"/>
    </w:pPr>
    <w:rPr>
      <w:rFonts w:ascii="宋体" w:hAnsi="宋体"/>
      <w:spacing w:val="6"/>
      <w:sz w:val="28"/>
    </w:rPr>
  </w:style>
  <w:style w:type="paragraph" w:customStyle="1" w:styleId="1295">
    <w:name w:val="中文排版"/>
    <w:basedOn w:val="87"/>
    <w:qFormat/>
    <w:uiPriority w:val="0"/>
    <w:pPr>
      <w:adjustRightInd w:val="0"/>
      <w:snapToGrid w:val="0"/>
      <w:spacing w:after="0" w:line="440" w:lineRule="atLeast"/>
      <w:ind w:firstLine="635" w:firstLineChars="0"/>
      <w:textAlignment w:val="baseline"/>
    </w:pPr>
    <w:rPr>
      <w:rFonts w:ascii="文鼎书宋简" w:hAnsi="Courier New" w:eastAsia="文鼎书宋简"/>
      <w:snapToGrid w:val="0"/>
      <w:spacing w:val="12"/>
      <w:kern w:val="0"/>
      <w:sz w:val="24"/>
      <w:szCs w:val="20"/>
    </w:rPr>
  </w:style>
  <w:style w:type="paragraph" w:customStyle="1" w:styleId="1296">
    <w:name w:val="内表头"/>
    <w:basedOn w:val="1"/>
    <w:qFormat/>
    <w:uiPriority w:val="0"/>
    <w:pPr>
      <w:adjustRightInd w:val="0"/>
      <w:snapToGrid w:val="0"/>
      <w:spacing w:line="440" w:lineRule="exact"/>
      <w:ind w:firstLine="832" w:firstLineChars="200"/>
      <w:jc w:val="center"/>
    </w:pPr>
    <w:rPr>
      <w:rFonts w:eastAsia="黑体" w:cs="Arial"/>
      <w:sz w:val="20"/>
    </w:rPr>
  </w:style>
  <w:style w:type="paragraph" w:customStyle="1" w:styleId="1297">
    <w:name w:val="标书标题"/>
    <w:basedOn w:val="1"/>
    <w:qFormat/>
    <w:uiPriority w:val="0"/>
    <w:pPr>
      <w:adjustRightInd w:val="0"/>
      <w:snapToGrid w:val="0"/>
      <w:spacing w:line="520" w:lineRule="exact"/>
      <w:ind w:firstLine="832" w:firstLineChars="200"/>
    </w:pPr>
    <w:rPr>
      <w:rFonts w:ascii="宋体" w:hAnsi="Courier New"/>
      <w:b/>
      <w:sz w:val="28"/>
      <w:szCs w:val="20"/>
    </w:rPr>
  </w:style>
  <w:style w:type="paragraph" w:customStyle="1" w:styleId="1298">
    <w:name w:val="样式 四号"/>
    <w:basedOn w:val="1"/>
    <w:next w:val="1"/>
    <w:qFormat/>
    <w:uiPriority w:val="0"/>
    <w:pPr>
      <w:adjustRightInd w:val="0"/>
      <w:snapToGrid w:val="0"/>
      <w:spacing w:line="360" w:lineRule="auto"/>
      <w:ind w:firstLine="560" w:firstLineChars="200"/>
    </w:pPr>
    <w:rPr>
      <w:sz w:val="24"/>
    </w:rPr>
  </w:style>
  <w:style w:type="paragraph" w:customStyle="1" w:styleId="1299">
    <w:name w:val="表格表头"/>
    <w:basedOn w:val="1"/>
    <w:qFormat/>
    <w:uiPriority w:val="0"/>
    <w:pPr>
      <w:adjustRightInd w:val="0"/>
      <w:snapToGrid w:val="0"/>
      <w:spacing w:beforeLines="40" w:line="440" w:lineRule="exact"/>
      <w:ind w:firstLine="832" w:firstLineChars="200"/>
      <w:jc w:val="center"/>
      <w:outlineLvl w:val="5"/>
    </w:pPr>
    <w:rPr>
      <w:rFonts w:ascii="黑体" w:hAnsi="宋体" w:eastAsia="黑体"/>
      <w:bCs/>
      <w:sz w:val="24"/>
    </w:rPr>
  </w:style>
  <w:style w:type="paragraph" w:customStyle="1" w:styleId="1300">
    <w:name w:val="项"/>
    <w:basedOn w:val="1"/>
    <w:qFormat/>
    <w:uiPriority w:val="0"/>
    <w:pPr>
      <w:adjustRightInd w:val="0"/>
      <w:snapToGrid w:val="0"/>
      <w:spacing w:line="520" w:lineRule="exact"/>
      <w:ind w:left="425" w:hanging="425" w:firstLineChars="200"/>
    </w:pPr>
    <w:rPr>
      <w:snapToGrid w:val="0"/>
      <w:kern w:val="0"/>
      <w:sz w:val="28"/>
      <w:szCs w:val="28"/>
    </w:rPr>
  </w:style>
  <w:style w:type="paragraph" w:customStyle="1" w:styleId="1301">
    <w:name w:val="图标示框文字"/>
    <w:basedOn w:val="1"/>
    <w:qFormat/>
    <w:uiPriority w:val="0"/>
    <w:pPr>
      <w:tabs>
        <w:tab w:val="left" w:pos="277"/>
        <w:tab w:val="left" w:pos="600"/>
        <w:tab w:val="left" w:pos="780"/>
        <w:tab w:val="left" w:pos="2517"/>
      </w:tabs>
      <w:adjustRightInd w:val="0"/>
      <w:snapToGrid w:val="0"/>
      <w:spacing w:line="440" w:lineRule="exact"/>
      <w:ind w:firstLine="832" w:firstLineChars="200"/>
      <w:jc w:val="center"/>
      <w:textAlignment w:val="baseline"/>
    </w:pPr>
    <w:rPr>
      <w:kern w:val="0"/>
      <w:sz w:val="24"/>
      <w:szCs w:val="21"/>
    </w:rPr>
  </w:style>
  <w:style w:type="paragraph" w:customStyle="1" w:styleId="1302">
    <w:name w:val="密级编号"/>
    <w:basedOn w:val="1"/>
    <w:qFormat/>
    <w:uiPriority w:val="0"/>
    <w:pPr>
      <w:adjustRightInd w:val="0"/>
      <w:snapToGrid w:val="0"/>
      <w:spacing w:line="440" w:lineRule="exact"/>
      <w:ind w:firstLine="832" w:firstLineChars="200"/>
      <w:jc w:val="center"/>
      <w:textAlignment w:val="baseline"/>
    </w:pPr>
    <w:rPr>
      <w:rFonts w:ascii="仿宋_GB2312" w:eastAsia="仿宋_GB2312"/>
      <w:kern w:val="0"/>
      <w:sz w:val="24"/>
      <w:szCs w:val="20"/>
    </w:rPr>
  </w:style>
  <w:style w:type="paragraph" w:customStyle="1" w:styleId="1303">
    <w:name w:val="p16"/>
    <w:basedOn w:val="1"/>
    <w:qFormat/>
    <w:uiPriority w:val="0"/>
    <w:pPr>
      <w:widowControl/>
      <w:adjustRightInd w:val="0"/>
      <w:snapToGrid w:val="0"/>
      <w:spacing w:line="440" w:lineRule="exact"/>
      <w:ind w:firstLine="832" w:firstLineChars="200"/>
    </w:pPr>
    <w:rPr>
      <w:rFonts w:ascii="宋体" w:hAnsi="宋体" w:cs="宋体"/>
      <w:kern w:val="0"/>
      <w:sz w:val="26"/>
      <w:szCs w:val="26"/>
    </w:rPr>
  </w:style>
  <w:style w:type="paragraph" w:customStyle="1" w:styleId="1304">
    <w:name w:val="Char1 Char Char Char Char Char Char"/>
    <w:basedOn w:val="1"/>
    <w:qFormat/>
    <w:uiPriority w:val="0"/>
    <w:pPr>
      <w:adjustRightInd w:val="0"/>
      <w:snapToGrid w:val="0"/>
      <w:spacing w:beforeLines="100" w:afterLines="50" w:line="600" w:lineRule="exact"/>
      <w:ind w:firstLine="200" w:firstLineChars="200"/>
    </w:pPr>
    <w:rPr>
      <w:rFonts w:eastAsia="黑体"/>
      <w:sz w:val="28"/>
    </w:rPr>
  </w:style>
  <w:style w:type="paragraph" w:customStyle="1" w:styleId="1305">
    <w:name w:val="送审/报批稿"/>
    <w:basedOn w:val="1"/>
    <w:next w:val="1"/>
    <w:qFormat/>
    <w:uiPriority w:val="0"/>
    <w:pPr>
      <w:adjustRightInd w:val="0"/>
      <w:snapToGrid w:val="0"/>
      <w:spacing w:line="440" w:lineRule="exact"/>
      <w:ind w:firstLine="832" w:firstLineChars="200"/>
      <w:jc w:val="center"/>
    </w:pPr>
    <w:rPr>
      <w:rFonts w:ascii="华文新魏" w:eastAsia="华文新魏" w:cs="宋体"/>
      <w:sz w:val="44"/>
      <w:szCs w:val="20"/>
    </w:rPr>
  </w:style>
  <w:style w:type="paragraph" w:customStyle="1" w:styleId="1306">
    <w:name w:val="Char Char Char2 Char"/>
    <w:basedOn w:val="1"/>
    <w:qFormat/>
    <w:uiPriority w:val="0"/>
    <w:pPr>
      <w:tabs>
        <w:tab w:val="left" w:pos="360"/>
      </w:tabs>
      <w:adjustRightInd w:val="0"/>
      <w:snapToGrid w:val="0"/>
      <w:spacing w:line="440" w:lineRule="exact"/>
      <w:ind w:left="360" w:hanging="360" w:firstLineChars="200"/>
    </w:pPr>
    <w:rPr>
      <w:sz w:val="24"/>
    </w:rPr>
  </w:style>
  <w:style w:type="paragraph" w:customStyle="1" w:styleId="1307">
    <w:name w:val="Char Char1 Char Char Char Char Char Char Char Char Char Char Char Char"/>
    <w:basedOn w:val="1"/>
    <w:qFormat/>
    <w:uiPriority w:val="0"/>
    <w:pPr>
      <w:adjustRightInd w:val="0"/>
      <w:snapToGrid w:val="0"/>
      <w:spacing w:line="360" w:lineRule="auto"/>
      <w:ind w:firstLine="200" w:firstLineChars="200"/>
    </w:pPr>
    <w:rPr>
      <w:rFonts w:cs="宋体"/>
      <w:sz w:val="24"/>
    </w:rPr>
  </w:style>
  <w:style w:type="paragraph" w:customStyle="1" w:styleId="1308">
    <w:name w:val="正式文本"/>
    <w:basedOn w:val="1"/>
    <w:qFormat/>
    <w:uiPriority w:val="0"/>
    <w:pPr>
      <w:adjustRightInd w:val="0"/>
      <w:snapToGrid w:val="0"/>
      <w:spacing w:line="500" w:lineRule="exact"/>
      <w:ind w:firstLine="200" w:firstLineChars="200"/>
    </w:pPr>
    <w:rPr>
      <w:rFonts w:ascii="Arial Narrow" w:hAnsi="Arial Narrow"/>
      <w:sz w:val="24"/>
    </w:rPr>
  </w:style>
  <w:style w:type="paragraph" w:customStyle="1" w:styleId="1309">
    <w:name w:val="样式 段前: 3 磅 行距: 固定值 23 磅"/>
    <w:basedOn w:val="1"/>
    <w:qFormat/>
    <w:uiPriority w:val="0"/>
    <w:pPr>
      <w:adjustRightInd w:val="0"/>
      <w:snapToGrid w:val="0"/>
      <w:spacing w:before="60" w:line="460" w:lineRule="exact"/>
      <w:ind w:firstLine="480" w:firstLineChars="200"/>
    </w:pPr>
    <w:rPr>
      <w:rFonts w:cs="宋体"/>
      <w:sz w:val="24"/>
      <w:szCs w:val="20"/>
    </w:rPr>
  </w:style>
  <w:style w:type="paragraph" w:customStyle="1" w:styleId="1310">
    <w:name w:val="Char411"/>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311">
    <w:name w:val="0-shiw-扉页参加人员标题"/>
    <w:qFormat/>
    <w:uiPriority w:val="0"/>
    <w:pPr>
      <w:adjustRightInd w:val="0"/>
      <w:snapToGrid w:val="0"/>
      <w:spacing w:line="360" w:lineRule="auto"/>
      <w:jc w:val="center"/>
    </w:pPr>
    <w:rPr>
      <w:rFonts w:ascii="Times New Roman" w:hAnsi="Times New Roman" w:eastAsia="宋体" w:cs="Times New Roman"/>
      <w:b/>
      <w:kern w:val="2"/>
      <w:sz w:val="32"/>
      <w:szCs w:val="32"/>
      <w:lang w:val="en-US" w:eastAsia="zh-CN" w:bidi="ar-SA"/>
    </w:rPr>
  </w:style>
  <w:style w:type="paragraph" w:customStyle="1" w:styleId="1312">
    <w:name w:val="样式 正文文本正文文字 Char正文文字Body Text 1正文文字1表标body textBody Text ..."/>
    <w:basedOn w:val="35"/>
    <w:qFormat/>
    <w:uiPriority w:val="0"/>
    <w:pPr>
      <w:widowControl w:val="0"/>
      <w:tabs>
        <w:tab w:val="left" w:pos="1325"/>
      </w:tabs>
      <w:snapToGrid/>
      <w:spacing w:before="0" w:after="0" w:line="240" w:lineRule="auto"/>
      <w:ind w:right="0" w:firstLine="482"/>
    </w:pPr>
    <w:rPr>
      <w:rFonts w:ascii="Arial" w:hAnsi="Arial" w:cs="宋体"/>
      <w:spacing w:val="10"/>
      <w:kern w:val="2"/>
      <w:sz w:val="24"/>
    </w:rPr>
  </w:style>
  <w:style w:type="paragraph" w:customStyle="1" w:styleId="1313">
    <w:name w:val="Char Char Char Char Char Char1 Char"/>
    <w:basedOn w:val="1"/>
    <w:qFormat/>
    <w:uiPriority w:val="0"/>
    <w:pPr>
      <w:widowControl/>
      <w:spacing w:after="160" w:line="240" w:lineRule="exact"/>
      <w:jc w:val="left"/>
    </w:pPr>
  </w:style>
  <w:style w:type="paragraph" w:customStyle="1" w:styleId="1314">
    <w:name w:val="正文 New"/>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15">
    <w:name w:val="TOC 标题11"/>
    <w:basedOn w:val="4"/>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character" w:customStyle="1" w:styleId="1316">
    <w:name w:val="题注 Char"/>
    <w:qFormat/>
    <w:uiPriority w:val="0"/>
    <w:rPr>
      <w:rFonts w:ascii="Cambria" w:hAnsi="Cambria" w:eastAsia="黑体"/>
      <w:kern w:val="2"/>
    </w:rPr>
  </w:style>
  <w:style w:type="character" w:customStyle="1" w:styleId="1317">
    <w:name w:val="Char Char111"/>
    <w:qFormat/>
    <w:uiPriority w:val="0"/>
    <w:rPr>
      <w:rFonts w:eastAsia="宋体"/>
      <w:kern w:val="2"/>
      <w:sz w:val="18"/>
      <w:szCs w:val="18"/>
      <w:lang w:val="en-US" w:eastAsia="zh-CN" w:bidi="ar-SA"/>
    </w:rPr>
  </w:style>
  <w:style w:type="character" w:customStyle="1" w:styleId="1318">
    <w:name w:val="Char Char121"/>
    <w:qFormat/>
    <w:uiPriority w:val="0"/>
    <w:rPr>
      <w:rFonts w:ascii="宋体" w:hAnsi="Courier New" w:eastAsia="宋体"/>
      <w:b/>
      <w:kern w:val="2"/>
      <w:sz w:val="28"/>
      <w:lang w:val="en-US" w:eastAsia="zh-CN" w:bidi="ar-SA"/>
    </w:rPr>
  </w:style>
  <w:style w:type="character" w:customStyle="1" w:styleId="1319">
    <w:name w:val="Char Char131"/>
    <w:qFormat/>
    <w:uiPriority w:val="0"/>
    <w:rPr>
      <w:rFonts w:eastAsia="宋体"/>
      <w:kern w:val="2"/>
      <w:sz w:val="21"/>
      <w:szCs w:val="24"/>
      <w:lang w:val="en-US" w:eastAsia="zh-CN" w:bidi="ar-SA"/>
    </w:rPr>
  </w:style>
  <w:style w:type="paragraph" w:customStyle="1" w:styleId="1320">
    <w:name w:val="Char1 Char Char Char1"/>
    <w:basedOn w:val="1"/>
    <w:qFormat/>
    <w:uiPriority w:val="0"/>
    <w:pPr>
      <w:adjustRightInd w:val="0"/>
      <w:snapToGrid w:val="0"/>
      <w:spacing w:line="440" w:lineRule="exact"/>
      <w:ind w:firstLine="832" w:firstLineChars="200"/>
    </w:pPr>
    <w:rPr>
      <w:sz w:val="24"/>
    </w:rPr>
  </w:style>
  <w:style w:type="paragraph" w:customStyle="1" w:styleId="1321">
    <w:name w:val="Char Char Char1 Char1"/>
    <w:basedOn w:val="1"/>
    <w:qFormat/>
    <w:uiPriority w:val="0"/>
    <w:pPr>
      <w:adjustRightInd w:val="0"/>
      <w:snapToGrid w:val="0"/>
      <w:spacing w:line="440" w:lineRule="exact"/>
      <w:ind w:firstLine="832" w:firstLineChars="200"/>
    </w:pPr>
    <w:rPr>
      <w:sz w:val="24"/>
    </w:rPr>
  </w:style>
  <w:style w:type="paragraph" w:customStyle="1" w:styleId="1322">
    <w:name w:val="Char42"/>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323">
    <w:name w:val="Char Char1 Char Char Char Char Char Char Char Char Char Char Char Char Char Char Char Char Char Char1"/>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324">
    <w:name w:val="Char Char Char Char Char Char Char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325">
    <w:name w:val="Char Char3 Char Char1"/>
    <w:basedOn w:val="1"/>
    <w:qFormat/>
    <w:uiPriority w:val="0"/>
    <w:pPr>
      <w:jc w:val="center"/>
    </w:pPr>
    <w:rPr>
      <w:rFonts w:eastAsia="仿宋_GB2312"/>
      <w:sz w:val="28"/>
      <w:szCs w:val="20"/>
    </w:rPr>
  </w:style>
  <w:style w:type="paragraph" w:customStyle="1" w:styleId="1326">
    <w:name w:val="Char Char291"/>
    <w:basedOn w:val="1"/>
    <w:qFormat/>
    <w:uiPriority w:val="0"/>
    <w:pPr>
      <w:adjustRightInd w:val="0"/>
      <w:snapToGrid w:val="0"/>
      <w:spacing w:line="440" w:lineRule="exact"/>
      <w:ind w:firstLine="832" w:firstLineChars="200"/>
      <w:jc w:val="center"/>
    </w:pPr>
    <w:rPr>
      <w:sz w:val="24"/>
    </w:rPr>
  </w:style>
  <w:style w:type="paragraph" w:customStyle="1" w:styleId="1327">
    <w:name w:val="Char1 Char Char Char1 Char Char Char Char Char Char Char Char Char Char Char Char1"/>
    <w:basedOn w:val="1"/>
    <w:next w:val="1"/>
    <w:uiPriority w:val="0"/>
    <w:pPr>
      <w:adjustRightInd w:val="0"/>
      <w:snapToGrid w:val="0"/>
      <w:spacing w:line="440" w:lineRule="exact"/>
      <w:ind w:firstLine="832" w:firstLineChars="200"/>
    </w:pPr>
    <w:rPr>
      <w:sz w:val="24"/>
    </w:rPr>
  </w:style>
  <w:style w:type="paragraph" w:customStyle="1" w:styleId="1328">
    <w:name w:val="正文文本首行缩进2"/>
    <w:basedOn w:val="35"/>
    <w:qFormat/>
    <w:uiPriority w:val="0"/>
    <w:pPr>
      <w:widowControl w:val="0"/>
      <w:adjustRightInd w:val="0"/>
      <w:spacing w:before="0" w:after="120" w:line="312" w:lineRule="atLeast"/>
      <w:ind w:right="0" w:firstLine="420" w:firstLineChars="200"/>
      <w:textAlignment w:val="baseline"/>
    </w:pPr>
    <w:rPr>
      <w:sz w:val="27"/>
    </w:rPr>
  </w:style>
  <w:style w:type="paragraph" w:customStyle="1" w:styleId="1329">
    <w:name w:val="Char Char Char1 Char Char Char Char1"/>
    <w:basedOn w:val="1"/>
    <w:next w:val="1"/>
    <w:uiPriority w:val="0"/>
    <w:pPr>
      <w:adjustRightInd w:val="0"/>
      <w:snapToGrid w:val="0"/>
      <w:spacing w:line="360" w:lineRule="auto"/>
      <w:ind w:firstLine="200" w:firstLineChars="200"/>
    </w:pPr>
    <w:rPr>
      <w:rFonts w:ascii="宋体" w:hAnsi="宋体" w:cs="宋体"/>
      <w:sz w:val="24"/>
      <w:szCs w:val="21"/>
    </w:rPr>
  </w:style>
  <w:style w:type="paragraph" w:customStyle="1" w:styleId="1330">
    <w:name w:val="Char1 Char Char Char Char Char Char1"/>
    <w:basedOn w:val="1"/>
    <w:qFormat/>
    <w:uiPriority w:val="0"/>
    <w:pPr>
      <w:adjustRightInd w:val="0"/>
      <w:snapToGrid w:val="0"/>
      <w:spacing w:beforeLines="100" w:afterLines="50" w:line="600" w:lineRule="exact"/>
      <w:ind w:firstLine="200" w:firstLineChars="200"/>
    </w:pPr>
    <w:rPr>
      <w:rFonts w:eastAsia="黑体"/>
      <w:sz w:val="28"/>
    </w:rPr>
  </w:style>
  <w:style w:type="table" w:customStyle="1" w:styleId="1331">
    <w:name w:val="网格型7"/>
    <w:basedOn w:val="89"/>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网格型8"/>
    <w:basedOn w:val="89"/>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网格型9"/>
    <w:basedOn w:val="89"/>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网格型10"/>
    <w:basedOn w:val="89"/>
    <w:unhideWhenUsed/>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网格型121"/>
    <w:basedOn w:val="89"/>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网格型14"/>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网格型21"/>
    <w:basedOn w:val="89"/>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网格型15"/>
    <w:basedOn w:val="89"/>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网格型16"/>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网格型22"/>
    <w:basedOn w:val="89"/>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1">
    <w:name w:val="样式 四号 行距: 1.5 倍行距"/>
    <w:basedOn w:val="1"/>
    <w:qFormat/>
    <w:uiPriority w:val="99"/>
    <w:pPr>
      <w:spacing w:line="312" w:lineRule="auto"/>
      <w:ind w:right="19" w:rightChars="19" w:firstLine="200" w:firstLineChars="200"/>
    </w:pPr>
    <w:rPr>
      <w:rFonts w:cs="宋体"/>
      <w:sz w:val="28"/>
      <w:szCs w:val="20"/>
    </w:rPr>
  </w:style>
  <w:style w:type="character" w:customStyle="1" w:styleId="1342">
    <w:name w:val="未处理的提及2"/>
    <w:semiHidden/>
    <w:unhideWhenUsed/>
    <w:qFormat/>
    <w:uiPriority w:val="99"/>
    <w:rPr>
      <w:color w:val="605E5C"/>
      <w:shd w:val="clear" w:color="auto" w:fill="E1DFDD"/>
    </w:rPr>
  </w:style>
  <w:style w:type="character" w:customStyle="1" w:styleId="1343">
    <w:name w:val="标题 2 字符1"/>
    <w:semiHidden/>
    <w:qFormat/>
    <w:uiPriority w:val="0"/>
    <w:rPr>
      <w:rFonts w:hint="eastAsia" w:ascii="Cambria" w:hAnsi="Cambria" w:eastAsia="宋体" w:cs="Times New Roman"/>
      <w:b/>
      <w:bCs/>
      <w:kern w:val="2"/>
      <w:sz w:val="32"/>
      <w:szCs w:val="32"/>
    </w:rPr>
  </w:style>
  <w:style w:type="character" w:customStyle="1" w:styleId="1344">
    <w:name w:val="标题 3 字符1"/>
    <w:semiHidden/>
    <w:qFormat/>
    <w:uiPriority w:val="0"/>
    <w:rPr>
      <w:rFonts w:hint="default" w:ascii="Times New Roman" w:hAnsi="Times New Roman" w:eastAsia="宋体" w:cs="Times New Roman"/>
      <w:b/>
      <w:bCs/>
      <w:kern w:val="2"/>
      <w:sz w:val="32"/>
      <w:szCs w:val="32"/>
    </w:rPr>
  </w:style>
  <w:style w:type="character" w:customStyle="1" w:styleId="1345">
    <w:name w:val="标题 4 字符1"/>
    <w:semiHidden/>
    <w:qFormat/>
    <w:uiPriority w:val="0"/>
    <w:rPr>
      <w:rFonts w:hint="eastAsia" w:ascii="Cambria" w:hAnsi="Cambria" w:eastAsia="宋体" w:cs="Times New Roman"/>
      <w:b/>
      <w:bCs/>
      <w:kern w:val="2"/>
      <w:sz w:val="28"/>
      <w:szCs w:val="28"/>
    </w:rPr>
  </w:style>
  <w:style w:type="paragraph" w:customStyle="1" w:styleId="1346">
    <w:name w:val="msonormal"/>
    <w:basedOn w:val="1"/>
    <w:qFormat/>
    <w:uiPriority w:val="99"/>
    <w:pPr>
      <w:widowControl/>
      <w:adjustRightInd w:val="0"/>
      <w:snapToGrid w:val="0"/>
      <w:spacing w:before="100" w:beforeAutospacing="1" w:after="100" w:afterAutospacing="1" w:line="440" w:lineRule="exact"/>
      <w:ind w:firstLine="832" w:firstLineChars="200"/>
      <w:jc w:val="left"/>
    </w:pPr>
    <w:rPr>
      <w:rFonts w:ascii="宋体" w:hAnsi="宋体" w:cs="宋体"/>
      <w:kern w:val="0"/>
      <w:sz w:val="24"/>
    </w:rPr>
  </w:style>
  <w:style w:type="character" w:customStyle="1" w:styleId="1347">
    <w:name w:val="页眉 字符1"/>
    <w:semiHidden/>
    <w:qFormat/>
    <w:uiPriority w:val="0"/>
    <w:rPr>
      <w:rFonts w:ascii="Times New Roman" w:hAnsi="Times New Roman" w:eastAsia="宋体" w:cs="Times New Roman"/>
      <w:sz w:val="18"/>
      <w:szCs w:val="18"/>
    </w:rPr>
  </w:style>
  <w:style w:type="table" w:customStyle="1" w:styleId="1348">
    <w:name w:val="表格样式1"/>
    <w:basedOn w:val="89"/>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49">
    <w:name w:val="font21"/>
    <w:uiPriority w:val="0"/>
    <w:rPr>
      <w:rFonts w:hint="eastAsia" w:ascii="宋体" w:hAnsi="宋体" w:eastAsia="宋体" w:cs="宋体"/>
      <w:color w:val="000000"/>
      <w:sz w:val="21"/>
      <w:szCs w:val="21"/>
      <w:u w:val="none"/>
    </w:rPr>
  </w:style>
  <w:style w:type="character" w:customStyle="1" w:styleId="1350">
    <w:name w:val="font11"/>
    <w:qFormat/>
    <w:uiPriority w:val="0"/>
    <w:rPr>
      <w:rFonts w:hint="default" w:ascii="Times New Roman" w:hAnsi="Times New Roman" w:cs="Times New Roman"/>
      <w:color w:val="000000"/>
      <w:sz w:val="21"/>
      <w:szCs w:val="21"/>
      <w:u w:val="none"/>
    </w:rPr>
  </w:style>
  <w:style w:type="paragraph" w:customStyle="1" w:styleId="1351">
    <w:name w:val="样式 标题 1 + 四号 段前: 0 磅 段后: 0 磅 行距: 1.5 倍行距"/>
    <w:basedOn w:val="4"/>
    <w:qFormat/>
    <w:uiPriority w:val="0"/>
    <w:pPr>
      <w:keepLines/>
      <w:overflowPunct/>
      <w:adjustRightInd w:val="0"/>
      <w:spacing w:before="100" w:after="120" w:line="360" w:lineRule="auto"/>
      <w:ind w:left="0" w:firstLine="0"/>
      <w:jc w:val="center"/>
    </w:pPr>
    <w:rPr>
      <w:rFonts w:eastAsia="宋体"/>
      <w:bCs w:val="0"/>
      <w:color w:val="auto"/>
      <w:szCs w:val="24"/>
    </w:rPr>
  </w:style>
  <w:style w:type="paragraph" w:customStyle="1" w:styleId="1352">
    <w:name w:val="默认段落字体 Para Char Char Char Char Char Char Char"/>
    <w:basedOn w:val="1"/>
    <w:semiHidden/>
    <w:qFormat/>
    <w:uiPriority w:val="0"/>
    <w:rPr>
      <w:szCs w:val="30"/>
    </w:rPr>
  </w:style>
  <w:style w:type="paragraph" w:customStyle="1" w:styleId="1353">
    <w:name w:val="样式 文本正文 + 首行缩进:  2 字符3"/>
    <w:basedOn w:val="1"/>
    <w:qFormat/>
    <w:uiPriority w:val="0"/>
    <w:pPr>
      <w:autoSpaceDE w:val="0"/>
      <w:autoSpaceDN w:val="0"/>
      <w:adjustRightInd w:val="0"/>
      <w:spacing w:line="360" w:lineRule="auto"/>
      <w:ind w:firstLine="496" w:firstLineChars="200"/>
      <w:textAlignment w:val="baseline"/>
    </w:pPr>
    <w:rPr>
      <w:rFonts w:ascii="宋体" w:hAnsi="宋体" w:cs="宋体"/>
      <w:snapToGrid w:val="0"/>
      <w:color w:val="000000"/>
      <w:kern w:val="21"/>
      <w:sz w:val="24"/>
    </w:rPr>
  </w:style>
  <w:style w:type="paragraph" w:customStyle="1" w:styleId="1354">
    <w:name w:val="引言"/>
    <w:basedOn w:val="1"/>
    <w:next w:val="1"/>
    <w:uiPriority w:val="0"/>
    <w:pPr>
      <w:spacing w:line="480" w:lineRule="auto"/>
      <w:ind w:firstLine="480"/>
      <w:jc w:val="left"/>
    </w:pPr>
    <w:rPr>
      <w:rFonts w:ascii="宋体" w:hAnsi="宋体"/>
      <w:bCs/>
      <w:kern w:val="0"/>
      <w:szCs w:val="21"/>
    </w:rPr>
  </w:style>
  <w:style w:type="paragraph" w:customStyle="1" w:styleId="1355">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1356">
    <w:name w:val="中文报告书"/>
    <w:basedOn w:val="1"/>
    <w:uiPriority w:val="0"/>
    <w:pPr>
      <w:adjustRightInd w:val="0"/>
      <w:spacing w:after="80" w:line="420" w:lineRule="atLeast"/>
      <w:jc w:val="left"/>
      <w:textAlignment w:val="baseline"/>
    </w:pPr>
    <w:rPr>
      <w:kern w:val="0"/>
      <w:sz w:val="24"/>
      <w:szCs w:val="20"/>
    </w:rPr>
  </w:style>
  <w:style w:type="table" w:customStyle="1" w:styleId="1357">
    <w:name w:val="表格样式3"/>
    <w:basedOn w:val="89"/>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8">
    <w:name w:val="昆明中海正文 Char Char"/>
    <w:link w:val="1359"/>
    <w:uiPriority w:val="0"/>
    <w:rPr>
      <w:rFonts w:ascii="宋体" w:hAnsi="宋体" w:cs="宋体"/>
      <w:bCs/>
      <w:spacing w:val="12"/>
      <w:kern w:val="2"/>
      <w:sz w:val="24"/>
      <w:szCs w:val="24"/>
    </w:rPr>
  </w:style>
  <w:style w:type="paragraph" w:customStyle="1" w:styleId="1359">
    <w:name w:val="昆明中海正文"/>
    <w:basedOn w:val="1"/>
    <w:link w:val="1358"/>
    <w:uiPriority w:val="0"/>
    <w:pPr>
      <w:spacing w:line="360" w:lineRule="auto"/>
      <w:ind w:firstLine="567"/>
    </w:pPr>
    <w:rPr>
      <w:rFonts w:ascii="宋体" w:hAnsi="宋体" w:cs="宋体" w:eastAsiaTheme="minorEastAsia"/>
      <w:bCs/>
      <w:spacing w:val="12"/>
      <w:sz w:val="24"/>
    </w:rPr>
  </w:style>
  <w:style w:type="paragraph" w:customStyle="1" w:styleId="1360">
    <w:name w:val="Char Char Char Char Char Char1 Char1"/>
    <w:basedOn w:val="1"/>
    <w:uiPriority w:val="0"/>
    <w:pPr>
      <w:widowControl/>
      <w:spacing w:after="160" w:line="240" w:lineRule="exact"/>
      <w:jc w:val="left"/>
    </w:pPr>
  </w:style>
  <w:style w:type="table" w:customStyle="1" w:styleId="1361">
    <w:name w:val="网格型17"/>
    <w:basedOn w:val="89"/>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2">
    <w:name w:val="网格型122"/>
    <w:basedOn w:val="89"/>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3">
    <w:name w:val="网格型23"/>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4">
    <w:name w:val="网格型31"/>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网格型41"/>
    <w:basedOn w:val="89"/>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6">
    <w:name w:val="网格型51"/>
    <w:basedOn w:val="89"/>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7">
    <w:name w:val="网格型61"/>
    <w:basedOn w:val="89"/>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8">
    <w:name w:val="网格型131"/>
    <w:basedOn w:val="89"/>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69">
    <w:name w:val="未处理的提及3"/>
    <w:semiHidden/>
    <w:unhideWhenUsed/>
    <w:uiPriority w:val="99"/>
    <w:rPr>
      <w:color w:val="605E5C"/>
      <w:shd w:val="clear" w:color="auto" w:fill="E1DFDD"/>
    </w:rPr>
  </w:style>
  <w:style w:type="character" w:customStyle="1" w:styleId="1370">
    <w:name w:val="赵 Char Char"/>
    <w:link w:val="1371"/>
    <w:uiPriority w:val="0"/>
    <w:rPr>
      <w:kern w:val="2"/>
      <w:sz w:val="24"/>
      <w:szCs w:val="30"/>
    </w:rPr>
  </w:style>
  <w:style w:type="paragraph" w:customStyle="1" w:styleId="1371">
    <w:name w:val="赵"/>
    <w:basedOn w:val="1"/>
    <w:link w:val="1370"/>
    <w:uiPriority w:val="0"/>
    <w:pPr>
      <w:spacing w:line="360" w:lineRule="auto"/>
      <w:ind w:firstLine="200" w:firstLineChars="200"/>
    </w:pPr>
    <w:rPr>
      <w:rFonts w:asciiTheme="minorHAnsi" w:hAnsiTheme="minorHAnsi" w:eastAsiaTheme="minorEastAsia" w:cstheme="minorBidi"/>
      <w:sz w:val="24"/>
      <w:szCs w:val="30"/>
    </w:rPr>
  </w:style>
  <w:style w:type="paragraph" w:customStyle="1" w:styleId="1372">
    <w:name w:val="Char Char Char Char Char Char Char Char Char Char Char Char Char Char Char Char Char Char Char"/>
    <w:basedOn w:val="1"/>
    <w:semiHidden/>
    <w:qFormat/>
    <w:uiPriority w:val="0"/>
  </w:style>
  <w:style w:type="character" w:customStyle="1" w:styleId="1373">
    <w:name w:val="NormalCharacter"/>
    <w:semiHidden/>
    <w:qFormat/>
    <w:uiPriority w:val="0"/>
    <w:rPr>
      <w:kern w:val="2"/>
      <w:sz w:val="21"/>
      <w:szCs w:val="24"/>
      <w:lang w:val="en-US" w:eastAsia="zh-CN" w:bidi="ar-SA"/>
    </w:rPr>
  </w:style>
  <w:style w:type="character" w:customStyle="1" w:styleId="1374">
    <w:name w:val="xqlypc"/>
    <w:qFormat/>
    <w:uiPriority w:val="0"/>
  </w:style>
  <w:style w:type="table" w:customStyle="1" w:styleId="1375">
    <w:name w:val="表格样式4"/>
    <w:basedOn w:val="89"/>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表格样式5"/>
    <w:basedOn w:val="89"/>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7">
    <w:name w:val="markedcontent"/>
    <w:basedOn w:val="96"/>
    <w:qFormat/>
    <w:uiPriority w:val="0"/>
  </w:style>
  <w:style w:type="table" w:customStyle="1" w:styleId="1378">
    <w:name w:val="表格样式6"/>
    <w:basedOn w:val="89"/>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9">
    <w:name w:val="表格样式7"/>
    <w:basedOn w:val="89"/>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80">
    <w:name w:val="纯文本 Char"/>
    <w:qFormat/>
    <w:uiPriority w:val="0"/>
    <w:rPr>
      <w:rFonts w:ascii="宋体" w:hAnsi="Courier New"/>
      <w:kern w:val="2"/>
      <w:sz w:val="24"/>
    </w:rPr>
  </w:style>
  <w:style w:type="character" w:customStyle="1" w:styleId="1381">
    <w:name w:val="表头 Char1"/>
    <w:uiPriority w:val="0"/>
    <w:rPr>
      <w:rFonts w:eastAsia="宋体"/>
      <w:b/>
      <w:sz w:val="21"/>
    </w:rPr>
  </w:style>
  <w:style w:type="character" w:customStyle="1" w:styleId="1382">
    <w:name w:val="表格文字 Char1"/>
    <w:uiPriority w:val="0"/>
    <w:rPr>
      <w:rFonts w:ascii="Times New Roman" w:hAnsi="Times New Roman" w:eastAsia="宋体" w:cs="Tahoma"/>
      <w:color w:val="000000"/>
      <w:sz w:val="21"/>
    </w:rPr>
  </w:style>
  <w:style w:type="paragraph" w:customStyle="1" w:styleId="1383">
    <w:name w:val="1正文"/>
    <w:basedOn w:val="1"/>
    <w:qFormat/>
    <w:uiPriority w:val="99"/>
    <w:pPr>
      <w:widowControl/>
      <w:spacing w:line="360" w:lineRule="auto"/>
      <w:ind w:firstLine="720" w:firstLineChars="200"/>
      <w:jc w:val="both"/>
    </w:pPr>
    <w:rPr>
      <w:kern w:val="0"/>
      <w:sz w:val="24"/>
      <w:szCs w:val="20"/>
      <w:lang w:val="en-GB"/>
    </w:rPr>
  </w:style>
  <w:style w:type="table" w:customStyle="1" w:styleId="1384">
    <w:name w:val="Table Normal"/>
    <w:semiHidden/>
    <w:unhideWhenUsed/>
    <w:qFormat/>
    <w:uiPriority w:val="0"/>
    <w:tblPr>
      <w:tblCellMar>
        <w:top w:w="0" w:type="dxa"/>
        <w:left w:w="0" w:type="dxa"/>
        <w:bottom w:w="0" w:type="dxa"/>
        <w:right w:w="0" w:type="dxa"/>
      </w:tblCellMar>
    </w:tblPr>
  </w:style>
  <w:style w:type="paragraph" w:customStyle="1" w:styleId="1385">
    <w:name w:val="Table Text"/>
    <w:basedOn w:val="1"/>
    <w:semiHidden/>
    <w:qFormat/>
    <w:uiPriority w:val="0"/>
    <w:rPr>
      <w:rFonts w:ascii="Arial" w:hAnsi="Arial" w:eastAsia="Arial" w:cs="Arial"/>
      <w:sz w:val="21"/>
      <w:szCs w:val="21"/>
      <w:lang w:val="en-US" w:eastAsia="en-US" w:bidi="ar-SA"/>
    </w:rPr>
  </w:style>
  <w:style w:type="paragraph" w:customStyle="1" w:styleId="1386">
    <w:name w:val="1 正文"/>
    <w:basedOn w:val="1"/>
    <w:qFormat/>
    <w:uiPriority w:val="0"/>
    <w:pPr>
      <w:adjustRightInd w:val="0"/>
      <w:snapToGrid w:val="0"/>
      <w:ind w:firstLine="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emf"/><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67AE9-2619-4621-9642-4EF3D1C31C89}">
  <ds:schemaRefs/>
</ds:datastoreItem>
</file>

<file path=docProps/app.xml><?xml version="1.0" encoding="utf-8"?>
<Properties xmlns="http://schemas.openxmlformats.org/officeDocument/2006/extended-properties" xmlns:vt="http://schemas.openxmlformats.org/officeDocument/2006/docPropsVTypes">
  <Template>Normal.dotm</Template>
  <Pages>61</Pages>
  <Words>6293</Words>
  <Characters>35875</Characters>
  <Lines>298</Lines>
  <Paragraphs>84</Paragraphs>
  <TotalTime>39</TotalTime>
  <ScaleCrop>false</ScaleCrop>
  <LinksUpToDate>false</LinksUpToDate>
  <CharactersWithSpaces>42084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2023-04-04T03:22:00Z</dcterms:created>
  <dc:creator>1234</dc:creator>
  <cp:lastModifiedBy>周律</cp:lastModifiedBy>
  <cp:lastPrinted>2023-04-21T03:39:00Z</cp:lastPrinted>
  <dcterms:modified xsi:type="dcterms:W3CDTF">2023-09-11T00:59:47Z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3EF89332441E4F939D0FD3AA496CD98F</vt:lpwstr>
  </property>
</Properties>
</file>