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rPr>
      </w:pPr>
      <w:bookmarkStart w:id="0" w:name="_Hlk57883707"/>
      <w:bookmarkStart w:id="37" w:name="_GoBack"/>
      <w:bookmarkEnd w:id="37"/>
    </w:p>
    <w:p>
      <w:pPr>
        <w:rPr>
          <w:sz w:val="36"/>
          <w:szCs w:val="36"/>
        </w:rPr>
      </w:pPr>
    </w:p>
    <w:p>
      <w:pPr>
        <w:rPr>
          <w:sz w:val="36"/>
          <w:szCs w:val="36"/>
        </w:rPr>
      </w:pPr>
    </w:p>
    <w:p>
      <w:pPr>
        <w:rPr>
          <w:sz w:val="36"/>
          <w:szCs w:val="36"/>
        </w:rPr>
      </w:pPr>
    </w:p>
    <w:bookmarkEnd w:id="0"/>
    <w:p>
      <w:pPr>
        <w:adjustRightInd w:val="0"/>
        <w:snapToGrid w:val="0"/>
        <w:jc w:val="center"/>
        <w:outlineLvl w:val="0"/>
        <w:rPr>
          <w:bCs/>
          <w:sz w:val="72"/>
          <w:szCs w:val="72"/>
        </w:rPr>
      </w:pPr>
      <w:bookmarkStart w:id="1" w:name="_Toc80972198"/>
      <w:bookmarkStart w:id="2" w:name="_Toc15305"/>
      <w:r>
        <w:rPr>
          <w:bCs/>
          <w:sz w:val="72"/>
          <w:szCs w:val="72"/>
        </w:rPr>
        <w:t>建设项目环境影响报告表</w:t>
      </w:r>
      <w:bookmarkEnd w:id="1"/>
      <w:bookmarkEnd w:id="2"/>
    </w:p>
    <w:p>
      <w:pPr>
        <w:adjustRightInd w:val="0"/>
        <w:snapToGrid w:val="0"/>
        <w:spacing w:before="192" w:beforeLines="80"/>
        <w:jc w:val="center"/>
        <w:rPr>
          <w:bCs/>
          <w:sz w:val="48"/>
          <w:szCs w:val="48"/>
        </w:rPr>
      </w:pPr>
      <w:r>
        <w:rPr>
          <w:bCs/>
          <w:sz w:val="48"/>
          <w:szCs w:val="48"/>
        </w:rPr>
        <w:t>（生态影响类）</w:t>
      </w:r>
    </w:p>
    <w:p>
      <w:pPr>
        <w:ind w:firstLine="1040"/>
        <w:rPr>
          <w:sz w:val="44"/>
          <w:szCs w:val="44"/>
        </w:rPr>
      </w:pPr>
      <w:bookmarkStart w:id="3" w:name="_Hlk57883728"/>
    </w:p>
    <w:p>
      <w:pPr>
        <w:ind w:firstLine="1040"/>
        <w:rPr>
          <w:sz w:val="44"/>
          <w:szCs w:val="44"/>
        </w:rPr>
      </w:pPr>
    </w:p>
    <w:p>
      <w:pPr>
        <w:ind w:firstLine="1040"/>
        <w:rPr>
          <w:sz w:val="44"/>
          <w:szCs w:val="44"/>
        </w:rPr>
      </w:pPr>
    </w:p>
    <w:p>
      <w:pPr>
        <w:ind w:firstLine="1040"/>
        <w:rPr>
          <w:sz w:val="44"/>
          <w:szCs w:val="44"/>
        </w:rPr>
      </w:pPr>
    </w:p>
    <w:p>
      <w:pPr>
        <w:ind w:firstLine="1040"/>
        <w:rPr>
          <w:sz w:val="44"/>
          <w:szCs w:val="44"/>
        </w:rPr>
      </w:pPr>
    </w:p>
    <w:p>
      <w:pPr>
        <w:ind w:firstLine="1040"/>
        <w:rPr>
          <w:sz w:val="44"/>
          <w:szCs w:val="44"/>
        </w:rPr>
      </w:pPr>
    </w:p>
    <w:p>
      <w:pPr>
        <w:ind w:firstLine="1040"/>
        <w:rPr>
          <w:sz w:val="44"/>
          <w:szCs w:val="44"/>
        </w:rPr>
      </w:pPr>
    </w:p>
    <w:bookmarkEnd w:id="3"/>
    <w:p>
      <w:pPr>
        <w:adjustRightInd w:val="0"/>
        <w:snapToGrid w:val="0"/>
        <w:spacing w:line="288" w:lineRule="auto"/>
        <w:ind w:left="1800" w:hanging="1800" w:hangingChars="500"/>
        <w:rPr>
          <w:sz w:val="36"/>
          <w:szCs w:val="36"/>
          <w:u w:val="single"/>
        </w:rPr>
      </w:pPr>
      <w:r>
        <w:rPr>
          <w:sz w:val="36"/>
          <w:szCs w:val="36"/>
        </w:rPr>
        <w:t>项目名称：</w:t>
      </w:r>
      <w:r>
        <w:rPr>
          <w:rFonts w:hint="eastAsia"/>
          <w:sz w:val="36"/>
          <w:szCs w:val="36"/>
          <w:u w:val="single"/>
          <w:lang w:eastAsia="zh-CN"/>
        </w:rPr>
        <w:t>东川区生态治理及修复光伏电站220kv升压站项目</w:t>
      </w:r>
      <w:r>
        <w:rPr>
          <w:sz w:val="36"/>
          <w:szCs w:val="36"/>
          <w:u w:val="single"/>
        </w:rPr>
        <w:t xml:space="preserve">   </w:t>
      </w:r>
      <w:r>
        <w:rPr>
          <w:rFonts w:hint="eastAsia"/>
          <w:sz w:val="36"/>
          <w:szCs w:val="36"/>
          <w:u w:val="single"/>
          <w:lang w:val="en-US" w:eastAsia="zh-CN"/>
        </w:rPr>
        <w:t xml:space="preserve">                              </w:t>
      </w:r>
      <w:r>
        <w:rPr>
          <w:sz w:val="36"/>
          <w:szCs w:val="36"/>
          <w:u w:val="single"/>
        </w:rPr>
        <w:t xml:space="preserve">  </w:t>
      </w:r>
    </w:p>
    <w:p>
      <w:pPr>
        <w:adjustRightInd w:val="0"/>
        <w:snapToGrid w:val="0"/>
        <w:spacing w:line="288" w:lineRule="auto"/>
        <w:rPr>
          <w:sz w:val="36"/>
          <w:szCs w:val="36"/>
          <w:u w:val="single"/>
        </w:rPr>
      </w:pPr>
      <w:r>
        <w:rPr>
          <w:sz w:val="36"/>
          <w:szCs w:val="36"/>
        </w:rPr>
        <w:t>建设单位（盖章）：</w:t>
      </w:r>
      <w:r>
        <w:rPr>
          <w:rFonts w:hint="eastAsia"/>
          <w:sz w:val="36"/>
          <w:szCs w:val="36"/>
          <w:u w:val="single"/>
        </w:rPr>
        <w:t xml:space="preserve">  </w:t>
      </w:r>
      <w:r>
        <w:rPr>
          <w:sz w:val="36"/>
          <w:szCs w:val="36"/>
          <w:u w:val="single"/>
        </w:rPr>
        <w:t xml:space="preserve">云南滇能云坪光伏发电有限公司  </w:t>
      </w:r>
    </w:p>
    <w:p>
      <w:pPr>
        <w:adjustRightInd w:val="0"/>
        <w:snapToGrid w:val="0"/>
        <w:spacing w:line="288" w:lineRule="auto"/>
        <w:rPr>
          <w:sz w:val="36"/>
          <w:szCs w:val="36"/>
          <w:u w:val="single"/>
        </w:rPr>
      </w:pPr>
      <w:r>
        <w:rPr>
          <w:sz w:val="36"/>
          <w:szCs w:val="36"/>
        </w:rPr>
        <w:t>编制日期：</w:t>
      </w:r>
      <w:r>
        <w:rPr>
          <w:sz w:val="36"/>
          <w:szCs w:val="36"/>
          <w:u w:val="single"/>
        </w:rPr>
        <w:t xml:space="preserve">               202</w:t>
      </w:r>
      <w:r>
        <w:rPr>
          <w:rFonts w:hint="eastAsia"/>
          <w:sz w:val="36"/>
          <w:szCs w:val="36"/>
          <w:u w:val="single"/>
          <w:lang w:val="en-US" w:eastAsia="zh-CN"/>
        </w:rPr>
        <w:t>3</w:t>
      </w:r>
      <w:r>
        <w:rPr>
          <w:sz w:val="36"/>
          <w:szCs w:val="36"/>
          <w:u w:val="single"/>
        </w:rPr>
        <w:t>年</w:t>
      </w:r>
      <w:r>
        <w:rPr>
          <w:rFonts w:hint="eastAsia"/>
          <w:sz w:val="36"/>
          <w:szCs w:val="36"/>
          <w:u w:val="single"/>
          <w:lang w:val="en-US" w:eastAsia="zh-CN"/>
        </w:rPr>
        <w:t>06</w:t>
      </w:r>
      <w:r>
        <w:rPr>
          <w:sz w:val="36"/>
          <w:szCs w:val="36"/>
          <w:u w:val="single"/>
        </w:rPr>
        <w:t xml:space="preserve">月             </w:t>
      </w:r>
    </w:p>
    <w:p>
      <w:pPr>
        <w:adjustRightInd w:val="0"/>
        <w:snapToGrid w:val="0"/>
        <w:spacing w:line="288" w:lineRule="auto"/>
        <w:ind w:firstLine="1040"/>
        <w:rPr>
          <w:sz w:val="36"/>
          <w:szCs w:val="36"/>
          <w:u w:val="single"/>
        </w:rPr>
      </w:pPr>
    </w:p>
    <w:p>
      <w:pPr>
        <w:adjustRightInd w:val="0"/>
        <w:snapToGrid w:val="0"/>
        <w:spacing w:line="288" w:lineRule="auto"/>
        <w:ind w:firstLine="1040"/>
        <w:rPr>
          <w:sz w:val="36"/>
          <w:szCs w:val="36"/>
        </w:rPr>
      </w:pPr>
    </w:p>
    <w:p>
      <w:pPr>
        <w:adjustRightInd w:val="0"/>
        <w:snapToGrid w:val="0"/>
        <w:spacing w:line="288" w:lineRule="auto"/>
        <w:ind w:firstLine="1040"/>
        <w:rPr>
          <w:sz w:val="36"/>
          <w:szCs w:val="36"/>
        </w:rPr>
      </w:pPr>
    </w:p>
    <w:p>
      <w:pPr>
        <w:adjustRightInd w:val="0"/>
        <w:snapToGrid w:val="0"/>
        <w:spacing w:line="288" w:lineRule="auto"/>
        <w:ind w:firstLine="1040"/>
        <w:rPr>
          <w:sz w:val="36"/>
          <w:szCs w:val="36"/>
        </w:rPr>
      </w:pPr>
    </w:p>
    <w:p>
      <w:pPr>
        <w:adjustRightInd w:val="0"/>
        <w:snapToGrid w:val="0"/>
        <w:spacing w:line="288" w:lineRule="auto"/>
        <w:jc w:val="center"/>
        <w:rPr>
          <w:sz w:val="36"/>
          <w:szCs w:val="36"/>
        </w:rPr>
      </w:pPr>
      <w:r>
        <w:rPr>
          <w:sz w:val="36"/>
          <w:szCs w:val="36"/>
        </w:rPr>
        <w:t>中华人民共和国生态环境部制</w:t>
      </w:r>
    </w:p>
    <w:p>
      <w:pPr>
        <w:adjustRightInd w:val="0"/>
        <w:snapToGrid w:val="0"/>
        <w:spacing w:line="288" w:lineRule="auto"/>
        <w:ind w:firstLine="1040"/>
        <w:rPr>
          <w:sz w:val="36"/>
          <w:szCs w:val="36"/>
        </w:rPr>
        <w:sectPr>
          <w:footerReference r:id="rId3" w:type="default"/>
          <w:footerReference r:id="rId4" w:type="even"/>
          <w:pgSz w:w="11906" w:h="16838"/>
          <w:pgMar w:top="1701" w:right="1531" w:bottom="1701" w:left="1531" w:header="851" w:footer="1077" w:gutter="0"/>
          <w:pgNumType w:start="21"/>
          <w:cols w:space="720" w:num="1"/>
          <w:docGrid w:linePitch="312" w:charSpace="0"/>
        </w:sectPr>
      </w:pPr>
    </w:p>
    <w:p>
      <w:pPr>
        <w:pStyle w:val="56"/>
        <w:spacing w:before="0"/>
        <w:jc w:val="center"/>
        <w:rPr>
          <w:rFonts w:ascii="Times New Roman" w:hAnsi="Times New Roman"/>
          <w:color w:val="auto"/>
        </w:rPr>
      </w:pPr>
      <w:bookmarkStart w:id="4" w:name="_Toc4759"/>
      <w:r>
        <w:rPr>
          <w:rFonts w:ascii="Times New Roman" w:hAnsi="Times New Roman"/>
          <w:color w:val="auto"/>
          <w:lang w:val="zh-CN"/>
        </w:rPr>
        <w:t>目录</w:t>
      </w:r>
      <w:bookmarkEnd w:id="4"/>
    </w:p>
    <w:p>
      <w:pPr>
        <w:pStyle w:val="15"/>
        <w:tabs>
          <w:tab w:val="right" w:leader="dot" w:pos="8844"/>
        </w:tabs>
        <w:spacing w:line="360" w:lineRule="auto"/>
        <w:rPr>
          <w:rFonts w:ascii="Times New Roman" w:hAnsi="Times New Roman"/>
          <w:sz w:val="24"/>
          <w:szCs w:val="24"/>
        </w:rPr>
      </w:pPr>
      <w:r>
        <w:rPr>
          <w:rFonts w:ascii="Times New Roman" w:hAnsi="Times New Roman"/>
          <w:b/>
          <w:sz w:val="28"/>
          <w:szCs w:val="28"/>
        </w:rPr>
        <w:fldChar w:fldCharType="begin"/>
      </w:r>
      <w:r>
        <w:rPr>
          <w:rFonts w:ascii="Times New Roman" w:hAnsi="Times New Roman"/>
          <w:b/>
          <w:sz w:val="28"/>
          <w:szCs w:val="28"/>
        </w:rPr>
        <w:instrText xml:space="preserve"> TOC \o "1-3" \h \z \u </w:instrText>
      </w:r>
      <w:r>
        <w:rPr>
          <w:rFonts w:ascii="Times New Roman" w:hAnsi="Times New Roman"/>
          <w:b/>
          <w:sz w:val="28"/>
          <w:szCs w:val="28"/>
        </w:rPr>
        <w:fldChar w:fldCharType="separate"/>
      </w:r>
      <w:r>
        <w:fldChar w:fldCharType="begin"/>
      </w:r>
      <w:r>
        <w:instrText xml:space="preserve"> HYPERLINK \l "_Toc6790" </w:instrText>
      </w:r>
      <w:r>
        <w:fldChar w:fldCharType="separate"/>
      </w:r>
      <w:r>
        <w:rPr>
          <w:rFonts w:ascii="Times New Roman" w:hAnsi="Times New Roman"/>
          <w:snapToGrid w:val="0"/>
          <w:sz w:val="24"/>
          <w:szCs w:val="24"/>
        </w:rPr>
        <w:t>一、建设项目基本情况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_Toc6790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15"/>
        <w:tabs>
          <w:tab w:val="right" w:leader="dot" w:pos="8844"/>
        </w:tabs>
        <w:spacing w:line="360" w:lineRule="auto"/>
        <w:rPr>
          <w:rFonts w:ascii="Times New Roman" w:hAnsi="Times New Roman"/>
          <w:sz w:val="24"/>
          <w:szCs w:val="24"/>
        </w:rPr>
      </w:pPr>
      <w:r>
        <w:fldChar w:fldCharType="begin"/>
      </w:r>
      <w:r>
        <w:instrText xml:space="preserve"> HYPERLINK \l "_Toc10922" </w:instrText>
      </w:r>
      <w:r>
        <w:fldChar w:fldCharType="separate"/>
      </w:r>
      <w:r>
        <w:rPr>
          <w:rFonts w:ascii="Times New Roman" w:hAnsi="Times New Roman"/>
          <w:snapToGrid w:val="0"/>
          <w:sz w:val="24"/>
          <w:szCs w:val="24"/>
        </w:rPr>
        <w:t>二、建设内容</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_Toc10922 \h </w:instrText>
      </w:r>
      <w:r>
        <w:rPr>
          <w:rFonts w:ascii="Times New Roman" w:hAnsi="Times New Roman"/>
          <w:sz w:val="24"/>
          <w:szCs w:val="24"/>
        </w:rPr>
        <w:fldChar w:fldCharType="separate"/>
      </w:r>
      <w:r>
        <w:rPr>
          <w:rFonts w:ascii="Times New Roman" w:hAnsi="Times New Roman"/>
          <w:sz w:val="24"/>
          <w:szCs w:val="24"/>
        </w:rPr>
        <w:t>18</w:t>
      </w:r>
      <w:r>
        <w:rPr>
          <w:rFonts w:ascii="Times New Roman" w:hAnsi="Times New Roman"/>
          <w:sz w:val="24"/>
          <w:szCs w:val="24"/>
        </w:rPr>
        <w:fldChar w:fldCharType="end"/>
      </w:r>
      <w:r>
        <w:rPr>
          <w:rFonts w:ascii="Times New Roman" w:hAnsi="Times New Roman"/>
          <w:sz w:val="24"/>
          <w:szCs w:val="24"/>
        </w:rPr>
        <w:fldChar w:fldCharType="end"/>
      </w:r>
    </w:p>
    <w:p>
      <w:pPr>
        <w:pStyle w:val="15"/>
        <w:tabs>
          <w:tab w:val="right" w:leader="dot" w:pos="8844"/>
        </w:tabs>
        <w:spacing w:line="360" w:lineRule="auto"/>
        <w:rPr>
          <w:rFonts w:ascii="Times New Roman" w:hAnsi="Times New Roman"/>
          <w:sz w:val="24"/>
          <w:szCs w:val="24"/>
        </w:rPr>
      </w:pPr>
      <w:r>
        <w:fldChar w:fldCharType="begin"/>
      </w:r>
      <w:r>
        <w:instrText xml:space="preserve"> HYPERLINK \l "_Toc822" </w:instrText>
      </w:r>
      <w:r>
        <w:fldChar w:fldCharType="separate"/>
      </w:r>
      <w:r>
        <w:rPr>
          <w:rFonts w:ascii="Times New Roman" w:hAnsi="Times New Roman"/>
          <w:snapToGrid w:val="0"/>
          <w:sz w:val="24"/>
          <w:szCs w:val="24"/>
        </w:rPr>
        <w:t>三、生态环境现状、保护目标及评价标准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_Toc822 \h </w:instrText>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r>
        <w:rPr>
          <w:rFonts w:ascii="Times New Roman" w:hAnsi="Times New Roman"/>
          <w:sz w:val="24"/>
          <w:szCs w:val="24"/>
        </w:rPr>
        <w:fldChar w:fldCharType="end"/>
      </w:r>
    </w:p>
    <w:p>
      <w:pPr>
        <w:pStyle w:val="15"/>
        <w:tabs>
          <w:tab w:val="right" w:leader="dot" w:pos="8844"/>
        </w:tabs>
        <w:spacing w:line="360" w:lineRule="auto"/>
        <w:rPr>
          <w:rFonts w:ascii="Times New Roman" w:hAnsi="Times New Roman"/>
          <w:sz w:val="24"/>
          <w:szCs w:val="24"/>
        </w:rPr>
      </w:pPr>
      <w:r>
        <w:fldChar w:fldCharType="begin"/>
      </w:r>
      <w:r>
        <w:instrText xml:space="preserve"> HYPERLINK \l "_Toc32091" </w:instrText>
      </w:r>
      <w:r>
        <w:fldChar w:fldCharType="separate"/>
      </w:r>
      <w:r>
        <w:rPr>
          <w:rFonts w:ascii="Times New Roman" w:hAnsi="Times New Roman"/>
          <w:snapToGrid w:val="0"/>
          <w:sz w:val="24"/>
          <w:szCs w:val="24"/>
        </w:rPr>
        <w:t>四、生态环境影响分析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_Toc32091 \h </w:instrText>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r>
        <w:rPr>
          <w:rFonts w:ascii="Times New Roman" w:hAnsi="Times New Roman"/>
          <w:sz w:val="24"/>
          <w:szCs w:val="24"/>
        </w:rPr>
        <w:fldChar w:fldCharType="end"/>
      </w:r>
    </w:p>
    <w:p>
      <w:pPr>
        <w:pStyle w:val="15"/>
        <w:tabs>
          <w:tab w:val="right" w:leader="dot" w:pos="8844"/>
        </w:tabs>
        <w:spacing w:line="360" w:lineRule="auto"/>
        <w:rPr>
          <w:rFonts w:ascii="Times New Roman" w:hAnsi="Times New Roman"/>
          <w:sz w:val="24"/>
          <w:szCs w:val="24"/>
        </w:rPr>
      </w:pPr>
      <w:r>
        <w:fldChar w:fldCharType="begin"/>
      </w:r>
      <w:r>
        <w:instrText xml:space="preserve"> HYPERLINK \l "_Toc26497" </w:instrText>
      </w:r>
      <w:r>
        <w:fldChar w:fldCharType="separate"/>
      </w:r>
      <w:r>
        <w:rPr>
          <w:rFonts w:ascii="Times New Roman" w:hAnsi="Times New Roman"/>
          <w:snapToGrid w:val="0"/>
          <w:sz w:val="24"/>
          <w:szCs w:val="24"/>
        </w:rPr>
        <w:t>五、主要生态环境保护措施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_Toc26497 \h </w:instrText>
      </w:r>
      <w:r>
        <w:rPr>
          <w:rFonts w:ascii="Times New Roman" w:hAnsi="Times New Roman"/>
          <w:sz w:val="24"/>
          <w:szCs w:val="24"/>
        </w:rPr>
        <w:fldChar w:fldCharType="separate"/>
      </w:r>
      <w:r>
        <w:rPr>
          <w:rFonts w:ascii="Times New Roman" w:hAnsi="Times New Roman"/>
          <w:sz w:val="24"/>
          <w:szCs w:val="24"/>
        </w:rPr>
        <w:t>71</w:t>
      </w:r>
      <w:r>
        <w:rPr>
          <w:rFonts w:ascii="Times New Roman" w:hAnsi="Times New Roman"/>
          <w:sz w:val="24"/>
          <w:szCs w:val="24"/>
        </w:rPr>
        <w:fldChar w:fldCharType="end"/>
      </w:r>
      <w:r>
        <w:rPr>
          <w:rFonts w:ascii="Times New Roman" w:hAnsi="Times New Roman"/>
          <w:sz w:val="24"/>
          <w:szCs w:val="24"/>
        </w:rPr>
        <w:fldChar w:fldCharType="end"/>
      </w:r>
    </w:p>
    <w:p>
      <w:pPr>
        <w:pStyle w:val="15"/>
        <w:tabs>
          <w:tab w:val="right" w:leader="dot" w:pos="8844"/>
        </w:tabs>
        <w:spacing w:line="360" w:lineRule="auto"/>
        <w:rPr>
          <w:rFonts w:ascii="Times New Roman" w:hAnsi="Times New Roman"/>
          <w:sz w:val="24"/>
          <w:szCs w:val="24"/>
        </w:rPr>
      </w:pPr>
      <w:r>
        <w:fldChar w:fldCharType="begin"/>
      </w:r>
      <w:r>
        <w:instrText xml:space="preserve"> HYPERLINK \l "_Toc13177" </w:instrText>
      </w:r>
      <w:r>
        <w:fldChar w:fldCharType="separate"/>
      </w:r>
      <w:r>
        <w:rPr>
          <w:rFonts w:ascii="Times New Roman" w:hAnsi="Times New Roman"/>
          <w:snapToGrid w:val="0"/>
          <w:sz w:val="24"/>
          <w:szCs w:val="24"/>
        </w:rPr>
        <w:t>六、生态环境保护措施监督检查清单</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_Toc13177 \h </w:instrText>
      </w:r>
      <w:r>
        <w:rPr>
          <w:rFonts w:ascii="Times New Roman" w:hAnsi="Times New Roman"/>
          <w:sz w:val="24"/>
          <w:szCs w:val="24"/>
        </w:rPr>
        <w:fldChar w:fldCharType="separate"/>
      </w:r>
      <w:r>
        <w:rPr>
          <w:rFonts w:ascii="Times New Roman" w:hAnsi="Times New Roman"/>
          <w:sz w:val="24"/>
          <w:szCs w:val="24"/>
        </w:rPr>
        <w:t>79</w:t>
      </w:r>
      <w:r>
        <w:rPr>
          <w:rFonts w:ascii="Times New Roman" w:hAnsi="Times New Roman"/>
          <w:sz w:val="24"/>
          <w:szCs w:val="24"/>
        </w:rPr>
        <w:fldChar w:fldCharType="end"/>
      </w:r>
      <w:r>
        <w:rPr>
          <w:rFonts w:ascii="Times New Roman" w:hAnsi="Times New Roman"/>
          <w:sz w:val="24"/>
          <w:szCs w:val="24"/>
        </w:rPr>
        <w:fldChar w:fldCharType="end"/>
      </w:r>
    </w:p>
    <w:p>
      <w:pPr>
        <w:pStyle w:val="15"/>
        <w:tabs>
          <w:tab w:val="right" w:leader="dot" w:pos="8844"/>
        </w:tabs>
        <w:spacing w:line="360" w:lineRule="auto"/>
        <w:rPr>
          <w:rFonts w:ascii="Times New Roman" w:hAnsi="Times New Roman"/>
        </w:rPr>
      </w:pPr>
      <w:r>
        <w:fldChar w:fldCharType="begin"/>
      </w:r>
      <w:r>
        <w:instrText xml:space="preserve"> HYPERLINK \l "_Toc15718" </w:instrText>
      </w:r>
      <w:r>
        <w:fldChar w:fldCharType="separate"/>
      </w:r>
      <w:r>
        <w:rPr>
          <w:rFonts w:ascii="Times New Roman" w:hAnsi="Times New Roman"/>
          <w:snapToGrid w:val="0"/>
          <w:sz w:val="24"/>
          <w:szCs w:val="24"/>
        </w:rPr>
        <w:t>七、结论</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_Toc15718 \h </w:instrText>
      </w:r>
      <w:r>
        <w:rPr>
          <w:rFonts w:ascii="Times New Roman" w:hAnsi="Times New Roman"/>
          <w:sz w:val="24"/>
          <w:szCs w:val="24"/>
        </w:rPr>
        <w:fldChar w:fldCharType="separate"/>
      </w:r>
      <w:r>
        <w:rPr>
          <w:rFonts w:ascii="Times New Roman" w:hAnsi="Times New Roman"/>
          <w:sz w:val="24"/>
          <w:szCs w:val="24"/>
        </w:rPr>
        <w:t>83</w:t>
      </w:r>
      <w:r>
        <w:rPr>
          <w:rFonts w:ascii="Times New Roman" w:hAnsi="Times New Roman"/>
          <w:sz w:val="24"/>
          <w:szCs w:val="24"/>
        </w:rPr>
        <w:fldChar w:fldCharType="end"/>
      </w:r>
      <w:r>
        <w:rPr>
          <w:rFonts w:ascii="Times New Roman" w:hAnsi="Times New Roman"/>
          <w:sz w:val="24"/>
          <w:szCs w:val="24"/>
        </w:rPr>
        <w:fldChar w:fldCharType="end"/>
      </w:r>
    </w:p>
    <w:p>
      <w:pPr>
        <w:rPr>
          <w:b/>
          <w:bCs/>
          <w:sz w:val="28"/>
          <w:lang w:val="zh-CN"/>
        </w:rPr>
      </w:pPr>
      <w:r>
        <w:rPr>
          <w:bCs/>
          <w:szCs w:val="28"/>
          <w:lang w:val="zh-CN"/>
        </w:rPr>
        <w:fldChar w:fldCharType="end"/>
      </w:r>
      <w:r>
        <w:rPr>
          <w:bCs/>
          <w:szCs w:val="28"/>
          <w:lang w:val="zh-CN"/>
        </w:rPr>
        <w:br w:type="page"/>
      </w:r>
    </w:p>
    <w:p>
      <w:pPr>
        <w:spacing w:line="300" w:lineRule="auto"/>
        <w:rPr>
          <w:b/>
          <w:bCs/>
          <w:sz w:val="28"/>
          <w:lang w:val="zh-CN"/>
        </w:rPr>
      </w:pPr>
      <w:r>
        <w:rPr>
          <w:b/>
          <w:bCs/>
          <w:sz w:val="28"/>
          <w:lang w:val="zh-CN"/>
        </w:rPr>
        <w:t>附图：</w:t>
      </w:r>
    </w:p>
    <w:p>
      <w:pPr>
        <w:spacing w:line="300" w:lineRule="auto"/>
        <w:ind w:firstLine="560" w:firstLineChars="200"/>
        <w:rPr>
          <w:sz w:val="28"/>
        </w:rPr>
      </w:pPr>
      <w:r>
        <w:rPr>
          <w:sz w:val="28"/>
        </w:rPr>
        <w:t>附图1：项目地理位置示意图；</w:t>
      </w:r>
    </w:p>
    <w:p>
      <w:pPr>
        <w:spacing w:line="300" w:lineRule="auto"/>
        <w:ind w:firstLine="560" w:firstLineChars="200"/>
        <w:rPr>
          <w:sz w:val="28"/>
        </w:rPr>
      </w:pPr>
      <w:r>
        <w:rPr>
          <w:sz w:val="28"/>
        </w:rPr>
        <w:t>附图2：升压站总平面布置示意图；</w:t>
      </w:r>
    </w:p>
    <w:p>
      <w:pPr>
        <w:spacing w:line="300" w:lineRule="auto"/>
        <w:ind w:firstLine="560" w:firstLineChars="200"/>
        <w:rPr>
          <w:sz w:val="28"/>
        </w:rPr>
      </w:pPr>
      <w:r>
        <w:rPr>
          <w:sz w:val="28"/>
        </w:rPr>
        <w:t>附图</w:t>
      </w:r>
      <w:r>
        <w:rPr>
          <w:rFonts w:hint="eastAsia"/>
          <w:sz w:val="28"/>
          <w:lang w:val="en-US" w:eastAsia="zh-CN"/>
        </w:rPr>
        <w:t>3</w:t>
      </w:r>
      <w:r>
        <w:rPr>
          <w:sz w:val="28"/>
        </w:rPr>
        <w:t>：项目区水系图；</w:t>
      </w:r>
    </w:p>
    <w:p>
      <w:pPr>
        <w:spacing w:line="300" w:lineRule="auto"/>
        <w:ind w:firstLine="560" w:firstLineChars="200"/>
        <w:rPr>
          <w:sz w:val="28"/>
        </w:rPr>
      </w:pPr>
      <w:r>
        <w:rPr>
          <w:rFonts w:hint="eastAsia"/>
          <w:sz w:val="28"/>
        </w:rPr>
        <w:t>附图</w:t>
      </w:r>
      <w:r>
        <w:rPr>
          <w:rFonts w:hint="eastAsia"/>
          <w:sz w:val="28"/>
          <w:lang w:val="en-US" w:eastAsia="zh-CN"/>
        </w:rPr>
        <w:t>4</w:t>
      </w:r>
      <w:r>
        <w:rPr>
          <w:sz w:val="28"/>
        </w:rPr>
        <w:t>：项目周边关系示意图；</w:t>
      </w:r>
    </w:p>
    <w:p>
      <w:pPr>
        <w:spacing w:line="300" w:lineRule="auto"/>
        <w:rPr>
          <w:b/>
          <w:bCs/>
          <w:sz w:val="28"/>
          <w:lang w:val="zh-CN"/>
        </w:rPr>
      </w:pPr>
      <w:r>
        <w:rPr>
          <w:b/>
          <w:bCs/>
          <w:sz w:val="28"/>
          <w:lang w:val="zh-CN"/>
        </w:rPr>
        <w:t>附件：</w:t>
      </w:r>
    </w:p>
    <w:p>
      <w:pPr>
        <w:spacing w:line="300" w:lineRule="auto"/>
        <w:ind w:firstLine="560" w:firstLineChars="200"/>
        <w:rPr>
          <w:sz w:val="28"/>
        </w:rPr>
      </w:pPr>
      <w:r>
        <w:rPr>
          <w:rFonts w:hint="eastAsia"/>
          <w:sz w:val="28"/>
        </w:rPr>
        <w:t>附件</w:t>
      </w:r>
      <w:r>
        <w:rPr>
          <w:sz w:val="28"/>
        </w:rPr>
        <w:t>1：环评编制委托书；</w:t>
      </w:r>
    </w:p>
    <w:p>
      <w:pPr>
        <w:spacing w:line="300" w:lineRule="auto"/>
        <w:ind w:firstLine="560" w:firstLineChars="200"/>
        <w:rPr>
          <w:sz w:val="28"/>
        </w:rPr>
      </w:pPr>
      <w:r>
        <w:rPr>
          <w:sz w:val="28"/>
        </w:rPr>
        <w:t>附件</w:t>
      </w:r>
      <w:r>
        <w:rPr>
          <w:rFonts w:hint="eastAsia"/>
          <w:sz w:val="28"/>
          <w:lang w:val="en-US" w:eastAsia="zh-CN"/>
        </w:rPr>
        <w:t>2</w:t>
      </w:r>
      <w:r>
        <w:rPr>
          <w:sz w:val="28"/>
        </w:rPr>
        <w:t>：营业执照</w:t>
      </w:r>
    </w:p>
    <w:p>
      <w:pPr>
        <w:spacing w:line="300" w:lineRule="auto"/>
        <w:ind w:firstLine="560" w:firstLineChars="200"/>
        <w:rPr>
          <w:sz w:val="28"/>
        </w:rPr>
      </w:pPr>
      <w:r>
        <w:rPr>
          <w:sz w:val="28"/>
        </w:rPr>
        <w:t>附件</w:t>
      </w:r>
      <w:r>
        <w:rPr>
          <w:rFonts w:hint="eastAsia"/>
          <w:sz w:val="28"/>
          <w:lang w:val="en-US" w:eastAsia="zh-CN"/>
        </w:rPr>
        <w:t>3</w:t>
      </w:r>
      <w:r>
        <w:rPr>
          <w:sz w:val="28"/>
        </w:rPr>
        <w:t>：</w:t>
      </w:r>
      <w:r>
        <w:rPr>
          <w:rFonts w:hint="eastAsia"/>
          <w:sz w:val="28"/>
        </w:rPr>
        <w:t>昆明市东川区林业和草原局关于“本项目”选址意见；</w:t>
      </w:r>
    </w:p>
    <w:p>
      <w:pPr>
        <w:spacing w:line="300" w:lineRule="auto"/>
        <w:ind w:firstLine="560" w:firstLineChars="200"/>
        <w:rPr>
          <w:sz w:val="28"/>
        </w:rPr>
      </w:pPr>
      <w:r>
        <w:rPr>
          <w:sz w:val="28"/>
        </w:rPr>
        <w:t>附件</w:t>
      </w:r>
      <w:r>
        <w:rPr>
          <w:rFonts w:hint="eastAsia"/>
          <w:sz w:val="28"/>
          <w:lang w:val="en-US" w:eastAsia="zh-CN"/>
        </w:rPr>
        <w:t>4</w:t>
      </w:r>
      <w:r>
        <w:rPr>
          <w:sz w:val="28"/>
        </w:rPr>
        <w:t>：昆明市东川区文化和旅游局关于</w:t>
      </w:r>
      <w:r>
        <w:rPr>
          <w:rFonts w:hint="eastAsia"/>
          <w:sz w:val="28"/>
        </w:rPr>
        <w:t>“本项目”选址意见；</w:t>
      </w:r>
    </w:p>
    <w:p>
      <w:pPr>
        <w:spacing w:line="300" w:lineRule="auto"/>
        <w:ind w:firstLine="560" w:firstLineChars="200"/>
        <w:rPr>
          <w:sz w:val="28"/>
        </w:rPr>
      </w:pPr>
      <w:r>
        <w:rPr>
          <w:rFonts w:hint="eastAsia"/>
          <w:sz w:val="28"/>
        </w:rPr>
        <w:t>附件</w:t>
      </w:r>
      <w:r>
        <w:rPr>
          <w:rFonts w:hint="eastAsia"/>
          <w:sz w:val="28"/>
          <w:lang w:val="en-US" w:eastAsia="zh-CN"/>
        </w:rPr>
        <w:t>5</w:t>
      </w:r>
      <w:r>
        <w:rPr>
          <w:rFonts w:hint="eastAsia"/>
          <w:sz w:val="28"/>
        </w:rPr>
        <w:t>：昆明市东川区自然资源局关于东川区生态治理及修复光伏电站用地选址踏勘论证意见</w:t>
      </w:r>
      <w:r>
        <w:rPr>
          <w:sz w:val="28"/>
        </w:rPr>
        <w:t>；</w:t>
      </w:r>
    </w:p>
    <w:p>
      <w:pPr>
        <w:spacing w:line="300" w:lineRule="auto"/>
        <w:ind w:firstLine="560" w:firstLineChars="200"/>
        <w:rPr>
          <w:sz w:val="28"/>
        </w:rPr>
      </w:pPr>
      <w:r>
        <w:rPr>
          <w:rFonts w:hint="eastAsia"/>
          <w:sz w:val="28"/>
        </w:rPr>
        <w:t>附件</w:t>
      </w:r>
      <w:r>
        <w:rPr>
          <w:rFonts w:hint="eastAsia"/>
          <w:sz w:val="28"/>
          <w:lang w:val="en-US" w:eastAsia="zh-CN"/>
        </w:rPr>
        <w:t>5</w:t>
      </w:r>
      <w:r>
        <w:rPr>
          <w:sz w:val="28"/>
        </w:rPr>
        <w:t>-1</w:t>
      </w:r>
      <w:r>
        <w:rPr>
          <w:rFonts w:hint="eastAsia"/>
          <w:sz w:val="28"/>
        </w:rPr>
        <w:t>：项目与基本农田、生态红线、稳定耕地叠加示意图；</w:t>
      </w:r>
    </w:p>
    <w:p>
      <w:pPr>
        <w:spacing w:line="300" w:lineRule="auto"/>
        <w:ind w:firstLine="560" w:firstLineChars="200"/>
        <w:rPr>
          <w:sz w:val="28"/>
        </w:rPr>
      </w:pPr>
      <w:r>
        <w:rPr>
          <w:rFonts w:hint="eastAsia"/>
          <w:sz w:val="28"/>
        </w:rPr>
        <w:t>附件</w:t>
      </w:r>
      <w:r>
        <w:rPr>
          <w:rFonts w:hint="eastAsia"/>
          <w:sz w:val="28"/>
          <w:lang w:val="en-US" w:eastAsia="zh-CN"/>
        </w:rPr>
        <w:t>6</w:t>
      </w:r>
      <w:r>
        <w:rPr>
          <w:rFonts w:hint="eastAsia"/>
          <w:sz w:val="28"/>
        </w:rPr>
        <w:t>：昆明市东川区水务局</w:t>
      </w:r>
      <w:r>
        <w:rPr>
          <w:sz w:val="28"/>
        </w:rPr>
        <w:t>关于</w:t>
      </w:r>
      <w:r>
        <w:rPr>
          <w:rFonts w:hint="eastAsia"/>
          <w:sz w:val="28"/>
        </w:rPr>
        <w:t>“本项目”选址意见；</w:t>
      </w:r>
    </w:p>
    <w:p>
      <w:pPr>
        <w:spacing w:line="300" w:lineRule="auto"/>
        <w:ind w:firstLine="560" w:firstLineChars="200"/>
        <w:rPr>
          <w:sz w:val="28"/>
        </w:rPr>
      </w:pPr>
      <w:r>
        <w:rPr>
          <w:rFonts w:hint="eastAsia"/>
          <w:sz w:val="28"/>
        </w:rPr>
        <w:t>附件</w:t>
      </w:r>
      <w:r>
        <w:rPr>
          <w:rFonts w:hint="eastAsia"/>
          <w:sz w:val="28"/>
          <w:lang w:val="en-US" w:eastAsia="zh-CN"/>
        </w:rPr>
        <w:t>7</w:t>
      </w:r>
      <w:r>
        <w:rPr>
          <w:rFonts w:hint="eastAsia"/>
          <w:sz w:val="28"/>
        </w:rPr>
        <w:t>：昆明市东川区人民武装部</w:t>
      </w:r>
      <w:r>
        <w:rPr>
          <w:sz w:val="28"/>
        </w:rPr>
        <w:t>关于</w:t>
      </w:r>
      <w:r>
        <w:rPr>
          <w:rFonts w:hint="eastAsia"/>
          <w:sz w:val="28"/>
        </w:rPr>
        <w:t>“本项目”选址意见；</w:t>
      </w:r>
    </w:p>
    <w:p>
      <w:pPr>
        <w:spacing w:line="300" w:lineRule="auto"/>
        <w:ind w:firstLine="560" w:firstLineChars="200"/>
        <w:rPr>
          <w:sz w:val="28"/>
        </w:rPr>
      </w:pPr>
      <w:r>
        <w:rPr>
          <w:rFonts w:hint="eastAsia"/>
          <w:sz w:val="28"/>
        </w:rPr>
        <w:t>附件</w:t>
      </w:r>
      <w:r>
        <w:rPr>
          <w:rFonts w:hint="eastAsia"/>
          <w:sz w:val="28"/>
          <w:lang w:val="en-US" w:eastAsia="zh-CN"/>
        </w:rPr>
        <w:t>8</w:t>
      </w:r>
      <w:r>
        <w:rPr>
          <w:rFonts w:hint="eastAsia"/>
          <w:sz w:val="28"/>
        </w:rPr>
        <w:t>：昆明市东川区农业农村局</w:t>
      </w:r>
      <w:r>
        <w:rPr>
          <w:sz w:val="28"/>
        </w:rPr>
        <w:t>关于</w:t>
      </w:r>
      <w:r>
        <w:rPr>
          <w:rFonts w:hint="eastAsia"/>
          <w:sz w:val="28"/>
        </w:rPr>
        <w:t>“本项目”选址意见；</w:t>
      </w:r>
    </w:p>
    <w:p>
      <w:pPr>
        <w:spacing w:line="300" w:lineRule="auto"/>
        <w:ind w:firstLine="560" w:firstLineChars="200"/>
        <w:rPr>
          <w:sz w:val="28"/>
        </w:rPr>
      </w:pPr>
      <w:r>
        <w:rPr>
          <w:rFonts w:hint="eastAsia"/>
          <w:sz w:val="28"/>
        </w:rPr>
        <w:t>附件</w:t>
      </w:r>
      <w:r>
        <w:rPr>
          <w:rFonts w:hint="eastAsia"/>
          <w:sz w:val="28"/>
          <w:lang w:val="en-US" w:eastAsia="zh-CN"/>
        </w:rPr>
        <w:t>8</w:t>
      </w:r>
      <w:r>
        <w:rPr>
          <w:sz w:val="28"/>
        </w:rPr>
        <w:t>-1：</w:t>
      </w:r>
      <w:r>
        <w:rPr>
          <w:rFonts w:hint="eastAsia"/>
          <w:sz w:val="28"/>
        </w:rPr>
        <w:t>项目</w:t>
      </w:r>
      <w:r>
        <w:rPr>
          <w:sz w:val="28"/>
        </w:rPr>
        <w:t>选址与高标准农田重叠示意图；</w:t>
      </w:r>
    </w:p>
    <w:p>
      <w:pPr>
        <w:spacing w:line="300" w:lineRule="auto"/>
        <w:ind w:firstLine="560" w:firstLineChars="200"/>
        <w:rPr>
          <w:sz w:val="28"/>
        </w:rPr>
      </w:pPr>
      <w:r>
        <w:rPr>
          <w:sz w:val="28"/>
        </w:rPr>
        <w:t>附件</w:t>
      </w:r>
      <w:r>
        <w:rPr>
          <w:rFonts w:hint="eastAsia"/>
          <w:sz w:val="28"/>
          <w:lang w:val="en-US" w:eastAsia="zh-CN"/>
        </w:rPr>
        <w:t>9</w:t>
      </w:r>
      <w:r>
        <w:rPr>
          <w:sz w:val="28"/>
        </w:rPr>
        <w:t>：建设项目现状监测报告；</w:t>
      </w:r>
    </w:p>
    <w:p>
      <w:pPr>
        <w:spacing w:line="300" w:lineRule="auto"/>
        <w:ind w:firstLine="560" w:firstLineChars="200"/>
        <w:rPr>
          <w:sz w:val="28"/>
        </w:rPr>
      </w:pPr>
      <w:r>
        <w:rPr>
          <w:sz w:val="28"/>
        </w:rPr>
        <w:t>附件</w:t>
      </w:r>
      <w:r>
        <w:rPr>
          <w:rFonts w:hint="eastAsia"/>
          <w:sz w:val="28"/>
          <w:lang w:val="en-US" w:eastAsia="zh-CN"/>
        </w:rPr>
        <w:t>10</w:t>
      </w:r>
      <w:r>
        <w:rPr>
          <w:sz w:val="28"/>
        </w:rPr>
        <w:t>：“类比工程”升压站工频电、磁场监测报告；</w:t>
      </w:r>
    </w:p>
    <w:p>
      <w:pPr>
        <w:spacing w:line="300" w:lineRule="auto"/>
        <w:ind w:firstLine="560" w:firstLineChars="200"/>
        <w:rPr>
          <w:sz w:val="28"/>
        </w:rPr>
      </w:pPr>
    </w:p>
    <w:p>
      <w:pPr>
        <w:pStyle w:val="2"/>
      </w:pPr>
    </w:p>
    <w:p>
      <w:pPr>
        <w:pStyle w:val="18"/>
        <w:spacing w:before="0" w:after="0" w:line="360" w:lineRule="auto"/>
        <w:rPr>
          <w:rFonts w:ascii="Times New Roman" w:hAnsi="Times New Roman"/>
          <w:sz w:val="24"/>
        </w:rPr>
      </w:pPr>
      <w:r>
        <w:rPr>
          <w:rFonts w:ascii="Times New Roman" w:hAnsi="Times New Roman"/>
          <w:sz w:val="36"/>
          <w:szCs w:val="36"/>
        </w:rPr>
        <w:br w:type="page"/>
      </w:r>
      <w:bookmarkStart w:id="5" w:name="_Toc31166"/>
      <w:r>
        <w:rPr>
          <w:rFonts w:ascii="Times New Roman" w:hAnsi="Times New Roman"/>
        </w:rPr>
        <w:t>前  言</w:t>
      </w:r>
      <w:bookmarkEnd w:id="5"/>
    </w:p>
    <w:p>
      <w:pPr>
        <w:wordWrap w:val="0"/>
        <w:adjustRightInd w:val="0"/>
        <w:snapToGrid w:val="0"/>
        <w:spacing w:line="360" w:lineRule="auto"/>
        <w:ind w:firstLine="480" w:firstLineChars="200"/>
        <w:rPr>
          <w:rFonts w:hint="eastAsia"/>
          <w:color w:val="auto"/>
          <w:sz w:val="24"/>
          <w:lang w:val="en-US" w:eastAsia="zh-CN"/>
        </w:rPr>
      </w:pPr>
      <w:r>
        <w:rPr>
          <w:color w:val="auto"/>
          <w:sz w:val="24"/>
        </w:rPr>
        <w:t>云南省昆明东川区属于我国太阳能资源二类“资源很丰富”，为光伏电站开发提供了先天优势。为此云南滇能云坪光伏发电有限公司（以下简称‘建设单位’），充分考虑地理位置因素的前提下，拟在昆明市东川区舍块乡云坪村、因民镇红山村境内，建设‘东川区生态治理及修复光伏电站’项目充分利用荒山荒坡等自然生态环境较薄弱的土地，结合生态修复建设光伏电站工程，实现光能和土地集约化、立体化综合利用，提高土地综合利用效率，打造新型光伏生态产业。</w:t>
      </w:r>
      <w:r>
        <w:rPr>
          <w:rFonts w:hint="eastAsia"/>
          <w:color w:val="auto"/>
          <w:sz w:val="24"/>
          <w:lang w:val="en-US" w:eastAsia="zh-CN"/>
        </w:rPr>
        <w:t>项目总规划装机容量280MW，并建设一座220kv升压站及其附属设施，东川区生态治理及修复光伏电站项目主体工程环境影响报告表已取得昆明市生态环境局东川分局行政审批局的审批意见（昆生环（东）复[2022]26号），项目正在建设中，为促进项目加快建设，为满足项目输变电需求，尽快实现发电并网，云南滇能云坪光伏发电有限公司东川区生态治理及修复光伏电站220kv升压站项目建设是必要的，项目废水、废气、固废、生态影响、水土流失已在项目报告表中进行环境影响评价，本项目只对升压站主变设备等进行电磁辐射和噪声环境进行环境影响评价。</w:t>
      </w:r>
    </w:p>
    <w:p>
      <w:pPr>
        <w:wordWrap w:val="0"/>
        <w:adjustRightInd w:val="0"/>
        <w:snapToGrid w:val="0"/>
        <w:spacing w:line="360" w:lineRule="auto"/>
        <w:ind w:firstLine="480" w:firstLineChars="200"/>
        <w:rPr>
          <w:color w:val="auto"/>
          <w:sz w:val="24"/>
        </w:rPr>
      </w:pPr>
      <w:r>
        <w:rPr>
          <w:color w:val="auto"/>
          <w:sz w:val="24"/>
        </w:rPr>
        <w:t>根据《中华人民共和国环境影响评价法》（中华人民共和国主席令第48号）和《建设项目环境保护管理条例》（中华人民共和国国务院令第682号），建设过程中或者建成投产后可能对环境产生影响的新建、扩建、改建、迁建、技术改造项目及区域开发项目，必须执行环境影响评价制度。对照《建设项目环境影响评价分类管理名录（2021年版）》（中华人民共和国生态环境部部令第16号），</w:t>
      </w:r>
      <w:r>
        <w:rPr>
          <w:rFonts w:hint="default"/>
          <w:color w:val="auto"/>
          <w:sz w:val="24"/>
          <w:lang w:val="en-US" w:eastAsia="zh-CN"/>
        </w:rPr>
        <w:t>220kV</w:t>
      </w:r>
      <w:r>
        <w:rPr>
          <w:rFonts w:hint="eastAsia"/>
          <w:color w:val="auto"/>
          <w:sz w:val="24"/>
          <w:lang w:val="en-US" w:eastAsia="zh-CN"/>
        </w:rPr>
        <w:t>升压站工程属于“五十五、核与辐射”中的其他，应编制环境影响报告表，同时，依据《环境影响评价技术导则 输变电》（</w:t>
      </w:r>
      <w:r>
        <w:rPr>
          <w:rFonts w:hint="default"/>
          <w:color w:val="auto"/>
          <w:sz w:val="24"/>
          <w:lang w:val="en-US" w:eastAsia="zh-CN"/>
        </w:rPr>
        <w:t>HJ 24-2020</w:t>
      </w:r>
      <w:r>
        <w:rPr>
          <w:rFonts w:hint="eastAsia"/>
          <w:color w:val="auto"/>
          <w:sz w:val="24"/>
          <w:lang w:val="en-US" w:eastAsia="zh-CN"/>
        </w:rPr>
        <w:t>），需开展电磁环境影响专题评价。</w:t>
      </w:r>
      <w:r>
        <w:rPr>
          <w:color w:val="auto"/>
          <w:sz w:val="24"/>
        </w:rPr>
        <w:t>为此，云南滇能云坪光伏发电有限公司委托我</w:t>
      </w:r>
      <w:r>
        <w:rPr>
          <w:rFonts w:hint="eastAsia"/>
          <w:color w:val="auto"/>
          <w:sz w:val="24"/>
          <w:lang w:val="en-US" w:eastAsia="zh-CN"/>
        </w:rPr>
        <w:t>云南</w:t>
      </w:r>
      <w:r>
        <w:rPr>
          <w:color w:val="auto"/>
          <w:sz w:val="24"/>
        </w:rPr>
        <w:t>丽源环境科技有限公司（以下简称环评单位）承担本次项目环境影响评价工作，委托书详见附件。我公司接受委托后，立即组织有关技术人员对项目场址及其周围环境进行详细实地勘查和相关资料的收集、核实与分析工作，在此基础上，编制完成</w:t>
      </w:r>
      <w:r>
        <w:rPr>
          <w:rFonts w:hint="eastAsia"/>
          <w:color w:val="auto"/>
          <w:sz w:val="24"/>
          <w:lang w:val="en-US" w:eastAsia="zh-CN"/>
        </w:rPr>
        <w:t>本项目电磁环境影响专题评价</w:t>
      </w:r>
      <w:r>
        <w:rPr>
          <w:color w:val="auto"/>
          <w:sz w:val="24"/>
        </w:rPr>
        <w:t>，以供建设单位上报当地主管部门上报审批。</w:t>
      </w:r>
    </w:p>
    <w:p>
      <w:pPr>
        <w:wordWrap w:val="0"/>
        <w:adjustRightInd w:val="0"/>
        <w:snapToGrid w:val="0"/>
        <w:spacing w:line="360" w:lineRule="auto"/>
        <w:ind w:firstLine="482" w:firstLineChars="200"/>
        <w:rPr>
          <w:color w:val="auto"/>
          <w:sz w:val="24"/>
        </w:rPr>
      </w:pPr>
      <w:r>
        <w:rPr>
          <w:b/>
          <w:sz w:val="24"/>
        </w:rPr>
        <w:t>本次评价仅针对本项目</w:t>
      </w:r>
      <w:r>
        <w:rPr>
          <w:rFonts w:hint="eastAsia"/>
          <w:b/>
          <w:sz w:val="24"/>
          <w:lang w:val="en-US" w:eastAsia="zh-CN"/>
        </w:rPr>
        <w:t>升压站区</w:t>
      </w:r>
      <w:r>
        <w:rPr>
          <w:b/>
          <w:sz w:val="24"/>
        </w:rPr>
        <w:t>进行环境影响评价，不包含</w:t>
      </w:r>
      <w:r>
        <w:rPr>
          <w:rFonts w:hint="eastAsia"/>
          <w:b/>
          <w:sz w:val="24"/>
          <w:lang w:val="en-US" w:eastAsia="zh-CN"/>
        </w:rPr>
        <w:t>光伏发电区</w:t>
      </w:r>
      <w:r>
        <w:rPr>
          <w:rFonts w:hint="eastAsia" w:ascii="Times New Roman" w:eastAsia="宋体"/>
          <w:b/>
          <w:sz w:val="24"/>
          <w:lang w:val="en-US" w:eastAsia="zh-CN"/>
        </w:rPr>
        <w:t>及</w:t>
      </w:r>
      <w:r>
        <w:rPr>
          <w:b/>
          <w:sz w:val="24"/>
        </w:rPr>
        <w:t>送出电路的影响评价内容。</w:t>
      </w:r>
    </w:p>
    <w:p>
      <w:pPr>
        <w:wordWrap w:val="0"/>
        <w:adjustRightInd w:val="0"/>
        <w:snapToGrid w:val="0"/>
        <w:spacing w:line="360" w:lineRule="auto"/>
        <w:ind w:firstLine="480" w:firstLineChars="200"/>
        <w:rPr>
          <w:sz w:val="24"/>
        </w:rPr>
        <w:sectPr>
          <w:pgSz w:w="11906" w:h="16838"/>
          <w:pgMar w:top="1701" w:right="1531" w:bottom="1701" w:left="1531" w:header="851" w:footer="1077" w:gutter="0"/>
          <w:pgNumType w:start="21"/>
          <w:cols w:space="720" w:num="1"/>
          <w:docGrid w:linePitch="312" w:charSpace="0"/>
        </w:sectPr>
      </w:pPr>
    </w:p>
    <w:p>
      <w:pPr>
        <w:pStyle w:val="17"/>
        <w:jc w:val="center"/>
        <w:outlineLvl w:val="0"/>
        <w:rPr>
          <w:rFonts w:ascii="Times New Roman" w:hAnsi="Times New Roman"/>
          <w:b/>
          <w:bCs/>
          <w:snapToGrid w:val="0"/>
          <w:sz w:val="30"/>
          <w:szCs w:val="30"/>
        </w:rPr>
      </w:pPr>
      <w:bookmarkStart w:id="6" w:name="_Toc6790"/>
      <w:r>
        <w:rPr>
          <w:rFonts w:ascii="Times New Roman" w:hAnsi="Times New Roman"/>
          <w:b/>
          <w:bCs/>
          <w:snapToGrid w:val="0"/>
          <w:sz w:val="30"/>
          <w:szCs w:val="30"/>
        </w:rPr>
        <w:t>一、建设项目基本情况</w:t>
      </w:r>
      <w:bookmarkEnd w:id="6"/>
    </w:p>
    <w:tbl>
      <w:tblPr>
        <w:tblStyle w:val="2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1134"/>
        <w:gridCol w:w="2516"/>
        <w:gridCol w:w="939"/>
        <w:gridCol w:w="1251"/>
        <w:gridCol w:w="1408"/>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建设项目名称</w:t>
            </w:r>
          </w:p>
        </w:tc>
        <w:tc>
          <w:tcPr>
            <w:tcW w:w="7991" w:type="dxa"/>
            <w:gridSpan w:val="5"/>
            <w:vAlign w:val="center"/>
          </w:tcPr>
          <w:p>
            <w:pPr>
              <w:adjustRightInd w:val="0"/>
              <w:snapToGrid w:val="0"/>
              <w:spacing w:line="360" w:lineRule="auto"/>
              <w:jc w:val="center"/>
              <w:rPr>
                <w:rFonts w:hint="eastAsia" w:eastAsia="宋体"/>
                <w:sz w:val="24"/>
                <w:lang w:val="en-US" w:eastAsia="zh-CN"/>
              </w:rPr>
            </w:pPr>
            <w:r>
              <w:rPr>
                <w:rFonts w:hint="eastAsia"/>
                <w:sz w:val="24"/>
                <w:lang w:eastAsia="zh-CN"/>
              </w:rPr>
              <w:t>东川区生态治理及修复光伏电站220kv升压站项目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项目代码</w:t>
            </w:r>
          </w:p>
        </w:tc>
        <w:tc>
          <w:tcPr>
            <w:tcW w:w="7991" w:type="dxa"/>
            <w:gridSpan w:val="5"/>
            <w:vAlign w:val="center"/>
          </w:tcPr>
          <w:p>
            <w:pPr>
              <w:adjustRightInd w:val="0"/>
              <w:snapToGrid w:val="0"/>
              <w:spacing w:line="360" w:lineRule="auto"/>
              <w:jc w:val="center"/>
              <w:rPr>
                <w:rFonts w:hint="eastAsia" w:eastAsia="宋体"/>
                <w:sz w:val="24"/>
                <w:lang w:eastAsia="zh-CN"/>
              </w:rPr>
            </w:pPr>
            <w:r>
              <w:rPr>
                <w:rFonts w:hint="eastAsia"/>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建设单位联系人</w:t>
            </w:r>
          </w:p>
        </w:tc>
        <w:tc>
          <w:tcPr>
            <w:tcW w:w="2516" w:type="dxa"/>
            <w:vAlign w:val="center"/>
          </w:tcPr>
          <w:p>
            <w:pPr>
              <w:adjustRightInd w:val="0"/>
              <w:snapToGrid w:val="0"/>
              <w:spacing w:line="360" w:lineRule="auto"/>
              <w:jc w:val="center"/>
              <w:rPr>
                <w:rFonts w:hint="default" w:eastAsia="宋体"/>
                <w:sz w:val="24"/>
                <w:lang w:val="en-US" w:eastAsia="zh-CN"/>
              </w:rPr>
            </w:pPr>
            <w:r>
              <w:rPr>
                <w:sz w:val="24"/>
              </w:rPr>
              <w:t>管</w:t>
            </w:r>
            <w:r>
              <w:rPr>
                <w:rFonts w:hint="eastAsia"/>
                <w:sz w:val="24"/>
                <w:lang w:val="en-US" w:eastAsia="zh-CN"/>
              </w:rPr>
              <w:t>**</w:t>
            </w:r>
          </w:p>
        </w:tc>
        <w:tc>
          <w:tcPr>
            <w:tcW w:w="2190" w:type="dxa"/>
            <w:gridSpan w:val="2"/>
            <w:vAlign w:val="center"/>
          </w:tcPr>
          <w:p>
            <w:pPr>
              <w:adjustRightInd w:val="0"/>
              <w:snapToGrid w:val="0"/>
              <w:spacing w:line="360" w:lineRule="auto"/>
              <w:jc w:val="center"/>
              <w:rPr>
                <w:sz w:val="24"/>
              </w:rPr>
            </w:pPr>
            <w:r>
              <w:rPr>
                <w:sz w:val="24"/>
              </w:rPr>
              <w:t>联系方式</w:t>
            </w:r>
          </w:p>
        </w:tc>
        <w:tc>
          <w:tcPr>
            <w:tcW w:w="3285" w:type="dxa"/>
            <w:gridSpan w:val="2"/>
            <w:vAlign w:val="center"/>
          </w:tcPr>
          <w:p>
            <w:pPr>
              <w:adjustRightInd w:val="0"/>
              <w:snapToGrid w:val="0"/>
              <w:spacing w:line="360" w:lineRule="auto"/>
              <w:jc w:val="center"/>
              <w:rPr>
                <w:rFonts w:hint="eastAsia" w:eastAsia="宋体"/>
                <w:sz w:val="24"/>
                <w:lang w:eastAsia="zh-CN"/>
              </w:rPr>
            </w:pPr>
            <w:r>
              <w:rPr>
                <w:sz w:val="24"/>
              </w:rPr>
              <w:t>136</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建设地点</w:t>
            </w:r>
          </w:p>
        </w:tc>
        <w:tc>
          <w:tcPr>
            <w:tcW w:w="7991" w:type="dxa"/>
            <w:gridSpan w:val="5"/>
            <w:vAlign w:val="center"/>
          </w:tcPr>
          <w:p>
            <w:pPr>
              <w:adjustRightInd w:val="0"/>
              <w:snapToGrid w:val="0"/>
              <w:spacing w:line="360" w:lineRule="auto"/>
              <w:jc w:val="center"/>
              <w:rPr>
                <w:sz w:val="24"/>
              </w:rPr>
            </w:pPr>
            <w:r>
              <w:rPr>
                <w:sz w:val="24"/>
              </w:rPr>
              <w:t>云南省昆明市东川区舍块乡云坪村、因民镇红山村境内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地理坐标</w:t>
            </w:r>
          </w:p>
        </w:tc>
        <w:tc>
          <w:tcPr>
            <w:tcW w:w="7991" w:type="dxa"/>
            <w:gridSpan w:val="5"/>
            <w:vAlign w:val="center"/>
          </w:tcPr>
          <w:p>
            <w:pPr>
              <w:adjustRightInd w:val="0"/>
              <w:snapToGrid w:val="0"/>
              <w:spacing w:line="360" w:lineRule="auto"/>
              <w:jc w:val="center"/>
              <w:rPr>
                <w:sz w:val="24"/>
              </w:rPr>
            </w:pPr>
            <w:r>
              <w:rPr>
                <w:sz w:val="24"/>
              </w:rPr>
              <w:t>（东经102°5</w:t>
            </w:r>
            <w:r>
              <w:rPr>
                <w:rFonts w:hint="eastAsia"/>
                <w:sz w:val="24"/>
                <w:lang w:val="en-US" w:eastAsia="zh-CN"/>
              </w:rPr>
              <w:t>4</w:t>
            </w:r>
            <w:r>
              <w:rPr>
                <w:sz w:val="24"/>
              </w:rPr>
              <w:t>'</w:t>
            </w:r>
            <w:r>
              <w:rPr>
                <w:rFonts w:hint="eastAsia"/>
                <w:sz w:val="24"/>
                <w:lang w:val="en-US" w:eastAsia="zh-CN"/>
              </w:rPr>
              <w:t>51</w:t>
            </w:r>
            <w:r>
              <w:rPr>
                <w:sz w:val="24"/>
              </w:rPr>
              <w:t>.</w:t>
            </w:r>
            <w:r>
              <w:rPr>
                <w:rFonts w:hint="eastAsia"/>
                <w:sz w:val="24"/>
                <w:lang w:val="en-US" w:eastAsia="zh-CN"/>
              </w:rPr>
              <w:t>25</w:t>
            </w:r>
            <w:r>
              <w:rPr>
                <w:sz w:val="24"/>
              </w:rPr>
              <w:t>"，北纬26°14'</w:t>
            </w:r>
            <w:r>
              <w:rPr>
                <w:rFonts w:hint="eastAsia"/>
                <w:sz w:val="24"/>
                <w:lang w:val="en-US" w:eastAsia="zh-CN"/>
              </w:rPr>
              <w:t>56</w:t>
            </w:r>
            <w:r>
              <w:rPr>
                <w:sz w:val="24"/>
              </w:rPr>
              <w:t>.</w:t>
            </w:r>
            <w:r>
              <w:rPr>
                <w:rFonts w:hint="eastAsia"/>
                <w:sz w:val="24"/>
                <w:lang w:val="en-US" w:eastAsia="zh-CN"/>
              </w:rPr>
              <w:t>24</w:t>
            </w:r>
            <w:r>
              <w:rPr>
                <w:sz w:val="24"/>
              </w:rPr>
              <w:t>"）（中心坐标）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建设项目</w:t>
            </w:r>
          </w:p>
          <w:p>
            <w:pPr>
              <w:adjustRightInd w:val="0"/>
              <w:snapToGrid w:val="0"/>
              <w:spacing w:line="360" w:lineRule="auto"/>
              <w:jc w:val="center"/>
              <w:rPr>
                <w:sz w:val="24"/>
              </w:rPr>
            </w:pPr>
            <w:r>
              <w:rPr>
                <w:sz w:val="24"/>
              </w:rPr>
              <w:t>行业类别</w:t>
            </w:r>
          </w:p>
        </w:tc>
        <w:tc>
          <w:tcPr>
            <w:tcW w:w="3455" w:type="dxa"/>
            <w:gridSpan w:val="2"/>
            <w:vAlign w:val="center"/>
          </w:tcPr>
          <w:p>
            <w:pPr>
              <w:adjustRightInd w:val="0"/>
              <w:snapToGrid w:val="0"/>
              <w:spacing w:line="360" w:lineRule="auto"/>
              <w:jc w:val="center"/>
              <w:rPr>
                <w:rFonts w:hint="eastAsia"/>
                <w:sz w:val="24"/>
                <w:lang w:val="en-US" w:eastAsia="zh-CN"/>
              </w:rPr>
            </w:pPr>
            <w:r>
              <w:rPr>
                <w:rFonts w:hint="eastAsia"/>
                <w:sz w:val="24"/>
                <w:lang w:val="en-US" w:eastAsia="zh-CN"/>
              </w:rPr>
              <w:t>五十五、核与辐射</w:t>
            </w:r>
          </w:p>
          <w:p>
            <w:pPr>
              <w:adjustRightInd w:val="0"/>
              <w:snapToGrid w:val="0"/>
              <w:spacing w:line="360" w:lineRule="auto"/>
              <w:jc w:val="center"/>
              <w:rPr>
                <w:rFonts w:hint="default" w:eastAsia="宋体"/>
                <w:sz w:val="24"/>
                <w:lang w:val="en-US" w:eastAsia="zh-CN"/>
              </w:rPr>
            </w:pPr>
            <w:r>
              <w:rPr>
                <w:rFonts w:hint="eastAsia"/>
                <w:sz w:val="24"/>
                <w:lang w:val="en-US" w:eastAsia="zh-CN"/>
              </w:rPr>
              <w:t>161 输变电工程</w:t>
            </w:r>
          </w:p>
        </w:tc>
        <w:tc>
          <w:tcPr>
            <w:tcW w:w="2659" w:type="dxa"/>
            <w:gridSpan w:val="2"/>
            <w:vAlign w:val="center"/>
          </w:tcPr>
          <w:p>
            <w:pPr>
              <w:adjustRightInd w:val="0"/>
              <w:snapToGrid w:val="0"/>
              <w:spacing w:line="360" w:lineRule="auto"/>
              <w:jc w:val="center"/>
              <w:rPr>
                <w:sz w:val="24"/>
              </w:rPr>
            </w:pPr>
            <w:r>
              <w:rPr>
                <w:sz w:val="24"/>
              </w:rPr>
              <w:t>用地（用海）面积（m</w:t>
            </w:r>
            <w:r>
              <w:rPr>
                <w:sz w:val="24"/>
                <w:vertAlign w:val="superscript"/>
              </w:rPr>
              <w:t>2</w:t>
            </w:r>
            <w:r>
              <w:rPr>
                <w:sz w:val="24"/>
              </w:rPr>
              <w:t>）/长度（km）</w:t>
            </w:r>
          </w:p>
        </w:tc>
        <w:tc>
          <w:tcPr>
            <w:tcW w:w="1877" w:type="dxa"/>
            <w:vAlign w:val="center"/>
          </w:tcPr>
          <w:p>
            <w:pPr>
              <w:adjustRightInd w:val="0"/>
              <w:snapToGrid w:val="0"/>
              <w:spacing w:line="360" w:lineRule="auto"/>
              <w:jc w:val="center"/>
              <w:rPr>
                <w:rFonts w:hint="eastAsia" w:eastAsia="宋体"/>
                <w:sz w:val="24"/>
                <w:lang w:val="en-US" w:eastAsia="zh-CN"/>
              </w:rPr>
            </w:pPr>
            <w:r>
              <w:rPr>
                <w:sz w:val="24"/>
              </w:rPr>
              <w:t>10212</w:t>
            </w: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建设性质</w:t>
            </w:r>
          </w:p>
        </w:tc>
        <w:tc>
          <w:tcPr>
            <w:tcW w:w="2516" w:type="dxa"/>
            <w:vAlign w:val="center"/>
          </w:tcPr>
          <w:p>
            <w:pPr>
              <w:adjustRightInd w:val="0"/>
              <w:snapToGrid w:val="0"/>
              <w:spacing w:line="360" w:lineRule="auto"/>
              <w:jc w:val="left"/>
              <w:rPr>
                <w:sz w:val="24"/>
              </w:rPr>
            </w:pPr>
            <w:r>
              <w:rPr>
                <w:sz w:val="24"/>
              </w:rPr>
              <w:sym w:font="Wingdings 2" w:char="0052"/>
            </w:r>
            <w:r>
              <w:rPr>
                <w:sz w:val="24"/>
              </w:rPr>
              <w:t>新建（迁建）</w:t>
            </w:r>
          </w:p>
          <w:p>
            <w:pPr>
              <w:adjustRightInd w:val="0"/>
              <w:snapToGrid w:val="0"/>
              <w:spacing w:line="360" w:lineRule="auto"/>
              <w:jc w:val="left"/>
              <w:rPr>
                <w:sz w:val="24"/>
              </w:rPr>
            </w:pPr>
            <w:r>
              <w:rPr>
                <w:sz w:val="24"/>
              </w:rPr>
              <w:t>□改建</w:t>
            </w:r>
          </w:p>
          <w:p>
            <w:pPr>
              <w:adjustRightInd w:val="0"/>
              <w:snapToGrid w:val="0"/>
              <w:spacing w:line="360" w:lineRule="auto"/>
              <w:jc w:val="left"/>
              <w:rPr>
                <w:sz w:val="24"/>
              </w:rPr>
            </w:pPr>
            <w:r>
              <w:rPr>
                <w:sz w:val="24"/>
              </w:rPr>
              <w:t>□扩建</w:t>
            </w:r>
          </w:p>
          <w:p>
            <w:pPr>
              <w:adjustRightInd w:val="0"/>
              <w:snapToGrid w:val="0"/>
              <w:spacing w:line="360" w:lineRule="auto"/>
              <w:jc w:val="left"/>
              <w:rPr>
                <w:sz w:val="24"/>
              </w:rPr>
            </w:pPr>
            <w:r>
              <w:rPr>
                <w:sz w:val="24"/>
              </w:rPr>
              <w:t>□技术改造</w:t>
            </w:r>
          </w:p>
        </w:tc>
        <w:tc>
          <w:tcPr>
            <w:tcW w:w="2190" w:type="dxa"/>
            <w:gridSpan w:val="2"/>
            <w:vAlign w:val="center"/>
          </w:tcPr>
          <w:p>
            <w:pPr>
              <w:adjustRightInd w:val="0"/>
              <w:snapToGrid w:val="0"/>
              <w:spacing w:line="360" w:lineRule="auto"/>
              <w:jc w:val="center"/>
              <w:rPr>
                <w:color w:val="auto"/>
                <w:sz w:val="24"/>
              </w:rPr>
            </w:pPr>
            <w:r>
              <w:rPr>
                <w:color w:val="auto"/>
                <w:sz w:val="24"/>
              </w:rPr>
              <w:t>建设项目</w:t>
            </w:r>
          </w:p>
          <w:p>
            <w:pPr>
              <w:adjustRightInd w:val="0"/>
              <w:snapToGrid w:val="0"/>
              <w:spacing w:line="360" w:lineRule="auto"/>
              <w:jc w:val="center"/>
              <w:rPr>
                <w:sz w:val="24"/>
              </w:rPr>
            </w:pPr>
            <w:r>
              <w:rPr>
                <w:color w:val="auto"/>
                <w:sz w:val="24"/>
              </w:rPr>
              <w:t>申报情形</w:t>
            </w:r>
          </w:p>
        </w:tc>
        <w:tc>
          <w:tcPr>
            <w:tcW w:w="3285" w:type="dxa"/>
            <w:gridSpan w:val="2"/>
            <w:vAlign w:val="center"/>
          </w:tcPr>
          <w:p>
            <w:pPr>
              <w:adjustRightInd w:val="0"/>
              <w:snapToGrid w:val="0"/>
              <w:spacing w:line="360" w:lineRule="auto"/>
              <w:jc w:val="left"/>
              <w:rPr>
                <w:sz w:val="24"/>
              </w:rPr>
            </w:pPr>
            <w:r>
              <w:rPr>
                <w:sz w:val="24"/>
              </w:rPr>
              <w:sym w:font="Wingdings 2" w:char="0052"/>
            </w:r>
            <w:r>
              <w:rPr>
                <w:sz w:val="24"/>
              </w:rPr>
              <w:t>首次申报项目</w:t>
            </w:r>
          </w:p>
          <w:p>
            <w:pPr>
              <w:adjustRightInd w:val="0"/>
              <w:snapToGrid w:val="0"/>
              <w:spacing w:line="360" w:lineRule="auto"/>
              <w:jc w:val="left"/>
              <w:rPr>
                <w:sz w:val="24"/>
              </w:rPr>
            </w:pPr>
            <w:r>
              <w:rPr>
                <w:sz w:val="24"/>
              </w:rPr>
              <w:t>□不予批准后再次申报项目</w:t>
            </w:r>
          </w:p>
          <w:p>
            <w:pPr>
              <w:adjustRightInd w:val="0"/>
              <w:snapToGrid w:val="0"/>
              <w:spacing w:line="360" w:lineRule="auto"/>
              <w:jc w:val="left"/>
              <w:rPr>
                <w:sz w:val="24"/>
              </w:rPr>
            </w:pPr>
            <w:r>
              <w:rPr>
                <w:sz w:val="24"/>
              </w:rPr>
              <w:t>□超五年重新审核项目</w:t>
            </w:r>
          </w:p>
          <w:p>
            <w:pPr>
              <w:adjustRightInd w:val="0"/>
              <w:snapToGrid w:val="0"/>
              <w:spacing w:line="360" w:lineRule="auto"/>
              <w:rPr>
                <w:sz w:val="24"/>
              </w:rPr>
            </w:pPr>
            <w:r>
              <w:rPr>
                <w:sz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项目审批（核准/</w:t>
            </w:r>
          </w:p>
          <w:p>
            <w:pPr>
              <w:adjustRightInd w:val="0"/>
              <w:snapToGrid w:val="0"/>
              <w:spacing w:line="360" w:lineRule="auto"/>
              <w:jc w:val="center"/>
              <w:rPr>
                <w:sz w:val="24"/>
              </w:rPr>
            </w:pPr>
            <w:r>
              <w:rPr>
                <w:sz w:val="24"/>
              </w:rPr>
              <w:t>备案）部门（选填）</w:t>
            </w:r>
          </w:p>
        </w:tc>
        <w:tc>
          <w:tcPr>
            <w:tcW w:w="2516" w:type="dxa"/>
            <w:vAlign w:val="center"/>
          </w:tcPr>
          <w:p>
            <w:pPr>
              <w:adjustRightInd w:val="0"/>
              <w:snapToGrid w:val="0"/>
              <w:spacing w:line="360" w:lineRule="auto"/>
              <w:jc w:val="center"/>
              <w:rPr>
                <w:rFonts w:hint="eastAsia" w:eastAsia="宋体"/>
                <w:sz w:val="24"/>
                <w:lang w:eastAsia="zh-CN"/>
              </w:rPr>
            </w:pPr>
            <w:r>
              <w:rPr>
                <w:rFonts w:hint="eastAsia"/>
                <w:sz w:val="24"/>
                <w:lang w:val="en-US" w:eastAsia="zh-CN"/>
              </w:rPr>
              <w:t>/</w:t>
            </w:r>
          </w:p>
        </w:tc>
        <w:tc>
          <w:tcPr>
            <w:tcW w:w="2190" w:type="dxa"/>
            <w:gridSpan w:val="2"/>
            <w:vAlign w:val="center"/>
          </w:tcPr>
          <w:p>
            <w:pPr>
              <w:adjustRightInd w:val="0"/>
              <w:snapToGrid w:val="0"/>
              <w:spacing w:line="360" w:lineRule="auto"/>
              <w:jc w:val="center"/>
              <w:rPr>
                <w:sz w:val="24"/>
              </w:rPr>
            </w:pPr>
            <w:r>
              <w:rPr>
                <w:sz w:val="24"/>
              </w:rPr>
              <w:t>项目审批（核准/</w:t>
            </w:r>
          </w:p>
          <w:p>
            <w:pPr>
              <w:adjustRightInd w:val="0"/>
              <w:snapToGrid w:val="0"/>
              <w:spacing w:line="360" w:lineRule="auto"/>
              <w:jc w:val="center"/>
              <w:rPr>
                <w:sz w:val="24"/>
              </w:rPr>
            </w:pPr>
            <w:r>
              <w:rPr>
                <w:sz w:val="24"/>
              </w:rPr>
              <w:t>备案）文号（选填）</w:t>
            </w:r>
          </w:p>
        </w:tc>
        <w:tc>
          <w:tcPr>
            <w:tcW w:w="3285" w:type="dxa"/>
            <w:gridSpan w:val="2"/>
            <w:vAlign w:val="center"/>
          </w:tcPr>
          <w:p>
            <w:pPr>
              <w:adjustRightInd w:val="0"/>
              <w:snapToGrid w:val="0"/>
              <w:spacing w:line="360" w:lineRule="auto"/>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总投资（万元）</w:t>
            </w:r>
          </w:p>
        </w:tc>
        <w:tc>
          <w:tcPr>
            <w:tcW w:w="2516" w:type="dxa"/>
            <w:vAlign w:val="center"/>
          </w:tcPr>
          <w:p>
            <w:pPr>
              <w:adjustRightInd w:val="0"/>
              <w:snapToGrid w:val="0"/>
              <w:spacing w:line="360" w:lineRule="auto"/>
              <w:jc w:val="center"/>
              <w:rPr>
                <w:rFonts w:hint="default" w:eastAsia="宋体"/>
                <w:color w:val="auto"/>
                <w:sz w:val="24"/>
                <w:lang w:val="en-US" w:eastAsia="zh-CN"/>
              </w:rPr>
            </w:pPr>
            <w:r>
              <w:rPr>
                <w:rFonts w:hint="eastAsia"/>
                <w:color w:val="auto"/>
                <w:sz w:val="24"/>
                <w:lang w:val="en-US" w:eastAsia="zh-CN"/>
              </w:rPr>
              <w:t>5304.97</w:t>
            </w:r>
          </w:p>
        </w:tc>
        <w:tc>
          <w:tcPr>
            <w:tcW w:w="2190" w:type="dxa"/>
            <w:gridSpan w:val="2"/>
            <w:tcMar>
              <w:top w:w="16" w:type="dxa"/>
              <w:left w:w="16" w:type="dxa"/>
              <w:right w:w="16" w:type="dxa"/>
            </w:tcMar>
            <w:vAlign w:val="center"/>
          </w:tcPr>
          <w:p>
            <w:pPr>
              <w:adjustRightInd w:val="0"/>
              <w:snapToGrid w:val="0"/>
              <w:spacing w:line="360" w:lineRule="auto"/>
              <w:jc w:val="center"/>
              <w:rPr>
                <w:color w:val="auto"/>
                <w:sz w:val="24"/>
              </w:rPr>
            </w:pPr>
            <w:r>
              <w:rPr>
                <w:color w:val="auto"/>
                <w:sz w:val="24"/>
              </w:rPr>
              <w:t>环保投资（万元）</w:t>
            </w:r>
          </w:p>
        </w:tc>
        <w:tc>
          <w:tcPr>
            <w:tcW w:w="3285" w:type="dxa"/>
            <w:gridSpan w:val="2"/>
            <w:vAlign w:val="center"/>
          </w:tcPr>
          <w:p>
            <w:pPr>
              <w:adjustRightInd w:val="0"/>
              <w:snapToGrid w:val="0"/>
              <w:spacing w:line="360" w:lineRule="auto"/>
              <w:jc w:val="center"/>
              <w:rPr>
                <w:rFonts w:hint="default" w:eastAsia="宋体"/>
                <w:color w:val="auto"/>
                <w:sz w:val="24"/>
                <w:lang w:val="en-US" w:eastAsia="zh-CN"/>
              </w:rPr>
            </w:pPr>
            <w:r>
              <w:rPr>
                <w:rFonts w:hint="eastAsia"/>
                <w:bCs/>
                <w:color w:val="auto"/>
                <w:spacing w:val="10"/>
                <w:sz w:val="24"/>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环保投资占比（%）</w:t>
            </w:r>
          </w:p>
        </w:tc>
        <w:tc>
          <w:tcPr>
            <w:tcW w:w="2516" w:type="dxa"/>
            <w:vAlign w:val="center"/>
          </w:tcPr>
          <w:p>
            <w:pPr>
              <w:adjustRightInd w:val="0"/>
              <w:snapToGrid w:val="0"/>
              <w:spacing w:line="360" w:lineRule="auto"/>
              <w:jc w:val="center"/>
              <w:rPr>
                <w:rFonts w:hint="default" w:eastAsia="宋体"/>
                <w:color w:val="auto"/>
                <w:sz w:val="24"/>
                <w:lang w:val="en-US" w:eastAsia="zh-CN"/>
              </w:rPr>
            </w:pPr>
            <w:r>
              <w:rPr>
                <w:rFonts w:hint="eastAsia"/>
                <w:bCs/>
                <w:color w:val="auto"/>
                <w:spacing w:val="10"/>
                <w:sz w:val="24"/>
                <w:lang w:val="en-US" w:eastAsia="zh-CN"/>
              </w:rPr>
              <w:t>2.54</w:t>
            </w:r>
          </w:p>
        </w:tc>
        <w:tc>
          <w:tcPr>
            <w:tcW w:w="2190" w:type="dxa"/>
            <w:gridSpan w:val="2"/>
            <w:tcMar>
              <w:top w:w="16" w:type="dxa"/>
              <w:left w:w="16" w:type="dxa"/>
              <w:right w:w="16" w:type="dxa"/>
            </w:tcMar>
            <w:vAlign w:val="center"/>
          </w:tcPr>
          <w:p>
            <w:pPr>
              <w:adjustRightInd w:val="0"/>
              <w:snapToGrid w:val="0"/>
              <w:spacing w:line="360" w:lineRule="auto"/>
              <w:jc w:val="center"/>
              <w:rPr>
                <w:color w:val="auto"/>
                <w:sz w:val="24"/>
              </w:rPr>
            </w:pPr>
            <w:r>
              <w:rPr>
                <w:color w:val="auto"/>
                <w:sz w:val="24"/>
              </w:rPr>
              <w:t>施工工期</w:t>
            </w:r>
          </w:p>
        </w:tc>
        <w:tc>
          <w:tcPr>
            <w:tcW w:w="3285" w:type="dxa"/>
            <w:gridSpan w:val="2"/>
            <w:vAlign w:val="center"/>
          </w:tcPr>
          <w:p>
            <w:pPr>
              <w:adjustRightInd w:val="0"/>
              <w:snapToGrid w:val="0"/>
              <w:spacing w:line="360" w:lineRule="auto"/>
              <w:jc w:val="center"/>
              <w:rPr>
                <w:color w:val="auto"/>
                <w:sz w:val="24"/>
              </w:rPr>
            </w:pPr>
            <w:r>
              <w:rPr>
                <w:color w:val="auto"/>
                <w:sz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863" w:type="dxa"/>
            <w:gridSpan w:val="2"/>
            <w:tcMar>
              <w:top w:w="16" w:type="dxa"/>
              <w:left w:w="16" w:type="dxa"/>
              <w:right w:w="16" w:type="dxa"/>
            </w:tcMar>
            <w:vAlign w:val="center"/>
          </w:tcPr>
          <w:p>
            <w:pPr>
              <w:adjustRightInd w:val="0"/>
              <w:snapToGrid w:val="0"/>
              <w:spacing w:line="360" w:lineRule="auto"/>
              <w:jc w:val="center"/>
              <w:rPr>
                <w:sz w:val="24"/>
              </w:rPr>
            </w:pPr>
            <w:r>
              <w:rPr>
                <w:sz w:val="24"/>
              </w:rPr>
              <w:t>是否开工建设</w:t>
            </w:r>
          </w:p>
        </w:tc>
        <w:tc>
          <w:tcPr>
            <w:tcW w:w="7991" w:type="dxa"/>
            <w:gridSpan w:val="5"/>
            <w:vAlign w:val="center"/>
          </w:tcPr>
          <w:p>
            <w:pPr>
              <w:adjustRightInd w:val="0"/>
              <w:snapToGrid w:val="0"/>
              <w:spacing w:line="360" w:lineRule="auto"/>
              <w:ind w:firstLine="105"/>
              <w:jc w:val="left"/>
              <w:rPr>
                <w:sz w:val="24"/>
              </w:rPr>
            </w:pPr>
            <w:r>
              <w:rPr>
                <w:sz w:val="24"/>
              </w:rPr>
              <w:sym w:font="Wingdings 2" w:char="0052"/>
            </w:r>
            <w:r>
              <w:rPr>
                <w:sz w:val="24"/>
              </w:rPr>
              <w:t>否</w:t>
            </w:r>
          </w:p>
          <w:p>
            <w:pPr>
              <w:adjustRightInd w:val="0"/>
              <w:snapToGrid w:val="0"/>
              <w:spacing w:line="360" w:lineRule="auto"/>
              <w:ind w:firstLine="92"/>
              <w:jc w:val="left"/>
              <w:rPr>
                <w:sz w:val="24"/>
              </w:rPr>
            </w:pPr>
            <w:r>
              <w:rPr>
                <w:rFonts w:ascii="宋体" w:hAnsi="宋体"/>
                <w:sz w:val="24"/>
              </w:rPr>
              <w:t>□</w:t>
            </w:r>
            <w:r>
              <w:rPr>
                <w:sz w:val="24"/>
              </w:rPr>
              <w:t>是：</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1863" w:type="dxa"/>
            <w:gridSpan w:val="2"/>
            <w:tcMar>
              <w:top w:w="16" w:type="dxa"/>
              <w:left w:w="16" w:type="dxa"/>
              <w:right w:w="16" w:type="dxa"/>
            </w:tcMar>
            <w:vAlign w:val="center"/>
          </w:tcPr>
          <w:p>
            <w:pPr>
              <w:autoSpaceDE w:val="0"/>
              <w:autoSpaceDN w:val="0"/>
              <w:adjustRightInd w:val="0"/>
              <w:snapToGrid w:val="0"/>
              <w:spacing w:line="360" w:lineRule="auto"/>
              <w:jc w:val="center"/>
              <w:rPr>
                <w:kern w:val="0"/>
                <w:sz w:val="24"/>
              </w:rPr>
            </w:pPr>
            <w:r>
              <w:rPr>
                <w:kern w:val="0"/>
                <w:sz w:val="24"/>
              </w:rPr>
              <w:t>专项评价设置情况</w:t>
            </w:r>
          </w:p>
        </w:tc>
        <w:tc>
          <w:tcPr>
            <w:tcW w:w="7991" w:type="dxa"/>
            <w:gridSpan w:val="5"/>
            <w:tcMar>
              <w:top w:w="16" w:type="dxa"/>
              <w:left w:w="16" w:type="dxa"/>
              <w:right w:w="16" w:type="dxa"/>
            </w:tcMar>
            <w:vAlign w:val="center"/>
          </w:tcPr>
          <w:p>
            <w:pPr>
              <w:autoSpaceDE w:val="0"/>
              <w:autoSpaceDN w:val="0"/>
              <w:adjustRightInd w:val="0"/>
              <w:snapToGrid w:val="0"/>
              <w:spacing w:line="360" w:lineRule="auto"/>
              <w:jc w:val="center"/>
              <w:rPr>
                <w:kern w:val="0"/>
                <w:sz w:val="24"/>
              </w:rPr>
            </w:pPr>
            <w:r>
              <w:rPr>
                <w:rFonts w:hint="eastAsia"/>
                <w:kern w:val="0"/>
                <w:sz w:val="24"/>
                <w:lang w:val="en-US" w:eastAsia="zh-CN"/>
              </w:rPr>
              <w:t>电磁环境影响专项评价</w:t>
            </w:r>
            <w:r>
              <w:rPr>
                <w:kern w:val="0"/>
                <w:sz w:val="24"/>
              </w:rPr>
              <w:t>（根据《</w:t>
            </w:r>
            <w:r>
              <w:rPr>
                <w:rFonts w:hint="eastAsia"/>
                <w:kern w:val="0"/>
                <w:sz w:val="24"/>
                <w:lang w:val="en-US" w:eastAsia="zh-CN"/>
              </w:rPr>
              <w:t>环境影响评价技术导则 输变电</w:t>
            </w:r>
            <w:r>
              <w:rPr>
                <w:kern w:val="0"/>
                <w:sz w:val="24"/>
              </w:rPr>
              <w:t>》</w:t>
            </w:r>
            <w:r>
              <w:rPr>
                <w:rFonts w:hint="eastAsia"/>
                <w:kern w:val="0"/>
                <w:sz w:val="24"/>
                <w:lang w:eastAsia="zh-CN"/>
              </w:rPr>
              <w:t>（</w:t>
            </w:r>
            <w:r>
              <w:rPr>
                <w:rFonts w:hint="eastAsia"/>
                <w:kern w:val="0"/>
                <w:sz w:val="24"/>
                <w:lang w:val="en-US" w:eastAsia="zh-CN"/>
              </w:rPr>
              <w:t>HJ24-2020</w:t>
            </w:r>
            <w:r>
              <w:rPr>
                <w:rFonts w:hint="eastAsia"/>
                <w:kern w:val="0"/>
                <w:sz w:val="24"/>
                <w:lang w:eastAsia="zh-CN"/>
              </w:rPr>
              <w:t>）</w:t>
            </w:r>
            <w:r>
              <w:rPr>
                <w:kern w:val="0"/>
                <w:sz w:val="24"/>
              </w:rPr>
              <w:t>，</w:t>
            </w:r>
            <w:r>
              <w:rPr>
                <w:rFonts w:hint="eastAsia"/>
                <w:kern w:val="0"/>
                <w:sz w:val="24"/>
                <w:lang w:val="en-US" w:eastAsia="zh-CN"/>
              </w:rPr>
              <w:t>应设置电磁环境影响专项评价</w:t>
            </w: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1863" w:type="dxa"/>
            <w:gridSpan w:val="2"/>
            <w:tcMar>
              <w:top w:w="16" w:type="dxa"/>
              <w:left w:w="16" w:type="dxa"/>
              <w:right w:w="16" w:type="dxa"/>
            </w:tcMar>
            <w:vAlign w:val="center"/>
          </w:tcPr>
          <w:p>
            <w:pPr>
              <w:autoSpaceDE w:val="0"/>
              <w:autoSpaceDN w:val="0"/>
              <w:adjustRightInd w:val="0"/>
              <w:snapToGrid w:val="0"/>
              <w:spacing w:line="360" w:lineRule="auto"/>
              <w:jc w:val="center"/>
              <w:rPr>
                <w:kern w:val="0"/>
                <w:sz w:val="24"/>
              </w:rPr>
            </w:pPr>
            <w:r>
              <w:rPr>
                <w:sz w:val="24"/>
              </w:rPr>
              <w:t>规划情况</w:t>
            </w:r>
          </w:p>
        </w:tc>
        <w:tc>
          <w:tcPr>
            <w:tcW w:w="7991" w:type="dxa"/>
            <w:gridSpan w:val="5"/>
            <w:tcMar>
              <w:top w:w="16" w:type="dxa"/>
              <w:left w:w="16" w:type="dxa"/>
              <w:right w:w="16" w:type="dxa"/>
            </w:tcMar>
            <w:vAlign w:val="center"/>
          </w:tcPr>
          <w:p>
            <w:pPr>
              <w:spacing w:line="360" w:lineRule="auto"/>
              <w:jc w:val="center"/>
              <w:rPr>
                <w:kern w:val="0"/>
                <w:sz w:val="24"/>
              </w:rPr>
            </w:pPr>
            <w:r>
              <w:rPr>
                <w:rFonts w:hint="eastAsia"/>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863" w:type="dxa"/>
            <w:gridSpan w:val="2"/>
            <w:tcMar>
              <w:top w:w="16" w:type="dxa"/>
              <w:left w:w="16" w:type="dxa"/>
              <w:right w:w="16" w:type="dxa"/>
            </w:tcMar>
            <w:vAlign w:val="center"/>
          </w:tcPr>
          <w:p>
            <w:pPr>
              <w:autoSpaceDE w:val="0"/>
              <w:autoSpaceDN w:val="0"/>
              <w:adjustRightInd w:val="0"/>
              <w:snapToGrid w:val="0"/>
              <w:spacing w:line="360" w:lineRule="auto"/>
              <w:jc w:val="center"/>
              <w:rPr>
                <w:sz w:val="24"/>
              </w:rPr>
            </w:pPr>
            <w:r>
              <w:rPr>
                <w:sz w:val="24"/>
              </w:rPr>
              <w:t>规划环境影响</w:t>
            </w:r>
          </w:p>
          <w:p>
            <w:pPr>
              <w:autoSpaceDE w:val="0"/>
              <w:autoSpaceDN w:val="0"/>
              <w:adjustRightInd w:val="0"/>
              <w:snapToGrid w:val="0"/>
              <w:spacing w:line="360" w:lineRule="auto"/>
              <w:jc w:val="center"/>
              <w:rPr>
                <w:kern w:val="0"/>
                <w:sz w:val="24"/>
              </w:rPr>
            </w:pPr>
            <w:r>
              <w:rPr>
                <w:sz w:val="24"/>
              </w:rPr>
              <w:t>评价情况</w:t>
            </w:r>
          </w:p>
        </w:tc>
        <w:tc>
          <w:tcPr>
            <w:tcW w:w="7991" w:type="dxa"/>
            <w:gridSpan w:val="5"/>
            <w:tcMar>
              <w:top w:w="16" w:type="dxa"/>
              <w:left w:w="16" w:type="dxa"/>
              <w:right w:w="16" w:type="dxa"/>
            </w:tcMar>
            <w:vAlign w:val="center"/>
          </w:tcPr>
          <w:p>
            <w:pPr>
              <w:adjustRightInd w:val="0"/>
              <w:snapToGrid w:val="0"/>
              <w:spacing w:line="360" w:lineRule="auto"/>
              <w:jc w:val="center"/>
              <w:rPr>
                <w:kern w:val="0"/>
                <w:sz w:val="24"/>
              </w:rPr>
            </w:pPr>
            <w:r>
              <w:rPr>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863" w:type="dxa"/>
            <w:gridSpan w:val="2"/>
            <w:tcMar>
              <w:top w:w="16" w:type="dxa"/>
              <w:left w:w="16" w:type="dxa"/>
              <w:right w:w="16" w:type="dxa"/>
            </w:tcMar>
            <w:vAlign w:val="center"/>
          </w:tcPr>
          <w:p>
            <w:pPr>
              <w:autoSpaceDE w:val="0"/>
              <w:autoSpaceDN w:val="0"/>
              <w:adjustRightInd w:val="0"/>
              <w:snapToGrid w:val="0"/>
              <w:jc w:val="center"/>
              <w:rPr>
                <w:color w:val="0000FF"/>
                <w:kern w:val="0"/>
                <w:sz w:val="24"/>
              </w:rPr>
            </w:pPr>
            <w:r>
              <w:rPr>
                <w:color w:val="auto"/>
                <w:sz w:val="24"/>
              </w:rPr>
              <w:t>规划及规划环境影响评价符合性分析</w:t>
            </w:r>
          </w:p>
        </w:tc>
        <w:tc>
          <w:tcPr>
            <w:tcW w:w="7991" w:type="dxa"/>
            <w:gridSpan w:val="5"/>
            <w:tcMar>
              <w:top w:w="16" w:type="dxa"/>
              <w:left w:w="16" w:type="dxa"/>
              <w:right w:w="16" w:type="dxa"/>
            </w:tcMar>
            <w:vAlign w:val="center"/>
          </w:tcPr>
          <w:p>
            <w:pPr>
              <w:autoSpaceDE w:val="0"/>
              <w:autoSpaceDN w:val="0"/>
              <w:adjustRightInd w:val="0"/>
              <w:snapToGrid w:val="0"/>
              <w:jc w:val="center"/>
              <w:rPr>
                <w:rFonts w:hint="eastAsia" w:eastAsia="宋体"/>
                <w:color w:val="0000FF"/>
                <w:kern w:val="0"/>
                <w:sz w:val="24"/>
                <w:lang w:val="en-US" w:eastAsia="zh-CN"/>
              </w:rPr>
            </w:pPr>
            <w:r>
              <w:rPr>
                <w:rFonts w:hint="eastAsia"/>
                <w:color w:val="auto"/>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729" w:type="dxa"/>
            <w:tcMar>
              <w:top w:w="16" w:type="dxa"/>
              <w:left w:w="16" w:type="dxa"/>
              <w:right w:w="16" w:type="dxa"/>
            </w:tcMar>
            <w:vAlign w:val="center"/>
          </w:tcPr>
          <w:p>
            <w:pPr>
              <w:autoSpaceDE w:val="0"/>
              <w:autoSpaceDN w:val="0"/>
              <w:adjustRightInd w:val="0"/>
              <w:snapToGrid w:val="0"/>
              <w:jc w:val="center"/>
              <w:rPr>
                <w:color w:val="0000FF"/>
                <w:kern w:val="0"/>
                <w:sz w:val="24"/>
              </w:rPr>
            </w:pPr>
            <w:bookmarkStart w:id="7" w:name="_Hlk56690880"/>
            <w:r>
              <w:rPr>
                <w:color w:val="auto"/>
                <w:sz w:val="24"/>
              </w:rPr>
              <w:t>其他符合性分析</w:t>
            </w:r>
            <w:bookmarkEnd w:id="7"/>
          </w:p>
        </w:tc>
        <w:tc>
          <w:tcPr>
            <w:tcW w:w="9125" w:type="dxa"/>
            <w:gridSpan w:val="6"/>
            <w:tcMar>
              <w:top w:w="16" w:type="dxa"/>
              <w:left w:w="16" w:type="dxa"/>
              <w:right w:w="16" w:type="dxa"/>
            </w:tcMar>
            <w:vAlign w:val="center"/>
          </w:tcPr>
          <w:tbl>
            <w:tblPr>
              <w:tblStyle w:val="20"/>
              <w:tblW w:w="0" w:type="auto"/>
              <w:tblInd w:w="0" w:type="dxa"/>
              <w:tblLayout w:type="fixed"/>
              <w:tblCellMar>
                <w:top w:w="0" w:type="dxa"/>
                <w:left w:w="108" w:type="dxa"/>
                <w:bottom w:w="0" w:type="dxa"/>
                <w:right w:w="108" w:type="dxa"/>
              </w:tblCellMar>
            </w:tblPr>
            <w:tblGrid>
              <w:gridCol w:w="9056"/>
            </w:tblGrid>
            <w:tr>
              <w:tblPrEx>
                <w:tblCellMar>
                  <w:top w:w="0" w:type="dxa"/>
                  <w:left w:w="108" w:type="dxa"/>
                  <w:bottom w:w="0" w:type="dxa"/>
                  <w:right w:w="108" w:type="dxa"/>
                </w:tblCellMar>
              </w:tblPrEx>
              <w:trPr>
                <w:trHeight w:val="1062" w:hRule="atLeast"/>
              </w:trPr>
              <w:tc>
                <w:tcPr>
                  <w:tcW w:w="9056" w:type="dxa"/>
                </w:tcPr>
                <w:p>
                  <w:pPr>
                    <w:spacing w:line="360" w:lineRule="auto"/>
                    <w:ind w:firstLine="482" w:firstLineChars="200"/>
                    <w:jc w:val="left"/>
                    <w:rPr>
                      <w:b/>
                      <w:color w:val="auto"/>
                      <w:sz w:val="24"/>
                    </w:rPr>
                  </w:pPr>
                  <w:r>
                    <w:rPr>
                      <w:b/>
                      <w:color w:val="auto"/>
                      <w:sz w:val="24"/>
                    </w:rPr>
                    <w:t xml:space="preserve">1、产业政策符合性分析 </w:t>
                  </w:r>
                </w:p>
                <w:p>
                  <w:pPr>
                    <w:spacing w:line="360" w:lineRule="auto"/>
                    <w:ind w:firstLine="480" w:firstLineChars="200"/>
                    <w:jc w:val="left"/>
                    <w:rPr>
                      <w:color w:val="auto"/>
                      <w:sz w:val="24"/>
                    </w:rPr>
                  </w:pPr>
                  <w:r>
                    <w:rPr>
                      <w:rFonts w:hint="eastAsia"/>
                      <w:color w:val="auto"/>
                      <w:sz w:val="24"/>
                      <w:lang w:val="en-US" w:eastAsia="zh-CN"/>
                    </w:rPr>
                    <w:t>本项目属电力基础设施建设，是国家发展和改革委员会制订的《产业结构调整指导目录（2019年本）》（国家发展和改革委员会2019年第29号令）中第一类鼓励类（第四项中第10条：电网改造与建设，增量配电网建设）项目，符合国家现行产业政策</w:t>
                  </w:r>
                  <w:r>
                    <w:rPr>
                      <w:color w:val="auto"/>
                      <w:sz w:val="24"/>
                    </w:rPr>
                    <w:t>。</w:t>
                  </w:r>
                </w:p>
                <w:p>
                  <w:pPr>
                    <w:spacing w:line="360" w:lineRule="auto"/>
                    <w:ind w:firstLine="482" w:firstLineChars="200"/>
                    <w:jc w:val="left"/>
                    <w:rPr>
                      <w:b/>
                      <w:bCs/>
                      <w:color w:val="auto"/>
                      <w:sz w:val="24"/>
                    </w:rPr>
                  </w:pPr>
                  <w:r>
                    <w:rPr>
                      <w:b/>
                      <w:color w:val="auto"/>
                      <w:sz w:val="24"/>
                    </w:rPr>
                    <w:t>2、与“三线一单”的符合性</w:t>
                  </w:r>
                </w:p>
                <w:p>
                  <w:pPr>
                    <w:autoSpaceDE w:val="0"/>
                    <w:autoSpaceDN w:val="0"/>
                    <w:adjustRightInd w:val="0"/>
                    <w:snapToGrid w:val="0"/>
                    <w:spacing w:line="360" w:lineRule="auto"/>
                    <w:ind w:firstLine="480" w:firstLineChars="200"/>
                    <w:rPr>
                      <w:color w:val="auto"/>
                      <w:kern w:val="0"/>
                      <w:sz w:val="24"/>
                    </w:rPr>
                  </w:pPr>
                  <w:r>
                    <w:rPr>
                      <w:color w:val="auto"/>
                      <w:kern w:val="0"/>
                      <w:sz w:val="24"/>
                    </w:rPr>
                    <w:t>昆明市人民政府于2021年11月25日公开发布《昆明市人民政府关于昆明市“三线一单”生态环境分区管控的实施意见》，本项目符合性分析具体如下。</w:t>
                  </w:r>
                </w:p>
                <w:p>
                  <w:pPr>
                    <w:spacing w:line="360" w:lineRule="auto"/>
                    <w:ind w:firstLine="482" w:firstLineChars="200"/>
                    <w:rPr>
                      <w:b/>
                      <w:color w:val="auto"/>
                      <w:sz w:val="24"/>
                    </w:rPr>
                  </w:pPr>
                  <w:r>
                    <w:rPr>
                      <w:b/>
                      <w:color w:val="auto"/>
                      <w:sz w:val="24"/>
                    </w:rPr>
                    <w:t>（1）生态保护红线和一般生态空间</w:t>
                  </w:r>
                </w:p>
                <w:p>
                  <w:pPr>
                    <w:spacing w:line="360" w:lineRule="auto"/>
                    <w:ind w:firstLine="480" w:firstLineChars="200"/>
                    <w:rPr>
                      <w:color w:val="auto"/>
                      <w:sz w:val="24"/>
                    </w:rPr>
                  </w:pPr>
                  <w:r>
                    <w:rPr>
                      <w:color w:val="auto"/>
                      <w:sz w:val="24"/>
                    </w:rPr>
                    <w:t>“</w:t>
                  </w:r>
                  <w:r>
                    <w:rPr>
                      <w:b/>
                      <w:color w:val="auto"/>
                      <w:sz w:val="24"/>
                    </w:rPr>
                    <w:t>实施意见”要求</w:t>
                  </w:r>
                  <w:r>
                    <w:rPr>
                      <w:b/>
                      <w:color w:val="auto"/>
                      <w:kern w:val="0"/>
                      <w:sz w:val="24"/>
                    </w:rPr>
                    <w:t>：</w:t>
                  </w:r>
                  <w:r>
                    <w:rPr>
                      <w:color w:val="auto"/>
                      <w:sz w:val="24"/>
                    </w:rPr>
                    <w:t>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spacing w:line="360" w:lineRule="auto"/>
                    <w:ind w:firstLine="480" w:firstLineChars="200"/>
                    <w:rPr>
                      <w:color w:val="auto"/>
                      <w:sz w:val="24"/>
                    </w:rPr>
                  </w:pPr>
                  <w:r>
                    <w:rPr>
                      <w:color w:val="auto"/>
                      <w:sz w:val="24"/>
                    </w:rPr>
                    <w:t>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p>
                  <w:pPr>
                    <w:spacing w:line="360" w:lineRule="auto"/>
                    <w:ind w:firstLine="482" w:firstLineChars="200"/>
                    <w:rPr>
                      <w:color w:val="auto"/>
                      <w:sz w:val="24"/>
                    </w:rPr>
                  </w:pPr>
                  <w:r>
                    <w:rPr>
                      <w:b/>
                      <w:color w:val="auto"/>
                      <w:sz w:val="24"/>
                    </w:rPr>
                    <w:t>本项目情况：</w:t>
                  </w:r>
                  <w:r>
                    <w:rPr>
                      <w:color w:val="auto"/>
                      <w:sz w:val="24"/>
                    </w:rPr>
                    <w:t>根据自然资源局对本项目占地的范围进行对比，本项目未占用调整版的生态保护红线，本项目不涉及生态保护红线和生态敏感区域。本项目严格执行环评提出的生态环境保护措施后，可最大程度的减缓对生态环境的影响。本项目建设符合生态保护红线和一般生态空间要求。</w:t>
                  </w:r>
                </w:p>
                <w:p>
                  <w:pPr>
                    <w:spacing w:line="360" w:lineRule="auto"/>
                    <w:ind w:firstLine="482" w:firstLineChars="200"/>
                    <w:rPr>
                      <w:b/>
                      <w:color w:val="auto"/>
                      <w:sz w:val="24"/>
                    </w:rPr>
                  </w:pPr>
                  <w:r>
                    <w:rPr>
                      <w:b/>
                      <w:color w:val="auto"/>
                      <w:sz w:val="24"/>
                    </w:rPr>
                    <w:t>（2）环境质量底线</w:t>
                  </w:r>
                </w:p>
                <w:p>
                  <w:pPr>
                    <w:spacing w:line="360" w:lineRule="auto"/>
                    <w:ind w:firstLine="480" w:firstLineChars="200"/>
                    <w:rPr>
                      <w:color w:val="auto"/>
                      <w:sz w:val="24"/>
                    </w:rPr>
                  </w:pPr>
                  <w:r>
                    <w:rPr>
                      <w:color w:val="auto"/>
                      <w:sz w:val="24"/>
                    </w:rPr>
                    <w:t>《昆明市人民政府关于昆明市“三线一单” 生态环境分区管控的实施意见》对环境质量底线设定了2025年和2035年两个目标，环境质量底线和本项目相关的要求及符合性分析如下：</w:t>
                  </w:r>
                </w:p>
                <w:p>
                  <w:pPr>
                    <w:spacing w:line="360" w:lineRule="auto"/>
                    <w:ind w:firstLine="482" w:firstLineChars="200"/>
                    <w:rPr>
                      <w:b/>
                      <w:color w:val="auto"/>
                      <w:sz w:val="24"/>
                    </w:rPr>
                  </w:pPr>
                  <w:r>
                    <w:rPr>
                      <w:b/>
                      <w:color w:val="auto"/>
                      <w:sz w:val="24"/>
                    </w:rPr>
                    <w:t>1）生态环境质量底线</w:t>
                  </w:r>
                </w:p>
                <w:p>
                  <w:pPr>
                    <w:spacing w:line="360" w:lineRule="auto"/>
                    <w:ind w:firstLine="480" w:firstLineChars="200"/>
                    <w:rPr>
                      <w:color w:val="auto"/>
                      <w:sz w:val="24"/>
                    </w:rPr>
                  </w:pPr>
                  <w:r>
                    <w:rPr>
                      <w:color w:val="auto"/>
                      <w:sz w:val="24"/>
                    </w:rPr>
                    <w:t>“</w:t>
                  </w:r>
                  <w:r>
                    <w:rPr>
                      <w:b/>
                      <w:color w:val="auto"/>
                      <w:sz w:val="24"/>
                    </w:rPr>
                    <w:t>实施意见”要求：</w:t>
                  </w:r>
                  <w:r>
                    <w:rPr>
                      <w:color w:val="auto"/>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2" w:firstLineChars="200"/>
                    <w:rPr>
                      <w:color w:val="auto"/>
                      <w:sz w:val="24"/>
                    </w:rPr>
                  </w:pPr>
                  <w:r>
                    <w:rPr>
                      <w:b/>
                      <w:color w:val="auto"/>
                      <w:sz w:val="24"/>
                    </w:rPr>
                    <w:t>本项目情况：</w:t>
                  </w:r>
                  <w:r>
                    <w:rPr>
                      <w:color w:val="auto"/>
                      <w:sz w:val="24"/>
                    </w:rPr>
                    <w:t>根据自然资源局对</w:t>
                  </w:r>
                  <w:r>
                    <w:rPr>
                      <w:rFonts w:hint="eastAsia"/>
                      <w:color w:val="auto"/>
                      <w:sz w:val="24"/>
                      <w:lang w:val="en-US" w:eastAsia="zh-CN"/>
                    </w:rPr>
                    <w:t>光伏电站</w:t>
                  </w:r>
                  <w:r>
                    <w:rPr>
                      <w:color w:val="auto"/>
                      <w:sz w:val="24"/>
                    </w:rPr>
                    <w:t>占地的范围进行对比，本项目未占用调整版的生态保护红线，本项目严格执行环评提出的生态环境保护措施后，可最大程度的减缓对生态环境的影响，因此本项目建设和生态环境质量底线不冲突。</w:t>
                  </w:r>
                </w:p>
                <w:p>
                  <w:pPr>
                    <w:spacing w:line="360" w:lineRule="auto"/>
                    <w:ind w:firstLine="482" w:firstLineChars="200"/>
                    <w:rPr>
                      <w:b/>
                      <w:color w:val="auto"/>
                      <w:sz w:val="24"/>
                    </w:rPr>
                  </w:pPr>
                  <w:r>
                    <w:rPr>
                      <w:b/>
                      <w:color w:val="auto"/>
                      <w:sz w:val="24"/>
                    </w:rPr>
                    <w:t>2）环境空气质量底线</w:t>
                  </w:r>
                </w:p>
                <w:p>
                  <w:pPr>
                    <w:spacing w:line="360" w:lineRule="auto"/>
                    <w:ind w:firstLine="482" w:firstLineChars="200"/>
                    <w:rPr>
                      <w:color w:val="auto"/>
                      <w:sz w:val="24"/>
                    </w:rPr>
                  </w:pPr>
                  <w:r>
                    <w:rPr>
                      <w:b/>
                      <w:color w:val="auto"/>
                      <w:sz w:val="24"/>
                    </w:rPr>
                    <w:t>“实施意见”要求：</w:t>
                  </w:r>
                  <w:r>
                    <w:rPr>
                      <w:color w:val="auto"/>
                      <w:sz w:val="24"/>
                    </w:rPr>
                    <w:t>到2025年，全市环境空气质量总体保持优良，主城建成区空气质量优良天数占比达99%以上，二氧化硫（SO</w:t>
                  </w:r>
                  <w:r>
                    <w:rPr>
                      <w:color w:val="auto"/>
                      <w:sz w:val="24"/>
                      <w:vertAlign w:val="subscript"/>
                    </w:rPr>
                    <w:t>2</w:t>
                  </w:r>
                  <w:r>
                    <w:rPr>
                      <w:color w:val="auto"/>
                      <w:sz w:val="24"/>
                    </w:rPr>
                    <w:t>）和氮氧化物（NOx）排放总量控制在省下达的目标以内，主城区空气中颗粒物（PM</w:t>
                  </w:r>
                  <w:r>
                    <w:rPr>
                      <w:color w:val="auto"/>
                      <w:sz w:val="24"/>
                      <w:vertAlign w:val="subscript"/>
                    </w:rPr>
                    <w:t>10</w:t>
                  </w:r>
                  <w:r>
                    <w:rPr>
                      <w:color w:val="auto"/>
                      <w:sz w:val="24"/>
                    </w:rPr>
                    <w:t>、PM</w:t>
                  </w:r>
                  <w:r>
                    <w:rPr>
                      <w:color w:val="auto"/>
                      <w:sz w:val="24"/>
                      <w:vertAlign w:val="subscript"/>
                    </w:rPr>
                    <w:t>2.5</w:t>
                  </w:r>
                  <w:r>
                    <w:rPr>
                      <w:color w:val="auto"/>
                      <w:sz w:val="24"/>
                    </w:rPr>
                    <w:t>）稳定达《环境空气质量标准》二级标准以上。到2035年，全市环境空气质量全面改善，各县（市）区、开发（度假）区环境空气质量稳定达到国家二级标准。</w:t>
                  </w:r>
                </w:p>
                <w:p>
                  <w:pPr>
                    <w:spacing w:line="360" w:lineRule="auto"/>
                    <w:ind w:firstLine="482" w:firstLineChars="200"/>
                    <w:rPr>
                      <w:color w:val="auto"/>
                      <w:sz w:val="24"/>
                    </w:rPr>
                  </w:pPr>
                  <w:r>
                    <w:rPr>
                      <w:b/>
                      <w:color w:val="auto"/>
                      <w:sz w:val="24"/>
                    </w:rPr>
                    <w:t>本项目情况：</w:t>
                  </w:r>
                  <w:r>
                    <w:rPr>
                      <w:color w:val="auto"/>
                      <w:sz w:val="24"/>
                    </w:rPr>
                    <w:t>根据调查，现目选址区域内空气环境可达到《环境空气质量标准》（GB</w:t>
                  </w:r>
                  <w:r>
                    <w:rPr>
                      <w:rFonts w:hint="eastAsia"/>
                      <w:color w:val="auto"/>
                      <w:sz w:val="24"/>
                      <w:lang w:eastAsia="zh-CN"/>
                    </w:rPr>
                    <w:t>****</w:t>
                  </w:r>
                  <w:r>
                    <w:rPr>
                      <w:color w:val="auto"/>
                      <w:sz w:val="24"/>
                    </w:rPr>
                    <w:t>-2012）二级标准，属于空气达标区。本项目大气污染物主要集中于施工期，主要污染物颗粒物，在做好施工管理工作后，本项目对大气环境的影响不大且影响时间较短，因此本项目建设满足环境空气质量底线要求。</w:t>
                  </w:r>
                </w:p>
                <w:p>
                  <w:pPr>
                    <w:spacing w:line="360" w:lineRule="auto"/>
                    <w:ind w:firstLine="482" w:firstLineChars="200"/>
                    <w:rPr>
                      <w:b/>
                      <w:color w:val="auto"/>
                      <w:sz w:val="24"/>
                    </w:rPr>
                  </w:pPr>
                  <w:r>
                    <w:rPr>
                      <w:b/>
                      <w:color w:val="auto"/>
                      <w:sz w:val="24"/>
                    </w:rPr>
                    <w:t>3）地表水环境质量底线</w:t>
                  </w:r>
                </w:p>
                <w:p>
                  <w:pPr>
                    <w:spacing w:line="360" w:lineRule="auto"/>
                    <w:ind w:firstLine="482" w:firstLineChars="200"/>
                    <w:rPr>
                      <w:color w:val="auto"/>
                      <w:sz w:val="24"/>
                    </w:rPr>
                  </w:pPr>
                  <w:r>
                    <w:rPr>
                      <w:b/>
                      <w:color w:val="auto"/>
                      <w:sz w:val="24"/>
                    </w:rPr>
                    <w:t>“实施意见”要求：</w:t>
                  </w:r>
                  <w:r>
                    <w:rPr>
                      <w:color w:val="auto"/>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V类水体，集中式饮用水水源水质稳定达标。</w:t>
                  </w:r>
                </w:p>
                <w:p>
                  <w:pPr>
                    <w:spacing w:line="360" w:lineRule="auto"/>
                    <w:ind w:firstLine="482" w:firstLineChars="200"/>
                    <w:rPr>
                      <w:color w:val="auto"/>
                      <w:sz w:val="24"/>
                    </w:rPr>
                  </w:pPr>
                  <w:r>
                    <w:rPr>
                      <w:b/>
                      <w:color w:val="auto"/>
                      <w:sz w:val="24"/>
                    </w:rPr>
                    <w:t>本项目情况：</w:t>
                  </w:r>
                  <w:r>
                    <w:rPr>
                      <w:color w:val="auto"/>
                      <w:sz w:val="24"/>
                    </w:rPr>
                    <w:t>根据调查，本项目地表水体大水沟断面水质，金沙江蒙姑断面均可达到《地表水环境质量标准》（GB</w:t>
                  </w:r>
                  <w:r>
                    <w:rPr>
                      <w:rFonts w:hint="eastAsia"/>
                      <w:color w:val="auto"/>
                      <w:sz w:val="24"/>
                      <w:lang w:eastAsia="zh-CN"/>
                    </w:rPr>
                    <w:t>****</w:t>
                  </w:r>
                  <w:r>
                    <w:rPr>
                      <w:color w:val="auto"/>
                      <w:sz w:val="24"/>
                    </w:rPr>
                    <w:t>-2002）III类标准；且本项目施工运行期间无废水外排入环境，不会改变区域地表水环境现状，因此本项目建设满足地表水环境质量底线要求。</w:t>
                  </w:r>
                </w:p>
                <w:p>
                  <w:pPr>
                    <w:spacing w:line="360" w:lineRule="auto"/>
                    <w:ind w:firstLine="482" w:firstLineChars="200"/>
                    <w:rPr>
                      <w:b/>
                      <w:color w:val="auto"/>
                      <w:sz w:val="24"/>
                    </w:rPr>
                  </w:pPr>
                  <w:r>
                    <w:rPr>
                      <w:b/>
                      <w:color w:val="auto"/>
                      <w:sz w:val="24"/>
                    </w:rPr>
                    <w:t>4）土壤环境质量底线</w:t>
                  </w:r>
                </w:p>
                <w:p>
                  <w:pPr>
                    <w:spacing w:line="360" w:lineRule="auto"/>
                    <w:ind w:firstLine="482" w:firstLineChars="200"/>
                    <w:rPr>
                      <w:color w:val="0000FF"/>
                      <w:sz w:val="24"/>
                    </w:rPr>
                  </w:pPr>
                  <w:r>
                    <w:rPr>
                      <w:b/>
                      <w:color w:val="auto"/>
                      <w:sz w:val="24"/>
                    </w:rPr>
                    <w:t>“实施意见”要求：</w:t>
                  </w:r>
                  <w:r>
                    <w:rPr>
                      <w:color w:val="auto"/>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2" w:firstLineChars="200"/>
                    <w:rPr>
                      <w:color w:val="auto"/>
                      <w:sz w:val="24"/>
                    </w:rPr>
                  </w:pPr>
                  <w:r>
                    <w:rPr>
                      <w:b/>
                      <w:color w:val="auto"/>
                      <w:sz w:val="24"/>
                    </w:rPr>
                    <w:t>本项目情况：</w:t>
                  </w:r>
                  <w:r>
                    <w:rPr>
                      <w:color w:val="auto"/>
                      <w:sz w:val="24"/>
                    </w:rPr>
                    <w:t>根据调查，本项目建设对土壤环境影响较小，只要严格执行相应的土壤环境保护措施，本项目建设不会改变区域土壤环境功能要求，因此本项目建设满足土壤环境质量底线要求。</w:t>
                  </w:r>
                </w:p>
                <w:p>
                  <w:pPr>
                    <w:spacing w:line="360" w:lineRule="auto"/>
                    <w:ind w:firstLine="482" w:firstLineChars="200"/>
                    <w:rPr>
                      <w:b/>
                      <w:color w:val="auto"/>
                      <w:sz w:val="24"/>
                    </w:rPr>
                  </w:pPr>
                  <w:r>
                    <w:rPr>
                      <w:b/>
                      <w:color w:val="auto"/>
                      <w:sz w:val="24"/>
                    </w:rPr>
                    <w:t>（3）资源利用上线</w:t>
                  </w:r>
                </w:p>
                <w:p>
                  <w:pPr>
                    <w:spacing w:line="360" w:lineRule="auto"/>
                    <w:ind w:firstLine="480" w:firstLineChars="200"/>
                    <w:rPr>
                      <w:color w:val="auto"/>
                      <w:sz w:val="24"/>
                    </w:rPr>
                  </w:pPr>
                  <w:r>
                    <w:rPr>
                      <w:color w:val="auto"/>
                      <w:sz w:val="24"/>
                    </w:rPr>
                    <w:t>《昆明市人民政府关于昆明市“三线一单”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color w:val="auto"/>
                      <w:sz w:val="24"/>
                    </w:rPr>
                  </w:pPr>
                  <w:r>
                    <w:rPr>
                      <w:color w:val="auto"/>
                      <w:sz w:val="24"/>
                    </w:rPr>
                    <w:t>根据调查，本项目主要用水环节为生活用水，用水量较全市工业用水量占比极小，本项目能耗较低，因此本项目资源利用符合资源利用上线要求。</w:t>
                  </w:r>
                </w:p>
                <w:p>
                  <w:pPr>
                    <w:spacing w:line="360" w:lineRule="auto"/>
                    <w:ind w:firstLine="482" w:firstLineChars="200"/>
                    <w:rPr>
                      <w:b/>
                      <w:color w:val="auto"/>
                      <w:sz w:val="24"/>
                    </w:rPr>
                  </w:pPr>
                  <w:r>
                    <w:rPr>
                      <w:b/>
                      <w:color w:val="auto"/>
                      <w:sz w:val="24"/>
                    </w:rPr>
                    <w:t>（4）环境准入负面清单</w:t>
                  </w:r>
                </w:p>
                <w:p>
                  <w:pPr>
                    <w:spacing w:line="360" w:lineRule="auto"/>
                    <w:ind w:firstLine="480" w:firstLineChars="200"/>
                    <w:rPr>
                      <w:color w:val="auto"/>
                      <w:sz w:val="24"/>
                    </w:rPr>
                  </w:pPr>
                  <w:r>
                    <w:rPr>
                      <w:color w:val="auto"/>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color w:val="auto"/>
                      <w:sz w:val="32"/>
                    </w:rPr>
                  </w:pPr>
                  <w:r>
                    <w:rPr>
                      <w:color w:val="auto"/>
                      <w:sz w:val="24"/>
                    </w:rPr>
                    <w:t>根据调查，本项目位于云南省昆明市东川区舍块乡云坪村、因民镇红山村境内，对照昆明市环境管控单元分类图，本项目属于一般管控单元，根据东川区环境管控单元生态环境准入清单的管理要求，本项目环境准入负面清单符合性对照具体如下。</w:t>
                  </w:r>
                </w:p>
                <w:p>
                  <w:pPr>
                    <w:spacing w:line="360" w:lineRule="auto"/>
                    <w:jc w:val="center"/>
                    <w:rPr>
                      <w:b/>
                      <w:color w:val="auto"/>
                      <w:sz w:val="24"/>
                    </w:rPr>
                  </w:pPr>
                  <w:r>
                    <w:rPr>
                      <w:b/>
                      <w:color w:val="auto"/>
                      <w:sz w:val="24"/>
                    </w:rPr>
                    <w:t>表1-2  与东川区环境管控单元生态环境准入清单符合性分析一览表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653"/>
                    <w:gridCol w:w="3751"/>
                    <w:gridCol w:w="263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单元名称</w:t>
                        </w:r>
                      </w:p>
                    </w:tc>
                    <w:tc>
                      <w:tcPr>
                        <w:tcW w:w="440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管控要求</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项目实际情况</w:t>
                        </w:r>
                      </w:p>
                    </w:tc>
                    <w:tc>
                      <w:tcPr>
                        <w:tcW w:w="736"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东川区一般管控单元（ZH</w:t>
                        </w:r>
                        <w:r>
                          <w:rPr>
                            <w:rFonts w:hint="eastAsia"/>
                            <w:bCs/>
                            <w:color w:val="auto"/>
                            <w:kern w:val="32"/>
                            <w:szCs w:val="21"/>
                            <w:lang w:val="zh-CN"/>
                          </w:rPr>
                          <w:t>***********</w:t>
                        </w:r>
                        <w:r>
                          <w:rPr>
                            <w:bCs/>
                            <w:color w:val="auto"/>
                            <w:kern w:val="32"/>
                            <w:szCs w:val="21"/>
                            <w:lang w:val="zh-CN"/>
                          </w:rPr>
                          <w:t>）</w:t>
                        </w:r>
                      </w:p>
                    </w:tc>
                    <w:tc>
                      <w:tcPr>
                        <w:tcW w:w="653"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空间布局约束</w:t>
                        </w:r>
                      </w:p>
                    </w:tc>
                    <w:tc>
                      <w:tcPr>
                        <w:tcW w:w="3751"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1.禁止在林地、河湖管理范围内新建、改建、扩建房地产开发项目。禁止围湖造田和侵占江河滩地。</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2.禁止破坏珍稀野生动植物的重要栖息地，不得阻碍野生动物的重要迁徙通道。</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3.禁止猎捕国家重点保护陆生野生动物，因特殊需要捕猎的，按照国家有关法规办理。</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4.禁止企业向滩涂、沼泽、荒地等未利用地非法排污、倾倒有毒有害物质。</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1.本项目属于</w:t>
                        </w:r>
                        <w:r>
                          <w:rPr>
                            <w:rFonts w:hint="eastAsia"/>
                            <w:bCs/>
                            <w:color w:val="auto"/>
                            <w:kern w:val="32"/>
                            <w:szCs w:val="21"/>
                            <w:lang w:val="en-US" w:eastAsia="zh-CN"/>
                          </w:rPr>
                          <w:t>输变电工程</w:t>
                        </w:r>
                        <w:r>
                          <w:rPr>
                            <w:bCs/>
                            <w:color w:val="auto"/>
                            <w:kern w:val="32"/>
                            <w:szCs w:val="21"/>
                            <w:lang w:val="zh-CN"/>
                          </w:rPr>
                          <w:t>，不属于房地产开发项目，未使用湖泊，未侵占河滩；</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2.本项目不涉及保护陆生动物的迁徙通道；</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3.做好施工管理工作后，项目建设过程中可避免猎捕现象发生；</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0000FF"/>
                            <w:kern w:val="32"/>
                            <w:szCs w:val="21"/>
                            <w:lang w:val="zh-CN"/>
                          </w:rPr>
                        </w:pPr>
                        <w:r>
                          <w:rPr>
                            <w:bCs/>
                            <w:color w:val="auto"/>
                            <w:kern w:val="32"/>
                            <w:szCs w:val="21"/>
                            <w:lang w:val="zh-CN"/>
                          </w:rPr>
                          <w:t>4.本项目施工期运营期固体废物经环评提出的保护措施之后，得到有效处理处置，推存方式合理，可避免非法排污和倾倒有毒有害物质行为发生；</w:t>
                        </w:r>
                      </w:p>
                    </w:tc>
                    <w:tc>
                      <w:tcPr>
                        <w:tcW w:w="736"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jc w:val="center"/>
                          <w:rPr>
                            <w:bCs/>
                            <w:color w:val="auto"/>
                            <w:kern w:val="32"/>
                            <w:szCs w:val="21"/>
                            <w:lang w:val="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污染物排放管控</w:t>
                        </w:r>
                      </w:p>
                    </w:tc>
                    <w:tc>
                      <w:tcPr>
                        <w:tcW w:w="3751"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1.严格控制"两高"行业新增产能，新、改、扩建项目要实行产能等量或减量置换。</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2.严格用地准入，工业用地及物流仓储用地供地前，国土部门需对拟供地块进行土壤环境状况调查，评估环境污染风险后方可供地。</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3.受重金属污染物或者其他有毒有害污染的农用场地，达不到国家有关标准的，禁止种植使用农产品。</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4.禁止在禁渔区、禁渔期进行捕捞。禁止使用小于最小网目尺寸的网具进行捕捞，未依法取得捕捞许可证擅自捕捞。</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1.对照《云南省发展和改革委员会关于进一步开展“两高”项目梳理排查的函》（云发改产业函〔2021]295号），本项目不涉及“两高”行业；</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2.本项目不涉及工业用地及物流仓储用地使用；</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3.本项目使用地块为林地和牧草地，避让了农用土地；</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4.本项目不涉及河流，无捕捞行为发生；</w:t>
                        </w:r>
                      </w:p>
                    </w:tc>
                    <w:tc>
                      <w:tcPr>
                        <w:tcW w:w="736"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jc w:val="center"/>
                          <w:rPr>
                            <w:bCs/>
                            <w:color w:val="auto"/>
                            <w:kern w:val="32"/>
                            <w:szCs w:val="21"/>
                            <w:lang w:val="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环境风险防控</w:t>
                        </w:r>
                      </w:p>
                    </w:tc>
                    <w:tc>
                      <w:tcPr>
                        <w:tcW w:w="3751"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1.严格限制《环境保护综合名录》(2017年版）中“高污染、高环境风险产品与工艺装备。</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2.禁止使用剧毒、高残留以及可能二次中毒的农药。</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3.严格污染场地开发利用和流转审批，在影响健康地块修复达标之前，禁止建设居民区、学校、医疗和养老机构。</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1.对照《环境保护综合名录》(2017年版），本项目不涉及高污染、高环境风险产品与工艺装备；</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2.本项目不涉及农药的使用；</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3.本项目不涉及居民区、学校、医疗和养老机构建设，同时本项目使用地块为未利用荒地，不存在污染地块使用；</w:t>
                        </w:r>
                      </w:p>
                    </w:tc>
                    <w:tc>
                      <w:tcPr>
                        <w:tcW w:w="736"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jc w:val="center"/>
                          <w:rPr>
                            <w:bCs/>
                            <w:color w:val="auto"/>
                            <w:kern w:val="32"/>
                            <w:szCs w:val="21"/>
                            <w:lang w:val="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color w:val="auto"/>
                            <w:kern w:val="32"/>
                            <w:szCs w:val="21"/>
                            <w:lang w:val="zh-CN"/>
                          </w:rPr>
                        </w:pPr>
                        <w:r>
                          <w:rPr>
                            <w:bCs/>
                            <w:color w:val="auto"/>
                            <w:kern w:val="32"/>
                            <w:szCs w:val="21"/>
                            <w:lang w:val="zh-CN"/>
                          </w:rPr>
                          <w:t>资源开发效率要求</w:t>
                        </w:r>
                      </w:p>
                    </w:tc>
                    <w:tc>
                      <w:tcPr>
                        <w:tcW w:w="3751"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1.禁止新建、改扩建《高耗水工艺、技术和装备淘汰目录》中项目，现有企业应限期关停退出。禁止建设不符合《云南省用水定额》标准的项自。</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2.新建、改建和扩建《产业结构调整指导自录(2019年本)》（发改委发〔2019)29号)明令淘汰的落后工艺技术，装备或者生产明令淘汰产品的建设项目，国土资源管理部门和投资管理部门一律不得办理相关手续。</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3.新建、扩建和改建《限制用地项目目录（2012年本）》(国土资发〔2012))中建设项目，必须符合目录规定条件，国土资源管理部门和投资管理部门方可办理相关手续。</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4.新建、改建、扩建工业项目投资强度、容积率、建筑系数、行政办公及生活服务设施用地所占比重应符合《工业项目建设用地控制指标》(国土资发〔2008〕24号)。</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5.禁止生产高耗能落后设备产品，现有工业企业应限期关停退出。</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1.对照《高耗水工艺、技术和装备淘汰目录》，本项目不涉及淘汰装备；项目用水量计算过程中采用《云南省用水定额》标准进行核算；</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2.对照《产业结构调整指导自录(2019年本)》，本项目不涉及淘汰的落后工艺技术、装备、产品；</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3.对照《限制用地项目目录（2012年本）》(国土资发〔2012))，本项目不涉及限制用地；</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auto"/>
                            <w:kern w:val="32"/>
                            <w:szCs w:val="21"/>
                            <w:lang w:val="zh-CN"/>
                          </w:rPr>
                        </w:pPr>
                        <w:r>
                          <w:rPr>
                            <w:bCs/>
                            <w:color w:val="auto"/>
                            <w:kern w:val="32"/>
                            <w:szCs w:val="21"/>
                            <w:lang w:val="zh-CN"/>
                          </w:rPr>
                          <w:t>4.项目不属于工业项目投资；</w:t>
                        </w:r>
                      </w:p>
                      <w:p>
                        <w:pPr>
                          <w:widowControl/>
                          <w:tabs>
                            <w:tab w:val="left" w:pos="540"/>
                            <w:tab w:val="left" w:pos="851"/>
                            <w:tab w:val="left" w:pos="994"/>
                            <w:tab w:val="left" w:pos="1260"/>
                            <w:tab w:val="left" w:pos="3108"/>
                            <w:tab w:val="left" w:pos="3150"/>
                          </w:tabs>
                          <w:wordWrap w:val="0"/>
                          <w:overflowPunct w:val="0"/>
                          <w:topLinePunct/>
                          <w:adjustRightInd w:val="0"/>
                          <w:jc w:val="center"/>
                          <w:rPr>
                            <w:bCs/>
                            <w:color w:val="0000FF"/>
                            <w:kern w:val="32"/>
                            <w:szCs w:val="21"/>
                            <w:lang w:val="zh-CN"/>
                          </w:rPr>
                        </w:pPr>
                        <w:r>
                          <w:rPr>
                            <w:bCs/>
                            <w:color w:val="auto"/>
                            <w:kern w:val="32"/>
                            <w:szCs w:val="21"/>
                            <w:lang w:val="zh-CN"/>
                          </w:rPr>
                          <w:t>5.项目不属于工业项目投资，同时不涉及高耗能落后的设备产品；</w:t>
                        </w:r>
                      </w:p>
                    </w:tc>
                    <w:tc>
                      <w:tcPr>
                        <w:tcW w:w="736" w:type="dxa"/>
                        <w:tcBorders>
                          <w:top w:val="single" w:color="auto" w:sz="4" w:space="0"/>
                          <w:left w:val="single" w:color="auto" w:sz="4" w:space="0"/>
                          <w:bottom w:val="single" w:color="auto" w:sz="4" w:space="0"/>
                          <w:right w:val="single" w:color="auto" w:sz="4" w:space="0"/>
                        </w:tcBorders>
                        <w:vAlign w:val="center"/>
                      </w:tcPr>
                      <w:p>
                        <w:pPr>
                          <w:widowControl/>
                          <w:tabs>
                            <w:tab w:val="left" w:pos="540"/>
                            <w:tab w:val="left" w:pos="851"/>
                            <w:tab w:val="left" w:pos="994"/>
                            <w:tab w:val="left" w:pos="1260"/>
                            <w:tab w:val="left" w:pos="3108"/>
                            <w:tab w:val="left" w:pos="3150"/>
                          </w:tabs>
                          <w:wordWrap w:val="0"/>
                          <w:overflowPunct w:val="0"/>
                          <w:topLinePunct/>
                          <w:adjustRightInd w:val="0"/>
                          <w:jc w:val="center"/>
                          <w:rPr>
                            <w:bCs/>
                            <w:color w:val="0000FF"/>
                            <w:kern w:val="32"/>
                            <w:szCs w:val="21"/>
                            <w:lang w:val="zh-CN"/>
                          </w:rPr>
                        </w:pPr>
                        <w:r>
                          <w:rPr>
                            <w:bCs/>
                            <w:color w:val="auto"/>
                            <w:kern w:val="32"/>
                            <w:szCs w:val="21"/>
                            <w:lang w:val="zh-CN"/>
                          </w:rPr>
                          <w:t>符合</w:t>
                        </w:r>
                      </w:p>
                    </w:tc>
                  </w:tr>
                </w:tbl>
                <w:p>
                  <w:pPr>
                    <w:spacing w:before="120" w:beforeLines="50" w:line="360" w:lineRule="auto"/>
                    <w:ind w:firstLine="480" w:firstLineChars="200"/>
                    <w:rPr>
                      <w:color w:val="auto"/>
                      <w:sz w:val="24"/>
                    </w:rPr>
                  </w:pPr>
                  <w:r>
                    <w:rPr>
                      <w:color w:val="auto"/>
                      <w:sz w:val="24"/>
                    </w:rPr>
                    <w:t>由上表可知，项目建设满足东川区环境管控单元生态环境准入清单的相关要求。</w:t>
                  </w:r>
                </w:p>
                <w:p>
                  <w:pPr>
                    <w:spacing w:line="360" w:lineRule="auto"/>
                    <w:ind w:firstLine="480" w:firstLineChars="200"/>
                    <w:rPr>
                      <w:color w:val="auto"/>
                      <w:sz w:val="24"/>
                    </w:rPr>
                  </w:pPr>
                  <w:r>
                    <w:rPr>
                      <w:color w:val="auto"/>
                      <w:sz w:val="24"/>
                    </w:rPr>
                    <w:t>综上分析，项目建设符合昆明市“三线一单”要求。</w:t>
                  </w:r>
                </w:p>
                <w:p>
                  <w:pPr>
                    <w:pStyle w:val="38"/>
                    <w:ind w:firstLine="482"/>
                    <w:rPr>
                      <w:rFonts w:ascii="Times New Roman" w:hAnsi="Times New Roman" w:cs="Times New Roman"/>
                      <w:b/>
                      <w:color w:val="auto"/>
                    </w:rPr>
                  </w:pPr>
                  <w:r>
                    <w:rPr>
                      <w:rFonts w:ascii="Times New Roman" w:hAnsi="Times New Roman" w:cs="Times New Roman"/>
                      <w:b/>
                      <w:color w:val="auto"/>
                    </w:rPr>
                    <w:t>3、与《长江经济带发展负面清单指南（试行，2022年版）》符合性分析</w:t>
                  </w:r>
                </w:p>
                <w:p>
                  <w:pPr>
                    <w:pStyle w:val="38"/>
                    <w:rPr>
                      <w:rFonts w:ascii="Times New Roman" w:hAnsi="Times New Roman" w:cs="Times New Roman"/>
                      <w:color w:val="auto"/>
                    </w:rPr>
                  </w:pPr>
                  <w:r>
                    <w:rPr>
                      <w:rFonts w:ascii="Times New Roman" w:hAnsi="Times New Roman" w:cs="Times New Roman"/>
                      <w:color w:val="auto"/>
                    </w:rPr>
                    <w:t>根据2022年1月19日推动长江经济带发展领导小组办公室关于印发《长江经济带发展负面清单指南（试行，2022年版）》的通知，本项目与其符合性分析如下：</w:t>
                  </w:r>
                </w:p>
                <w:p>
                  <w:pPr>
                    <w:jc w:val="center"/>
                    <w:rPr>
                      <w:b/>
                      <w:bCs/>
                      <w:color w:val="auto"/>
                      <w:sz w:val="24"/>
                    </w:rPr>
                  </w:pPr>
                  <w:r>
                    <w:rPr>
                      <w:b/>
                      <w:bCs/>
                      <w:color w:val="auto"/>
                      <w:sz w:val="24"/>
                    </w:rPr>
                    <w:t>表1-3  项目与长江经济带发展负面清单指南符合性分析一览表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162"/>
                    <w:gridCol w:w="348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b/>
                            <w:bCs/>
                            <w:color w:val="auto"/>
                            <w:szCs w:val="21"/>
                          </w:rPr>
                        </w:pPr>
                        <w:r>
                          <w:rPr>
                            <w:b/>
                            <w:bCs/>
                            <w:color w:val="auto"/>
                            <w:szCs w:val="21"/>
                          </w:rPr>
                          <w:t>序号</w:t>
                        </w:r>
                      </w:p>
                    </w:tc>
                    <w:tc>
                      <w:tcPr>
                        <w:tcW w:w="4162" w:type="dxa"/>
                        <w:vAlign w:val="center"/>
                      </w:tcPr>
                      <w:p>
                        <w:pPr>
                          <w:jc w:val="center"/>
                          <w:rPr>
                            <w:b/>
                            <w:bCs/>
                            <w:color w:val="auto"/>
                            <w:szCs w:val="21"/>
                          </w:rPr>
                        </w:pPr>
                        <w:r>
                          <w:rPr>
                            <w:b/>
                            <w:bCs/>
                            <w:color w:val="auto"/>
                            <w:szCs w:val="21"/>
                          </w:rPr>
                          <w:t>指南要求</w:t>
                        </w:r>
                      </w:p>
                    </w:tc>
                    <w:tc>
                      <w:tcPr>
                        <w:tcW w:w="3481" w:type="dxa"/>
                        <w:vAlign w:val="center"/>
                      </w:tcPr>
                      <w:p>
                        <w:pPr>
                          <w:jc w:val="center"/>
                          <w:rPr>
                            <w:b/>
                            <w:bCs/>
                            <w:color w:val="auto"/>
                            <w:szCs w:val="21"/>
                          </w:rPr>
                        </w:pPr>
                        <w:r>
                          <w:rPr>
                            <w:b/>
                            <w:bCs/>
                            <w:color w:val="auto"/>
                            <w:szCs w:val="21"/>
                          </w:rPr>
                          <w:t>项目情况</w:t>
                        </w:r>
                      </w:p>
                    </w:tc>
                    <w:tc>
                      <w:tcPr>
                        <w:tcW w:w="737" w:type="dxa"/>
                        <w:vAlign w:val="center"/>
                      </w:tcPr>
                      <w:p>
                        <w:pPr>
                          <w:jc w:val="center"/>
                          <w:rPr>
                            <w:b/>
                            <w:bCs/>
                            <w:color w:val="auto"/>
                            <w:szCs w:val="21"/>
                          </w:rPr>
                        </w:pPr>
                        <w:r>
                          <w:rPr>
                            <w:b/>
                            <w:bCs/>
                            <w:color w:val="auto"/>
                            <w:szCs w:val="21"/>
                          </w:rPr>
                          <w:t>是否相符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1</w:t>
                        </w:r>
                      </w:p>
                    </w:tc>
                    <w:tc>
                      <w:tcPr>
                        <w:tcW w:w="4162" w:type="dxa"/>
                        <w:vAlign w:val="center"/>
                      </w:tcPr>
                      <w:p>
                        <w:pPr>
                          <w:jc w:val="center"/>
                          <w:rPr>
                            <w:color w:val="auto"/>
                            <w:szCs w:val="21"/>
                          </w:rPr>
                        </w:pPr>
                        <w:r>
                          <w:rPr>
                            <w:color w:val="auto"/>
                            <w:szCs w:val="21"/>
                          </w:rPr>
                          <w:t>禁止建设不符合全国和省级港口布局规划以及港口总体规划的码头项目，禁止建设不符合《长江干线过江通道布局规划》的过长江通道项目。</w:t>
                        </w:r>
                      </w:p>
                    </w:tc>
                    <w:tc>
                      <w:tcPr>
                        <w:tcW w:w="3481" w:type="dxa"/>
                        <w:vAlign w:val="center"/>
                      </w:tcPr>
                      <w:p>
                        <w:pPr>
                          <w:jc w:val="center"/>
                          <w:rPr>
                            <w:color w:val="auto"/>
                            <w:szCs w:val="21"/>
                          </w:rPr>
                        </w:pPr>
                        <w:r>
                          <w:rPr>
                            <w:color w:val="auto"/>
                            <w:szCs w:val="21"/>
                          </w:rPr>
                          <w:t>本项目为</w:t>
                        </w:r>
                        <w:r>
                          <w:rPr>
                            <w:rFonts w:hint="eastAsia"/>
                            <w:color w:val="auto"/>
                            <w:szCs w:val="21"/>
                            <w:lang w:val="en-US" w:eastAsia="zh-CN"/>
                          </w:rPr>
                          <w:t>升压站</w:t>
                        </w:r>
                        <w:r>
                          <w:rPr>
                            <w:color w:val="auto"/>
                            <w:szCs w:val="21"/>
                          </w:rPr>
                          <w:t>建设项目，不涉及码头建设。</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2</w:t>
                        </w:r>
                      </w:p>
                    </w:tc>
                    <w:tc>
                      <w:tcPr>
                        <w:tcW w:w="4162" w:type="dxa"/>
                        <w:vAlign w:val="center"/>
                      </w:tcPr>
                      <w:p>
                        <w:pPr>
                          <w:jc w:val="center"/>
                          <w:rPr>
                            <w:color w:val="auto"/>
                            <w:szCs w:val="21"/>
                          </w:rPr>
                        </w:pPr>
                        <w:r>
                          <w:rPr>
                            <w:color w:val="auto"/>
                            <w:szCs w:val="21"/>
                          </w:rPr>
                          <w:t>禁止在自然保护区核心区、缓冲区的岸线和河段范围内投资建设旅游和生产经营项目。禁止在风景名胜区核心景区的岸线和河段范围内投资建设与风景名胜资源保护无关的项目。</w:t>
                        </w:r>
                      </w:p>
                    </w:tc>
                    <w:tc>
                      <w:tcPr>
                        <w:tcW w:w="3481" w:type="dxa"/>
                        <w:vAlign w:val="center"/>
                      </w:tcPr>
                      <w:p>
                        <w:pPr>
                          <w:jc w:val="center"/>
                          <w:rPr>
                            <w:color w:val="auto"/>
                            <w:szCs w:val="21"/>
                          </w:rPr>
                        </w:pPr>
                        <w:r>
                          <w:rPr>
                            <w:color w:val="auto"/>
                            <w:szCs w:val="21"/>
                          </w:rPr>
                          <w:t>本项目选址远离自然保护区、风景名胜区、远离岸线建设。</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3</w:t>
                        </w:r>
                      </w:p>
                    </w:tc>
                    <w:tc>
                      <w:tcPr>
                        <w:tcW w:w="4162" w:type="dxa"/>
                        <w:vAlign w:val="center"/>
                      </w:tcPr>
                      <w:p>
                        <w:pPr>
                          <w:jc w:val="center"/>
                          <w:rPr>
                            <w:color w:val="auto"/>
                            <w:szCs w:val="21"/>
                          </w:rPr>
                        </w:pPr>
                        <w:r>
                          <w:rPr>
                            <w:color w:val="auto"/>
                            <w:szCs w:val="21"/>
                          </w:rPr>
                          <w:t>禁止在饮用水水源一级保护区的岸线和河段范围内新建、改建、扩建与供水设施和保护水源无关的项目，以及网箱养殖、畜禽养殖、旅游等可能污染饮用水水体的投资建设项目</w:t>
                        </w:r>
                        <w:r>
                          <w:rPr>
                            <w:color w:val="auto"/>
                            <w:szCs w:val="21"/>
                          </w:rPr>
                          <w:cr/>
                        </w:r>
                        <w:r>
                          <w:rPr>
                            <w:color w:val="auto"/>
                            <w:szCs w:val="21"/>
                          </w:rPr>
                          <w:t>禁止在饮用水水源二级保护区的岸线和河段范围内新建、改建、扩建排放污染物的投资建设项目。</w:t>
                        </w:r>
                      </w:p>
                    </w:tc>
                    <w:tc>
                      <w:tcPr>
                        <w:tcW w:w="3481" w:type="dxa"/>
                        <w:vAlign w:val="center"/>
                      </w:tcPr>
                      <w:p>
                        <w:pPr>
                          <w:jc w:val="center"/>
                          <w:rPr>
                            <w:color w:val="auto"/>
                            <w:szCs w:val="21"/>
                          </w:rPr>
                        </w:pPr>
                        <w:r>
                          <w:rPr>
                            <w:rFonts w:hint="eastAsia"/>
                            <w:color w:val="auto"/>
                            <w:szCs w:val="21"/>
                            <w:lang w:val="en-US" w:eastAsia="zh-CN"/>
                          </w:rPr>
                          <w:t>升压站为光伏站区配套工程，</w:t>
                        </w:r>
                        <w:r>
                          <w:rPr>
                            <w:color w:val="auto"/>
                            <w:szCs w:val="21"/>
                          </w:rPr>
                          <w:t>根据水务局</w:t>
                        </w:r>
                        <w:r>
                          <w:rPr>
                            <w:rFonts w:hint="eastAsia"/>
                            <w:color w:val="auto"/>
                            <w:szCs w:val="21"/>
                            <w:lang w:val="en-US" w:eastAsia="zh-CN"/>
                          </w:rPr>
                          <w:t>对“东川区生态治理及修复光伏电站”出具的</w:t>
                        </w:r>
                        <w:r>
                          <w:rPr>
                            <w:color w:val="auto"/>
                            <w:szCs w:val="21"/>
                          </w:rPr>
                          <w:t>意见，本项目选址不涉及饮用水水源保护区，未占河道管理保护范围。</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4</w:t>
                        </w:r>
                      </w:p>
                    </w:tc>
                    <w:tc>
                      <w:tcPr>
                        <w:tcW w:w="4162" w:type="dxa"/>
                        <w:vAlign w:val="center"/>
                      </w:tcPr>
                      <w:p>
                        <w:pPr>
                          <w:jc w:val="center"/>
                          <w:rPr>
                            <w:color w:val="auto"/>
                            <w:szCs w:val="21"/>
                          </w:rPr>
                        </w:pPr>
                        <w:r>
                          <w:rPr>
                            <w:color w:val="auto"/>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481" w:type="dxa"/>
                        <w:vAlign w:val="center"/>
                      </w:tcPr>
                      <w:p>
                        <w:pPr>
                          <w:jc w:val="center"/>
                          <w:rPr>
                            <w:color w:val="auto"/>
                            <w:szCs w:val="21"/>
                          </w:rPr>
                        </w:pPr>
                        <w:r>
                          <w:rPr>
                            <w:color w:val="auto"/>
                            <w:szCs w:val="21"/>
                          </w:rPr>
                          <w:t>不涉及水产种质资源自然保护区、国家湿地公园，远离岸线进行建设，不涉及围湖造田、围海造地或围填海等投资建设项目。</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5</w:t>
                        </w:r>
                      </w:p>
                    </w:tc>
                    <w:tc>
                      <w:tcPr>
                        <w:tcW w:w="4162" w:type="dxa"/>
                        <w:vAlign w:val="center"/>
                      </w:tcPr>
                      <w:p>
                        <w:pPr>
                          <w:jc w:val="center"/>
                          <w:rPr>
                            <w:color w:val="auto"/>
                            <w:szCs w:val="21"/>
                          </w:rPr>
                        </w:pPr>
                        <w:r>
                          <w:rPr>
                            <w:color w:val="auto"/>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481" w:type="dxa"/>
                        <w:vAlign w:val="center"/>
                      </w:tcPr>
                      <w:p>
                        <w:pPr>
                          <w:jc w:val="center"/>
                          <w:rPr>
                            <w:color w:val="auto"/>
                            <w:szCs w:val="21"/>
                          </w:rPr>
                        </w:pPr>
                        <w:r>
                          <w:rPr>
                            <w:color w:val="auto"/>
                            <w:szCs w:val="21"/>
                          </w:rPr>
                          <w:t>项目远离长江流域河湖岸线，不涉及河段及湖泊保护区、保留区。</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6</w:t>
                        </w:r>
                      </w:p>
                    </w:tc>
                    <w:tc>
                      <w:tcPr>
                        <w:tcW w:w="4162" w:type="dxa"/>
                        <w:vAlign w:val="center"/>
                      </w:tcPr>
                      <w:p>
                        <w:pPr>
                          <w:jc w:val="center"/>
                          <w:rPr>
                            <w:color w:val="auto"/>
                            <w:szCs w:val="21"/>
                          </w:rPr>
                        </w:pPr>
                        <w:r>
                          <w:rPr>
                            <w:color w:val="auto"/>
                            <w:szCs w:val="21"/>
                          </w:rPr>
                          <w:t>禁止未经许可在长江干支流及湖泊新设、改设或扩大排污口。</w:t>
                        </w:r>
                      </w:p>
                    </w:tc>
                    <w:tc>
                      <w:tcPr>
                        <w:tcW w:w="3481" w:type="dxa"/>
                        <w:vAlign w:val="center"/>
                      </w:tcPr>
                      <w:p>
                        <w:pPr>
                          <w:jc w:val="center"/>
                          <w:rPr>
                            <w:color w:val="auto"/>
                            <w:szCs w:val="21"/>
                          </w:rPr>
                        </w:pPr>
                        <w:r>
                          <w:rPr>
                            <w:color w:val="auto"/>
                            <w:szCs w:val="21"/>
                          </w:rPr>
                          <w:t>项目排水采取雨污分流体制，厂区内雨天雨水经雨水沟收集后回用于后期生态修复使用；生活污水经处理之后，在厂区内回用于绿化，不外排，无排污口新建。同时项目远离长江干支流建设。</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7</w:t>
                        </w:r>
                      </w:p>
                    </w:tc>
                    <w:tc>
                      <w:tcPr>
                        <w:tcW w:w="4162" w:type="dxa"/>
                        <w:vAlign w:val="center"/>
                      </w:tcPr>
                      <w:p>
                        <w:pPr>
                          <w:jc w:val="center"/>
                          <w:rPr>
                            <w:color w:val="auto"/>
                            <w:szCs w:val="21"/>
                          </w:rPr>
                        </w:pPr>
                        <w:r>
                          <w:rPr>
                            <w:color w:val="auto"/>
                            <w:szCs w:val="21"/>
                          </w:rPr>
                          <w:t>禁止在“一江一口两湖七河”和332个水生生物保护区开展生产性捕捞。</w:t>
                        </w:r>
                      </w:p>
                    </w:tc>
                    <w:tc>
                      <w:tcPr>
                        <w:tcW w:w="3481" w:type="dxa"/>
                        <w:vAlign w:val="center"/>
                      </w:tcPr>
                      <w:p>
                        <w:pPr>
                          <w:jc w:val="center"/>
                          <w:rPr>
                            <w:color w:val="auto"/>
                            <w:szCs w:val="21"/>
                          </w:rPr>
                        </w:pPr>
                        <w:r>
                          <w:rPr>
                            <w:color w:val="auto"/>
                            <w:szCs w:val="21"/>
                          </w:rPr>
                          <w:t>本项目为</w:t>
                        </w:r>
                        <w:r>
                          <w:rPr>
                            <w:rFonts w:hint="eastAsia"/>
                            <w:color w:val="auto"/>
                            <w:szCs w:val="21"/>
                            <w:lang w:val="en-US" w:eastAsia="zh-CN"/>
                          </w:rPr>
                          <w:t>升压站</w:t>
                        </w:r>
                        <w:r>
                          <w:rPr>
                            <w:color w:val="auto"/>
                            <w:szCs w:val="21"/>
                          </w:rPr>
                          <w:t>建设项目，不涉及生产性捕捞活动。</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8</w:t>
                        </w:r>
                      </w:p>
                    </w:tc>
                    <w:tc>
                      <w:tcPr>
                        <w:tcW w:w="4162" w:type="dxa"/>
                        <w:vAlign w:val="center"/>
                      </w:tcPr>
                      <w:p>
                        <w:pPr>
                          <w:jc w:val="center"/>
                          <w:rPr>
                            <w:color w:val="auto"/>
                            <w:szCs w:val="21"/>
                          </w:rPr>
                        </w:pPr>
                        <w:r>
                          <w:rPr>
                            <w:color w:val="auto"/>
                            <w:szCs w:val="21"/>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3481" w:type="dxa"/>
                        <w:vAlign w:val="center"/>
                      </w:tcPr>
                      <w:p>
                        <w:pPr>
                          <w:jc w:val="center"/>
                          <w:rPr>
                            <w:color w:val="auto"/>
                            <w:szCs w:val="21"/>
                          </w:rPr>
                        </w:pPr>
                        <w:r>
                          <w:rPr>
                            <w:color w:val="auto"/>
                            <w:szCs w:val="21"/>
                          </w:rPr>
                          <w:t>本项目建设位置，不在长江干支流、重要湖泊岸线一公里范围内；同时，本项目为</w:t>
                        </w:r>
                        <w:r>
                          <w:rPr>
                            <w:rFonts w:hint="eastAsia"/>
                            <w:color w:val="auto"/>
                            <w:szCs w:val="21"/>
                            <w:lang w:val="en-US" w:eastAsia="zh-CN"/>
                          </w:rPr>
                          <w:t>升压站</w:t>
                        </w:r>
                        <w:r>
                          <w:rPr>
                            <w:color w:val="auto"/>
                            <w:szCs w:val="21"/>
                          </w:rPr>
                          <w:t>建设项目，不涉及新建、改建、扩建尾矿库、冶炼渣库和磷石膏库。</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9</w:t>
                        </w:r>
                      </w:p>
                    </w:tc>
                    <w:tc>
                      <w:tcPr>
                        <w:tcW w:w="4162" w:type="dxa"/>
                        <w:vAlign w:val="center"/>
                      </w:tcPr>
                      <w:p>
                        <w:pPr>
                          <w:jc w:val="center"/>
                          <w:rPr>
                            <w:color w:val="auto"/>
                            <w:szCs w:val="21"/>
                          </w:rPr>
                        </w:pPr>
                        <w:r>
                          <w:rPr>
                            <w:color w:val="auto"/>
                            <w:szCs w:val="21"/>
                          </w:rPr>
                          <w:t>禁止在合规园区外新建、扩建钢铁、石化、化工、焦化、建材、有色、制浆造纸等高污染项目。</w:t>
                        </w:r>
                      </w:p>
                    </w:tc>
                    <w:tc>
                      <w:tcPr>
                        <w:tcW w:w="3481" w:type="dxa"/>
                        <w:vAlign w:val="center"/>
                      </w:tcPr>
                      <w:p>
                        <w:pPr>
                          <w:jc w:val="center"/>
                          <w:rPr>
                            <w:color w:val="auto"/>
                            <w:szCs w:val="21"/>
                          </w:rPr>
                        </w:pPr>
                        <w:r>
                          <w:rPr>
                            <w:color w:val="auto"/>
                            <w:szCs w:val="21"/>
                          </w:rPr>
                          <w:t>本项目属于</w:t>
                        </w:r>
                        <w:r>
                          <w:rPr>
                            <w:rFonts w:hint="eastAsia"/>
                            <w:color w:val="auto"/>
                            <w:szCs w:val="21"/>
                            <w:lang w:val="en-US" w:eastAsia="zh-CN"/>
                          </w:rPr>
                          <w:t>升压站</w:t>
                        </w:r>
                        <w:r>
                          <w:rPr>
                            <w:color w:val="auto"/>
                            <w:szCs w:val="21"/>
                          </w:rPr>
                          <w:t>建设项目，不属于钢铁、石化、化工、焦化、建材、有色、制浆造纸等高污染行业。</w:t>
                        </w:r>
                      </w:p>
                      <w:p>
                        <w:pPr>
                          <w:jc w:val="center"/>
                          <w:rPr>
                            <w:color w:val="auto"/>
                            <w:szCs w:val="21"/>
                          </w:rPr>
                        </w:pPr>
                        <w:r>
                          <w:rPr>
                            <w:color w:val="auto"/>
                            <w:szCs w:val="21"/>
                          </w:rPr>
                          <w:t>不属于《关于加强高耗能、高排放建设项目生态环境源头防控的指导意见》（环环评[2021]45号）中暂明确的“两高”项目；不属于《云南省发展和改革委员会关于进一步开展“两高”项目梳理排查的函》（云发改产业函[2021]295号）中暂明确的“两高”项目。</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10</w:t>
                        </w:r>
                      </w:p>
                    </w:tc>
                    <w:tc>
                      <w:tcPr>
                        <w:tcW w:w="4162" w:type="dxa"/>
                        <w:vAlign w:val="center"/>
                      </w:tcPr>
                      <w:p>
                        <w:pPr>
                          <w:jc w:val="center"/>
                          <w:rPr>
                            <w:color w:val="auto"/>
                            <w:szCs w:val="21"/>
                          </w:rPr>
                        </w:pPr>
                        <w:r>
                          <w:rPr>
                            <w:color w:val="auto"/>
                            <w:szCs w:val="21"/>
                          </w:rPr>
                          <w:t>禁止新建、扩建不符合国家石化、现代煤化工等产业布局规划的项目。</w:t>
                        </w:r>
                      </w:p>
                    </w:tc>
                    <w:tc>
                      <w:tcPr>
                        <w:tcW w:w="3481" w:type="dxa"/>
                        <w:vAlign w:val="center"/>
                      </w:tcPr>
                      <w:p>
                        <w:pPr>
                          <w:jc w:val="center"/>
                          <w:rPr>
                            <w:color w:val="auto"/>
                            <w:szCs w:val="21"/>
                          </w:rPr>
                        </w:pPr>
                        <w:r>
                          <w:rPr>
                            <w:color w:val="auto"/>
                            <w:szCs w:val="21"/>
                          </w:rPr>
                          <w:t>本项目属于</w:t>
                        </w:r>
                        <w:r>
                          <w:rPr>
                            <w:rFonts w:hint="eastAsia"/>
                            <w:color w:val="auto"/>
                            <w:szCs w:val="21"/>
                            <w:lang w:val="en-US" w:eastAsia="zh-CN"/>
                          </w:rPr>
                          <w:t>升压站</w:t>
                        </w:r>
                        <w:r>
                          <w:rPr>
                            <w:color w:val="auto"/>
                            <w:szCs w:val="21"/>
                          </w:rPr>
                          <w:t>建设项目，不属于国家石化、现代煤化工等产业布局规划的项目。</w:t>
                        </w:r>
                      </w:p>
                    </w:tc>
                    <w:tc>
                      <w:tcPr>
                        <w:tcW w:w="737"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Align w:val="center"/>
                      </w:tcPr>
                      <w:p>
                        <w:pPr>
                          <w:jc w:val="center"/>
                          <w:rPr>
                            <w:color w:val="auto"/>
                            <w:szCs w:val="21"/>
                          </w:rPr>
                        </w:pPr>
                        <w:r>
                          <w:rPr>
                            <w:color w:val="auto"/>
                            <w:szCs w:val="21"/>
                          </w:rPr>
                          <w:t>11</w:t>
                        </w:r>
                      </w:p>
                    </w:tc>
                    <w:tc>
                      <w:tcPr>
                        <w:tcW w:w="4162" w:type="dxa"/>
                        <w:vAlign w:val="center"/>
                      </w:tcPr>
                      <w:p>
                        <w:pPr>
                          <w:jc w:val="center"/>
                          <w:rPr>
                            <w:color w:val="auto"/>
                            <w:szCs w:val="21"/>
                          </w:rPr>
                        </w:pPr>
                        <w:r>
                          <w:rPr>
                            <w:color w:val="auto"/>
                            <w:szCs w:val="21"/>
                          </w:rPr>
                          <w:t>禁止新建、扩建法律法规和相关政策明令禁止的落后产能项目。禁止新建、扩建不符合国家产能置换要求的严重过剩产能行业的项目。禁止新建、扩建不符合要求的高耗能高排放项目。</w:t>
                        </w:r>
                      </w:p>
                    </w:tc>
                    <w:tc>
                      <w:tcPr>
                        <w:tcW w:w="3481" w:type="dxa"/>
                        <w:vAlign w:val="center"/>
                      </w:tcPr>
                      <w:p>
                        <w:pPr>
                          <w:jc w:val="center"/>
                          <w:rPr>
                            <w:color w:val="auto"/>
                            <w:szCs w:val="21"/>
                          </w:rPr>
                        </w:pPr>
                        <w:r>
                          <w:rPr>
                            <w:color w:val="auto"/>
                            <w:szCs w:val="21"/>
                          </w:rPr>
                          <w:t>本项目属于</w:t>
                        </w:r>
                        <w:r>
                          <w:rPr>
                            <w:rFonts w:hint="eastAsia"/>
                            <w:color w:val="auto"/>
                            <w:szCs w:val="21"/>
                            <w:lang w:val="en-US" w:eastAsia="zh-CN"/>
                          </w:rPr>
                          <w:t>升压站</w:t>
                        </w:r>
                        <w:r>
                          <w:rPr>
                            <w:color w:val="auto"/>
                            <w:szCs w:val="21"/>
                          </w:rPr>
                          <w:t>建设项目，不属于法律法规和相关政策明令禁止的落后产能项目，不属于合国家产能置换要求的严重过剩产能行业的项目，不属于高耗能、高排放项目。</w:t>
                        </w:r>
                      </w:p>
                    </w:tc>
                    <w:tc>
                      <w:tcPr>
                        <w:tcW w:w="737" w:type="dxa"/>
                        <w:vAlign w:val="center"/>
                      </w:tcPr>
                      <w:p>
                        <w:pPr>
                          <w:jc w:val="center"/>
                          <w:rPr>
                            <w:color w:val="auto"/>
                            <w:szCs w:val="21"/>
                          </w:rPr>
                        </w:pPr>
                        <w:r>
                          <w:rPr>
                            <w:color w:val="auto"/>
                            <w:szCs w:val="21"/>
                          </w:rPr>
                          <w:t>符合</w:t>
                        </w:r>
                      </w:p>
                    </w:tc>
                  </w:tr>
                </w:tbl>
                <w:p>
                  <w:pPr>
                    <w:spacing w:line="360" w:lineRule="auto"/>
                    <w:ind w:firstLine="480" w:firstLineChars="200"/>
                    <w:jc w:val="left"/>
                    <w:rPr>
                      <w:bCs/>
                      <w:color w:val="auto"/>
                      <w:sz w:val="24"/>
                    </w:rPr>
                  </w:pPr>
                  <w:r>
                    <w:rPr>
                      <w:bCs/>
                      <w:color w:val="auto"/>
                      <w:sz w:val="24"/>
                    </w:rPr>
                    <w:t>综上，项目与《长江经济带发展负面清单指南》相符。</w:t>
                  </w:r>
                </w:p>
                <w:p>
                  <w:pPr>
                    <w:spacing w:line="360" w:lineRule="auto"/>
                    <w:ind w:firstLine="482" w:firstLineChars="200"/>
                    <w:jc w:val="left"/>
                    <w:rPr>
                      <w:b/>
                      <w:bCs/>
                      <w:color w:val="auto"/>
                      <w:sz w:val="24"/>
                    </w:rPr>
                  </w:pPr>
                  <w:r>
                    <w:rPr>
                      <w:b/>
                      <w:bCs/>
                      <w:color w:val="auto"/>
                      <w:sz w:val="24"/>
                    </w:rPr>
                    <w:t>4、与《云南省长江经济带发展负面清单指南实施细则（试行，2022年版）》符合性分析</w:t>
                  </w:r>
                </w:p>
                <w:p>
                  <w:pPr>
                    <w:spacing w:line="360" w:lineRule="auto"/>
                    <w:ind w:firstLine="480" w:firstLineChars="200"/>
                    <w:jc w:val="left"/>
                    <w:rPr>
                      <w:color w:val="0000FF"/>
                      <w:sz w:val="24"/>
                    </w:rPr>
                  </w:pPr>
                  <w:r>
                    <w:rPr>
                      <w:color w:val="auto"/>
                      <w:sz w:val="24"/>
                    </w:rPr>
                    <w:t>为深入贯彻落实习近平总书记关于推动长江经济带发展的重要讲话和指示批示精神，认真落实长江保护法，根据《长江经济带发展负面清单指南（试行，2022年版）》(长江办〔2022〕7号)，省发展改革委会同省级有关部门编制了《云南省长江经济带发展负面清单指南实施细则（试行，2022年版）》，本项目与其符合性分析如下：</w:t>
                  </w:r>
                </w:p>
                <w:p>
                  <w:pPr>
                    <w:jc w:val="center"/>
                    <w:rPr>
                      <w:b/>
                      <w:bCs/>
                      <w:color w:val="auto"/>
                      <w:sz w:val="24"/>
                    </w:rPr>
                  </w:pPr>
                  <w:r>
                    <w:rPr>
                      <w:b/>
                      <w:bCs/>
                      <w:color w:val="auto"/>
                      <w:sz w:val="24"/>
                    </w:rPr>
                    <w:t>表1-4  项目与云南省长江经济带发展负面清单指南实施细则符合性分析一览表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676"/>
                    <w:gridCol w:w="3036"/>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b/>
                            <w:bCs/>
                            <w:color w:val="auto"/>
                            <w:szCs w:val="21"/>
                          </w:rPr>
                        </w:pPr>
                        <w:r>
                          <w:rPr>
                            <w:b/>
                            <w:bCs/>
                            <w:color w:val="auto"/>
                            <w:szCs w:val="21"/>
                          </w:rPr>
                          <w:t>序号</w:t>
                        </w:r>
                      </w:p>
                    </w:tc>
                    <w:tc>
                      <w:tcPr>
                        <w:tcW w:w="4676" w:type="dxa"/>
                        <w:vAlign w:val="center"/>
                      </w:tcPr>
                      <w:p>
                        <w:pPr>
                          <w:jc w:val="center"/>
                          <w:rPr>
                            <w:rFonts w:hint="default" w:eastAsia="宋体"/>
                            <w:b/>
                            <w:bCs/>
                            <w:color w:val="auto"/>
                            <w:szCs w:val="21"/>
                            <w:lang w:val="en-US" w:eastAsia="zh-CN"/>
                          </w:rPr>
                        </w:pPr>
                        <w:r>
                          <w:rPr>
                            <w:rFonts w:hint="eastAsia"/>
                            <w:b/>
                            <w:bCs/>
                            <w:color w:val="auto"/>
                            <w:szCs w:val="21"/>
                            <w:lang w:val="en-US" w:eastAsia="zh-CN"/>
                          </w:rPr>
                          <w:t>规范要求</w:t>
                        </w:r>
                      </w:p>
                    </w:tc>
                    <w:tc>
                      <w:tcPr>
                        <w:tcW w:w="3036" w:type="dxa"/>
                        <w:vAlign w:val="center"/>
                      </w:tcPr>
                      <w:p>
                        <w:pPr>
                          <w:jc w:val="center"/>
                          <w:rPr>
                            <w:b/>
                            <w:bCs/>
                            <w:color w:val="auto"/>
                            <w:szCs w:val="21"/>
                          </w:rPr>
                        </w:pPr>
                        <w:r>
                          <w:rPr>
                            <w:b/>
                            <w:bCs/>
                            <w:color w:val="auto"/>
                            <w:szCs w:val="21"/>
                          </w:rPr>
                          <w:t>项目情况</w:t>
                        </w:r>
                      </w:p>
                    </w:tc>
                    <w:tc>
                      <w:tcPr>
                        <w:tcW w:w="671" w:type="dxa"/>
                        <w:vAlign w:val="center"/>
                      </w:tcPr>
                      <w:p>
                        <w:pPr>
                          <w:jc w:val="center"/>
                          <w:rPr>
                            <w:b/>
                            <w:bCs/>
                            <w:color w:val="auto"/>
                            <w:szCs w:val="21"/>
                          </w:rPr>
                        </w:pPr>
                        <w:r>
                          <w:rPr>
                            <w:b/>
                            <w:bCs/>
                            <w:color w:val="auto"/>
                            <w:szCs w:val="21"/>
                          </w:rPr>
                          <w:t>是否相符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1</w:t>
                        </w:r>
                      </w:p>
                    </w:tc>
                    <w:tc>
                      <w:tcPr>
                        <w:tcW w:w="4676" w:type="dxa"/>
                        <w:vAlign w:val="center"/>
                      </w:tcPr>
                      <w:p>
                        <w:pPr>
                          <w:rPr>
                            <w:color w:val="auto"/>
                            <w:szCs w:val="21"/>
                          </w:rPr>
                        </w:pPr>
                        <w:r>
                          <w:rPr>
                            <w:color w:val="auto"/>
                            <w:szCs w:val="21"/>
                          </w:rPr>
                          <w:t>禁止建设不符合全国和省级港口布局规划以及港口总体规划的码头项目。</w:t>
                        </w:r>
                      </w:p>
                    </w:tc>
                    <w:tc>
                      <w:tcPr>
                        <w:tcW w:w="3036" w:type="dxa"/>
                        <w:vAlign w:val="center"/>
                      </w:tcPr>
                      <w:p>
                        <w:pPr>
                          <w:rPr>
                            <w:color w:val="auto"/>
                            <w:szCs w:val="21"/>
                          </w:rPr>
                        </w:pPr>
                        <w:r>
                          <w:rPr>
                            <w:color w:val="auto"/>
                            <w:szCs w:val="21"/>
                          </w:rPr>
                          <w:t>本项目为</w:t>
                        </w:r>
                        <w:r>
                          <w:rPr>
                            <w:rFonts w:hint="eastAsia" w:ascii="Times New Roman" w:eastAsia="宋体"/>
                            <w:color w:val="auto"/>
                            <w:szCs w:val="21"/>
                            <w:lang w:val="en-US" w:eastAsia="zh-CN"/>
                          </w:rPr>
                          <w:t>升压站</w:t>
                        </w:r>
                        <w:r>
                          <w:rPr>
                            <w:color w:val="auto"/>
                            <w:szCs w:val="21"/>
                          </w:rPr>
                          <w:t>建设项目，不涉及码头建设。</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2</w:t>
                        </w:r>
                      </w:p>
                    </w:tc>
                    <w:tc>
                      <w:tcPr>
                        <w:tcW w:w="4676" w:type="dxa"/>
                        <w:vAlign w:val="center"/>
                      </w:tcPr>
                      <w:p>
                        <w:pPr>
                          <w:rPr>
                            <w:color w:val="auto"/>
                            <w:szCs w:val="21"/>
                          </w:rPr>
                        </w:pPr>
                        <w:r>
                          <w:rPr>
                            <w:color w:val="auto"/>
                            <w:szCs w:val="21"/>
                          </w:rPr>
                          <w:t>禁止在生态保护红线范围内投资建设项目，生态保护红线内、自然保护地核心保护区原则上禁止人为活动；其他区域严格禁止开发性、生产性建设活动。除国家重大战略资源勘查项目、生态保护修复和环境治理项目、重大基础设施项目、军事国防项目以及农牧民基本生产生活等必要的民生项目以外的项目。生态保护红线原则上按禁止开发区域的要求进行管理外，仅允许对生态功能不造成破坏的有限人为活动。</w:t>
                        </w:r>
                      </w:p>
                    </w:tc>
                    <w:tc>
                      <w:tcPr>
                        <w:tcW w:w="3036" w:type="dxa"/>
                        <w:vAlign w:val="center"/>
                      </w:tcPr>
                      <w:p>
                        <w:pPr>
                          <w:rPr>
                            <w:color w:val="auto"/>
                            <w:szCs w:val="21"/>
                          </w:rPr>
                        </w:pPr>
                        <w:r>
                          <w:rPr>
                            <w:rFonts w:hint="eastAsia" w:ascii="Times New Roman" w:eastAsia="宋体"/>
                            <w:color w:val="auto"/>
                            <w:szCs w:val="21"/>
                            <w:lang w:val="en-US" w:eastAsia="zh-CN"/>
                          </w:rPr>
                          <w:t>升压站为光伏站区的配套工程，</w:t>
                        </w:r>
                        <w:r>
                          <w:rPr>
                            <w:color w:val="auto"/>
                            <w:szCs w:val="21"/>
                          </w:rPr>
                          <w:t>选址</w:t>
                        </w:r>
                        <w:r>
                          <w:rPr>
                            <w:rFonts w:hint="eastAsia" w:ascii="Times New Roman" w:eastAsia="宋体"/>
                            <w:color w:val="auto"/>
                            <w:szCs w:val="21"/>
                            <w:lang w:val="en-US" w:eastAsia="zh-CN"/>
                          </w:rPr>
                          <w:t>包含在光伏站区内，光伏站区</w:t>
                        </w:r>
                        <w:r>
                          <w:rPr>
                            <w:color w:val="auto"/>
                            <w:szCs w:val="21"/>
                          </w:rPr>
                          <w:t>已经取得县自然资源局意见，同意选址。本项目未占用基本农田和生态红线，避开了坝区。</w:t>
                        </w:r>
                      </w:p>
                      <w:p>
                        <w:pPr>
                          <w:rPr>
                            <w:color w:val="auto"/>
                            <w:szCs w:val="21"/>
                          </w:rPr>
                        </w:pPr>
                        <w:r>
                          <w:rPr>
                            <w:color w:val="auto"/>
                            <w:szCs w:val="21"/>
                          </w:rPr>
                          <w:t>取得了昆明市东川区人民武装部选址意见，本项目不涉及军事保护设施和军事管理区。</w:t>
                        </w:r>
                      </w:p>
                      <w:p>
                        <w:pPr>
                          <w:rPr>
                            <w:color w:val="auto"/>
                            <w:szCs w:val="21"/>
                          </w:rPr>
                        </w:pPr>
                        <w:r>
                          <w:rPr>
                            <w:color w:val="auto"/>
                            <w:szCs w:val="21"/>
                          </w:rPr>
                          <w:t>同时，项目距离轿子雪山保护区较远。</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3</w:t>
                        </w:r>
                      </w:p>
                    </w:tc>
                    <w:tc>
                      <w:tcPr>
                        <w:tcW w:w="4676" w:type="dxa"/>
                        <w:vAlign w:val="center"/>
                      </w:tcPr>
                      <w:p>
                        <w:pPr>
                          <w:rPr>
                            <w:color w:val="auto"/>
                            <w:szCs w:val="21"/>
                          </w:rPr>
                        </w:pPr>
                        <w:r>
                          <w:rPr>
                            <w:color w:val="auto"/>
                            <w:szCs w:val="21"/>
                          </w:rPr>
                          <w:t>禁止在自然保护区内进行砍伐、放牧、狩猎、捕捞、采药、开垦、烧荒、开矿、采石、挖沙等活动；禁止任何人进入自然保护区的核心区；禁止在自然保护区的缓冲区开展旅游和生产经营活动；严禁开设与自然保护区保护方向不一致的参观、旅游项目；在自然保护区的实验区内，不得建设污染环境、破坏资源或者景观的生产设施；自然保护区核心区，严禁任何生产经营活动；新建公路、铁路和其他基础设施不得穿越自然保护区核心区，尽量避免穿越缓冲区；禁止在自然保护区的核心区和缓冲区内建设畜禽养殖场、养殖小区。</w:t>
                        </w:r>
                      </w:p>
                    </w:tc>
                    <w:tc>
                      <w:tcPr>
                        <w:tcW w:w="3036" w:type="dxa"/>
                        <w:vAlign w:val="center"/>
                      </w:tcPr>
                      <w:p>
                        <w:pPr>
                          <w:rPr>
                            <w:color w:val="auto"/>
                            <w:szCs w:val="21"/>
                          </w:rPr>
                        </w:pPr>
                        <w:r>
                          <w:rPr>
                            <w:color w:val="auto"/>
                            <w:szCs w:val="21"/>
                          </w:rPr>
                          <w:t>本项目距离轿子雪山保护区较远。建设位置不涉及自然保护区的核心区和缓冲区、实验区等区域。</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4</w:t>
                        </w:r>
                      </w:p>
                    </w:tc>
                    <w:tc>
                      <w:tcPr>
                        <w:tcW w:w="4676" w:type="dxa"/>
                        <w:vAlign w:val="center"/>
                      </w:tcPr>
                      <w:p>
                        <w:pPr>
                          <w:rPr>
                            <w:color w:val="auto"/>
                            <w:szCs w:val="21"/>
                          </w:rPr>
                        </w:pPr>
                        <w:r>
                          <w:rPr>
                            <w:color w:val="auto"/>
                            <w:szCs w:val="21"/>
                          </w:rPr>
                          <w:t>禁止在风景名胜区内进行开山、采石、开矿、开荒、修坟立碑等破坏景观、植被和地形地貌的活动以及修建储存爆炸性、易燃性、放射性、毒害性、腐蚀性物品的设施；禁止违反风景名胜区规划，在风景名胜区内设立各类开发区和在核心景区内建设宾馆、招待所、培训中心、疗养院以及与风景名胜资源保护无关的其他建筑物；禁止在风景名胜区从事与风景名胜资源无关的生产建设活动；风景名胜区内的水源、水体应当严加保护，禁止污染水源、水体，禁止擅自围、填、堵塞水面和围湖造田等；禁止在风景名胜区内建设畜禽养殖场、养殖小区。</w:t>
                        </w:r>
                      </w:p>
                    </w:tc>
                    <w:tc>
                      <w:tcPr>
                        <w:tcW w:w="3036" w:type="dxa"/>
                        <w:vAlign w:val="center"/>
                      </w:tcPr>
                      <w:p>
                        <w:pPr>
                          <w:rPr>
                            <w:color w:val="auto"/>
                            <w:szCs w:val="21"/>
                          </w:rPr>
                        </w:pPr>
                        <w:r>
                          <w:rPr>
                            <w:color w:val="auto"/>
                            <w:szCs w:val="21"/>
                          </w:rPr>
                          <w:t>本项目</w:t>
                        </w:r>
                        <w:r>
                          <w:rPr>
                            <w:rFonts w:hint="eastAsia" w:ascii="Times New Roman" w:eastAsia="宋体"/>
                            <w:color w:val="auto"/>
                            <w:szCs w:val="21"/>
                            <w:lang w:val="en-US" w:eastAsia="zh-CN"/>
                          </w:rPr>
                          <w:t>为升压站建设项目，</w:t>
                        </w:r>
                        <w:r>
                          <w:rPr>
                            <w:color w:val="auto"/>
                            <w:szCs w:val="21"/>
                          </w:rPr>
                          <w:t>距离轿子雪山保护区较远。建设位置不涉及风景名胜区。</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5</w:t>
                        </w:r>
                      </w:p>
                    </w:tc>
                    <w:tc>
                      <w:tcPr>
                        <w:tcW w:w="4676" w:type="dxa"/>
                        <w:vAlign w:val="center"/>
                      </w:tcPr>
                      <w:p>
                        <w:pPr>
                          <w:rPr>
                            <w:color w:val="auto"/>
                            <w:szCs w:val="21"/>
                          </w:rPr>
                        </w:pPr>
                        <w:r>
                          <w:rPr>
                            <w:color w:val="auto"/>
                            <w:szCs w:val="21"/>
                          </w:rPr>
                          <w:t>禁止擅自征收、占用国家湿地公园的土地。除国家另有规定外，禁止在国家湿地公园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滥采滥捕野生动植物，引入外来物种；擅自放牧、捕捞、取土、取水、排污、放生等破坏湿地及其生态功能的活动。国家湿地公园保育区除开展保护、监测、科学研究等必需的保护管理活动外，不得进行任何与湿地生态系统保护和管理无关的其他活动。</w:t>
                        </w:r>
                      </w:p>
                    </w:tc>
                    <w:tc>
                      <w:tcPr>
                        <w:tcW w:w="3036" w:type="dxa"/>
                        <w:vAlign w:val="center"/>
                      </w:tcPr>
                      <w:p>
                        <w:pPr>
                          <w:rPr>
                            <w:color w:val="auto"/>
                            <w:szCs w:val="21"/>
                          </w:rPr>
                        </w:pPr>
                        <w:r>
                          <w:rPr>
                            <w:color w:val="auto"/>
                            <w:szCs w:val="21"/>
                          </w:rPr>
                          <w:t>本项目建设位置不涉及国家湿地公园。</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6</w:t>
                        </w:r>
                      </w:p>
                    </w:tc>
                    <w:tc>
                      <w:tcPr>
                        <w:tcW w:w="4676" w:type="dxa"/>
                        <w:vAlign w:val="center"/>
                      </w:tcPr>
                      <w:p>
                        <w:pPr>
                          <w:rPr>
                            <w:color w:val="auto"/>
                            <w:szCs w:val="21"/>
                          </w:rPr>
                        </w:pPr>
                        <w:r>
                          <w:rPr>
                            <w:color w:val="auto"/>
                            <w:szCs w:val="21"/>
                          </w:rPr>
                          <w:t>禁止在饮用水水源一级保护区内新建、改建、扩建与供水设施和保护水源无关的建设项目；禁止在饮用水水源一级保护区内从事网箱养殖、旅游、游泳、垂钓或者其他可能污染饮用水水体的活动。禁止在饮用水水源二级保护区内新建、改建、扩建排放污染物的建设项目；在饮用水水源二级保护区内从事网箱养殖、旅游等活动的，应当按照规定采取措施，防止污染饮用水水体。</w:t>
                        </w:r>
                      </w:p>
                    </w:tc>
                    <w:tc>
                      <w:tcPr>
                        <w:tcW w:w="3036" w:type="dxa"/>
                        <w:vAlign w:val="center"/>
                      </w:tcPr>
                      <w:p>
                        <w:pPr>
                          <w:rPr>
                            <w:color w:val="auto"/>
                            <w:szCs w:val="21"/>
                          </w:rPr>
                        </w:pPr>
                        <w:r>
                          <w:rPr>
                            <w:rFonts w:hint="eastAsia" w:ascii="Times New Roman" w:eastAsia="宋体"/>
                            <w:color w:val="auto"/>
                            <w:szCs w:val="21"/>
                            <w:lang w:val="en-US" w:eastAsia="zh-CN"/>
                          </w:rPr>
                          <w:t>升压站为光伏站区的配套工程，</w:t>
                        </w:r>
                        <w:r>
                          <w:rPr>
                            <w:color w:val="auto"/>
                            <w:szCs w:val="21"/>
                          </w:rPr>
                          <w:t>根据水务局</w:t>
                        </w:r>
                        <w:r>
                          <w:rPr>
                            <w:rFonts w:hint="eastAsia" w:ascii="Times New Roman" w:eastAsia="宋体"/>
                            <w:color w:val="auto"/>
                            <w:szCs w:val="21"/>
                            <w:lang w:val="en-US" w:eastAsia="zh-CN"/>
                          </w:rPr>
                          <w:t>对光伏站区出具的</w:t>
                        </w:r>
                        <w:r>
                          <w:rPr>
                            <w:color w:val="auto"/>
                            <w:szCs w:val="21"/>
                          </w:rPr>
                          <w:t>意见，本项目选址不涉及饮用水水源保护区，未占河道管理保护范围。</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7</w:t>
                        </w:r>
                      </w:p>
                    </w:tc>
                    <w:tc>
                      <w:tcPr>
                        <w:tcW w:w="4676" w:type="dxa"/>
                        <w:vAlign w:val="center"/>
                      </w:tcPr>
                      <w:p>
                        <w:pPr>
                          <w:rPr>
                            <w:color w:val="auto"/>
                            <w:szCs w:val="21"/>
                          </w:rPr>
                        </w:pPr>
                        <w:r>
                          <w:rPr>
                            <w:color w:val="auto"/>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除国家明确支持的重大建设项目、军事国防类项目、交通类项目、能源类项目、水利类项目、国务院投资主管部门或国务院投资主管部门会同有关部门支持和认可的交通、能源、水利基础设施项目外,禁止在永久基本农田范围内投资建设项目。重大建设项目选址确实难以避让永久基本农田的，需在可行性研究阶段，对占用的必要性、合理性和补划方案的可行性进行严格论证，按照“数量不减、质量不降、布局稳定”的要求进行补划，报自然资源部用地预审，依法依规办理农用地转用和土地征收，和法定程序修改相应的国土空间规划用途。</w:t>
                        </w:r>
                      </w:p>
                    </w:tc>
                    <w:tc>
                      <w:tcPr>
                        <w:tcW w:w="3036" w:type="dxa"/>
                        <w:vAlign w:val="center"/>
                      </w:tcPr>
                      <w:p>
                        <w:pPr>
                          <w:rPr>
                            <w:color w:val="auto"/>
                            <w:szCs w:val="21"/>
                          </w:rPr>
                        </w:pPr>
                        <w:r>
                          <w:rPr>
                            <w:color w:val="auto"/>
                            <w:szCs w:val="21"/>
                          </w:rPr>
                          <w:t>本项目位于云南省昆明市东川区舍块乡云坪村、因民镇红山村境内，远离长江流域河湖岸线建设，同时，本项目为</w:t>
                        </w:r>
                        <w:r>
                          <w:rPr>
                            <w:rFonts w:hint="eastAsia" w:ascii="Times New Roman" w:eastAsia="宋体"/>
                            <w:color w:val="auto"/>
                            <w:szCs w:val="21"/>
                            <w:lang w:val="en-US" w:eastAsia="zh-CN"/>
                          </w:rPr>
                          <w:t>升压站建设</w:t>
                        </w:r>
                        <w:r>
                          <w:rPr>
                            <w:color w:val="auto"/>
                            <w:szCs w:val="21"/>
                          </w:rPr>
                          <w:t>项目。</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8</w:t>
                        </w:r>
                      </w:p>
                    </w:tc>
                    <w:tc>
                      <w:tcPr>
                        <w:tcW w:w="4676" w:type="dxa"/>
                        <w:vAlign w:val="center"/>
                      </w:tcPr>
                      <w:p>
                        <w:pPr>
                          <w:rPr>
                            <w:color w:val="auto"/>
                            <w:szCs w:val="21"/>
                          </w:rPr>
                        </w:pPr>
                        <w:r>
                          <w:rPr>
                            <w:color w:val="auto"/>
                            <w:szCs w:val="21"/>
                          </w:rPr>
                          <w:t>禁止在《全国重要江河湖泊水功能区划》划定的河段及湖泊保护区、保留区内投资建设不利于水资源及自然生态保护的项目。禁止在金沙江、长江一级支流建设除党中央、国务院、国家投资主管部门、省级有关部门批复同意以外的过江基础设施项目；禁止未经许可在长江流域、九大高原湖泊流域新设、改设或扩大排污口，除入河（海）排污口命名与编码规则（HJ</w:t>
                        </w:r>
                        <w:r>
                          <w:rPr>
                            <w:rFonts w:hint="eastAsia"/>
                            <w:color w:val="auto"/>
                            <w:szCs w:val="21"/>
                            <w:lang w:eastAsia="zh-CN"/>
                          </w:rPr>
                          <w:t>****</w:t>
                        </w:r>
                        <w:r>
                          <w:rPr>
                            <w:color w:val="auto"/>
                            <w:szCs w:val="21"/>
                          </w:rPr>
                          <w:t>-2021）规定的第四类“其他排口”外。禁止在水产种质资源保护区内新建排污口，以及从事围湖造田、围湖造地或围填海工程。</w:t>
                        </w:r>
                      </w:p>
                    </w:tc>
                    <w:tc>
                      <w:tcPr>
                        <w:tcW w:w="3036" w:type="dxa"/>
                        <w:vAlign w:val="center"/>
                      </w:tcPr>
                      <w:p>
                        <w:pPr>
                          <w:rPr>
                            <w:color w:val="auto"/>
                            <w:szCs w:val="21"/>
                          </w:rPr>
                        </w:pPr>
                        <w:r>
                          <w:rPr>
                            <w:color w:val="auto"/>
                            <w:szCs w:val="21"/>
                          </w:rPr>
                          <w:t>本项目位于云南省昆明市东川区舍块乡云坪村、因民镇红山村境内，评价范围内无全国重要江河湖泊。</w:t>
                        </w:r>
                      </w:p>
                      <w:p>
                        <w:pPr>
                          <w:rPr>
                            <w:color w:val="auto"/>
                            <w:szCs w:val="21"/>
                          </w:rPr>
                        </w:pPr>
                        <w:r>
                          <w:rPr>
                            <w:color w:val="auto"/>
                            <w:szCs w:val="21"/>
                          </w:rPr>
                          <w:t>同时项目实行雨污分流，生活污水得到有效的回用，不向外界地表水设置排放口。</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9</w:t>
                        </w:r>
                      </w:p>
                    </w:tc>
                    <w:tc>
                      <w:tcPr>
                        <w:tcW w:w="4676" w:type="dxa"/>
                        <w:vAlign w:val="center"/>
                      </w:tcPr>
                      <w:p>
                        <w:pPr>
                          <w:rPr>
                            <w:color w:val="auto"/>
                            <w:szCs w:val="21"/>
                          </w:rPr>
                        </w:pPr>
                        <w:r>
                          <w:rPr>
                            <w:color w:val="auto"/>
                            <w:szCs w:val="21"/>
                          </w:rPr>
                          <w:t>禁止在金沙江、赤水河、乌江和等水生动植物自然保护区、水产种质资源保护区长江流域禁捕水域开展天然渔业资源生产性捕捞。禁止开（围）垦、填埋或者排干湿地；禁止截断湿地水源、挖沙、采矿、引入外来物种；禁止擅自放牧、捕捞、取土、取水、排污、放生；禁止其他破坏湿地及其生态功能的活动。</w:t>
                        </w:r>
                      </w:p>
                    </w:tc>
                    <w:tc>
                      <w:tcPr>
                        <w:tcW w:w="3036" w:type="dxa"/>
                        <w:vAlign w:val="center"/>
                      </w:tcPr>
                      <w:p>
                        <w:pPr>
                          <w:rPr>
                            <w:color w:val="auto"/>
                            <w:szCs w:val="21"/>
                          </w:rPr>
                        </w:pPr>
                        <w:r>
                          <w:rPr>
                            <w:color w:val="auto"/>
                            <w:szCs w:val="21"/>
                          </w:rPr>
                          <w:t>本项目建设位置远离金沙江、赤水河、乌江和等水生动植物自然保护区、水产种质资源保护区、湿地。同时，项目为光伏电站建设项目，不涉及截断湿地水源、挖沙、采矿、放牧、捕捞、取土、取水、排污、放生以及其他破坏湿地行为；</w:t>
                        </w:r>
                      </w:p>
                      <w:p>
                        <w:pPr>
                          <w:rPr>
                            <w:color w:val="auto"/>
                            <w:szCs w:val="21"/>
                          </w:rPr>
                        </w:pPr>
                        <w:r>
                          <w:rPr>
                            <w:color w:val="auto"/>
                            <w:szCs w:val="21"/>
                          </w:rPr>
                          <w:t>项目生态修护过程中，采用当地常见品种进行播种，无外来物种引入现象。</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10</w:t>
                        </w:r>
                      </w:p>
                    </w:tc>
                    <w:tc>
                      <w:tcPr>
                        <w:tcW w:w="4676" w:type="dxa"/>
                        <w:vAlign w:val="center"/>
                      </w:tcPr>
                      <w:p>
                        <w:pPr>
                          <w:rPr>
                            <w:color w:val="auto"/>
                            <w:szCs w:val="21"/>
                          </w:rPr>
                        </w:pPr>
                        <w:r>
                          <w:rPr>
                            <w:color w:val="auto"/>
                            <w:szCs w:val="21"/>
                          </w:rPr>
                          <w:t>禁止在金沙江、长江一级支流岸线边界一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3036" w:type="dxa"/>
                        <w:vAlign w:val="center"/>
                      </w:tcPr>
                      <w:p>
                        <w:pPr>
                          <w:rPr>
                            <w:color w:val="auto"/>
                            <w:szCs w:val="21"/>
                          </w:rPr>
                        </w:pPr>
                        <w:r>
                          <w:rPr>
                            <w:color w:val="auto"/>
                            <w:szCs w:val="21"/>
                          </w:rPr>
                          <w:t>本项目所处位置不在金沙江、长江一级支流岸线边界一公里范围内，同时本项目为</w:t>
                        </w:r>
                        <w:r>
                          <w:rPr>
                            <w:rFonts w:hint="eastAsia" w:ascii="Times New Roman" w:eastAsia="宋体"/>
                            <w:color w:val="auto"/>
                            <w:szCs w:val="21"/>
                            <w:lang w:val="en-US" w:eastAsia="zh-CN"/>
                          </w:rPr>
                          <w:t>升压站</w:t>
                        </w:r>
                        <w:r>
                          <w:rPr>
                            <w:color w:val="auto"/>
                            <w:szCs w:val="21"/>
                          </w:rPr>
                          <w:t>建设项目，不属于化工项目。</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11</w:t>
                        </w:r>
                      </w:p>
                    </w:tc>
                    <w:tc>
                      <w:tcPr>
                        <w:tcW w:w="4676" w:type="dxa"/>
                        <w:vAlign w:val="center"/>
                      </w:tcPr>
                      <w:p>
                        <w:pPr>
                          <w:rPr>
                            <w:color w:val="auto"/>
                            <w:szCs w:val="21"/>
                          </w:rPr>
                        </w:pPr>
                        <w:r>
                          <w:rPr>
                            <w:color w:val="auto"/>
                            <w:szCs w:val="21"/>
                          </w:rPr>
                          <w:t>禁止在金沙江干流岸线3公里、长江（金沙江）一级支流岸线1公里范围内新建、改建、扩建尾矿库、冶炼渣库和磷石膏库，以提升安全、生态环境保护水平为目的的改建除外。</w:t>
                        </w:r>
                      </w:p>
                    </w:tc>
                    <w:tc>
                      <w:tcPr>
                        <w:tcW w:w="3036" w:type="dxa"/>
                        <w:vAlign w:val="center"/>
                      </w:tcPr>
                      <w:p>
                        <w:pPr>
                          <w:rPr>
                            <w:color w:val="auto"/>
                            <w:szCs w:val="21"/>
                          </w:rPr>
                        </w:pPr>
                        <w:r>
                          <w:rPr>
                            <w:color w:val="auto"/>
                            <w:szCs w:val="21"/>
                          </w:rPr>
                          <w:t>本项目所处位置不在金沙江干流岸线3公里、长江（金沙江）一级支流岸线1公里范围内；同时，本项目不涉及新建、改建、扩建尾矿库、冶炼渣库和磷石膏库。</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12</w:t>
                        </w:r>
                      </w:p>
                    </w:tc>
                    <w:tc>
                      <w:tcPr>
                        <w:tcW w:w="4676" w:type="dxa"/>
                        <w:vAlign w:val="center"/>
                      </w:tcPr>
                      <w:p>
                        <w:pPr>
                          <w:rPr>
                            <w:color w:val="auto"/>
                            <w:szCs w:val="21"/>
                          </w:rPr>
                        </w:pPr>
                        <w:r>
                          <w:rPr>
                            <w:color w:val="auto"/>
                            <w:szCs w:val="21"/>
                          </w:rPr>
                          <w:t>禁止在合规园区外新建、扩建钢铁、石化、化工、焦化、建材、有色、制浆造纸等高污染项目。禁止新增钢铁、水泥、平板玻璃等行业建设产能，确有必要建设的，应按规定实施产能等量或减量置换。</w:t>
                        </w:r>
                      </w:p>
                    </w:tc>
                    <w:tc>
                      <w:tcPr>
                        <w:tcW w:w="3036" w:type="dxa"/>
                        <w:vAlign w:val="center"/>
                      </w:tcPr>
                      <w:p>
                        <w:pPr>
                          <w:jc w:val="center"/>
                          <w:rPr>
                            <w:color w:val="auto"/>
                            <w:szCs w:val="21"/>
                          </w:rPr>
                        </w:pPr>
                        <w:r>
                          <w:rPr>
                            <w:color w:val="auto"/>
                            <w:szCs w:val="21"/>
                          </w:rPr>
                          <w:t>本项目属于</w:t>
                        </w:r>
                        <w:r>
                          <w:rPr>
                            <w:rFonts w:hint="eastAsia" w:ascii="Times New Roman" w:eastAsia="宋体"/>
                            <w:color w:val="auto"/>
                            <w:szCs w:val="21"/>
                            <w:lang w:val="en-US" w:eastAsia="zh-CN"/>
                          </w:rPr>
                          <w:t>升压站</w:t>
                        </w:r>
                        <w:r>
                          <w:rPr>
                            <w:color w:val="auto"/>
                            <w:szCs w:val="21"/>
                          </w:rPr>
                          <w:t>建设项目，不属于钢铁、石化、化工、焦化、建材、有色、制浆造纸等高污染行业。</w:t>
                        </w:r>
                      </w:p>
                      <w:p>
                        <w:pPr>
                          <w:rPr>
                            <w:color w:val="auto"/>
                            <w:szCs w:val="21"/>
                          </w:rPr>
                        </w:pPr>
                        <w:r>
                          <w:rPr>
                            <w:color w:val="auto"/>
                            <w:szCs w:val="21"/>
                          </w:rPr>
                          <w:t>不属于《关于加强高耗能、高排放建设项目生态环境源头防控的指导意见》（环环评[2021]45号）中暂明确的“两高”项目；不属于《云南省发展和改革委员会关于进一步开展“两高”项目梳理排查的函》（云发改产业函[2021]295号）中暂明确的“两高”项目。</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13</w:t>
                        </w:r>
                      </w:p>
                    </w:tc>
                    <w:tc>
                      <w:tcPr>
                        <w:tcW w:w="4676" w:type="dxa"/>
                        <w:vAlign w:val="center"/>
                      </w:tcPr>
                      <w:p>
                        <w:pPr>
                          <w:rPr>
                            <w:color w:val="auto"/>
                            <w:szCs w:val="21"/>
                          </w:rPr>
                        </w:pPr>
                        <w:r>
                          <w:rPr>
                            <w:color w:val="auto"/>
                            <w:szCs w:val="21"/>
                          </w:rPr>
                          <w:t>禁止新建、扩建不符合国家石化、现代煤化工等产业布局规划的项目。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3036" w:type="dxa"/>
                        <w:vAlign w:val="center"/>
                      </w:tcPr>
                      <w:p>
                        <w:pPr>
                          <w:ind w:firstLine="210" w:firstLineChars="100"/>
                          <w:rPr>
                            <w:color w:val="auto"/>
                            <w:szCs w:val="21"/>
                          </w:rPr>
                        </w:pPr>
                        <w:r>
                          <w:rPr>
                            <w:color w:val="auto"/>
                            <w:szCs w:val="21"/>
                          </w:rPr>
                          <w:t>本项目属于</w:t>
                        </w:r>
                        <w:r>
                          <w:rPr>
                            <w:rFonts w:hint="eastAsia" w:ascii="Times New Roman" w:eastAsia="宋体"/>
                            <w:color w:val="auto"/>
                            <w:szCs w:val="21"/>
                            <w:lang w:val="en-US" w:eastAsia="zh-CN"/>
                          </w:rPr>
                          <w:t>升压站</w:t>
                        </w:r>
                        <w:r>
                          <w:rPr>
                            <w:color w:val="auto"/>
                            <w:szCs w:val="21"/>
                          </w:rPr>
                          <w:t>建设项目，不属于国家石化、现代煤化工等产业布局规划的项目；</w:t>
                        </w:r>
                      </w:p>
                    </w:tc>
                    <w:tc>
                      <w:tcPr>
                        <w:tcW w:w="671"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vAlign w:val="center"/>
                      </w:tcPr>
                      <w:p>
                        <w:pPr>
                          <w:jc w:val="center"/>
                          <w:rPr>
                            <w:color w:val="auto"/>
                            <w:szCs w:val="21"/>
                          </w:rPr>
                        </w:pPr>
                        <w:r>
                          <w:rPr>
                            <w:color w:val="auto"/>
                            <w:szCs w:val="21"/>
                          </w:rPr>
                          <w:t>14</w:t>
                        </w:r>
                      </w:p>
                    </w:tc>
                    <w:tc>
                      <w:tcPr>
                        <w:tcW w:w="4676" w:type="dxa"/>
                        <w:vAlign w:val="center"/>
                      </w:tcPr>
                      <w:p>
                        <w:pPr>
                          <w:rPr>
                            <w:color w:val="auto"/>
                            <w:szCs w:val="21"/>
                          </w:rPr>
                        </w:pPr>
                        <w:r>
                          <w:rPr>
                            <w:color w:val="auto"/>
                            <w:szCs w:val="21"/>
                          </w:rPr>
                          <w:t>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无机复混肥料、过磷酸钙和钙镁磷肥生产线。禁止新建、扩建不符合国家产能置换要求的严重过剩产能行业的项目。禁止新建、扩建不符合要求的高耗能高排放项目。禁止建设高毒高残留以及对环境影响大的农药原药生产装置，严格控制尿素、磷铵、电石、焦炭、黄磷、烧碱、纯碱、聚氯乙烯等行业新增产能。</w:t>
                        </w:r>
                      </w:p>
                    </w:tc>
                    <w:tc>
                      <w:tcPr>
                        <w:tcW w:w="3036" w:type="dxa"/>
                        <w:vAlign w:val="center"/>
                      </w:tcPr>
                      <w:p>
                        <w:pPr>
                          <w:ind w:firstLine="210" w:firstLineChars="100"/>
                          <w:rPr>
                            <w:color w:val="auto"/>
                            <w:szCs w:val="21"/>
                          </w:rPr>
                        </w:pPr>
                        <w:r>
                          <w:rPr>
                            <w:color w:val="auto"/>
                            <w:szCs w:val="21"/>
                          </w:rPr>
                          <w:t>本项目属于</w:t>
                        </w:r>
                        <w:r>
                          <w:rPr>
                            <w:rFonts w:hint="eastAsia" w:ascii="Times New Roman" w:eastAsia="宋体"/>
                            <w:color w:val="auto"/>
                            <w:szCs w:val="21"/>
                            <w:lang w:val="en-US" w:eastAsia="zh-CN"/>
                          </w:rPr>
                          <w:t>升压</w:t>
                        </w:r>
                        <w:r>
                          <w:rPr>
                            <w:color w:val="auto"/>
                            <w:szCs w:val="21"/>
                          </w:rPr>
                          <w:t>站建设项目，不属于法律法规和相关政策明令禁止的落后产能项目，不属于合国家产能置换要求的严重过剩产能行业的项目，不属于高耗能、高排放项目。</w:t>
                        </w:r>
                      </w:p>
                    </w:tc>
                    <w:tc>
                      <w:tcPr>
                        <w:tcW w:w="671" w:type="dxa"/>
                        <w:vAlign w:val="center"/>
                      </w:tcPr>
                      <w:p>
                        <w:pPr>
                          <w:jc w:val="center"/>
                          <w:rPr>
                            <w:color w:val="auto"/>
                            <w:szCs w:val="21"/>
                          </w:rPr>
                        </w:pPr>
                        <w:r>
                          <w:rPr>
                            <w:color w:val="auto"/>
                            <w:szCs w:val="21"/>
                          </w:rPr>
                          <w:t>符合</w:t>
                        </w:r>
                      </w:p>
                    </w:tc>
                  </w:tr>
                </w:tbl>
                <w:p>
                  <w:pPr>
                    <w:spacing w:line="360" w:lineRule="auto"/>
                    <w:ind w:firstLine="480" w:firstLineChars="200"/>
                    <w:rPr>
                      <w:color w:val="auto"/>
                      <w:sz w:val="24"/>
                    </w:rPr>
                  </w:pPr>
                  <w:r>
                    <w:rPr>
                      <w:color w:val="auto"/>
                      <w:sz w:val="24"/>
                    </w:rPr>
                    <w:t>综上，项目的建设与</w:t>
                  </w:r>
                  <w:r>
                    <w:rPr>
                      <w:bCs/>
                      <w:color w:val="auto"/>
                      <w:sz w:val="24"/>
                    </w:rPr>
                    <w:t>《云南省长江经济带发展负面清单指南实施细则》相符</w:t>
                  </w:r>
                </w:p>
                <w:p>
                  <w:pPr>
                    <w:spacing w:line="360" w:lineRule="auto"/>
                    <w:ind w:firstLine="482" w:firstLineChars="200"/>
                    <w:rPr>
                      <w:b/>
                      <w:color w:val="auto"/>
                      <w:sz w:val="24"/>
                    </w:rPr>
                  </w:pPr>
                  <w:r>
                    <w:rPr>
                      <w:b/>
                      <w:color w:val="auto"/>
                      <w:sz w:val="24"/>
                    </w:rPr>
                    <w:t>5、与《长江经济带生态环境保护规划》符合性分析</w:t>
                  </w:r>
                </w:p>
                <w:p>
                  <w:pPr>
                    <w:spacing w:line="360" w:lineRule="auto"/>
                    <w:ind w:firstLine="480" w:firstLineChars="200"/>
                    <w:rPr>
                      <w:color w:val="auto"/>
                      <w:sz w:val="24"/>
                    </w:rPr>
                  </w:pPr>
                  <w:r>
                    <w:rPr>
                      <w:color w:val="auto"/>
                      <w:sz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color w:val="auto"/>
                      <w:sz w:val="24"/>
                    </w:rPr>
                  </w:pPr>
                  <w:r>
                    <w:rPr>
                      <w:color w:val="auto"/>
                      <w:sz w:val="24"/>
                    </w:rPr>
                    <w:t>本项目属于</w:t>
                  </w:r>
                  <w:r>
                    <w:rPr>
                      <w:rFonts w:hint="eastAsia"/>
                      <w:color w:val="auto"/>
                      <w:sz w:val="24"/>
                      <w:lang w:val="en-US" w:eastAsia="zh-CN"/>
                    </w:rPr>
                    <w:t>升压站</w:t>
                  </w:r>
                  <w:r>
                    <w:rPr>
                      <w:color w:val="auto"/>
                      <w:sz w:val="24"/>
                    </w:rPr>
                    <w:t>建设项目，对于资源利用较低，本项目的建设与《长江经济带生态环境保护规划》的相关要求不相冲突。</w:t>
                  </w:r>
                </w:p>
                <w:p>
                  <w:pPr>
                    <w:spacing w:line="360" w:lineRule="auto"/>
                    <w:ind w:firstLine="482" w:firstLineChars="200"/>
                    <w:jc w:val="left"/>
                    <w:rPr>
                      <w:b/>
                      <w:color w:val="auto"/>
                      <w:sz w:val="24"/>
                    </w:rPr>
                  </w:pPr>
                  <w:r>
                    <w:rPr>
                      <w:b/>
                      <w:color w:val="auto"/>
                      <w:sz w:val="24"/>
                    </w:rPr>
                    <w:t>6、与《</w:t>
                  </w:r>
                  <w:r>
                    <w:rPr>
                      <w:rFonts w:hint="eastAsia"/>
                      <w:b/>
                      <w:color w:val="auto"/>
                      <w:sz w:val="24"/>
                      <w:lang w:val="en-US" w:eastAsia="zh-CN"/>
                    </w:rPr>
                    <w:t>输变电建设项目环境保护技术要求</w:t>
                  </w:r>
                  <w:r>
                    <w:rPr>
                      <w:b/>
                      <w:color w:val="auto"/>
                      <w:sz w:val="24"/>
                    </w:rPr>
                    <w:t>》</w:t>
                  </w:r>
                  <w:r>
                    <w:rPr>
                      <w:rFonts w:hint="eastAsia"/>
                      <w:b/>
                      <w:color w:val="auto"/>
                      <w:sz w:val="24"/>
                      <w:lang w:eastAsia="zh-CN"/>
                    </w:rPr>
                    <w:t>（</w:t>
                  </w:r>
                  <w:r>
                    <w:rPr>
                      <w:rFonts w:hint="eastAsia"/>
                      <w:b/>
                      <w:color w:val="auto"/>
                      <w:sz w:val="24"/>
                      <w:lang w:val="en-US" w:eastAsia="zh-CN"/>
                    </w:rPr>
                    <w:t>HJ****-2020</w:t>
                  </w:r>
                  <w:r>
                    <w:rPr>
                      <w:rFonts w:hint="eastAsia"/>
                      <w:b/>
                      <w:color w:val="auto"/>
                      <w:sz w:val="24"/>
                      <w:lang w:eastAsia="zh-CN"/>
                    </w:rPr>
                    <w:t>）</w:t>
                  </w:r>
                  <w:r>
                    <w:rPr>
                      <w:b/>
                      <w:color w:val="auto"/>
                      <w:sz w:val="24"/>
                    </w:rPr>
                    <w:t>的符合性分析</w:t>
                  </w:r>
                </w:p>
                <w:p>
                  <w:pPr>
                    <w:jc w:val="center"/>
                    <w:rPr>
                      <w:b/>
                      <w:bCs/>
                      <w:color w:val="auto"/>
                      <w:sz w:val="24"/>
                    </w:rPr>
                  </w:pPr>
                  <w:r>
                    <w:rPr>
                      <w:b/>
                      <w:bCs/>
                      <w:color w:val="auto"/>
                      <w:sz w:val="24"/>
                    </w:rPr>
                    <w:t>表1-</w:t>
                  </w:r>
                  <w:r>
                    <w:rPr>
                      <w:rFonts w:hint="eastAsia"/>
                      <w:b/>
                      <w:bCs/>
                      <w:color w:val="auto"/>
                      <w:sz w:val="24"/>
                      <w:lang w:val="en-US" w:eastAsia="zh-CN"/>
                    </w:rPr>
                    <w:t>5</w:t>
                  </w:r>
                  <w:r>
                    <w:rPr>
                      <w:b/>
                      <w:bCs/>
                      <w:color w:val="auto"/>
                      <w:sz w:val="24"/>
                    </w:rPr>
                    <w:t xml:space="preserve">  </w:t>
                  </w:r>
                  <w:r>
                    <w:rPr>
                      <w:rFonts w:hint="eastAsia"/>
                      <w:b/>
                      <w:bCs/>
                      <w:color w:val="auto"/>
                      <w:sz w:val="24"/>
                      <w:lang w:val="en-US" w:eastAsia="zh-CN"/>
                    </w:rPr>
                    <w:t>与输变电建设项目环境保护技术要求（摘录）</w:t>
                  </w:r>
                  <w:r>
                    <w:rPr>
                      <w:b/>
                      <w:bCs/>
                      <w:color w:val="auto"/>
                      <w:sz w:val="24"/>
                    </w:rPr>
                    <w:t>符合性分析一览表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
                    <w:gridCol w:w="507"/>
                    <w:gridCol w:w="4790"/>
                    <w:gridCol w:w="2793"/>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 w:type="pct"/>
                        <w:vAlign w:val="center"/>
                      </w:tcPr>
                      <w:p>
                        <w:pPr>
                          <w:jc w:val="center"/>
                          <w:rPr>
                            <w:b/>
                            <w:bCs/>
                            <w:color w:val="auto"/>
                            <w:szCs w:val="21"/>
                          </w:rPr>
                        </w:pPr>
                        <w:r>
                          <w:rPr>
                            <w:b/>
                            <w:bCs/>
                            <w:color w:val="auto"/>
                            <w:szCs w:val="21"/>
                          </w:rPr>
                          <w:t>序号</w:t>
                        </w:r>
                      </w:p>
                    </w:tc>
                    <w:tc>
                      <w:tcPr>
                        <w:tcW w:w="287" w:type="pct"/>
                        <w:vAlign w:val="center"/>
                      </w:tcPr>
                      <w:p>
                        <w:pPr>
                          <w:jc w:val="center"/>
                          <w:rPr>
                            <w:rFonts w:hint="eastAsia" w:eastAsia="宋体"/>
                            <w:b/>
                            <w:bCs/>
                            <w:color w:val="auto"/>
                            <w:szCs w:val="21"/>
                            <w:lang w:val="en-US" w:eastAsia="zh-CN"/>
                          </w:rPr>
                        </w:pPr>
                        <w:r>
                          <w:rPr>
                            <w:rFonts w:hint="eastAsia"/>
                            <w:b/>
                            <w:bCs/>
                            <w:color w:val="auto"/>
                            <w:szCs w:val="21"/>
                            <w:lang w:val="en-US" w:eastAsia="zh-CN"/>
                          </w:rPr>
                          <w:t>项目</w:t>
                        </w:r>
                      </w:p>
                    </w:tc>
                    <w:tc>
                      <w:tcPr>
                        <w:tcW w:w="2713" w:type="pct"/>
                        <w:vAlign w:val="center"/>
                      </w:tcPr>
                      <w:p>
                        <w:pPr>
                          <w:jc w:val="center"/>
                          <w:rPr>
                            <w:b/>
                            <w:bCs/>
                            <w:color w:val="auto"/>
                            <w:szCs w:val="21"/>
                          </w:rPr>
                        </w:pPr>
                        <w:r>
                          <w:rPr>
                            <w:b/>
                            <w:bCs/>
                            <w:color w:val="auto"/>
                            <w:szCs w:val="21"/>
                          </w:rPr>
                          <w:t>实施细则要求</w:t>
                        </w:r>
                      </w:p>
                    </w:tc>
                    <w:tc>
                      <w:tcPr>
                        <w:tcW w:w="1583" w:type="pct"/>
                        <w:vAlign w:val="center"/>
                      </w:tcPr>
                      <w:p>
                        <w:pPr>
                          <w:jc w:val="center"/>
                          <w:rPr>
                            <w:b/>
                            <w:bCs/>
                            <w:color w:val="auto"/>
                            <w:szCs w:val="21"/>
                          </w:rPr>
                        </w:pPr>
                        <w:r>
                          <w:rPr>
                            <w:b/>
                            <w:bCs/>
                            <w:color w:val="auto"/>
                            <w:szCs w:val="21"/>
                          </w:rPr>
                          <w:t>项目情况</w:t>
                        </w:r>
                      </w:p>
                    </w:tc>
                    <w:tc>
                      <w:tcPr>
                        <w:tcW w:w="241" w:type="pct"/>
                        <w:vAlign w:val="center"/>
                      </w:tcPr>
                      <w:p>
                        <w:pPr>
                          <w:jc w:val="center"/>
                          <w:rPr>
                            <w:b/>
                            <w:bCs/>
                            <w:color w:val="auto"/>
                            <w:szCs w:val="21"/>
                          </w:rPr>
                        </w:pPr>
                        <w:r>
                          <w:rPr>
                            <w:b/>
                            <w:bCs/>
                            <w:color w:val="auto"/>
                            <w:szCs w:val="21"/>
                          </w:rPr>
                          <w:t>是否相符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 w:type="pct"/>
                        <w:vAlign w:val="center"/>
                      </w:tcPr>
                      <w:p>
                        <w:pPr>
                          <w:jc w:val="center"/>
                          <w:rPr>
                            <w:color w:val="auto"/>
                            <w:szCs w:val="21"/>
                          </w:rPr>
                        </w:pPr>
                        <w:r>
                          <w:rPr>
                            <w:color w:val="auto"/>
                            <w:szCs w:val="21"/>
                          </w:rPr>
                          <w:t>1</w:t>
                        </w:r>
                      </w:p>
                    </w:tc>
                    <w:tc>
                      <w:tcPr>
                        <w:tcW w:w="287" w:type="pct"/>
                        <w:vAlign w:val="center"/>
                      </w:tcPr>
                      <w:p>
                        <w:pPr>
                          <w:jc w:val="center"/>
                          <w:rPr>
                            <w:rFonts w:hint="default" w:eastAsia="宋体"/>
                            <w:color w:val="auto"/>
                            <w:szCs w:val="21"/>
                            <w:lang w:val="en-US" w:eastAsia="zh-CN"/>
                          </w:rPr>
                        </w:pPr>
                        <w:r>
                          <w:rPr>
                            <w:rFonts w:hint="eastAsia"/>
                            <w:color w:val="auto"/>
                            <w:szCs w:val="21"/>
                            <w:lang w:val="en-US" w:eastAsia="zh-CN"/>
                          </w:rPr>
                          <w:t>选址选线</w:t>
                        </w:r>
                      </w:p>
                    </w:tc>
                    <w:tc>
                      <w:tcPr>
                        <w:tcW w:w="2713" w:type="pct"/>
                        <w:vAlign w:val="center"/>
                      </w:tcPr>
                      <w:p>
                        <w:pPr>
                          <w:rPr>
                            <w:color w:val="auto"/>
                            <w:szCs w:val="21"/>
                          </w:rPr>
                        </w:pPr>
                        <w:r>
                          <w:rPr>
                            <w:rFonts w:hint="default"/>
                            <w:color w:val="auto"/>
                            <w:szCs w:val="21"/>
                            <w:lang w:val="en-US" w:eastAsia="zh-CN"/>
                          </w:rPr>
                          <w:t>1</w:t>
                        </w:r>
                        <w:r>
                          <w:rPr>
                            <w:rFonts w:hint="eastAsia"/>
                            <w:color w:val="auto"/>
                            <w:szCs w:val="21"/>
                            <w:lang w:val="en-US" w:eastAsia="zh-CN"/>
                          </w:rPr>
                          <w:t>、工程选址选线应符合规划环境影响评价文件的要求。</w:t>
                        </w:r>
                      </w:p>
                      <w:p>
                        <w:pPr>
                          <w:rPr>
                            <w:color w:val="auto"/>
                            <w:szCs w:val="21"/>
                          </w:rPr>
                        </w:pPr>
                        <w:r>
                          <w:rPr>
                            <w:rFonts w:hint="default"/>
                            <w:color w:val="auto"/>
                            <w:szCs w:val="21"/>
                            <w:lang w:val="en-US" w:eastAsia="zh-CN"/>
                          </w:rPr>
                          <w:t>2</w:t>
                        </w:r>
                        <w:r>
                          <w:rPr>
                            <w:rFonts w:hint="eastAsia"/>
                            <w:color w:val="auto"/>
                            <w:szCs w:val="21"/>
                            <w:lang w:val="en-US" w:eastAsia="zh-CN"/>
                          </w:rPr>
                          <w:t>、输变电建设项目选址选线应符合生态保护红线管控要求，避让自然保护区、饮用水水源保护区等环境敏感区。</w:t>
                        </w:r>
                      </w:p>
                      <w:p>
                        <w:pPr>
                          <w:rPr>
                            <w:color w:val="auto"/>
                            <w:szCs w:val="21"/>
                          </w:rPr>
                        </w:pPr>
                        <w:r>
                          <w:rPr>
                            <w:rFonts w:hint="default"/>
                            <w:color w:val="auto"/>
                            <w:szCs w:val="21"/>
                            <w:lang w:val="en-US" w:eastAsia="zh-CN"/>
                          </w:rPr>
                          <w:t>3</w:t>
                        </w:r>
                        <w:r>
                          <w:rPr>
                            <w:rFonts w:hint="eastAsia"/>
                            <w:color w:val="auto"/>
                            <w:szCs w:val="21"/>
                            <w:lang w:val="en-US" w:eastAsia="zh-CN"/>
                          </w:rPr>
                          <w:t>、户外变电工程及规划架空进出线选址选线时，应关注以居住、医疗卫生、文化教育、科研、行政办公等为主要功能的区域，采取综合措施，减少电磁和声环境影响。</w:t>
                        </w:r>
                      </w:p>
                      <w:p>
                        <w:pPr>
                          <w:rPr>
                            <w:color w:val="auto"/>
                            <w:szCs w:val="21"/>
                          </w:rPr>
                        </w:pPr>
                        <w:r>
                          <w:rPr>
                            <w:rFonts w:hint="default"/>
                            <w:color w:val="auto"/>
                            <w:szCs w:val="21"/>
                            <w:lang w:val="en-US" w:eastAsia="zh-CN"/>
                          </w:rPr>
                          <w:t>4</w:t>
                        </w:r>
                        <w:r>
                          <w:rPr>
                            <w:rFonts w:hint="eastAsia"/>
                            <w:color w:val="auto"/>
                            <w:szCs w:val="21"/>
                            <w:lang w:val="en-US" w:eastAsia="zh-CN"/>
                          </w:rPr>
                          <w:t>、原则上避免在</w:t>
                        </w:r>
                        <w:r>
                          <w:rPr>
                            <w:rFonts w:hint="default"/>
                            <w:color w:val="auto"/>
                            <w:szCs w:val="21"/>
                            <w:lang w:val="en-US" w:eastAsia="zh-CN"/>
                          </w:rPr>
                          <w:t>0</w:t>
                        </w:r>
                        <w:r>
                          <w:rPr>
                            <w:rFonts w:hint="eastAsia"/>
                            <w:color w:val="auto"/>
                            <w:szCs w:val="21"/>
                            <w:lang w:val="en-US" w:eastAsia="zh-CN"/>
                          </w:rPr>
                          <w:t>类声环境功能区建设变电工程。</w:t>
                        </w:r>
                      </w:p>
                      <w:p>
                        <w:pPr>
                          <w:rPr>
                            <w:color w:val="auto"/>
                            <w:szCs w:val="21"/>
                          </w:rPr>
                        </w:pPr>
                        <w:r>
                          <w:rPr>
                            <w:rFonts w:hint="default"/>
                            <w:color w:val="auto"/>
                            <w:szCs w:val="21"/>
                            <w:lang w:val="en-US" w:eastAsia="zh-CN"/>
                          </w:rPr>
                          <w:t>5</w:t>
                        </w:r>
                        <w:r>
                          <w:rPr>
                            <w:rFonts w:hint="eastAsia"/>
                            <w:color w:val="auto"/>
                            <w:szCs w:val="21"/>
                            <w:lang w:val="en-US" w:eastAsia="zh-CN"/>
                          </w:rPr>
                          <w:t>、变电工程选址时，应综合考虑减少土地占用、植被砍伐和弃土弃渣等，以减少对生态环境的不利影响</w:t>
                        </w:r>
                        <w:r>
                          <w:rPr>
                            <w:color w:val="auto"/>
                            <w:szCs w:val="21"/>
                          </w:rPr>
                          <w:t>。</w:t>
                        </w:r>
                      </w:p>
                    </w:tc>
                    <w:tc>
                      <w:tcPr>
                        <w:tcW w:w="1583" w:type="pct"/>
                        <w:vAlign w:val="center"/>
                      </w:tcPr>
                      <w:p>
                        <w:pPr>
                          <w:rPr>
                            <w:color w:val="auto"/>
                            <w:szCs w:val="21"/>
                          </w:rPr>
                        </w:pPr>
                        <w:r>
                          <w:rPr>
                            <w:rFonts w:hint="default"/>
                            <w:color w:val="auto"/>
                            <w:szCs w:val="21"/>
                            <w:lang w:val="en-US" w:eastAsia="zh-CN"/>
                          </w:rPr>
                          <w:t>1</w:t>
                        </w:r>
                        <w:r>
                          <w:rPr>
                            <w:rFonts w:hint="eastAsia"/>
                            <w:color w:val="auto"/>
                            <w:szCs w:val="21"/>
                            <w:lang w:val="en-US" w:eastAsia="zh-CN"/>
                          </w:rPr>
                          <w:t>、项目选址不在生态保护红线范围内，不涉及自然保护区，饮用水源保护区等敏感区。</w:t>
                        </w:r>
                      </w:p>
                      <w:p>
                        <w:pPr>
                          <w:rPr>
                            <w:color w:val="auto"/>
                            <w:szCs w:val="21"/>
                          </w:rPr>
                        </w:pPr>
                        <w:r>
                          <w:rPr>
                            <w:rFonts w:hint="default"/>
                            <w:color w:val="auto"/>
                            <w:szCs w:val="21"/>
                            <w:lang w:val="en-US" w:eastAsia="zh-CN"/>
                          </w:rPr>
                          <w:t>2</w:t>
                        </w:r>
                        <w:r>
                          <w:rPr>
                            <w:rFonts w:hint="eastAsia"/>
                            <w:color w:val="auto"/>
                            <w:szCs w:val="21"/>
                            <w:lang w:val="en-US" w:eastAsia="zh-CN"/>
                          </w:rPr>
                          <w:t>、本项目为户外变电工程，站界周围</w:t>
                        </w:r>
                        <w:r>
                          <w:rPr>
                            <w:rFonts w:hint="default"/>
                            <w:color w:val="auto"/>
                            <w:szCs w:val="21"/>
                            <w:lang w:val="en-US" w:eastAsia="zh-CN"/>
                          </w:rPr>
                          <w:t>500</w:t>
                        </w:r>
                        <w:r>
                          <w:rPr>
                            <w:rFonts w:hint="eastAsia"/>
                            <w:color w:val="auto"/>
                            <w:szCs w:val="21"/>
                            <w:lang w:val="en-US" w:eastAsia="zh-CN"/>
                          </w:rPr>
                          <w:t>米范围无居民住户、医疗卫生、输电线路等敏感功能区。</w:t>
                        </w:r>
                      </w:p>
                      <w:p>
                        <w:pPr>
                          <w:rPr>
                            <w:color w:val="auto"/>
                            <w:szCs w:val="21"/>
                          </w:rPr>
                        </w:pPr>
                        <w:r>
                          <w:rPr>
                            <w:rFonts w:hint="default"/>
                            <w:color w:val="auto"/>
                            <w:szCs w:val="21"/>
                            <w:lang w:val="en-US" w:eastAsia="zh-CN"/>
                          </w:rPr>
                          <w:t>3</w:t>
                        </w:r>
                        <w:r>
                          <w:rPr>
                            <w:rFonts w:hint="eastAsia"/>
                            <w:color w:val="auto"/>
                            <w:szCs w:val="21"/>
                            <w:lang w:val="en-US" w:eastAsia="zh-CN"/>
                          </w:rPr>
                          <w:t>、声环境功能区划为</w:t>
                        </w:r>
                        <w:r>
                          <w:rPr>
                            <w:rFonts w:hint="default"/>
                            <w:color w:val="auto"/>
                            <w:szCs w:val="21"/>
                            <w:lang w:val="en-US" w:eastAsia="zh-CN"/>
                          </w:rPr>
                          <w:t>2</w:t>
                        </w:r>
                        <w:r>
                          <w:rPr>
                            <w:rFonts w:hint="eastAsia"/>
                            <w:color w:val="auto"/>
                            <w:szCs w:val="21"/>
                            <w:lang w:val="en-US" w:eastAsia="zh-CN"/>
                          </w:rPr>
                          <w:t>类区。</w:t>
                        </w:r>
                      </w:p>
                      <w:p>
                        <w:pPr>
                          <w:rPr>
                            <w:color w:val="auto"/>
                            <w:szCs w:val="21"/>
                          </w:rPr>
                        </w:pPr>
                        <w:r>
                          <w:rPr>
                            <w:rFonts w:hint="default"/>
                            <w:color w:val="auto"/>
                            <w:szCs w:val="21"/>
                            <w:lang w:val="en-US" w:eastAsia="zh-CN"/>
                          </w:rPr>
                          <w:t>4</w:t>
                        </w:r>
                        <w:r>
                          <w:rPr>
                            <w:rFonts w:hint="eastAsia"/>
                            <w:color w:val="auto"/>
                            <w:szCs w:val="21"/>
                            <w:lang w:val="en-US" w:eastAsia="zh-CN"/>
                          </w:rPr>
                          <w:t>、本工程占地面积较小，占用少量林地，林木砍伐较少，弃土产生后即时外运处理，不在周围堆放</w:t>
                        </w:r>
                        <w:r>
                          <w:rPr>
                            <w:color w:val="auto"/>
                            <w:szCs w:val="21"/>
                          </w:rPr>
                          <w:t>。</w:t>
                        </w:r>
                      </w:p>
                    </w:tc>
                    <w:tc>
                      <w:tcPr>
                        <w:tcW w:w="241" w:type="pct"/>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 w:type="pct"/>
                        <w:vAlign w:val="center"/>
                      </w:tcPr>
                      <w:p>
                        <w:pPr>
                          <w:jc w:val="center"/>
                          <w:rPr>
                            <w:color w:val="auto"/>
                            <w:szCs w:val="21"/>
                          </w:rPr>
                        </w:pPr>
                        <w:r>
                          <w:rPr>
                            <w:color w:val="auto"/>
                            <w:szCs w:val="21"/>
                          </w:rPr>
                          <w:t>2</w:t>
                        </w:r>
                      </w:p>
                    </w:tc>
                    <w:tc>
                      <w:tcPr>
                        <w:tcW w:w="287" w:type="pct"/>
                        <w:vAlign w:val="center"/>
                      </w:tcPr>
                      <w:p>
                        <w:pPr>
                          <w:jc w:val="center"/>
                          <w:rPr>
                            <w:rFonts w:hint="eastAsia" w:eastAsia="宋体"/>
                            <w:color w:val="auto"/>
                            <w:szCs w:val="21"/>
                            <w:lang w:val="en-US" w:eastAsia="zh-CN"/>
                          </w:rPr>
                        </w:pPr>
                        <w:r>
                          <w:rPr>
                            <w:rFonts w:hint="eastAsia"/>
                            <w:color w:val="auto"/>
                            <w:szCs w:val="21"/>
                            <w:lang w:val="en-US" w:eastAsia="zh-CN"/>
                          </w:rPr>
                          <w:t>总体要求</w:t>
                        </w:r>
                      </w:p>
                    </w:tc>
                    <w:tc>
                      <w:tcPr>
                        <w:tcW w:w="2713" w:type="pct"/>
                        <w:vAlign w:val="center"/>
                      </w:tcPr>
                      <w:p>
                        <w:pPr>
                          <w:rPr>
                            <w:color w:val="auto"/>
                            <w:szCs w:val="21"/>
                          </w:rPr>
                        </w:pPr>
                        <w:r>
                          <w:rPr>
                            <w:rFonts w:hint="eastAsia"/>
                            <w:color w:val="auto"/>
                            <w:szCs w:val="21"/>
                            <w:lang w:val="en-US" w:eastAsia="zh-CN"/>
                          </w:rPr>
                          <w:t>变电工程应设置足够容量的事故油池及其配套的拦截、防雨、防渗等措施和设施。一旦发生泄漏，应能及时进行拦截和处理，确保油及油水混合物全部收集、不外排。</w:t>
                        </w:r>
                      </w:p>
                    </w:tc>
                    <w:tc>
                      <w:tcPr>
                        <w:tcW w:w="1583" w:type="pct"/>
                        <w:vAlign w:val="center"/>
                      </w:tcPr>
                      <w:p>
                        <w:pPr>
                          <w:rPr>
                            <w:color w:val="auto"/>
                            <w:szCs w:val="21"/>
                          </w:rPr>
                        </w:pPr>
                        <w:r>
                          <w:rPr>
                            <w:rFonts w:hint="eastAsia"/>
                            <w:color w:val="auto"/>
                            <w:szCs w:val="21"/>
                            <w:lang w:val="en-US" w:eastAsia="zh-CN"/>
                          </w:rPr>
                          <w:t>本变电站主变压器底部设置储油坑，储油坑设有排油管与事故油池相连，可以保证含油废水不外排。同时事故油池采取防雨、防渗措施。</w:t>
                        </w:r>
                      </w:p>
                    </w:tc>
                    <w:tc>
                      <w:tcPr>
                        <w:tcW w:w="241" w:type="pct"/>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 w:type="pct"/>
                        <w:vAlign w:val="center"/>
                      </w:tcPr>
                      <w:p>
                        <w:pPr>
                          <w:jc w:val="center"/>
                          <w:rPr>
                            <w:color w:val="auto"/>
                            <w:szCs w:val="21"/>
                          </w:rPr>
                        </w:pPr>
                        <w:r>
                          <w:rPr>
                            <w:color w:val="auto"/>
                            <w:szCs w:val="21"/>
                          </w:rPr>
                          <w:t>3</w:t>
                        </w:r>
                      </w:p>
                    </w:tc>
                    <w:tc>
                      <w:tcPr>
                        <w:tcW w:w="287" w:type="pct"/>
                        <w:vAlign w:val="center"/>
                      </w:tcPr>
                      <w:p>
                        <w:pPr>
                          <w:jc w:val="center"/>
                          <w:rPr>
                            <w:rFonts w:hint="default" w:eastAsia="宋体"/>
                            <w:color w:val="auto"/>
                            <w:szCs w:val="21"/>
                            <w:lang w:val="en-US" w:eastAsia="zh-CN"/>
                          </w:rPr>
                        </w:pPr>
                        <w:r>
                          <w:rPr>
                            <w:rFonts w:hint="eastAsia"/>
                            <w:color w:val="auto"/>
                            <w:szCs w:val="21"/>
                            <w:lang w:val="en-US" w:eastAsia="zh-CN"/>
                          </w:rPr>
                          <w:t>电磁环境保护</w:t>
                        </w:r>
                      </w:p>
                    </w:tc>
                    <w:tc>
                      <w:tcPr>
                        <w:tcW w:w="2713" w:type="pct"/>
                        <w:vAlign w:val="center"/>
                      </w:tcPr>
                      <w:p>
                        <w:pPr>
                          <w:rPr>
                            <w:color w:val="auto"/>
                            <w:szCs w:val="21"/>
                          </w:rPr>
                        </w:pPr>
                        <w:r>
                          <w:rPr>
                            <w:rFonts w:hint="eastAsia"/>
                            <w:color w:val="auto"/>
                            <w:szCs w:val="21"/>
                            <w:lang w:val="en-US" w:eastAsia="zh-CN"/>
                          </w:rPr>
                          <w:t>变电工程的布置设计应考虑进出线对周围电磁环境的影响</w:t>
                        </w:r>
                        <w:r>
                          <w:rPr>
                            <w:color w:val="auto"/>
                            <w:szCs w:val="21"/>
                          </w:rPr>
                          <w:t>。</w:t>
                        </w:r>
                      </w:p>
                    </w:tc>
                    <w:tc>
                      <w:tcPr>
                        <w:tcW w:w="1583" w:type="pct"/>
                        <w:vAlign w:val="center"/>
                      </w:tcPr>
                      <w:p>
                        <w:pPr>
                          <w:rPr>
                            <w:color w:val="auto"/>
                            <w:szCs w:val="21"/>
                          </w:rPr>
                        </w:pPr>
                        <w:r>
                          <w:rPr>
                            <w:rFonts w:hint="eastAsia"/>
                            <w:color w:val="auto"/>
                            <w:szCs w:val="21"/>
                            <w:lang w:val="en-US" w:eastAsia="zh-CN"/>
                          </w:rPr>
                          <w:t>电磁环境影响满足相应标准要求</w:t>
                        </w:r>
                        <w:r>
                          <w:rPr>
                            <w:color w:val="auto"/>
                            <w:szCs w:val="21"/>
                          </w:rPr>
                          <w:t>。</w:t>
                        </w:r>
                      </w:p>
                    </w:tc>
                    <w:tc>
                      <w:tcPr>
                        <w:tcW w:w="241" w:type="pct"/>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 w:type="pct"/>
                        <w:vAlign w:val="center"/>
                      </w:tcPr>
                      <w:p>
                        <w:pPr>
                          <w:jc w:val="center"/>
                          <w:rPr>
                            <w:color w:val="auto"/>
                            <w:szCs w:val="21"/>
                          </w:rPr>
                        </w:pPr>
                        <w:r>
                          <w:rPr>
                            <w:color w:val="auto"/>
                            <w:szCs w:val="21"/>
                          </w:rPr>
                          <w:t>4</w:t>
                        </w:r>
                      </w:p>
                    </w:tc>
                    <w:tc>
                      <w:tcPr>
                        <w:tcW w:w="287" w:type="pct"/>
                        <w:vAlign w:val="center"/>
                      </w:tcPr>
                      <w:p>
                        <w:pPr>
                          <w:jc w:val="center"/>
                          <w:rPr>
                            <w:rFonts w:hint="default" w:eastAsia="宋体"/>
                            <w:color w:val="auto"/>
                            <w:szCs w:val="21"/>
                            <w:lang w:val="en-US" w:eastAsia="zh-CN"/>
                          </w:rPr>
                        </w:pPr>
                        <w:r>
                          <w:rPr>
                            <w:rFonts w:hint="eastAsia"/>
                            <w:color w:val="auto"/>
                            <w:szCs w:val="21"/>
                            <w:lang w:val="en-US" w:eastAsia="zh-CN"/>
                          </w:rPr>
                          <w:t>声环境保护</w:t>
                        </w:r>
                      </w:p>
                    </w:tc>
                    <w:tc>
                      <w:tcPr>
                        <w:tcW w:w="2713" w:type="pct"/>
                        <w:vAlign w:val="center"/>
                      </w:tcPr>
                      <w:p>
                        <w:pPr>
                          <w:rPr>
                            <w:color w:val="auto"/>
                            <w:szCs w:val="21"/>
                          </w:rPr>
                        </w:pPr>
                        <w:r>
                          <w:rPr>
                            <w:rFonts w:hint="default"/>
                            <w:color w:val="auto"/>
                            <w:szCs w:val="21"/>
                            <w:lang w:val="en-US" w:eastAsia="zh-CN"/>
                          </w:rPr>
                          <w:t>1</w:t>
                        </w:r>
                        <w:r>
                          <w:rPr>
                            <w:rFonts w:hint="eastAsia"/>
                            <w:color w:val="auto"/>
                            <w:szCs w:val="21"/>
                            <w:lang w:val="en-US" w:eastAsia="zh-CN"/>
                          </w:rPr>
                          <w:t>、变电工程噪声控制设计应首先从噪声源强上进行控制，选择低噪声设备；对于声源上无法根治的噪声，应采用隔声、吸声、消声、防振、减振等降噪措施，确保厂界排放噪声和周围声环境敏感目标分别满足</w:t>
                        </w:r>
                        <w:r>
                          <w:rPr>
                            <w:rFonts w:hint="default"/>
                            <w:color w:val="auto"/>
                            <w:szCs w:val="21"/>
                            <w:lang w:val="en-US" w:eastAsia="zh-CN"/>
                          </w:rPr>
                          <w:t>GB</w:t>
                        </w:r>
                        <w:r>
                          <w:rPr>
                            <w:rFonts w:hint="eastAsia"/>
                            <w:color w:val="auto"/>
                            <w:szCs w:val="21"/>
                            <w:lang w:val="en-US" w:eastAsia="zh-CN"/>
                          </w:rPr>
                          <w:t>*****和</w:t>
                        </w:r>
                        <w:r>
                          <w:rPr>
                            <w:rFonts w:hint="default"/>
                            <w:color w:val="auto"/>
                            <w:szCs w:val="21"/>
                            <w:lang w:val="en-US" w:eastAsia="zh-CN"/>
                          </w:rPr>
                          <w:t>GB</w:t>
                        </w:r>
                        <w:r>
                          <w:rPr>
                            <w:rFonts w:hint="eastAsia"/>
                            <w:color w:val="auto"/>
                            <w:szCs w:val="21"/>
                            <w:lang w:val="en-US" w:eastAsia="zh-CN"/>
                          </w:rPr>
                          <w:t>****要求。</w:t>
                        </w:r>
                      </w:p>
                      <w:p>
                        <w:pPr>
                          <w:rPr>
                            <w:color w:val="auto"/>
                            <w:szCs w:val="21"/>
                          </w:rPr>
                        </w:pPr>
                        <w:r>
                          <w:rPr>
                            <w:rFonts w:hint="default"/>
                            <w:color w:val="auto"/>
                            <w:szCs w:val="21"/>
                            <w:lang w:val="en-US" w:eastAsia="zh-CN"/>
                          </w:rPr>
                          <w:t>2</w:t>
                        </w:r>
                        <w:r>
                          <w:rPr>
                            <w:rFonts w:hint="eastAsia"/>
                            <w:color w:val="auto"/>
                            <w:szCs w:val="21"/>
                            <w:lang w:val="en-US" w:eastAsia="zh-CN"/>
                          </w:rPr>
                          <w:t>、户外变电工程总体布置应综合考虑声环境影响因素，合理规划，利用建筑物、地形等阻挡噪声传播，减少对声环境敏感目标的影响。</w:t>
                        </w:r>
                      </w:p>
                      <w:p>
                        <w:pPr>
                          <w:rPr>
                            <w:color w:val="auto"/>
                            <w:szCs w:val="21"/>
                          </w:rPr>
                        </w:pPr>
                        <w:r>
                          <w:rPr>
                            <w:rFonts w:hint="default"/>
                            <w:color w:val="auto"/>
                            <w:szCs w:val="21"/>
                            <w:lang w:val="en-US" w:eastAsia="zh-CN"/>
                          </w:rPr>
                          <w:t>3</w:t>
                        </w:r>
                        <w:r>
                          <w:rPr>
                            <w:rFonts w:hint="eastAsia"/>
                            <w:color w:val="auto"/>
                            <w:szCs w:val="21"/>
                            <w:lang w:val="en-US" w:eastAsia="zh-CN"/>
                          </w:rPr>
                          <w:t>、户外变电工程在设计过程中应进行平面布置优化，将主变压器、换流变压器、高压电抗器等主要声源设备布置在站址中央区域或远离站外声环境敏感目标侧的区域。</w:t>
                        </w:r>
                      </w:p>
                      <w:p>
                        <w:pPr>
                          <w:rPr>
                            <w:color w:val="auto"/>
                            <w:szCs w:val="21"/>
                          </w:rPr>
                        </w:pPr>
                        <w:r>
                          <w:rPr>
                            <w:rFonts w:hint="default"/>
                            <w:color w:val="auto"/>
                            <w:szCs w:val="21"/>
                            <w:lang w:val="en-US" w:eastAsia="zh-CN"/>
                          </w:rPr>
                          <w:t>4</w:t>
                        </w:r>
                        <w:r>
                          <w:rPr>
                            <w:rFonts w:hint="eastAsia"/>
                            <w:color w:val="auto"/>
                            <w:szCs w:val="21"/>
                            <w:lang w:val="en-US" w:eastAsia="zh-CN"/>
                          </w:rPr>
                          <w:t>、变电工程位于</w:t>
                        </w:r>
                        <w:r>
                          <w:rPr>
                            <w:rFonts w:hint="default"/>
                            <w:color w:val="auto"/>
                            <w:szCs w:val="21"/>
                            <w:lang w:val="en-US" w:eastAsia="zh-CN"/>
                          </w:rPr>
                          <w:t>1</w:t>
                        </w:r>
                        <w:r>
                          <w:rPr>
                            <w:rFonts w:hint="eastAsia"/>
                            <w:color w:val="auto"/>
                            <w:szCs w:val="21"/>
                            <w:lang w:val="en-US" w:eastAsia="zh-CN"/>
                          </w:rPr>
                          <w:t>类或周围噪声敏感建筑物较多的</w:t>
                        </w:r>
                        <w:r>
                          <w:rPr>
                            <w:rFonts w:hint="default"/>
                            <w:color w:val="auto"/>
                            <w:szCs w:val="21"/>
                            <w:lang w:val="en-US" w:eastAsia="zh-CN"/>
                          </w:rPr>
                          <w:t>2</w:t>
                        </w:r>
                        <w:r>
                          <w:rPr>
                            <w:rFonts w:hint="eastAsia"/>
                            <w:color w:val="auto"/>
                            <w:szCs w:val="21"/>
                            <w:lang w:val="en-US" w:eastAsia="zh-CN"/>
                          </w:rPr>
                          <w:t>类声环境功能区时，建设单位应严格控制主变压器、换流变压器、高压电抗器等主要噪声源的噪声水平，并在满足</w:t>
                        </w:r>
                        <w:r>
                          <w:rPr>
                            <w:rFonts w:hint="default"/>
                            <w:color w:val="auto"/>
                            <w:szCs w:val="21"/>
                            <w:lang w:val="en-US" w:eastAsia="zh-CN"/>
                          </w:rPr>
                          <w:t>GB</w:t>
                        </w:r>
                        <w:r>
                          <w:rPr>
                            <w:rFonts w:hint="eastAsia"/>
                            <w:color w:val="auto"/>
                            <w:szCs w:val="21"/>
                            <w:lang w:val="en-US" w:eastAsia="zh-CN"/>
                          </w:rPr>
                          <w:t>*****的基础上保留适当裕度。</w:t>
                        </w:r>
                      </w:p>
                      <w:p>
                        <w:pPr>
                          <w:rPr>
                            <w:color w:val="auto"/>
                            <w:szCs w:val="21"/>
                          </w:rPr>
                        </w:pPr>
                        <w:r>
                          <w:rPr>
                            <w:rFonts w:hint="default"/>
                            <w:color w:val="auto"/>
                            <w:szCs w:val="21"/>
                            <w:lang w:val="en-US" w:eastAsia="zh-CN"/>
                          </w:rPr>
                          <w:t>5</w:t>
                        </w:r>
                        <w:r>
                          <w:rPr>
                            <w:rFonts w:hint="eastAsia"/>
                            <w:color w:val="auto"/>
                            <w:szCs w:val="21"/>
                            <w:lang w:val="en-US" w:eastAsia="zh-CN"/>
                          </w:rPr>
                          <w:t>、位于城市规划区</w:t>
                        </w:r>
                        <w:r>
                          <w:rPr>
                            <w:rFonts w:hint="default"/>
                            <w:color w:val="auto"/>
                            <w:szCs w:val="21"/>
                            <w:lang w:val="en-US" w:eastAsia="zh-CN"/>
                          </w:rPr>
                          <w:t>1</w:t>
                        </w:r>
                        <w:r>
                          <w:rPr>
                            <w:rFonts w:hint="eastAsia"/>
                            <w:color w:val="auto"/>
                            <w:szCs w:val="21"/>
                            <w:lang w:val="en-US" w:eastAsia="zh-CN"/>
                          </w:rPr>
                          <w:t>类声环境功能区的变电站应采用全户内布置方式。位于城市规划区其他声环境功能区的变电工程，可采取户内、半户内等环境影响较小的布置型式。</w:t>
                        </w:r>
                      </w:p>
                    </w:tc>
                    <w:tc>
                      <w:tcPr>
                        <w:tcW w:w="1583" w:type="pct"/>
                        <w:vAlign w:val="center"/>
                      </w:tcPr>
                      <w:p>
                        <w:pPr>
                          <w:rPr>
                            <w:color w:val="auto"/>
                            <w:szCs w:val="21"/>
                          </w:rPr>
                        </w:pPr>
                        <w:r>
                          <w:rPr>
                            <w:rFonts w:hint="default"/>
                            <w:color w:val="auto"/>
                            <w:szCs w:val="21"/>
                            <w:lang w:val="en-US" w:eastAsia="zh-CN"/>
                          </w:rPr>
                          <w:t>1</w:t>
                        </w:r>
                        <w:r>
                          <w:rPr>
                            <w:rFonts w:hint="eastAsia"/>
                            <w:color w:val="auto"/>
                            <w:szCs w:val="21"/>
                            <w:lang w:val="en-US" w:eastAsia="zh-CN"/>
                          </w:rPr>
                          <w:t>、在设备招标时，要求主变压器选用低噪声设备；通过合理布置主变等位置，利用建筑物等的阻隔及距离衰减减小噪声可能影响。厂界排放噪声可满足</w:t>
                        </w:r>
                        <w:r>
                          <w:rPr>
                            <w:rFonts w:hint="default"/>
                            <w:color w:val="auto"/>
                            <w:szCs w:val="21"/>
                            <w:lang w:val="en-US" w:eastAsia="zh-CN"/>
                          </w:rPr>
                          <w:t>GB</w:t>
                        </w:r>
                        <w:r>
                          <w:rPr>
                            <w:rFonts w:hint="eastAsia"/>
                            <w:color w:val="auto"/>
                            <w:szCs w:val="21"/>
                            <w:lang w:val="en-US" w:eastAsia="zh-CN"/>
                          </w:rPr>
                          <w:t>*****要求。</w:t>
                        </w:r>
                      </w:p>
                      <w:p>
                        <w:pPr>
                          <w:rPr>
                            <w:color w:val="auto"/>
                            <w:szCs w:val="21"/>
                          </w:rPr>
                        </w:pPr>
                        <w:r>
                          <w:rPr>
                            <w:rFonts w:hint="default"/>
                            <w:color w:val="auto"/>
                            <w:szCs w:val="21"/>
                            <w:lang w:val="en-US" w:eastAsia="zh-CN"/>
                          </w:rPr>
                          <w:t>2</w:t>
                        </w:r>
                        <w:r>
                          <w:rPr>
                            <w:rFonts w:hint="eastAsia"/>
                            <w:color w:val="auto"/>
                            <w:szCs w:val="21"/>
                            <w:lang w:val="en-US" w:eastAsia="zh-CN"/>
                          </w:rPr>
                          <w:t>、本变电站变压器、高压电抗器等设置在站内中部。</w:t>
                        </w:r>
                      </w:p>
                      <w:p>
                        <w:pPr>
                          <w:rPr>
                            <w:color w:val="auto"/>
                            <w:szCs w:val="21"/>
                          </w:rPr>
                        </w:pPr>
                        <w:r>
                          <w:rPr>
                            <w:rFonts w:hint="default"/>
                            <w:color w:val="auto"/>
                            <w:szCs w:val="21"/>
                            <w:lang w:val="en-US" w:eastAsia="zh-CN"/>
                          </w:rPr>
                          <w:t>3</w:t>
                        </w:r>
                        <w:r>
                          <w:rPr>
                            <w:rFonts w:hint="eastAsia"/>
                            <w:color w:val="auto"/>
                            <w:szCs w:val="21"/>
                            <w:lang w:val="en-US" w:eastAsia="zh-CN"/>
                          </w:rPr>
                          <w:t>、本变电站位于农村地区，声环境功能区划为</w:t>
                        </w:r>
                        <w:r>
                          <w:rPr>
                            <w:rFonts w:hint="default"/>
                            <w:color w:val="auto"/>
                            <w:szCs w:val="21"/>
                            <w:lang w:val="en-US" w:eastAsia="zh-CN"/>
                          </w:rPr>
                          <w:t>2</w:t>
                        </w:r>
                        <w:r>
                          <w:rPr>
                            <w:rFonts w:hint="eastAsia"/>
                            <w:color w:val="auto"/>
                            <w:szCs w:val="21"/>
                            <w:lang w:val="en-US" w:eastAsia="zh-CN"/>
                          </w:rPr>
                          <w:t>类区，5</w:t>
                        </w:r>
                        <w:r>
                          <w:rPr>
                            <w:rFonts w:hint="default"/>
                            <w:color w:val="auto"/>
                            <w:szCs w:val="21"/>
                            <w:lang w:val="en-US" w:eastAsia="zh-CN"/>
                          </w:rPr>
                          <w:t>0m</w:t>
                        </w:r>
                        <w:r>
                          <w:rPr>
                            <w:rFonts w:hint="eastAsia"/>
                            <w:color w:val="auto"/>
                            <w:szCs w:val="21"/>
                            <w:lang w:val="en-US" w:eastAsia="zh-CN"/>
                          </w:rPr>
                          <w:t>范围内无声敏感点。</w:t>
                        </w:r>
                      </w:p>
                      <w:p>
                        <w:pPr>
                          <w:rPr>
                            <w:color w:val="auto"/>
                            <w:szCs w:val="21"/>
                          </w:rPr>
                        </w:pPr>
                        <w:r>
                          <w:rPr>
                            <w:rFonts w:hint="default"/>
                            <w:color w:val="auto"/>
                            <w:szCs w:val="21"/>
                            <w:lang w:val="en-US" w:eastAsia="zh-CN"/>
                          </w:rPr>
                          <w:t>4</w:t>
                        </w:r>
                        <w:r>
                          <w:rPr>
                            <w:rFonts w:hint="eastAsia"/>
                            <w:color w:val="auto"/>
                            <w:szCs w:val="21"/>
                            <w:lang w:val="en-US" w:eastAsia="zh-CN"/>
                          </w:rPr>
                          <w:t>、本变电站不在城区及城市规划区。</w:t>
                        </w:r>
                      </w:p>
                    </w:tc>
                    <w:tc>
                      <w:tcPr>
                        <w:tcW w:w="241" w:type="pct"/>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 w:type="pct"/>
                        <w:vAlign w:val="center"/>
                      </w:tcPr>
                      <w:p>
                        <w:pPr>
                          <w:jc w:val="center"/>
                          <w:rPr>
                            <w:color w:val="auto"/>
                            <w:szCs w:val="21"/>
                          </w:rPr>
                        </w:pPr>
                        <w:r>
                          <w:rPr>
                            <w:color w:val="auto"/>
                            <w:szCs w:val="21"/>
                          </w:rPr>
                          <w:t>5</w:t>
                        </w:r>
                      </w:p>
                    </w:tc>
                    <w:tc>
                      <w:tcPr>
                        <w:tcW w:w="287" w:type="pct"/>
                        <w:vAlign w:val="center"/>
                      </w:tcPr>
                      <w:p>
                        <w:pPr>
                          <w:jc w:val="center"/>
                          <w:rPr>
                            <w:rFonts w:hint="default" w:eastAsia="宋体"/>
                            <w:color w:val="auto"/>
                            <w:szCs w:val="21"/>
                            <w:lang w:val="en-US" w:eastAsia="zh-CN"/>
                          </w:rPr>
                        </w:pPr>
                        <w:r>
                          <w:rPr>
                            <w:rFonts w:hint="eastAsia"/>
                            <w:color w:val="auto"/>
                            <w:szCs w:val="21"/>
                            <w:lang w:val="en-US" w:eastAsia="zh-CN"/>
                          </w:rPr>
                          <w:t>生态环境保护</w:t>
                        </w:r>
                      </w:p>
                    </w:tc>
                    <w:tc>
                      <w:tcPr>
                        <w:tcW w:w="2713" w:type="pct"/>
                        <w:vAlign w:val="center"/>
                      </w:tcPr>
                      <w:p>
                        <w:pPr>
                          <w:rPr>
                            <w:color w:val="auto"/>
                            <w:szCs w:val="21"/>
                          </w:rPr>
                        </w:pPr>
                        <w:r>
                          <w:rPr>
                            <w:rFonts w:hint="default"/>
                            <w:color w:val="auto"/>
                            <w:szCs w:val="21"/>
                            <w:lang w:val="en-US" w:eastAsia="zh-CN"/>
                          </w:rPr>
                          <w:t>1</w:t>
                        </w:r>
                        <w:r>
                          <w:rPr>
                            <w:rFonts w:hint="eastAsia"/>
                            <w:color w:val="auto"/>
                            <w:szCs w:val="21"/>
                            <w:lang w:val="en-US" w:eastAsia="zh-CN"/>
                          </w:rPr>
                          <w:t>、输变电建设项目在设计过程中应按照避让、减缓、恢复的次序提出生态影响防护与恢复措施。</w:t>
                        </w:r>
                      </w:p>
                      <w:p>
                        <w:pPr>
                          <w:rPr>
                            <w:color w:val="auto"/>
                            <w:szCs w:val="21"/>
                          </w:rPr>
                        </w:pPr>
                        <w:r>
                          <w:rPr>
                            <w:rFonts w:hint="default"/>
                            <w:color w:val="auto"/>
                            <w:szCs w:val="21"/>
                            <w:lang w:val="en-US" w:eastAsia="zh-CN"/>
                          </w:rPr>
                          <w:t>2</w:t>
                        </w:r>
                        <w:r>
                          <w:rPr>
                            <w:rFonts w:hint="eastAsia"/>
                            <w:color w:val="auto"/>
                            <w:szCs w:val="21"/>
                            <w:lang w:val="en-US" w:eastAsia="zh-CN"/>
                          </w:rPr>
                          <w:t>、输变电建设项目临时占地，应因地制宜进行土地功能恢复设计</w:t>
                        </w:r>
                        <w:r>
                          <w:rPr>
                            <w:color w:val="auto"/>
                            <w:szCs w:val="21"/>
                          </w:rPr>
                          <w:t>。</w:t>
                        </w:r>
                      </w:p>
                    </w:tc>
                    <w:tc>
                      <w:tcPr>
                        <w:tcW w:w="1583" w:type="pct"/>
                        <w:vAlign w:val="center"/>
                      </w:tcPr>
                      <w:p>
                        <w:pPr>
                          <w:rPr>
                            <w:color w:val="auto"/>
                            <w:szCs w:val="21"/>
                          </w:rPr>
                        </w:pPr>
                        <w:r>
                          <w:rPr>
                            <w:rFonts w:hint="default"/>
                            <w:color w:val="auto"/>
                            <w:szCs w:val="21"/>
                            <w:lang w:val="en-US" w:eastAsia="zh-CN"/>
                          </w:rPr>
                          <w:t>1</w:t>
                        </w:r>
                        <w:r>
                          <w:rPr>
                            <w:rFonts w:hint="eastAsia"/>
                            <w:color w:val="auto"/>
                            <w:szCs w:val="21"/>
                            <w:lang w:val="en-US" w:eastAsia="zh-CN"/>
                          </w:rPr>
                          <w:t>、变电站不在生态环境敏感区建设。</w:t>
                        </w:r>
                      </w:p>
                      <w:p>
                        <w:pPr>
                          <w:rPr>
                            <w:color w:val="auto"/>
                            <w:szCs w:val="21"/>
                          </w:rPr>
                        </w:pPr>
                        <w:r>
                          <w:rPr>
                            <w:rFonts w:hint="default"/>
                            <w:color w:val="auto"/>
                            <w:szCs w:val="21"/>
                            <w:lang w:val="en-US" w:eastAsia="zh-CN"/>
                          </w:rPr>
                          <w:t>2</w:t>
                        </w:r>
                        <w:r>
                          <w:rPr>
                            <w:rFonts w:hint="eastAsia"/>
                            <w:color w:val="auto"/>
                            <w:szCs w:val="21"/>
                            <w:lang w:val="en-US" w:eastAsia="zh-CN"/>
                          </w:rPr>
                          <w:t>、本工程无临时占地。</w:t>
                        </w:r>
                      </w:p>
                    </w:tc>
                    <w:tc>
                      <w:tcPr>
                        <w:tcW w:w="241" w:type="pct"/>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 w:type="pct"/>
                        <w:vAlign w:val="center"/>
                      </w:tcPr>
                      <w:p>
                        <w:pPr>
                          <w:jc w:val="center"/>
                          <w:rPr>
                            <w:color w:val="auto"/>
                            <w:szCs w:val="21"/>
                          </w:rPr>
                        </w:pPr>
                        <w:r>
                          <w:rPr>
                            <w:color w:val="auto"/>
                            <w:szCs w:val="21"/>
                          </w:rPr>
                          <w:t>6</w:t>
                        </w:r>
                      </w:p>
                    </w:tc>
                    <w:tc>
                      <w:tcPr>
                        <w:tcW w:w="287" w:type="pct"/>
                        <w:vAlign w:val="center"/>
                      </w:tcPr>
                      <w:p>
                        <w:pPr>
                          <w:jc w:val="center"/>
                          <w:rPr>
                            <w:rFonts w:hint="default" w:eastAsia="宋体"/>
                            <w:color w:val="auto"/>
                            <w:szCs w:val="21"/>
                            <w:lang w:val="en-US" w:eastAsia="zh-CN"/>
                          </w:rPr>
                        </w:pPr>
                        <w:r>
                          <w:rPr>
                            <w:rFonts w:hint="eastAsia"/>
                            <w:color w:val="auto"/>
                            <w:szCs w:val="21"/>
                            <w:lang w:val="en-US" w:eastAsia="zh-CN"/>
                          </w:rPr>
                          <w:t>水环境保护</w:t>
                        </w:r>
                      </w:p>
                    </w:tc>
                    <w:tc>
                      <w:tcPr>
                        <w:tcW w:w="2713" w:type="pct"/>
                        <w:vAlign w:val="center"/>
                      </w:tcPr>
                      <w:p>
                        <w:pPr>
                          <w:rPr>
                            <w:color w:val="auto"/>
                            <w:szCs w:val="21"/>
                          </w:rPr>
                        </w:pPr>
                        <w:r>
                          <w:rPr>
                            <w:rFonts w:hint="default"/>
                            <w:color w:val="auto"/>
                            <w:szCs w:val="21"/>
                            <w:lang w:val="en-US" w:eastAsia="zh-CN"/>
                          </w:rPr>
                          <w:t>1</w:t>
                        </w:r>
                        <w:r>
                          <w:rPr>
                            <w:rFonts w:hint="eastAsia"/>
                            <w:color w:val="auto"/>
                            <w:szCs w:val="21"/>
                            <w:lang w:val="en-US" w:eastAsia="zh-CN"/>
                          </w:rPr>
                          <w:t>、变电工程应采取节水措施，加强水的重复利用，减少废污水排放，雨水和生活污水应采取分流质。</w:t>
                        </w:r>
                      </w:p>
                      <w:p>
                        <w:pPr>
                          <w:rPr>
                            <w:color w:val="auto"/>
                            <w:szCs w:val="21"/>
                          </w:rPr>
                        </w:pPr>
                        <w:r>
                          <w:rPr>
                            <w:rFonts w:hint="default"/>
                            <w:color w:val="auto"/>
                            <w:szCs w:val="21"/>
                            <w:lang w:val="en-US" w:eastAsia="zh-CN"/>
                          </w:rPr>
                          <w:t>2</w:t>
                        </w:r>
                        <w:r>
                          <w:rPr>
                            <w:rFonts w:hint="eastAsia"/>
                            <w:color w:val="auto"/>
                            <w:szCs w:val="21"/>
                            <w:lang w:val="en-US" w:eastAsia="zh-CN"/>
                          </w:rPr>
                          <w:t>、变电工程占地内产生的生活污水宜考虑处理后纳入城市污水管网；不具备的纳入城市污水管网条件的变电工程，应根据站内生活污水产生情况设置生活污水处理装置（化粪池、地埋式污水处理装置、回用水池、蒸发池等），生活污水经处理后回收利用，定期清理或外排，外排时应严格执行相应的国家和地方水污染物排放标准相关要求。</w:t>
                        </w:r>
                      </w:p>
                    </w:tc>
                    <w:tc>
                      <w:tcPr>
                        <w:tcW w:w="1583" w:type="pct"/>
                        <w:vAlign w:val="center"/>
                      </w:tcPr>
                      <w:p>
                        <w:pPr>
                          <w:rPr>
                            <w:rFonts w:hint="eastAsia" w:eastAsia="宋体"/>
                            <w:color w:val="auto"/>
                            <w:szCs w:val="21"/>
                            <w:lang w:val="en-US" w:eastAsia="zh-CN"/>
                          </w:rPr>
                        </w:pPr>
                        <w:r>
                          <w:rPr>
                            <w:rFonts w:hint="eastAsia"/>
                            <w:color w:val="auto"/>
                            <w:szCs w:val="21"/>
                            <w:lang w:val="en-US" w:eastAsia="zh-CN"/>
                          </w:rPr>
                          <w:t>变电站生活污水经一体化污水处理设施处理后回用，不对外外排。</w:t>
                        </w:r>
                      </w:p>
                    </w:tc>
                    <w:tc>
                      <w:tcPr>
                        <w:tcW w:w="241" w:type="pct"/>
                        <w:vAlign w:val="center"/>
                      </w:tcPr>
                      <w:p>
                        <w:pPr>
                          <w:jc w:val="center"/>
                          <w:rPr>
                            <w:color w:val="auto"/>
                            <w:szCs w:val="21"/>
                          </w:rPr>
                        </w:pPr>
                        <w:r>
                          <w:rPr>
                            <w:color w:val="auto"/>
                            <w:szCs w:val="21"/>
                          </w:rPr>
                          <w:t>符合</w:t>
                        </w:r>
                      </w:p>
                    </w:tc>
                  </w:tr>
                </w:tbl>
                <w:p>
                  <w:pPr>
                    <w:spacing w:line="360" w:lineRule="auto"/>
                    <w:ind w:firstLine="480" w:firstLineChars="200"/>
                    <w:jc w:val="left"/>
                    <w:rPr>
                      <w:rFonts w:hint="eastAsia" w:eastAsia="宋体"/>
                      <w:color w:val="0000FF"/>
                      <w:sz w:val="24"/>
                      <w:lang w:eastAsia="zh-CN"/>
                    </w:rPr>
                  </w:pPr>
                  <w:r>
                    <w:rPr>
                      <w:color w:val="auto"/>
                      <w:sz w:val="24"/>
                    </w:rPr>
                    <w:t>综上，项目的建设与</w:t>
                  </w:r>
                  <w:r>
                    <w:rPr>
                      <w:bCs/>
                      <w:color w:val="auto"/>
                      <w:sz w:val="24"/>
                    </w:rPr>
                    <w:t>《</w:t>
                  </w:r>
                  <w:r>
                    <w:rPr>
                      <w:rFonts w:hint="eastAsia"/>
                      <w:bCs/>
                      <w:color w:val="auto"/>
                      <w:sz w:val="24"/>
                      <w:lang w:val="en-US" w:eastAsia="zh-CN"/>
                    </w:rPr>
                    <w:t>输变电建设项目环境保护技术要求</w:t>
                  </w:r>
                  <w:r>
                    <w:rPr>
                      <w:bCs/>
                      <w:color w:val="auto"/>
                      <w:sz w:val="24"/>
                    </w:rPr>
                    <w:t>》相符</w:t>
                  </w:r>
                  <w:r>
                    <w:rPr>
                      <w:rFonts w:hint="eastAsia"/>
                      <w:bCs/>
                      <w:color w:val="auto"/>
                      <w:sz w:val="24"/>
                      <w:lang w:eastAsia="zh-CN"/>
                    </w:rPr>
                    <w:t>。</w:t>
                  </w:r>
                </w:p>
              </w:tc>
            </w:tr>
          </w:tbl>
          <w:p>
            <w:pPr>
              <w:autoSpaceDE w:val="0"/>
              <w:autoSpaceDN w:val="0"/>
              <w:adjustRightInd w:val="0"/>
              <w:snapToGrid w:val="0"/>
              <w:rPr>
                <w:color w:val="0000FF"/>
                <w:kern w:val="0"/>
                <w:sz w:val="24"/>
              </w:rPr>
            </w:pPr>
          </w:p>
        </w:tc>
      </w:tr>
    </w:tbl>
    <w:p>
      <w:pPr>
        <w:spacing w:line="360" w:lineRule="auto"/>
        <w:outlineLvl w:val="0"/>
        <w:rPr>
          <w:sz w:val="30"/>
        </w:rPr>
        <w:sectPr>
          <w:footerReference r:id="rId5" w:type="default"/>
          <w:pgSz w:w="11906" w:h="16838"/>
          <w:pgMar w:top="1701" w:right="1531" w:bottom="1701" w:left="1531" w:header="851" w:footer="1077" w:gutter="0"/>
          <w:pgNumType w:start="1"/>
          <w:cols w:space="720" w:num="1"/>
          <w:docGrid w:linePitch="312" w:charSpace="0"/>
        </w:sectPr>
      </w:pPr>
    </w:p>
    <w:p>
      <w:pPr>
        <w:pStyle w:val="17"/>
        <w:jc w:val="center"/>
        <w:outlineLvl w:val="0"/>
        <w:rPr>
          <w:rFonts w:ascii="Times New Roman" w:hAnsi="Times New Roman"/>
          <w:b/>
          <w:bCs/>
          <w:snapToGrid w:val="0"/>
          <w:sz w:val="30"/>
          <w:szCs w:val="30"/>
        </w:rPr>
      </w:pPr>
      <w:bookmarkStart w:id="8" w:name="_Toc10922"/>
      <w:r>
        <w:rPr>
          <w:rFonts w:ascii="Times New Roman" w:hAnsi="Times New Roman"/>
          <w:b/>
          <w:bCs/>
          <w:snapToGrid w:val="0"/>
          <w:sz w:val="30"/>
          <w:szCs w:val="30"/>
        </w:rPr>
        <w:t>二、建设内容</w:t>
      </w:r>
      <w:bookmarkEnd w:id="8"/>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0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74" w:type="dxa"/>
            <w:vAlign w:val="center"/>
          </w:tcPr>
          <w:p>
            <w:pPr>
              <w:adjustRightInd w:val="0"/>
              <w:snapToGrid w:val="0"/>
              <w:spacing w:line="360" w:lineRule="auto"/>
              <w:jc w:val="center"/>
              <w:rPr>
                <w:kern w:val="0"/>
                <w:sz w:val="24"/>
              </w:rPr>
            </w:pPr>
            <w:r>
              <w:rPr>
                <w:kern w:val="0"/>
                <w:sz w:val="24"/>
              </w:rPr>
              <w:t>地理位置</w:t>
            </w:r>
          </w:p>
        </w:tc>
        <w:tc>
          <w:tcPr>
            <w:tcW w:w="9080" w:type="dxa"/>
            <w:vAlign w:val="center"/>
          </w:tcPr>
          <w:p>
            <w:pPr>
              <w:spacing w:line="360" w:lineRule="auto"/>
              <w:ind w:firstLine="480" w:firstLineChars="200"/>
              <w:rPr>
                <w:sz w:val="24"/>
              </w:rPr>
            </w:pPr>
            <w:r>
              <w:rPr>
                <w:rFonts w:hint="eastAsia"/>
                <w:sz w:val="24"/>
                <w:lang w:eastAsia="zh-CN"/>
              </w:rPr>
              <w:t>东川区生态治理及修复光伏电站220kv升压站项目</w:t>
            </w:r>
            <w:r>
              <w:rPr>
                <w:sz w:val="24"/>
              </w:rPr>
              <w:t>拟建于云南省昆明市东川区舍块乡云坪村、因民镇红山村境内，场区中心坐标为东经102°52'37.43"，北纬26°14'41.67"。海拔高程为2800～3400m。场址地形开阔，地势以高原山地、台地为主，地面植被稀疏。项目地理位置详见附图：项目地理位置示意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4" w:type="dxa"/>
            <w:vAlign w:val="center"/>
          </w:tcPr>
          <w:p>
            <w:pPr>
              <w:adjustRightInd w:val="0"/>
              <w:snapToGrid w:val="0"/>
              <w:jc w:val="center"/>
              <w:rPr>
                <w:kern w:val="0"/>
                <w:sz w:val="24"/>
              </w:rPr>
            </w:pPr>
            <w:r>
              <w:rPr>
                <w:kern w:val="0"/>
                <w:sz w:val="24"/>
              </w:rPr>
              <w:t>项目组成及规模</w:t>
            </w:r>
          </w:p>
        </w:tc>
        <w:tc>
          <w:tcPr>
            <w:tcW w:w="9080" w:type="dxa"/>
            <w:vAlign w:val="center"/>
          </w:tcPr>
          <w:p>
            <w:pPr>
              <w:spacing w:line="360" w:lineRule="auto"/>
              <w:ind w:firstLine="482" w:firstLineChars="200"/>
              <w:rPr>
                <w:b/>
                <w:sz w:val="24"/>
              </w:rPr>
            </w:pPr>
            <w:r>
              <w:rPr>
                <w:b/>
                <w:sz w:val="24"/>
              </w:rPr>
              <w:t>1、项目概况</w:t>
            </w:r>
          </w:p>
          <w:p>
            <w:pPr>
              <w:spacing w:line="360" w:lineRule="auto"/>
              <w:ind w:firstLine="482" w:firstLineChars="200"/>
              <w:rPr>
                <w:b/>
                <w:sz w:val="24"/>
              </w:rPr>
            </w:pPr>
            <w:r>
              <w:rPr>
                <w:b/>
                <w:sz w:val="24"/>
              </w:rPr>
              <w:t>项目名称：</w:t>
            </w:r>
            <w:r>
              <w:rPr>
                <w:sz w:val="24"/>
              </w:rPr>
              <w:t>东川区生态治理及修复光伏电站</w:t>
            </w:r>
            <w:r>
              <w:rPr>
                <w:rFonts w:hint="eastAsia"/>
                <w:sz w:val="24"/>
                <w:lang w:eastAsia="zh-CN"/>
              </w:rPr>
              <w:t>220kv升压站</w:t>
            </w:r>
            <w:r>
              <w:rPr>
                <w:rFonts w:hint="eastAsia"/>
                <w:sz w:val="24"/>
                <w:lang w:val="en-US" w:eastAsia="zh-CN"/>
              </w:rPr>
              <w:t>项目</w:t>
            </w:r>
            <w:r>
              <w:rPr>
                <w:sz w:val="24"/>
              </w:rPr>
              <w:t>；</w:t>
            </w:r>
          </w:p>
          <w:p>
            <w:pPr>
              <w:spacing w:line="360" w:lineRule="auto"/>
              <w:ind w:firstLine="482" w:firstLineChars="200"/>
              <w:rPr>
                <w:sz w:val="24"/>
              </w:rPr>
            </w:pPr>
            <w:r>
              <w:rPr>
                <w:b/>
                <w:sz w:val="24"/>
              </w:rPr>
              <w:t>建设单位：</w:t>
            </w:r>
            <w:r>
              <w:rPr>
                <w:sz w:val="24"/>
              </w:rPr>
              <w:t>云南滇能云坪光伏发电有限公司；</w:t>
            </w:r>
          </w:p>
          <w:p>
            <w:pPr>
              <w:spacing w:line="360" w:lineRule="auto"/>
              <w:ind w:firstLine="482" w:firstLineChars="200"/>
              <w:rPr>
                <w:b/>
                <w:sz w:val="24"/>
              </w:rPr>
            </w:pPr>
            <w:r>
              <w:rPr>
                <w:b/>
                <w:sz w:val="24"/>
              </w:rPr>
              <w:t>建设地点：</w:t>
            </w:r>
            <w:r>
              <w:rPr>
                <w:sz w:val="24"/>
              </w:rPr>
              <w:t>云南省昆明市东川区舍块乡云坪村、因民镇红山村境内；</w:t>
            </w:r>
          </w:p>
          <w:p>
            <w:pPr>
              <w:spacing w:line="360" w:lineRule="auto"/>
              <w:ind w:firstLine="482" w:firstLineChars="200"/>
              <w:rPr>
                <w:sz w:val="24"/>
              </w:rPr>
            </w:pPr>
            <w:r>
              <w:rPr>
                <w:b/>
                <w:sz w:val="24"/>
              </w:rPr>
              <w:t>建设内容：</w:t>
            </w:r>
            <w:r>
              <w:rPr>
                <w:color w:val="auto"/>
                <w:sz w:val="24"/>
              </w:rPr>
              <w:t>项目规划建设升压站</w:t>
            </w:r>
            <w:r>
              <w:rPr>
                <w:rFonts w:hint="eastAsia"/>
                <w:color w:val="auto"/>
                <w:sz w:val="24"/>
                <w:lang w:eastAsia="zh-CN"/>
              </w:rPr>
              <w:t>、</w:t>
            </w:r>
            <w:r>
              <w:rPr>
                <w:color w:val="auto"/>
                <w:sz w:val="24"/>
              </w:rPr>
              <w:t>场内道路及相关辅助设施配套实施。项</w:t>
            </w:r>
            <w:r>
              <w:rPr>
                <w:sz w:val="24"/>
              </w:rPr>
              <w:t>目组成详见下表。</w:t>
            </w:r>
          </w:p>
          <w:p>
            <w:pPr>
              <w:spacing w:line="360" w:lineRule="auto"/>
              <w:jc w:val="center"/>
              <w:rPr>
                <w:b/>
                <w:bCs/>
                <w:sz w:val="24"/>
              </w:rPr>
            </w:pPr>
            <w:r>
              <w:rPr>
                <w:b/>
                <w:bCs/>
                <w:sz w:val="24"/>
              </w:rPr>
              <w:t>表2-1  项目工程内容组成表</w:t>
            </w:r>
          </w:p>
          <w:tbl>
            <w:tblPr>
              <w:tblStyle w:val="20"/>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643"/>
              <w:gridCol w:w="345"/>
              <w:gridCol w:w="421"/>
              <w:gridCol w:w="175"/>
              <w:gridCol w:w="6058"/>
              <w:gridCol w:w="175"/>
              <w:gridCol w:w="553"/>
              <w:gridCol w:w="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53" w:hRule="atLeast"/>
              </w:trPr>
              <w:tc>
                <w:tcPr>
                  <w:tcW w:w="1046"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工程组成部分</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主要内容</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pct"/>
                <w:trHeight w:val="53" w:hRule="atLeast"/>
              </w:trPr>
              <w:tc>
                <w:tcPr>
                  <w:tcW w:w="265"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主体工程</w:t>
                  </w:r>
                </w:p>
              </w:tc>
              <w:tc>
                <w:tcPr>
                  <w:tcW w:w="780" w:type="pct"/>
                  <w:gridSpan w:val="3"/>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220kV升压站</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本项目拟建设1座220kV升压站，以1回220kV线路送出。升压站内设1台220MVA主变压器，220kV侧接线方式采用线变组接线方式，配置1个线变组间隔。</w:t>
                  </w:r>
                </w:p>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升压站35kV侧采用扩大单元的接线形式。35kV配电装置采用户内成套移开式开关柜，单列布置。</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777" w:hRule="atLeast"/>
              </w:trPr>
              <w:tc>
                <w:tcPr>
                  <w:tcW w:w="265"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辅助工程</w:t>
                  </w:r>
                </w:p>
              </w:tc>
              <w:tc>
                <w:tcPr>
                  <w:tcW w:w="356"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生活区</w:t>
                  </w: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设置卫生间、餐厅、员工休息室。采用砖混结构，共计1层，建筑面积122.4m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rPr>
                    <w:t>。</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7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无功补偿装置</w:t>
                  </w: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szCs w:val="21"/>
                    </w:rPr>
                    <w:t>采用室外布置，占地面积1233m</w:t>
                  </w:r>
                  <w:r>
                    <w:rPr>
                      <w:szCs w:val="21"/>
                      <w:vertAlign w:val="superscript"/>
                    </w:rPr>
                    <w:t>2</w:t>
                  </w:r>
                  <w:r>
                    <w:rPr>
                      <w:szCs w:val="21"/>
                    </w:rPr>
                    <w:t>，不单独设置控制室</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7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GIS室</w:t>
                  </w: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szCs w:val="21"/>
                    </w:rPr>
                    <w:t>设置1层，建筑面积215.8m</w:t>
                  </w:r>
                  <w:r>
                    <w:rPr>
                      <w:szCs w:val="21"/>
                      <w:vertAlign w:val="superscript"/>
                    </w:rPr>
                    <w:t>2</w:t>
                  </w:r>
                  <w:r>
                    <w:rPr>
                      <w:szCs w:val="21"/>
                    </w:rPr>
                    <w:t>，采用砖混结构，设置员工办公区、配备蓄电池室</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7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道路</w:t>
                  </w: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升压站站区根据消防和工艺需求，按环形布置，站内道路采用城市型混凝土路面，主要道路路宽4.5m，入口道路宽8.0m，道路转弯半径为9.0m</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60" w:hRule="atLeast"/>
              </w:trPr>
              <w:tc>
                <w:tcPr>
                  <w:tcW w:w="265"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356"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供水</w:t>
                  </w: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升压站永久生活用水考虑采用水车运水的方式。一体化生活给水装置的成品水箱（15m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）作为生活用水水源，站内设置阀门井定期供水箱补水以保证用水量</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90"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排水</w:t>
                  </w: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position w:val="-12"/>
                      <w:sz w:val="21"/>
                      <w:szCs w:val="21"/>
                    </w:rPr>
                    <w:t>采用雨污分流制度；升压站主要采用地面有组织散流渗排的排水方式。站内雨水通过路面坡地流至围墙过水孔并排至站外；排水困难区域设置边沟式雨水口、雨水管、井等就近排出站外。雨季电缆沟内积水及事故油池内废水通过管道汇集到雨水检查井，通过雨水管道或自备小型提升泵流出。</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position w:val="-12"/>
                      <w:sz w:val="21"/>
                      <w:szCs w:val="21"/>
                      <w:lang w:val="en-US" w:eastAsia="zh-CN"/>
                    </w:rPr>
                  </w:pPr>
                  <w:r>
                    <w:rPr>
                      <w:rFonts w:hint="default" w:ascii="Times New Roman" w:hAnsi="Times New Roman" w:eastAsia="宋体" w:cs="Times New Roman"/>
                      <w:position w:val="-12"/>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40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position w:val="-12"/>
                      <w:sz w:val="21"/>
                      <w:szCs w:val="21"/>
                    </w:rPr>
                  </w:pPr>
                  <w:r>
                    <w:rPr>
                      <w:rFonts w:hint="default" w:ascii="Times New Roman" w:hAnsi="Times New Roman" w:eastAsia="宋体" w:cs="Times New Roman"/>
                      <w:position w:val="-12"/>
                      <w:sz w:val="21"/>
                      <w:szCs w:val="21"/>
                    </w:rPr>
                    <w:t>升压站内生活污水经隔油池、化粪池处理之后，汇入一体化污水处理站，经处理达标之后回用于场区绿化；</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textAlignment w:val="center"/>
                    <w:rPr>
                      <w:rFonts w:hint="default" w:ascii="Times New Roman" w:hAnsi="Times New Roman" w:eastAsia="宋体" w:cs="Times New Roman"/>
                      <w:position w:val="-12"/>
                      <w:sz w:val="21"/>
                      <w:szCs w:val="21"/>
                      <w:lang w:val="en-US" w:eastAsia="zh-CN"/>
                    </w:rPr>
                  </w:pPr>
                  <w:r>
                    <w:rPr>
                      <w:rFonts w:hint="default" w:ascii="Times New Roman" w:hAnsi="Times New Roman" w:eastAsia="宋体" w:cs="Times New Roman"/>
                      <w:position w:val="-12"/>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365"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供电</w:t>
                  </w: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本升压变电站设置两台站用变压器，一台干式变压器为户内安装，引接于主变低压侧35kV母线，另一台变压器为户外安装，引接于站外10kV；</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45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升压站布设2组350Ah的铅酸蓄电池可满足升压站事故停电2h的放电容量和事故放电末期最大冲击负荷容量；</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60"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w:t>
                  </w: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设置200m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消防水池，由2台室外消防主泵，一套消防稳压设备，室外消防管网组成</w:t>
                  </w:r>
                  <w:r>
                    <w:rPr>
                      <w:rFonts w:hint="default" w:ascii="Times New Roman" w:hAnsi="Times New Roman" w:eastAsia="宋体" w:cs="Times New Roman"/>
                      <w:sz w:val="21"/>
                      <w:szCs w:val="21"/>
                    </w:rPr>
                    <w:t>。</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60"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kern w:val="0"/>
                      <w:szCs w:val="21"/>
                    </w:rPr>
                  </w:pPr>
                  <w:r>
                    <w:rPr>
                      <w:kern w:val="0"/>
                      <w:szCs w:val="21"/>
                    </w:rPr>
                    <w:t>主变压器设置固定式灭火设备，根据工程运行条件，采用排油注氮灭火系统；并在主变压器附近设置室外消火栓系统、推车式灭火器和主变事故油池，同时配备1m</w:t>
                  </w:r>
                  <w:r>
                    <w:rPr>
                      <w:kern w:val="0"/>
                      <w:szCs w:val="21"/>
                      <w:vertAlign w:val="superscript"/>
                    </w:rPr>
                    <w:t>3</w:t>
                  </w:r>
                  <w:r>
                    <w:rPr>
                      <w:kern w:val="0"/>
                      <w:szCs w:val="21"/>
                    </w:rPr>
                    <w:t>砂箱、消防铲等。</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60"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877" w:type="pct"/>
                  <w:gridSpan w:val="4"/>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kern w:val="0"/>
                      <w:szCs w:val="21"/>
                    </w:rPr>
                    <w:t>配电装置配置推车式灭火器，同时配备1m</w:t>
                  </w:r>
                  <w:r>
                    <w:rPr>
                      <w:kern w:val="0"/>
                      <w:szCs w:val="21"/>
                      <w:vertAlign w:val="superscript"/>
                    </w:rPr>
                    <w:t>3</w:t>
                  </w:r>
                  <w:r>
                    <w:rPr>
                      <w:kern w:val="0"/>
                      <w:szCs w:val="21"/>
                    </w:rPr>
                    <w:t>砂箱、消防斧铲等。</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5"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环保工程</w:t>
                  </w:r>
                </w:p>
              </w:tc>
              <w:tc>
                <w:tcPr>
                  <w:tcW w:w="356"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191"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w:t>
                  </w: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扬尘</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pacing w:val="10"/>
                      <w:sz w:val="21"/>
                      <w:szCs w:val="21"/>
                    </w:rPr>
                    <w:t>车辆进出覆盖、固废定点堆放、苫布覆盖、洒水降尘</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bCs/>
                      <w:spacing w:val="10"/>
                      <w:sz w:val="21"/>
                      <w:szCs w:val="21"/>
                      <w:lang w:val="en-US" w:eastAsia="zh-CN"/>
                    </w:rPr>
                  </w:pPr>
                  <w:r>
                    <w:rPr>
                      <w:rFonts w:hint="default" w:ascii="Times New Roman" w:hAnsi="Times New Roman" w:eastAsia="宋体" w:cs="Times New Roman"/>
                      <w:bCs/>
                      <w:spacing w:val="10"/>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运营期</w:t>
                  </w: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食堂油烟</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综合楼厨房内设置1套油烟净化器，购买符合国家油烟净化器，厨房油烟经净化处理后引至屋顶排放。</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191"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w:t>
                  </w: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pacing w:val="10"/>
                      <w:sz w:val="21"/>
                      <w:szCs w:val="21"/>
                    </w:rPr>
                    <w:t>施工人员生活垃圾</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设置垃圾桶，用于收集施工人员生活垃圾。指定专人定期清运至当地生活垃圾收集点进行统一处理，不得随意遗弃、焚烧。</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临时堆场</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光伏站区建设时临时堆场设置于升压站附近，故升压站建设时不单独设置临时堆场，开挖过程中无法及时回填的土石方依托光伏站区设置的临时堆场暂存。</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建筑垃圾</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建筑垃圾分类收集，可回收利用的外售相应收购商，不可回收部分由建设单位统一清运，至当地住建部门指定的建筑垃圾存放点位进行堆存。</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运营期</w:t>
                  </w: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办公区设置垃圾收集桶，用于收集员工生活垃圾。指定专人定期清运至当地生活垃圾收集点进行统一处理，不得随意遗弃、焚烧。</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化粪池污泥</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szCs w:val="21"/>
                    </w:rPr>
                    <w:t>污泥委托周边农户进行清掏，堆肥处理之后，用于绿化地施肥使用。</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危废暂存间</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新建</w:t>
                  </w:r>
                  <w:r>
                    <w:rPr>
                      <w:rFonts w:hint="default" w:ascii="Times New Roman" w:hAnsi="Times New Roman" w:eastAsia="宋体" w:cs="Times New Roman"/>
                      <w:sz w:val="21"/>
                      <w:szCs w:val="21"/>
                      <w:vertAlign w:val="baseline"/>
                      <w:lang w:val="en-US" w:eastAsia="zh-CN"/>
                    </w:rPr>
                    <w:t>危废暂存间一间（</w:t>
                  </w:r>
                  <w:r>
                    <w:rPr>
                      <w:rFonts w:hint="default" w:ascii="Times New Roman" w:hAnsi="Times New Roman" w:eastAsia="宋体" w:cs="Times New Roman"/>
                      <w:sz w:val="21"/>
                      <w:szCs w:val="21"/>
                    </w:rPr>
                    <w:t>面积16m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vertAlign w:val="baseline"/>
                      <w:lang w:val="en-US" w:eastAsia="zh-CN"/>
                    </w:rPr>
                    <w:t>），位于辅助用房一层。危废暂存间用于废矿物油暂存</w:t>
                  </w:r>
                  <w:r>
                    <w:rPr>
                      <w:rFonts w:hint="default" w:ascii="Times New Roman" w:hAnsi="Times New Roman" w:eastAsia="宋体" w:cs="Times New Roman"/>
                      <w:sz w:val="21"/>
                      <w:szCs w:val="21"/>
                    </w:rPr>
                    <w:t>。</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191"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w:t>
                  </w: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施工废水</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设置临时沉淀池，收集之后在施工场区内回用；</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bCs/>
                      <w:spacing w:val="10"/>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雨天淋滤水</w:t>
                  </w:r>
                </w:p>
              </w:tc>
              <w:tc>
                <w:tcPr>
                  <w:tcW w:w="3453" w:type="pct"/>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pacing w:val="10"/>
                      <w:sz w:val="21"/>
                      <w:szCs w:val="21"/>
                    </w:rPr>
                    <w:t>堆料场、临时堆场设置围挡、排水沟、临时雨水收集池，雨水收集之后在施工场地内进行回用；</w:t>
                  </w:r>
                </w:p>
              </w:tc>
              <w:tc>
                <w:tcPr>
                  <w:tcW w:w="403" w:type="pct"/>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Cs/>
                      <w:spacing w:val="10"/>
                      <w:sz w:val="21"/>
                      <w:szCs w:val="21"/>
                      <w:lang w:val="en-US" w:eastAsia="zh-CN"/>
                    </w:rPr>
                  </w:pPr>
                  <w:r>
                    <w:rPr>
                      <w:rFonts w:hint="eastAsia" w:cs="Times New Roman"/>
                      <w:bCs/>
                      <w:spacing w:val="10"/>
                      <w:sz w:val="21"/>
                      <w:szCs w:val="21"/>
                      <w:lang w:val="en-US" w:eastAsia="zh-CN"/>
                    </w:rPr>
                    <w:t>依托光伏站区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运营期</w:t>
                  </w: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一体化污水处理站</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1个，处理能力＞1m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/d，用于处理升压站生活区污水，推荐采用MBR膜工艺</w:t>
                  </w:r>
                </w:p>
              </w:tc>
              <w:tc>
                <w:tcPr>
                  <w:tcW w:w="403" w:type="pct"/>
                  <w:gridSpan w:val="2"/>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隔油池</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1个，容积0.5m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，用于预处理食堂废水。</w:t>
                  </w:r>
                </w:p>
              </w:tc>
              <w:tc>
                <w:tcPr>
                  <w:tcW w:w="403" w:type="pct"/>
                  <w:gridSpan w:val="2"/>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化粪池</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1个，容积为＞1m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，用于处理生活废水。</w:t>
                  </w:r>
                </w:p>
              </w:tc>
              <w:tc>
                <w:tcPr>
                  <w:tcW w:w="403" w:type="pct"/>
                  <w:gridSpan w:val="2"/>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污水收集池</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1个，容积＞3m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，用于收集预处理后的生活污水。</w:t>
                  </w:r>
                </w:p>
              </w:tc>
              <w:tc>
                <w:tcPr>
                  <w:tcW w:w="403" w:type="pct"/>
                  <w:gridSpan w:val="2"/>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91"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w:t>
                  </w: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施工噪声</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pacing w:val="10"/>
                      <w:sz w:val="21"/>
                      <w:szCs w:val="21"/>
                    </w:rPr>
                    <w:t>选用低噪声设备、加强维护</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bCs/>
                      <w:spacing w:val="10"/>
                      <w:sz w:val="21"/>
                      <w:szCs w:val="21"/>
                      <w:lang w:val="en-US" w:eastAsia="zh-CN"/>
                    </w:rPr>
                  </w:pPr>
                  <w:r>
                    <w:rPr>
                      <w:rFonts w:hint="default" w:ascii="Times New Roman" w:hAnsi="Times New Roman" w:eastAsia="宋体" w:cs="Times New Roman"/>
                      <w:bCs/>
                      <w:spacing w:val="10"/>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6" w:type="pct"/>
                <w:trHeight w:val="50"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restar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生态措施</w:t>
                  </w:r>
                </w:p>
              </w:tc>
              <w:tc>
                <w:tcPr>
                  <w:tcW w:w="424"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做好水土保持工作，通过物料</w:t>
                  </w:r>
                  <w:r>
                    <w:rPr>
                      <w:rFonts w:hint="default" w:ascii="Times New Roman" w:hAnsi="Times New Roman" w:eastAsia="宋体" w:cs="Times New Roman"/>
                      <w:bCs/>
                      <w:spacing w:val="10"/>
                      <w:sz w:val="21"/>
                      <w:szCs w:val="21"/>
                    </w:rPr>
                    <w:t>遮盖措施、行道树种植、撒草绿化、植被恢复、临时场地的挡渣墙以及截排水沟；</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265"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356" w:type="pct"/>
                  <w:vMerge w:val="continue"/>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p>
              </w:tc>
              <w:tc>
                <w:tcPr>
                  <w:tcW w:w="191" w:type="pct"/>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运营期</w:t>
                  </w:r>
                </w:p>
              </w:tc>
              <w:tc>
                <w:tcPr>
                  <w:tcW w:w="330"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绿化</w:t>
                  </w:r>
                </w:p>
              </w:tc>
              <w:tc>
                <w:tcPr>
                  <w:tcW w:w="345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升压站内种植绿化面积500m</w:t>
                  </w:r>
                  <w:r>
                    <w:rPr>
                      <w:rFonts w:hint="default" w:ascii="Times New Roman" w:hAnsi="Times New Roman" w:eastAsia="宋体" w:cs="Times New Roman"/>
                      <w:sz w:val="21"/>
                      <w:szCs w:val="21"/>
                      <w:vertAlign w:val="superscript"/>
                    </w:rPr>
                    <w:t>2</w:t>
                  </w:r>
                </w:p>
              </w:tc>
              <w:tc>
                <w:tcPr>
                  <w:tcW w:w="403" w:type="pct"/>
                  <w:gridSpan w:val="2"/>
                  <w:vAlign w:val="center"/>
                </w:tcPr>
                <w:p>
                  <w:pPr>
                    <w:keepNext w:val="0"/>
                    <w:keepLines w:val="0"/>
                    <w:pageBreakBefore w:val="0"/>
                    <w:widowControl w:val="0"/>
                    <w:kinsoku/>
                    <w:wordWrap/>
                    <w:overflowPunct/>
                    <w:topLinePunct w:val="0"/>
                    <w:autoSpaceDE/>
                    <w:autoSpaceDN/>
                    <w:bidi w:val="0"/>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w:t>
                  </w:r>
                </w:p>
              </w:tc>
            </w:tr>
          </w:tbl>
          <w:p>
            <w:pPr>
              <w:spacing w:line="360" w:lineRule="auto"/>
              <w:ind w:firstLine="482" w:firstLineChars="200"/>
              <w:rPr>
                <w:b/>
                <w:sz w:val="24"/>
              </w:rPr>
            </w:pPr>
            <w:r>
              <w:rPr>
                <w:b/>
                <w:sz w:val="24"/>
              </w:rPr>
              <w:t>2、工程占地主要技术经济指标</w:t>
            </w:r>
          </w:p>
          <w:p>
            <w:pPr>
              <w:adjustRightInd w:val="0"/>
              <w:snapToGrid w:val="0"/>
              <w:spacing w:line="360" w:lineRule="auto"/>
              <w:ind w:firstLine="480" w:firstLineChars="200"/>
              <w:rPr>
                <w:sz w:val="24"/>
              </w:rPr>
            </w:pPr>
            <w:r>
              <w:rPr>
                <w:kern w:val="0"/>
                <w:sz w:val="24"/>
              </w:rPr>
              <w:t>本项目涉及工程特性表见下表。</w:t>
            </w:r>
          </w:p>
          <w:p>
            <w:pPr>
              <w:spacing w:line="360" w:lineRule="auto"/>
              <w:jc w:val="center"/>
              <w:rPr>
                <w:b/>
                <w:bCs/>
                <w:sz w:val="24"/>
              </w:rPr>
            </w:pPr>
            <w:r>
              <w:rPr>
                <w:b/>
                <w:bCs/>
                <w:sz w:val="24"/>
              </w:rPr>
              <w:t>表2-2   项目工程特性表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8"/>
              <w:gridCol w:w="1528"/>
              <w:gridCol w:w="2399"/>
              <w:gridCol w:w="854"/>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tblHeader/>
                <w:jc w:val="center"/>
              </w:trPr>
              <w:tc>
                <w:tcPr>
                  <w:tcW w:w="5455" w:type="dxa"/>
                  <w:gridSpan w:val="3"/>
                  <w:vAlign w:val="center"/>
                </w:tcPr>
                <w:p>
                  <w:pPr>
                    <w:tabs>
                      <w:tab w:val="left" w:pos="3240"/>
                    </w:tabs>
                    <w:autoSpaceDE w:val="0"/>
                    <w:autoSpaceDN w:val="0"/>
                    <w:adjustRightInd w:val="0"/>
                    <w:snapToGrid w:val="0"/>
                    <w:jc w:val="center"/>
                    <w:textAlignment w:val="bottom"/>
                    <w:rPr>
                      <w:szCs w:val="21"/>
                    </w:rPr>
                  </w:pPr>
                  <w:r>
                    <w:rPr>
                      <w:szCs w:val="21"/>
                    </w:rPr>
                    <w:t>名称</w:t>
                  </w:r>
                </w:p>
              </w:tc>
              <w:tc>
                <w:tcPr>
                  <w:tcW w:w="854" w:type="dxa"/>
                  <w:vAlign w:val="center"/>
                </w:tcPr>
                <w:p>
                  <w:pPr>
                    <w:tabs>
                      <w:tab w:val="left" w:pos="3240"/>
                    </w:tabs>
                    <w:autoSpaceDE w:val="0"/>
                    <w:autoSpaceDN w:val="0"/>
                    <w:adjustRightInd w:val="0"/>
                    <w:snapToGrid w:val="0"/>
                    <w:jc w:val="center"/>
                    <w:textAlignment w:val="bottom"/>
                    <w:rPr>
                      <w:szCs w:val="21"/>
                    </w:rPr>
                  </w:pPr>
                  <w:r>
                    <w:rPr>
                      <w:szCs w:val="21"/>
                    </w:rPr>
                    <w:t>单位</w:t>
                  </w:r>
                </w:p>
              </w:tc>
              <w:tc>
                <w:tcPr>
                  <w:tcW w:w="2545" w:type="dxa"/>
                  <w:vAlign w:val="center"/>
                </w:tcPr>
                <w:p>
                  <w:pPr>
                    <w:tabs>
                      <w:tab w:val="left" w:pos="3240"/>
                    </w:tabs>
                    <w:autoSpaceDE w:val="0"/>
                    <w:autoSpaceDN w:val="0"/>
                    <w:adjustRightInd w:val="0"/>
                    <w:snapToGrid w:val="0"/>
                    <w:jc w:val="center"/>
                    <w:textAlignment w:val="bottom"/>
                    <w:rPr>
                      <w:szCs w:val="21"/>
                    </w:rPr>
                  </w:pPr>
                  <w:r>
                    <w:rPr>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jc w:val="center"/>
              </w:trPr>
              <w:tc>
                <w:tcPr>
                  <w:tcW w:w="1528" w:type="dxa"/>
                  <w:vMerge w:val="restart"/>
                  <w:vAlign w:val="center"/>
                </w:tcPr>
                <w:p>
                  <w:pPr>
                    <w:tabs>
                      <w:tab w:val="left" w:pos="3240"/>
                    </w:tabs>
                    <w:autoSpaceDE w:val="0"/>
                    <w:autoSpaceDN w:val="0"/>
                    <w:adjustRightInd w:val="0"/>
                    <w:snapToGrid w:val="0"/>
                    <w:jc w:val="center"/>
                    <w:textAlignment w:val="bottom"/>
                    <w:rPr>
                      <w:szCs w:val="21"/>
                    </w:rPr>
                  </w:pPr>
                  <w:r>
                    <w:rPr>
                      <w:szCs w:val="21"/>
                    </w:rPr>
                    <w:t>场址参数</w:t>
                  </w:r>
                </w:p>
              </w:tc>
              <w:tc>
                <w:tcPr>
                  <w:tcW w:w="3927" w:type="dxa"/>
                  <w:gridSpan w:val="2"/>
                  <w:vAlign w:val="center"/>
                </w:tcPr>
                <w:p>
                  <w:pPr>
                    <w:tabs>
                      <w:tab w:val="left" w:pos="3240"/>
                    </w:tabs>
                    <w:autoSpaceDE w:val="0"/>
                    <w:autoSpaceDN w:val="0"/>
                    <w:adjustRightInd w:val="0"/>
                    <w:snapToGrid w:val="0"/>
                    <w:jc w:val="center"/>
                    <w:textAlignment w:val="bottom"/>
                    <w:rPr>
                      <w:szCs w:val="21"/>
                    </w:rPr>
                  </w:pPr>
                  <w:r>
                    <w:rPr>
                      <w:szCs w:val="21"/>
                    </w:rPr>
                    <w:t>经度（东经）</w:t>
                  </w:r>
                </w:p>
              </w:tc>
              <w:tc>
                <w:tcPr>
                  <w:tcW w:w="854" w:type="dxa"/>
                  <w:vAlign w:val="center"/>
                </w:tcPr>
                <w:p>
                  <w:pPr>
                    <w:tabs>
                      <w:tab w:val="left" w:pos="3240"/>
                    </w:tabs>
                    <w:autoSpaceDE w:val="0"/>
                    <w:autoSpaceDN w:val="0"/>
                    <w:adjustRightInd w:val="0"/>
                    <w:snapToGrid w:val="0"/>
                    <w:jc w:val="center"/>
                    <w:textAlignment w:val="bottom"/>
                    <w:rPr>
                      <w:szCs w:val="21"/>
                    </w:rPr>
                  </w:pPr>
                  <w:r>
                    <w:rPr>
                      <w:szCs w:val="21"/>
                    </w:rPr>
                    <w:t>/</w:t>
                  </w:r>
                </w:p>
              </w:tc>
              <w:tc>
                <w:tcPr>
                  <w:tcW w:w="2545" w:type="dxa"/>
                  <w:vAlign w:val="center"/>
                </w:tcPr>
                <w:p>
                  <w:pPr>
                    <w:tabs>
                      <w:tab w:val="left" w:pos="3240"/>
                    </w:tabs>
                    <w:autoSpaceDE w:val="0"/>
                    <w:autoSpaceDN w:val="0"/>
                    <w:adjustRightInd w:val="0"/>
                    <w:snapToGrid w:val="0"/>
                    <w:jc w:val="center"/>
                    <w:textAlignment w:val="bottom"/>
                  </w:pPr>
                  <w:r>
                    <w:t>102°52'37.43"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jc w:val="center"/>
              </w:trPr>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3927" w:type="dxa"/>
                  <w:gridSpan w:val="2"/>
                  <w:vAlign w:val="center"/>
                </w:tcPr>
                <w:p>
                  <w:pPr>
                    <w:tabs>
                      <w:tab w:val="left" w:pos="3240"/>
                    </w:tabs>
                    <w:autoSpaceDE w:val="0"/>
                    <w:autoSpaceDN w:val="0"/>
                    <w:adjustRightInd w:val="0"/>
                    <w:snapToGrid w:val="0"/>
                    <w:jc w:val="center"/>
                    <w:textAlignment w:val="bottom"/>
                    <w:rPr>
                      <w:szCs w:val="21"/>
                    </w:rPr>
                  </w:pPr>
                  <w:r>
                    <w:rPr>
                      <w:szCs w:val="21"/>
                    </w:rPr>
                    <w:t>纬度（北纬）</w:t>
                  </w:r>
                </w:p>
              </w:tc>
              <w:tc>
                <w:tcPr>
                  <w:tcW w:w="854" w:type="dxa"/>
                  <w:vAlign w:val="center"/>
                </w:tcPr>
                <w:p>
                  <w:pPr>
                    <w:tabs>
                      <w:tab w:val="left" w:pos="3240"/>
                    </w:tabs>
                    <w:autoSpaceDE w:val="0"/>
                    <w:autoSpaceDN w:val="0"/>
                    <w:adjustRightInd w:val="0"/>
                    <w:snapToGrid w:val="0"/>
                    <w:jc w:val="center"/>
                    <w:textAlignment w:val="bottom"/>
                    <w:rPr>
                      <w:szCs w:val="21"/>
                    </w:rPr>
                  </w:pPr>
                  <w:r>
                    <w:rPr>
                      <w:szCs w:val="21"/>
                    </w:rPr>
                    <w:t>/</w:t>
                  </w:r>
                </w:p>
              </w:tc>
              <w:tc>
                <w:tcPr>
                  <w:tcW w:w="2545" w:type="dxa"/>
                  <w:vAlign w:val="center"/>
                </w:tcPr>
                <w:p>
                  <w:pPr>
                    <w:tabs>
                      <w:tab w:val="left" w:pos="3240"/>
                    </w:tabs>
                    <w:autoSpaceDE w:val="0"/>
                    <w:autoSpaceDN w:val="0"/>
                    <w:adjustRightInd w:val="0"/>
                    <w:snapToGrid w:val="0"/>
                    <w:jc w:val="center"/>
                    <w:textAlignment w:val="bottom"/>
                  </w:pPr>
                  <w:r>
                    <w:t>26°14'41.67"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jc w:val="center"/>
              </w:trPr>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3927" w:type="dxa"/>
                  <w:gridSpan w:val="2"/>
                  <w:vAlign w:val="center"/>
                </w:tcPr>
                <w:p>
                  <w:pPr>
                    <w:tabs>
                      <w:tab w:val="left" w:pos="3240"/>
                    </w:tabs>
                    <w:autoSpaceDE w:val="0"/>
                    <w:autoSpaceDN w:val="0"/>
                    <w:adjustRightInd w:val="0"/>
                    <w:snapToGrid w:val="0"/>
                    <w:jc w:val="center"/>
                    <w:textAlignment w:val="bottom"/>
                    <w:rPr>
                      <w:szCs w:val="21"/>
                    </w:rPr>
                  </w:pPr>
                  <w:r>
                    <w:rPr>
                      <w:szCs w:val="21"/>
                    </w:rPr>
                    <w:t>海拔高程</w:t>
                  </w:r>
                </w:p>
              </w:tc>
              <w:tc>
                <w:tcPr>
                  <w:tcW w:w="854" w:type="dxa"/>
                  <w:vAlign w:val="center"/>
                </w:tcPr>
                <w:p>
                  <w:pPr>
                    <w:tabs>
                      <w:tab w:val="left" w:pos="3240"/>
                    </w:tabs>
                    <w:autoSpaceDE w:val="0"/>
                    <w:autoSpaceDN w:val="0"/>
                    <w:adjustRightInd w:val="0"/>
                    <w:snapToGrid w:val="0"/>
                    <w:jc w:val="center"/>
                    <w:textAlignment w:val="bottom"/>
                  </w:pPr>
                  <w:r>
                    <w:t>m</w:t>
                  </w:r>
                </w:p>
              </w:tc>
              <w:tc>
                <w:tcPr>
                  <w:tcW w:w="2545" w:type="dxa"/>
                  <w:vAlign w:val="center"/>
                </w:tcPr>
                <w:p>
                  <w:pPr>
                    <w:tabs>
                      <w:tab w:val="left" w:pos="3240"/>
                    </w:tabs>
                    <w:autoSpaceDE w:val="0"/>
                    <w:autoSpaceDN w:val="0"/>
                    <w:adjustRightInd w:val="0"/>
                    <w:snapToGrid w:val="0"/>
                    <w:jc w:val="center"/>
                    <w:textAlignment w:val="bottom"/>
                  </w:pPr>
                  <w:r>
                    <w:t>2800～3300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jc w:val="center"/>
              </w:trPr>
              <w:tc>
                <w:tcPr>
                  <w:tcW w:w="1528" w:type="dxa"/>
                  <w:vMerge w:val="restart"/>
                  <w:vAlign w:val="center"/>
                </w:tcPr>
                <w:p>
                  <w:pPr>
                    <w:tabs>
                      <w:tab w:val="left" w:pos="3240"/>
                    </w:tabs>
                    <w:autoSpaceDE w:val="0"/>
                    <w:autoSpaceDN w:val="0"/>
                    <w:adjustRightInd w:val="0"/>
                    <w:snapToGrid w:val="0"/>
                    <w:jc w:val="center"/>
                    <w:textAlignment w:val="bottom"/>
                    <w:rPr>
                      <w:szCs w:val="21"/>
                    </w:rPr>
                  </w:pPr>
                  <w:r>
                    <w:rPr>
                      <w:szCs w:val="21"/>
                    </w:rPr>
                    <w:t>主要设备</w:t>
                  </w:r>
                </w:p>
              </w:tc>
              <w:tc>
                <w:tcPr>
                  <w:tcW w:w="1528" w:type="dxa"/>
                  <w:vMerge w:val="restart"/>
                  <w:vAlign w:val="center"/>
                </w:tcPr>
                <w:p>
                  <w:pPr>
                    <w:tabs>
                      <w:tab w:val="left" w:pos="3240"/>
                    </w:tabs>
                    <w:autoSpaceDE w:val="0"/>
                    <w:autoSpaceDN w:val="0"/>
                    <w:adjustRightInd w:val="0"/>
                    <w:snapToGrid w:val="0"/>
                    <w:jc w:val="center"/>
                    <w:textAlignment w:val="bottom"/>
                    <w:rPr>
                      <w:szCs w:val="21"/>
                    </w:rPr>
                  </w:pPr>
                  <w:r>
                    <w:rPr>
                      <w:szCs w:val="21"/>
                    </w:rPr>
                    <w:t>升压变压器</w:t>
                  </w:r>
                </w:p>
              </w:tc>
              <w:tc>
                <w:tcPr>
                  <w:tcW w:w="2399" w:type="dxa"/>
                  <w:vAlign w:val="center"/>
                </w:tcPr>
                <w:p>
                  <w:pPr>
                    <w:tabs>
                      <w:tab w:val="left" w:pos="3240"/>
                    </w:tabs>
                    <w:autoSpaceDE w:val="0"/>
                    <w:autoSpaceDN w:val="0"/>
                    <w:adjustRightInd w:val="0"/>
                    <w:snapToGrid w:val="0"/>
                    <w:jc w:val="center"/>
                    <w:textAlignment w:val="bottom"/>
                    <w:rPr>
                      <w:rFonts w:ascii="Times New Roman" w:hAnsi="Times New Roman" w:eastAsia="宋体" w:cs="Times New Roman"/>
                      <w:kern w:val="2"/>
                      <w:sz w:val="21"/>
                      <w:szCs w:val="21"/>
                      <w:lang w:val="en-US" w:eastAsia="zh-CN" w:bidi="ar-SA"/>
                    </w:rPr>
                  </w:pPr>
                  <w:r>
                    <w:rPr>
                      <w:szCs w:val="21"/>
                    </w:rPr>
                    <w:t>数量</w:t>
                  </w:r>
                </w:p>
              </w:tc>
              <w:tc>
                <w:tcPr>
                  <w:tcW w:w="854" w:type="dxa"/>
                  <w:vAlign w:val="center"/>
                </w:tcPr>
                <w:p>
                  <w:pPr>
                    <w:tabs>
                      <w:tab w:val="left" w:pos="3240"/>
                    </w:tabs>
                    <w:autoSpaceDE w:val="0"/>
                    <w:autoSpaceDN w:val="0"/>
                    <w:adjustRightInd w:val="0"/>
                    <w:snapToGrid w:val="0"/>
                    <w:jc w:val="center"/>
                    <w:textAlignment w:val="bottom"/>
                    <w:rPr>
                      <w:rFonts w:ascii="Times New Roman" w:hAnsi="Times New Roman" w:eastAsia="宋体" w:cs="Times New Roman"/>
                      <w:kern w:val="2"/>
                      <w:sz w:val="21"/>
                      <w:szCs w:val="21"/>
                      <w:lang w:val="en-US" w:eastAsia="zh-CN" w:bidi="ar-SA"/>
                    </w:rPr>
                  </w:pPr>
                  <w:r>
                    <w:rPr>
                      <w:szCs w:val="21"/>
                    </w:rPr>
                    <w:t>台</w:t>
                  </w:r>
                </w:p>
              </w:tc>
              <w:tc>
                <w:tcPr>
                  <w:tcW w:w="2545" w:type="dxa"/>
                  <w:vAlign w:val="center"/>
                </w:tcPr>
                <w:p>
                  <w:pPr>
                    <w:tabs>
                      <w:tab w:val="left" w:pos="3240"/>
                    </w:tabs>
                    <w:autoSpaceDE w:val="0"/>
                    <w:autoSpaceDN w:val="0"/>
                    <w:adjustRightInd w:val="0"/>
                    <w:snapToGrid w:val="0"/>
                    <w:jc w:val="center"/>
                    <w:textAlignment w:val="bottom"/>
                    <w:rPr>
                      <w:rFonts w:ascii="Times New Roman" w:hAnsi="Times New Roman" w:eastAsia="宋体" w:cs="Times New Roman"/>
                      <w:kern w:val="2"/>
                      <w:sz w:val="21"/>
                      <w:szCs w:val="24"/>
                      <w:lang w:val="en-US" w:eastAsia="zh-CN"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jc w:val="center"/>
              </w:trPr>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2399" w:type="dxa"/>
                  <w:vAlign w:val="center"/>
                </w:tcPr>
                <w:p>
                  <w:pPr>
                    <w:tabs>
                      <w:tab w:val="left" w:pos="3240"/>
                    </w:tabs>
                    <w:autoSpaceDE w:val="0"/>
                    <w:autoSpaceDN w:val="0"/>
                    <w:adjustRightInd w:val="0"/>
                    <w:snapToGrid w:val="0"/>
                    <w:jc w:val="center"/>
                    <w:textAlignment w:val="bottom"/>
                    <w:rPr>
                      <w:rFonts w:ascii="Times New Roman" w:hAnsi="Times New Roman" w:eastAsia="宋体" w:cs="Times New Roman"/>
                      <w:kern w:val="2"/>
                      <w:sz w:val="21"/>
                      <w:szCs w:val="21"/>
                      <w:lang w:val="en-US" w:eastAsia="zh-CN" w:bidi="ar-SA"/>
                    </w:rPr>
                  </w:pPr>
                  <w:r>
                    <w:rPr>
                      <w:szCs w:val="21"/>
                    </w:rPr>
                    <w:t>型号</w:t>
                  </w:r>
                </w:p>
              </w:tc>
              <w:tc>
                <w:tcPr>
                  <w:tcW w:w="854" w:type="dxa"/>
                  <w:vAlign w:val="center"/>
                </w:tcPr>
                <w:p>
                  <w:pPr>
                    <w:tabs>
                      <w:tab w:val="left" w:pos="3240"/>
                    </w:tabs>
                    <w:autoSpaceDE w:val="0"/>
                    <w:autoSpaceDN w:val="0"/>
                    <w:adjustRightInd w:val="0"/>
                    <w:snapToGrid w:val="0"/>
                    <w:jc w:val="center"/>
                    <w:textAlignment w:val="bottom"/>
                    <w:rPr>
                      <w:rFonts w:ascii="Times New Roman" w:hAnsi="Times New Roman" w:eastAsia="宋体" w:cs="Times New Roman"/>
                      <w:kern w:val="2"/>
                      <w:sz w:val="21"/>
                      <w:szCs w:val="24"/>
                      <w:lang w:val="en-US" w:eastAsia="zh-CN" w:bidi="ar-SA"/>
                    </w:rPr>
                  </w:pPr>
                  <w:r>
                    <w:t>/</w:t>
                  </w:r>
                </w:p>
              </w:tc>
              <w:tc>
                <w:tcPr>
                  <w:tcW w:w="2545" w:type="dxa"/>
                  <w:vAlign w:val="center"/>
                </w:tcPr>
                <w:p>
                  <w:pPr>
                    <w:tabs>
                      <w:tab w:val="left" w:pos="3240"/>
                    </w:tabs>
                    <w:autoSpaceDE w:val="0"/>
                    <w:autoSpaceDN w:val="0"/>
                    <w:adjustRightInd w:val="0"/>
                    <w:snapToGrid w:val="0"/>
                    <w:jc w:val="center"/>
                    <w:textAlignment w:val="bottom"/>
                    <w:rPr>
                      <w:rFonts w:ascii="Times New Roman" w:hAnsi="Times New Roman" w:eastAsia="宋体" w:cs="Times New Roman"/>
                      <w:kern w:val="2"/>
                      <w:sz w:val="21"/>
                      <w:szCs w:val="24"/>
                      <w:lang w:val="en-US" w:eastAsia="zh-CN" w:bidi="ar-SA"/>
                    </w:rPr>
                  </w:pPr>
                  <w:r>
                    <w:rPr>
                      <w:szCs w:val="21"/>
                    </w:rPr>
                    <w:t>SZ20-220000/220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jc w:val="center"/>
              </w:trPr>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2399" w:type="dxa"/>
                  <w:vAlign w:val="center"/>
                </w:tcPr>
                <w:p>
                  <w:pPr>
                    <w:tabs>
                      <w:tab w:val="left" w:pos="3240"/>
                    </w:tabs>
                    <w:autoSpaceDE w:val="0"/>
                    <w:autoSpaceDN w:val="0"/>
                    <w:adjustRightInd w:val="0"/>
                    <w:snapToGrid w:val="0"/>
                    <w:jc w:val="center"/>
                    <w:textAlignment w:val="bottom"/>
                    <w:rPr>
                      <w:rFonts w:ascii="Times New Roman" w:hAnsi="Times New Roman" w:eastAsia="宋体" w:cs="Times New Roman"/>
                      <w:kern w:val="2"/>
                      <w:sz w:val="21"/>
                      <w:szCs w:val="21"/>
                      <w:lang w:val="en-US" w:eastAsia="zh-CN" w:bidi="ar-SA"/>
                    </w:rPr>
                  </w:pPr>
                  <w:r>
                    <w:rPr>
                      <w:szCs w:val="21"/>
                    </w:rPr>
                    <w:t>额定电压分接范围</w:t>
                  </w:r>
                </w:p>
              </w:tc>
              <w:tc>
                <w:tcPr>
                  <w:tcW w:w="854" w:type="dxa"/>
                  <w:vAlign w:val="center"/>
                </w:tcPr>
                <w:p>
                  <w:pPr>
                    <w:tabs>
                      <w:tab w:val="left" w:pos="3240"/>
                    </w:tabs>
                    <w:autoSpaceDE w:val="0"/>
                    <w:autoSpaceDN w:val="0"/>
                    <w:adjustRightInd w:val="0"/>
                    <w:snapToGrid w:val="0"/>
                    <w:jc w:val="center"/>
                    <w:textAlignment w:val="bottom"/>
                    <w:rPr>
                      <w:rFonts w:ascii="Times New Roman" w:hAnsi="Times New Roman" w:eastAsia="宋体" w:cs="Times New Roman"/>
                      <w:kern w:val="2"/>
                      <w:sz w:val="21"/>
                      <w:szCs w:val="24"/>
                      <w:lang w:val="en-US" w:eastAsia="zh-CN" w:bidi="ar-SA"/>
                    </w:rPr>
                  </w:pPr>
                  <w:r>
                    <w:t>kV</w:t>
                  </w:r>
                </w:p>
              </w:tc>
              <w:tc>
                <w:tcPr>
                  <w:tcW w:w="2545" w:type="dxa"/>
                  <w:vAlign w:val="center"/>
                </w:tcPr>
                <w:p>
                  <w:pPr>
                    <w:tabs>
                      <w:tab w:val="left" w:pos="3240"/>
                    </w:tabs>
                    <w:autoSpaceDE w:val="0"/>
                    <w:autoSpaceDN w:val="0"/>
                    <w:adjustRightInd w:val="0"/>
                    <w:snapToGrid w:val="0"/>
                    <w:jc w:val="center"/>
                    <w:textAlignment w:val="bottom"/>
                    <w:rPr>
                      <w:rFonts w:ascii="Times New Roman" w:hAnsi="Times New Roman" w:eastAsia="宋体" w:cs="Times New Roman"/>
                      <w:kern w:val="2"/>
                      <w:sz w:val="21"/>
                      <w:szCs w:val="24"/>
                      <w:lang w:val="en-US" w:eastAsia="zh-CN" w:bidi="ar-SA"/>
                    </w:rPr>
                  </w:pPr>
                  <w:r>
                    <w:t>230±8×1.25%/37kV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7" w:hRule="atLeast"/>
                <w:jc w:val="center"/>
              </w:trPr>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1528" w:type="dxa"/>
                  <w:vMerge w:val="restart"/>
                  <w:vAlign w:val="center"/>
                </w:tcPr>
                <w:p>
                  <w:pPr>
                    <w:tabs>
                      <w:tab w:val="left" w:pos="3240"/>
                    </w:tabs>
                    <w:autoSpaceDE w:val="0"/>
                    <w:autoSpaceDN w:val="0"/>
                    <w:adjustRightInd w:val="0"/>
                    <w:snapToGrid w:val="0"/>
                    <w:jc w:val="center"/>
                    <w:textAlignment w:val="bottom"/>
                    <w:rPr>
                      <w:szCs w:val="21"/>
                    </w:rPr>
                  </w:pPr>
                  <w:r>
                    <w:rPr>
                      <w:szCs w:val="21"/>
                    </w:rPr>
                    <w:t>箱式变压器</w:t>
                  </w:r>
                </w:p>
              </w:tc>
              <w:tc>
                <w:tcPr>
                  <w:tcW w:w="2399" w:type="dxa"/>
                  <w:vAlign w:val="center"/>
                </w:tcPr>
                <w:p>
                  <w:pPr>
                    <w:tabs>
                      <w:tab w:val="left" w:pos="3240"/>
                    </w:tabs>
                    <w:autoSpaceDE w:val="0"/>
                    <w:autoSpaceDN w:val="0"/>
                    <w:adjustRightInd w:val="0"/>
                    <w:snapToGrid w:val="0"/>
                    <w:jc w:val="center"/>
                    <w:textAlignment w:val="bottom"/>
                    <w:rPr>
                      <w:szCs w:val="21"/>
                    </w:rPr>
                  </w:pPr>
                  <w:r>
                    <w:rPr>
                      <w:szCs w:val="21"/>
                    </w:rPr>
                    <w:t>数量</w:t>
                  </w:r>
                </w:p>
              </w:tc>
              <w:tc>
                <w:tcPr>
                  <w:tcW w:w="854" w:type="dxa"/>
                  <w:vAlign w:val="center"/>
                </w:tcPr>
                <w:p>
                  <w:pPr>
                    <w:tabs>
                      <w:tab w:val="left" w:pos="3240"/>
                    </w:tabs>
                    <w:autoSpaceDE w:val="0"/>
                    <w:autoSpaceDN w:val="0"/>
                    <w:adjustRightInd w:val="0"/>
                    <w:snapToGrid w:val="0"/>
                    <w:jc w:val="center"/>
                    <w:textAlignment w:val="bottom"/>
                    <w:rPr>
                      <w:szCs w:val="21"/>
                    </w:rPr>
                  </w:pPr>
                  <w:r>
                    <w:rPr>
                      <w:szCs w:val="21"/>
                    </w:rPr>
                    <w:t>台</w:t>
                  </w:r>
                </w:p>
              </w:tc>
              <w:tc>
                <w:tcPr>
                  <w:tcW w:w="2545" w:type="dxa"/>
                  <w:vAlign w:val="center"/>
                </w:tcPr>
                <w:p>
                  <w:pPr>
                    <w:tabs>
                      <w:tab w:val="left" w:pos="3240"/>
                    </w:tabs>
                    <w:autoSpaceDE w:val="0"/>
                    <w:autoSpaceDN w:val="0"/>
                    <w:adjustRightInd w:val="0"/>
                    <w:snapToGrid w:val="0"/>
                    <w:jc w:val="center"/>
                    <w:textAlignment w:val="bottom"/>
                  </w:pPr>
                  <w: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jc w:val="center"/>
              </w:trPr>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2399" w:type="dxa"/>
                  <w:vAlign w:val="center"/>
                </w:tcPr>
                <w:p>
                  <w:pPr>
                    <w:tabs>
                      <w:tab w:val="left" w:pos="3240"/>
                    </w:tabs>
                    <w:autoSpaceDE w:val="0"/>
                    <w:autoSpaceDN w:val="0"/>
                    <w:adjustRightInd w:val="0"/>
                    <w:snapToGrid w:val="0"/>
                    <w:jc w:val="center"/>
                    <w:textAlignment w:val="bottom"/>
                    <w:rPr>
                      <w:szCs w:val="21"/>
                    </w:rPr>
                  </w:pPr>
                  <w:r>
                    <w:rPr>
                      <w:szCs w:val="21"/>
                    </w:rPr>
                    <w:t>额定功率</w:t>
                  </w:r>
                </w:p>
              </w:tc>
              <w:tc>
                <w:tcPr>
                  <w:tcW w:w="854" w:type="dxa"/>
                  <w:vAlign w:val="center"/>
                </w:tcPr>
                <w:p>
                  <w:pPr>
                    <w:tabs>
                      <w:tab w:val="left" w:pos="3240"/>
                    </w:tabs>
                    <w:autoSpaceDE w:val="0"/>
                    <w:autoSpaceDN w:val="0"/>
                    <w:adjustRightInd w:val="0"/>
                    <w:snapToGrid w:val="0"/>
                    <w:jc w:val="center"/>
                    <w:textAlignment w:val="bottom"/>
                  </w:pPr>
                  <w:r>
                    <w:t>kW</w:t>
                  </w:r>
                </w:p>
              </w:tc>
              <w:tc>
                <w:tcPr>
                  <w:tcW w:w="2545" w:type="dxa"/>
                  <w:vAlign w:val="center"/>
                </w:tcPr>
                <w:p>
                  <w:pPr>
                    <w:tabs>
                      <w:tab w:val="left" w:pos="3240"/>
                    </w:tabs>
                    <w:autoSpaceDE w:val="0"/>
                    <w:autoSpaceDN w:val="0"/>
                    <w:adjustRightInd w:val="0"/>
                    <w:snapToGrid w:val="0"/>
                    <w:jc w:val="center"/>
                    <w:textAlignment w:val="bottom"/>
                  </w:pPr>
                  <w:r>
                    <w:t>68台3150，4台1600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jc w:val="center"/>
              </w:trPr>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1528" w:type="dxa"/>
                  <w:vMerge w:val="restart"/>
                  <w:vAlign w:val="center"/>
                </w:tcPr>
                <w:p>
                  <w:pPr>
                    <w:tabs>
                      <w:tab w:val="left" w:pos="3240"/>
                    </w:tabs>
                    <w:autoSpaceDE w:val="0"/>
                    <w:autoSpaceDN w:val="0"/>
                    <w:adjustRightInd w:val="0"/>
                    <w:snapToGrid w:val="0"/>
                    <w:jc w:val="center"/>
                    <w:textAlignment w:val="bottom"/>
                    <w:rPr>
                      <w:szCs w:val="21"/>
                    </w:rPr>
                  </w:pPr>
                  <w:r>
                    <w:rPr>
                      <w:szCs w:val="21"/>
                    </w:rPr>
                    <w:t>高压送出</w:t>
                  </w:r>
                </w:p>
              </w:tc>
              <w:tc>
                <w:tcPr>
                  <w:tcW w:w="2399" w:type="dxa"/>
                  <w:vAlign w:val="center"/>
                </w:tcPr>
                <w:p>
                  <w:pPr>
                    <w:tabs>
                      <w:tab w:val="left" w:pos="3240"/>
                    </w:tabs>
                    <w:autoSpaceDE w:val="0"/>
                    <w:autoSpaceDN w:val="0"/>
                    <w:adjustRightInd w:val="0"/>
                    <w:snapToGrid w:val="0"/>
                    <w:jc w:val="center"/>
                    <w:textAlignment w:val="bottom"/>
                    <w:rPr>
                      <w:szCs w:val="21"/>
                    </w:rPr>
                  </w:pPr>
                  <w:r>
                    <w:rPr>
                      <w:szCs w:val="21"/>
                    </w:rPr>
                    <w:t>出线电压等级</w:t>
                  </w:r>
                </w:p>
              </w:tc>
              <w:tc>
                <w:tcPr>
                  <w:tcW w:w="854" w:type="dxa"/>
                  <w:vAlign w:val="center"/>
                </w:tcPr>
                <w:p>
                  <w:pPr>
                    <w:tabs>
                      <w:tab w:val="left" w:pos="3240"/>
                    </w:tabs>
                    <w:autoSpaceDE w:val="0"/>
                    <w:autoSpaceDN w:val="0"/>
                    <w:adjustRightInd w:val="0"/>
                    <w:snapToGrid w:val="0"/>
                    <w:jc w:val="center"/>
                    <w:textAlignment w:val="bottom"/>
                  </w:pPr>
                  <w:r>
                    <w:t>kV</w:t>
                  </w:r>
                </w:p>
              </w:tc>
              <w:tc>
                <w:tcPr>
                  <w:tcW w:w="2545" w:type="dxa"/>
                  <w:vAlign w:val="center"/>
                </w:tcPr>
                <w:p>
                  <w:pPr>
                    <w:tabs>
                      <w:tab w:val="left" w:pos="3240"/>
                    </w:tabs>
                    <w:autoSpaceDE w:val="0"/>
                    <w:autoSpaceDN w:val="0"/>
                    <w:adjustRightInd w:val="0"/>
                    <w:snapToGrid w:val="0"/>
                    <w:jc w:val="center"/>
                    <w:textAlignment w:val="bottom"/>
                  </w:pPr>
                  <w: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 w:hRule="atLeast"/>
                <w:jc w:val="center"/>
              </w:trPr>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1528" w:type="dxa"/>
                  <w:vMerge w:val="continue"/>
                  <w:vAlign w:val="center"/>
                </w:tcPr>
                <w:p>
                  <w:pPr>
                    <w:tabs>
                      <w:tab w:val="left" w:pos="3240"/>
                    </w:tabs>
                    <w:autoSpaceDE w:val="0"/>
                    <w:autoSpaceDN w:val="0"/>
                    <w:adjustRightInd w:val="0"/>
                    <w:snapToGrid w:val="0"/>
                    <w:jc w:val="center"/>
                    <w:textAlignment w:val="bottom"/>
                    <w:rPr>
                      <w:szCs w:val="21"/>
                    </w:rPr>
                  </w:pPr>
                </w:p>
              </w:tc>
              <w:tc>
                <w:tcPr>
                  <w:tcW w:w="2399" w:type="dxa"/>
                  <w:vAlign w:val="center"/>
                </w:tcPr>
                <w:p>
                  <w:pPr>
                    <w:tabs>
                      <w:tab w:val="left" w:pos="3240"/>
                    </w:tabs>
                    <w:autoSpaceDE w:val="0"/>
                    <w:autoSpaceDN w:val="0"/>
                    <w:adjustRightInd w:val="0"/>
                    <w:snapToGrid w:val="0"/>
                    <w:jc w:val="center"/>
                    <w:textAlignment w:val="bottom"/>
                    <w:rPr>
                      <w:szCs w:val="21"/>
                    </w:rPr>
                  </w:pPr>
                  <w:r>
                    <w:rPr>
                      <w:szCs w:val="21"/>
                    </w:rPr>
                    <w:t>出线回路数</w:t>
                  </w:r>
                </w:p>
              </w:tc>
              <w:tc>
                <w:tcPr>
                  <w:tcW w:w="854" w:type="dxa"/>
                  <w:vAlign w:val="center"/>
                </w:tcPr>
                <w:p>
                  <w:pPr>
                    <w:tabs>
                      <w:tab w:val="left" w:pos="3240"/>
                    </w:tabs>
                    <w:autoSpaceDE w:val="0"/>
                    <w:autoSpaceDN w:val="0"/>
                    <w:adjustRightInd w:val="0"/>
                    <w:snapToGrid w:val="0"/>
                    <w:jc w:val="center"/>
                    <w:textAlignment w:val="bottom"/>
                    <w:rPr>
                      <w:szCs w:val="21"/>
                    </w:rPr>
                  </w:pPr>
                  <w:r>
                    <w:rPr>
                      <w:szCs w:val="21"/>
                    </w:rPr>
                    <w:t>回</w:t>
                  </w:r>
                </w:p>
              </w:tc>
              <w:tc>
                <w:tcPr>
                  <w:tcW w:w="2545" w:type="dxa"/>
                  <w:vAlign w:val="center"/>
                </w:tcPr>
                <w:p>
                  <w:pPr>
                    <w:tabs>
                      <w:tab w:val="left" w:pos="3240"/>
                    </w:tabs>
                    <w:autoSpaceDE w:val="0"/>
                    <w:autoSpaceDN w:val="0"/>
                    <w:adjustRightInd w:val="0"/>
                    <w:snapToGrid w:val="0"/>
                    <w:jc w:val="center"/>
                    <w:textAlignment w:val="bottom"/>
                  </w:pPr>
                  <w:r>
                    <w:t>1</w:t>
                  </w:r>
                </w:p>
              </w:tc>
            </w:tr>
          </w:tbl>
          <w:p>
            <w:pPr>
              <w:adjustRightInd w:val="0"/>
              <w:snapToGrid w:val="0"/>
              <w:spacing w:line="360" w:lineRule="auto"/>
              <w:ind w:firstLine="482" w:firstLineChars="200"/>
              <w:rPr>
                <w:b/>
                <w:kern w:val="0"/>
                <w:sz w:val="24"/>
              </w:rPr>
            </w:pPr>
            <w:r>
              <w:rPr>
                <w:rFonts w:hint="eastAsia"/>
                <w:b/>
                <w:kern w:val="0"/>
                <w:sz w:val="24"/>
                <w:lang w:val="en-US" w:eastAsia="zh-CN"/>
              </w:rPr>
              <w:t>3</w:t>
            </w:r>
            <w:r>
              <w:rPr>
                <w:b/>
                <w:kern w:val="0"/>
                <w:sz w:val="24"/>
              </w:rPr>
              <w:t>、工作制度和劳动定员</w:t>
            </w:r>
          </w:p>
          <w:p>
            <w:pPr>
              <w:adjustRightInd w:val="0"/>
              <w:snapToGrid w:val="0"/>
              <w:spacing w:line="360" w:lineRule="auto"/>
              <w:ind w:firstLine="480" w:firstLineChars="200"/>
              <w:rPr>
                <w:kern w:val="0"/>
                <w:szCs w:val="21"/>
              </w:rPr>
            </w:pPr>
            <w:r>
              <w:rPr>
                <w:rFonts w:hint="eastAsia"/>
                <w:kern w:val="0"/>
                <w:sz w:val="24"/>
                <w:lang w:val="en-US" w:eastAsia="zh-CN"/>
              </w:rPr>
              <w:t>光伏电站及本升压站</w:t>
            </w:r>
            <w:r>
              <w:rPr>
                <w:kern w:val="0"/>
                <w:sz w:val="24"/>
              </w:rPr>
              <w:t>劳动定员9人，均在项目内食宿，8小时一班，主要负责运行监控、日常保养、故障维修和事故报告等。采用24小时值班制，全年工作365天。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74" w:type="dxa"/>
            <w:vAlign w:val="center"/>
          </w:tcPr>
          <w:p>
            <w:pPr>
              <w:adjustRightInd w:val="0"/>
              <w:snapToGrid w:val="0"/>
              <w:jc w:val="center"/>
              <w:rPr>
                <w:kern w:val="0"/>
                <w:sz w:val="24"/>
              </w:rPr>
            </w:pPr>
            <w:r>
              <w:rPr>
                <w:kern w:val="0"/>
                <w:sz w:val="24"/>
              </w:rPr>
              <w:t>总平面及现场布置</w:t>
            </w:r>
          </w:p>
        </w:tc>
        <w:tc>
          <w:tcPr>
            <w:tcW w:w="9080" w:type="dxa"/>
            <w:vAlign w:val="center"/>
          </w:tcPr>
          <w:p>
            <w:pPr>
              <w:adjustRightInd w:val="0"/>
              <w:snapToGrid w:val="0"/>
              <w:spacing w:line="360" w:lineRule="auto"/>
              <w:ind w:left="480"/>
              <w:rPr>
                <w:b/>
                <w:kern w:val="0"/>
                <w:sz w:val="24"/>
              </w:rPr>
            </w:pPr>
            <w:r>
              <w:rPr>
                <w:b/>
                <w:kern w:val="0"/>
                <w:sz w:val="24"/>
              </w:rPr>
              <w:t>1、项目总体布置</w:t>
            </w:r>
          </w:p>
          <w:p>
            <w:pPr>
              <w:spacing w:line="360" w:lineRule="auto"/>
              <w:ind w:firstLine="480" w:firstLineChars="200"/>
              <w:rPr>
                <w:sz w:val="24"/>
              </w:rPr>
            </w:pPr>
            <w:r>
              <w:rPr>
                <w:kern w:val="0"/>
                <w:sz w:val="24"/>
              </w:rPr>
              <w:t>本项目设置220kV升压站，占地面积10212</w:t>
            </w:r>
            <w:r>
              <w:rPr>
                <w:sz w:val="24"/>
              </w:rPr>
              <w:t>m</w:t>
            </w:r>
            <w:r>
              <w:rPr>
                <w:sz w:val="24"/>
                <w:vertAlign w:val="superscript"/>
              </w:rPr>
              <w:t>2</w:t>
            </w:r>
            <w:r>
              <w:rPr>
                <w:sz w:val="24"/>
              </w:rPr>
              <w:t>，升压站出线方向为东南。220kV升压站围墙中心线尺寸为84m（东西）×93m（南北）。围墙高度为2.4m，采用实体围墙。升压站西侧从北至南依次设置GIS室、变压器、出线间隔，出线间隔两侧布置事故油池及固废间。升压站东侧从南至北依次设置SVG设备、员工生活区，生活区北侧布置消防水池、供水水箱、以及污水处理设施。升压站内部布置详见附图。</w:t>
            </w:r>
          </w:p>
          <w:p>
            <w:pPr>
              <w:spacing w:line="360" w:lineRule="auto"/>
              <w:ind w:firstLine="482" w:firstLineChars="200"/>
              <w:rPr>
                <w:b/>
                <w:sz w:val="24"/>
              </w:rPr>
            </w:pPr>
            <w:r>
              <w:rPr>
                <w:rFonts w:hint="eastAsia"/>
                <w:b/>
                <w:sz w:val="24"/>
                <w:lang w:val="en-US" w:eastAsia="zh-CN"/>
              </w:rPr>
              <w:t>2</w:t>
            </w:r>
            <w:r>
              <w:rPr>
                <w:b/>
                <w:sz w:val="24"/>
              </w:rPr>
              <w:t>、施工生产生活区布置</w:t>
            </w:r>
          </w:p>
          <w:p>
            <w:pPr>
              <w:spacing w:line="360" w:lineRule="auto"/>
              <w:ind w:firstLine="480" w:firstLineChars="200"/>
            </w:pPr>
            <w:r>
              <w:rPr>
                <w:rFonts w:hint="eastAsia" w:ascii="宋体" w:hAnsi="宋体" w:cs="宋体"/>
                <w:sz w:val="24"/>
                <w:lang w:val="en-US" w:eastAsia="zh-CN"/>
              </w:rPr>
              <w:t>本升压站不单独设置施工营地，依托光伏电站设置的施工营地</w:t>
            </w:r>
            <w:r>
              <w:rPr>
                <w:sz w:val="24"/>
              </w:rPr>
              <w:t>。</w:t>
            </w:r>
            <w:r>
              <w:rPr>
                <w:rFonts w:hint="eastAsia"/>
                <w:sz w:val="24"/>
                <w:lang w:val="en-US" w:eastAsia="zh-CN"/>
              </w:rPr>
              <w:t>临时建材堆放场和临时表土堆场均依托光伏电站设置临时堆场。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6" w:hRule="atLeast"/>
          <w:jc w:val="center"/>
        </w:trPr>
        <w:tc>
          <w:tcPr>
            <w:tcW w:w="774" w:type="dxa"/>
            <w:vAlign w:val="center"/>
          </w:tcPr>
          <w:p>
            <w:pPr>
              <w:adjustRightInd w:val="0"/>
              <w:snapToGrid w:val="0"/>
              <w:jc w:val="center"/>
              <w:rPr>
                <w:kern w:val="0"/>
                <w:sz w:val="24"/>
              </w:rPr>
            </w:pPr>
            <w:r>
              <w:rPr>
                <w:kern w:val="0"/>
                <w:sz w:val="24"/>
              </w:rPr>
              <w:t>施工方案</w:t>
            </w:r>
          </w:p>
        </w:tc>
        <w:tc>
          <w:tcPr>
            <w:tcW w:w="9080" w:type="dxa"/>
            <w:vAlign w:val="center"/>
          </w:tcPr>
          <w:p>
            <w:pPr>
              <w:spacing w:line="360" w:lineRule="auto"/>
              <w:ind w:firstLine="482" w:firstLineChars="200"/>
              <w:rPr>
                <w:b/>
                <w:sz w:val="24"/>
                <w:lang w:bidi="zh-CN"/>
              </w:rPr>
            </w:pPr>
            <w:r>
              <w:rPr>
                <w:b/>
                <w:sz w:val="24"/>
                <w:lang w:bidi="zh-CN"/>
              </w:rPr>
              <w:t>1、施工工艺流程简述及产污节点</w:t>
            </w:r>
          </w:p>
          <w:p>
            <w:pPr>
              <w:spacing w:line="360" w:lineRule="auto"/>
              <w:ind w:firstLine="480" w:firstLineChars="200"/>
              <w:rPr>
                <w:sz w:val="24"/>
                <w:lang w:bidi="zh-CN"/>
              </w:rPr>
            </w:pPr>
            <w:r>
              <w:rPr>
                <w:sz w:val="24"/>
                <w:lang w:bidi="zh-CN"/>
              </w:rPr>
              <w:t>本项目的施工包括道路的施工、升压站等构筑物的建设安装和调试。</w:t>
            </w:r>
          </w:p>
          <w:p>
            <w:pPr>
              <w:spacing w:line="360" w:lineRule="auto"/>
              <w:ind w:firstLine="480" w:firstLineChars="200"/>
              <w:rPr>
                <w:sz w:val="24"/>
                <w:lang w:bidi="zh-CN"/>
              </w:rPr>
            </w:pPr>
            <w:r>
              <w:rPr>
                <w:sz w:val="24"/>
                <w:lang w:bidi="zh-CN"/>
              </w:rPr>
              <w:t>施工期主要污染源有：施工期机械噪声、扬尘、运输及动力设备运行产生的燃油废气、固体废物、施工作业对评价区生态环境破坏可能导致的水土流失和植被破坏、施工人员生活废水、生活垃圾等。</w:t>
            </w:r>
          </w:p>
          <w:p>
            <w:pPr>
              <w:spacing w:line="360" w:lineRule="auto"/>
              <w:ind w:firstLine="480" w:firstLineChars="200"/>
              <w:rPr>
                <w:sz w:val="24"/>
                <w:lang w:bidi="zh-CN"/>
              </w:rPr>
            </w:pPr>
            <w:r>
              <w:rPr>
                <w:sz w:val="24"/>
                <w:lang w:bidi="zh-CN"/>
              </w:rPr>
              <w:t>施工流程及各阶段产污环节见下图。</w:t>
            </w:r>
          </w:p>
          <w:p>
            <w:pPr>
              <w:spacing w:line="360" w:lineRule="auto"/>
              <w:ind w:firstLine="482" w:firstLineChars="200"/>
              <w:jc w:val="center"/>
              <w:rPr>
                <w:b/>
                <w:sz w:val="24"/>
              </w:rPr>
            </w:pPr>
            <w:r>
              <w:rPr>
                <w:b/>
                <w:sz w:val="24"/>
              </w:rPr>
              <w:object>
                <v:shape id="_x0000_i1025" o:spt="75" type="#_x0000_t75" style="height:70.5pt;width:357.75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pPr>
              <w:spacing w:line="360" w:lineRule="auto"/>
              <w:ind w:firstLine="482" w:firstLineChars="200"/>
              <w:jc w:val="center"/>
              <w:rPr>
                <w:b/>
                <w:sz w:val="24"/>
              </w:rPr>
            </w:pPr>
            <w:r>
              <w:rPr>
                <w:b/>
                <w:sz w:val="24"/>
              </w:rPr>
              <w:t xml:space="preserve">图2-2   </w:t>
            </w:r>
            <w:r>
              <w:rPr>
                <w:b/>
                <w:sz w:val="24"/>
                <w:lang w:bidi="zh-CN"/>
              </w:rPr>
              <w:t>施工期工艺流程及产物节点图</w:t>
            </w:r>
          </w:p>
          <w:p>
            <w:pPr>
              <w:spacing w:line="360" w:lineRule="auto"/>
              <w:ind w:firstLine="480" w:firstLineChars="200"/>
              <w:jc w:val="left"/>
              <w:rPr>
                <w:sz w:val="24"/>
              </w:rPr>
            </w:pPr>
            <w:r>
              <w:rPr>
                <w:sz w:val="24"/>
              </w:rPr>
              <w:t>（</w:t>
            </w:r>
            <w:r>
              <w:rPr>
                <w:rFonts w:hint="eastAsia"/>
                <w:sz w:val="24"/>
                <w:lang w:val="en-US" w:eastAsia="zh-CN"/>
              </w:rPr>
              <w:t>1</w:t>
            </w:r>
            <w:r>
              <w:rPr>
                <w:sz w:val="24"/>
              </w:rPr>
              <w:t>）升压站施工工艺流程</w:t>
            </w:r>
          </w:p>
          <w:p>
            <w:pPr>
              <w:spacing w:line="360" w:lineRule="auto"/>
              <w:ind w:firstLine="480" w:firstLineChars="200"/>
              <w:jc w:val="left"/>
              <w:rPr>
                <w:sz w:val="24"/>
              </w:rPr>
            </w:pPr>
            <w:r>
              <w:rPr>
                <w:rFonts w:ascii="宋体" w:hAnsi="宋体" w:cs="宋体"/>
                <w:sz w:val="24"/>
              </w:rPr>
              <w:t>①</w:t>
            </w:r>
            <w:r>
              <w:rPr>
                <w:sz w:val="24"/>
              </w:rPr>
              <w:t>施工准备：包括施工道路建设、场地平整。</w:t>
            </w:r>
          </w:p>
          <w:p>
            <w:pPr>
              <w:spacing w:line="360" w:lineRule="auto"/>
              <w:ind w:firstLine="480" w:firstLineChars="200"/>
              <w:jc w:val="left"/>
              <w:rPr>
                <w:sz w:val="24"/>
              </w:rPr>
            </w:pPr>
            <w:r>
              <w:rPr>
                <w:rFonts w:ascii="宋体" w:hAnsi="宋体" w:cs="宋体"/>
                <w:sz w:val="24"/>
              </w:rPr>
              <w:t>②</w:t>
            </w:r>
            <w:r>
              <w:rPr>
                <w:sz w:val="24"/>
              </w:rPr>
              <w:t>基础开挖、浇筑：升压站区地基处理，包括土石方工程、桩基础工程、支护工程等。</w:t>
            </w:r>
          </w:p>
          <w:p>
            <w:pPr>
              <w:spacing w:line="360" w:lineRule="auto"/>
              <w:ind w:firstLine="480" w:firstLineChars="200"/>
              <w:jc w:val="left"/>
              <w:rPr>
                <w:sz w:val="24"/>
              </w:rPr>
            </w:pPr>
            <w:r>
              <w:rPr>
                <w:rFonts w:ascii="宋体" w:hAnsi="宋体" w:cs="宋体"/>
                <w:sz w:val="24"/>
              </w:rPr>
              <w:t>③</w:t>
            </w:r>
            <w:r>
              <w:rPr>
                <w:sz w:val="24"/>
              </w:rPr>
              <w:t>建筑物建设：本工程建筑物部分采用预制舱方案，只需采用吊装安装即可。在土建专业施工时，电气专业技术人员应到现场配合土建施工，做好预埋件、预留孔洞、过路电缆预埋管、接地网的施工。</w:t>
            </w:r>
          </w:p>
          <w:p>
            <w:pPr>
              <w:spacing w:line="360" w:lineRule="auto"/>
              <w:ind w:firstLine="480" w:firstLineChars="200"/>
              <w:jc w:val="left"/>
              <w:rPr>
                <w:sz w:val="24"/>
              </w:rPr>
            </w:pPr>
            <w:r>
              <w:rPr>
                <w:rFonts w:ascii="宋体" w:hAnsi="宋体" w:cs="宋体"/>
                <w:sz w:val="24"/>
              </w:rPr>
              <w:t>④</w:t>
            </w:r>
            <w:r>
              <w:rPr>
                <w:sz w:val="24"/>
              </w:rPr>
              <w:t>电气设备安装：变压器建筑安装工程、电缆敷设、电气设备的安装调试、系统的并网运行调试等内容。</w:t>
            </w:r>
          </w:p>
          <w:p>
            <w:pPr>
              <w:spacing w:line="360" w:lineRule="auto"/>
              <w:ind w:firstLine="482" w:firstLineChars="200"/>
              <w:jc w:val="left"/>
              <w:rPr>
                <w:b/>
                <w:sz w:val="24"/>
              </w:rPr>
            </w:pPr>
            <w:r>
              <w:rPr>
                <w:b/>
                <w:sz w:val="24"/>
              </w:rPr>
              <w:t>2、施工组织</w:t>
            </w:r>
          </w:p>
          <w:p>
            <w:pPr>
              <w:spacing w:line="360" w:lineRule="auto"/>
              <w:ind w:firstLine="480" w:firstLineChars="200"/>
              <w:jc w:val="left"/>
              <w:rPr>
                <w:sz w:val="24"/>
              </w:rPr>
            </w:pPr>
            <w:r>
              <w:rPr>
                <w:sz w:val="24"/>
              </w:rPr>
              <w:t>（1）交通条件</w:t>
            </w:r>
          </w:p>
          <w:p>
            <w:pPr>
              <w:spacing w:line="360" w:lineRule="auto"/>
              <w:ind w:firstLine="480" w:firstLineChars="200"/>
              <w:jc w:val="left"/>
              <w:rPr>
                <w:sz w:val="24"/>
              </w:rPr>
            </w:pPr>
            <w:r>
              <w:rPr>
                <w:rFonts w:ascii="宋体" w:hAnsi="宋体" w:cs="宋体"/>
                <w:sz w:val="24"/>
              </w:rPr>
              <w:t>①</w:t>
            </w:r>
            <w:r>
              <w:rPr>
                <w:sz w:val="24"/>
              </w:rPr>
              <w:t>对外交通条件</w:t>
            </w:r>
          </w:p>
          <w:p>
            <w:pPr>
              <w:spacing w:line="360" w:lineRule="auto"/>
              <w:ind w:firstLine="480" w:firstLineChars="200"/>
              <w:jc w:val="left"/>
              <w:rPr>
                <w:sz w:val="24"/>
              </w:rPr>
            </w:pPr>
            <w:r>
              <w:rPr>
                <w:sz w:val="24"/>
              </w:rPr>
              <w:t>本工程场址通过因舍线、X036县道与东川区主干道路连接，其中X036县道为双向两车道，柏油路面，路况良好，满足</w:t>
            </w:r>
            <w:r>
              <w:rPr>
                <w:rFonts w:hint="eastAsia"/>
                <w:sz w:val="24"/>
                <w:lang w:val="en-US" w:eastAsia="zh-CN"/>
              </w:rPr>
              <w:t>本</w:t>
            </w:r>
            <w:r>
              <w:rPr>
                <w:sz w:val="24"/>
              </w:rPr>
              <w:t>项目设备和施工物资运输要求；</w:t>
            </w:r>
          </w:p>
          <w:p>
            <w:pPr>
              <w:spacing w:line="360" w:lineRule="auto"/>
              <w:ind w:firstLine="480" w:firstLineChars="200"/>
              <w:jc w:val="left"/>
              <w:rPr>
                <w:sz w:val="24"/>
              </w:rPr>
            </w:pPr>
            <w:r>
              <w:rPr>
                <w:sz w:val="24"/>
              </w:rPr>
              <w:t>运输线路为：S23昆巧高速公路汤丹收费站→S101省道→X036县道→因舍线弹石道路→云坪场区。</w:t>
            </w:r>
          </w:p>
          <w:p>
            <w:pPr>
              <w:spacing w:line="360" w:lineRule="auto"/>
              <w:ind w:firstLine="480" w:firstLineChars="200"/>
              <w:jc w:val="left"/>
              <w:rPr>
                <w:sz w:val="24"/>
              </w:rPr>
            </w:pPr>
            <w:r>
              <w:rPr>
                <w:rFonts w:ascii="宋体" w:hAnsi="宋体" w:cs="宋体"/>
                <w:sz w:val="24"/>
              </w:rPr>
              <w:t>②</w:t>
            </w:r>
            <w:r>
              <w:rPr>
                <w:sz w:val="24"/>
              </w:rPr>
              <w:t>对内交通条件</w:t>
            </w:r>
          </w:p>
          <w:p>
            <w:pPr>
              <w:spacing w:line="360" w:lineRule="auto"/>
              <w:ind w:firstLine="480" w:firstLineChars="200"/>
              <w:jc w:val="left"/>
              <w:rPr>
                <w:sz w:val="24"/>
              </w:rPr>
            </w:pPr>
            <w:r>
              <w:rPr>
                <w:rFonts w:hint="eastAsia"/>
                <w:sz w:val="24"/>
                <w:lang w:val="en-US" w:eastAsia="zh-CN"/>
              </w:rPr>
              <w:t>施工道路依托光伏电站建设的道路进行施工</w:t>
            </w:r>
            <w:r>
              <w:rPr>
                <w:sz w:val="24"/>
              </w:rPr>
              <w:t>。</w:t>
            </w:r>
          </w:p>
          <w:p>
            <w:pPr>
              <w:spacing w:line="360" w:lineRule="auto"/>
              <w:ind w:firstLine="480" w:firstLineChars="200"/>
              <w:jc w:val="left"/>
              <w:rPr>
                <w:sz w:val="24"/>
              </w:rPr>
            </w:pPr>
            <w:r>
              <w:rPr>
                <w:sz w:val="24"/>
              </w:rPr>
              <w:t>（2）施工供水、供电及建筑材料</w:t>
            </w:r>
          </w:p>
          <w:p>
            <w:pPr>
              <w:spacing w:line="360" w:lineRule="auto"/>
              <w:ind w:firstLine="480" w:firstLineChars="200"/>
              <w:jc w:val="left"/>
              <w:rPr>
                <w:sz w:val="24"/>
              </w:rPr>
            </w:pPr>
            <w:r>
              <w:rPr>
                <w:rFonts w:ascii="宋体" w:hAnsi="宋体" w:cs="宋体"/>
                <w:sz w:val="24"/>
              </w:rPr>
              <w:t>①</w:t>
            </w:r>
            <w:r>
              <w:rPr>
                <w:sz w:val="24"/>
              </w:rPr>
              <w:t>施工供水：施工用水从附近村庄云坪村引接水源，施工时在升压站内设置两个50m³的临时蓄水池，以供施工用水，后期运维生活用水采购符合饮用水指标的纯净水作为饮用水。</w:t>
            </w:r>
          </w:p>
          <w:p>
            <w:pPr>
              <w:spacing w:line="360" w:lineRule="auto"/>
              <w:ind w:firstLine="480" w:firstLineChars="200"/>
              <w:jc w:val="left"/>
              <w:rPr>
                <w:sz w:val="24"/>
              </w:rPr>
            </w:pPr>
            <w:r>
              <w:rPr>
                <w:rFonts w:ascii="宋体" w:hAnsi="宋体" w:cs="宋体"/>
                <w:sz w:val="24"/>
              </w:rPr>
              <w:t>②</w:t>
            </w:r>
            <w:r>
              <w:rPr>
                <w:sz w:val="24"/>
              </w:rPr>
              <w:t>施工供电：从附近村庄云坪村接引10kV供电线路，场区约为5.5km，施工高峰期用电量约为250kVA，同时场区配备六台40kW柴油发电机，一台备用。</w:t>
            </w:r>
          </w:p>
          <w:p>
            <w:pPr>
              <w:spacing w:line="360" w:lineRule="auto"/>
              <w:ind w:firstLine="480" w:firstLineChars="200"/>
              <w:jc w:val="left"/>
              <w:rPr>
                <w:sz w:val="24"/>
              </w:rPr>
            </w:pPr>
            <w:r>
              <w:rPr>
                <w:rFonts w:ascii="宋体" w:hAnsi="宋体" w:cs="宋体"/>
                <w:sz w:val="24"/>
              </w:rPr>
              <w:t>③</w:t>
            </w:r>
            <w:r>
              <w:rPr>
                <w:sz w:val="24"/>
              </w:rPr>
              <w:t>建筑材料：本工程所需的主要建筑材料，如混凝土、钢材、砂石等在东川区附近市场采购。</w:t>
            </w:r>
          </w:p>
          <w:p>
            <w:pPr>
              <w:spacing w:line="360" w:lineRule="auto"/>
              <w:ind w:firstLine="482" w:firstLineChars="200"/>
              <w:jc w:val="left"/>
              <w:rPr>
                <w:b/>
                <w:sz w:val="24"/>
              </w:rPr>
            </w:pPr>
            <w:r>
              <w:rPr>
                <w:b/>
                <w:sz w:val="24"/>
              </w:rPr>
              <w:t>3、施工工期及施工人数</w:t>
            </w:r>
          </w:p>
          <w:p>
            <w:pPr>
              <w:spacing w:line="360" w:lineRule="auto"/>
              <w:ind w:firstLine="480" w:firstLineChars="200"/>
              <w:jc w:val="left"/>
              <w:rPr>
                <w:sz w:val="24"/>
              </w:rPr>
            </w:pPr>
            <w:r>
              <w:rPr>
                <w:sz w:val="24"/>
              </w:rPr>
              <w:t>220kV升压站设备基础施工期为2022年12月1日至2023年3月28日。</w:t>
            </w:r>
          </w:p>
          <w:p>
            <w:pPr>
              <w:adjustRightInd w:val="0"/>
              <w:snapToGrid w:val="0"/>
              <w:spacing w:line="360" w:lineRule="auto"/>
              <w:ind w:firstLine="480" w:firstLineChars="200"/>
              <w:rPr>
                <w:sz w:val="24"/>
              </w:rPr>
            </w:pPr>
            <w:r>
              <w:rPr>
                <w:sz w:val="24"/>
              </w:rPr>
              <w:t>220kV升压站电气设备安装调试、监控系统的安装及调试工期为2023年4月1日至到2023年7月20日。</w:t>
            </w:r>
          </w:p>
          <w:p>
            <w:pPr>
              <w:adjustRightInd w:val="0"/>
              <w:snapToGrid w:val="0"/>
              <w:spacing w:line="360" w:lineRule="auto"/>
              <w:ind w:firstLine="480" w:firstLineChars="200"/>
              <w:rPr>
                <w:sz w:val="23"/>
              </w:rPr>
            </w:pPr>
            <w:r>
              <w:rPr>
                <w:rFonts w:hint="eastAsia"/>
                <w:sz w:val="24"/>
                <w:lang w:val="en-US" w:eastAsia="zh-CN"/>
              </w:rPr>
              <w:t>升压站</w:t>
            </w:r>
            <w:r>
              <w:rPr>
                <w:sz w:val="24"/>
              </w:rPr>
              <w:t>施工总工期</w:t>
            </w:r>
            <w:r>
              <w:rPr>
                <w:rFonts w:hint="eastAsia"/>
                <w:sz w:val="24"/>
                <w:lang w:val="en-US" w:eastAsia="zh-CN"/>
              </w:rPr>
              <w:t>8</w:t>
            </w:r>
            <w:r>
              <w:rPr>
                <w:sz w:val="24"/>
              </w:rPr>
              <w:t>个月。施工</w:t>
            </w:r>
            <w:r>
              <w:rPr>
                <w:rFonts w:hint="eastAsia"/>
                <w:sz w:val="24"/>
                <w:lang w:val="en-US" w:eastAsia="zh-CN"/>
              </w:rPr>
              <w:t>平均</w:t>
            </w:r>
            <w:r>
              <w:rPr>
                <w:sz w:val="24"/>
              </w:rPr>
              <w:t>人数</w:t>
            </w:r>
            <w:r>
              <w:rPr>
                <w:rFonts w:hint="eastAsia"/>
                <w:sz w:val="24"/>
                <w:lang w:val="en-US" w:eastAsia="zh-CN"/>
              </w:rPr>
              <w:t>20</w:t>
            </w:r>
            <w:r>
              <w:rPr>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74" w:type="dxa"/>
            <w:vAlign w:val="center"/>
          </w:tcPr>
          <w:p>
            <w:pPr>
              <w:adjustRightInd w:val="0"/>
              <w:snapToGrid w:val="0"/>
              <w:spacing w:line="360" w:lineRule="auto"/>
              <w:jc w:val="center"/>
              <w:rPr>
                <w:kern w:val="0"/>
                <w:sz w:val="24"/>
              </w:rPr>
            </w:pPr>
            <w:r>
              <w:rPr>
                <w:kern w:val="0"/>
                <w:sz w:val="24"/>
              </w:rPr>
              <w:t>其他</w:t>
            </w:r>
          </w:p>
        </w:tc>
        <w:tc>
          <w:tcPr>
            <w:tcW w:w="9080" w:type="dxa"/>
            <w:vAlign w:val="center"/>
          </w:tcPr>
          <w:p>
            <w:pPr>
              <w:adjustRightInd w:val="0"/>
              <w:snapToGrid w:val="0"/>
              <w:spacing w:line="360" w:lineRule="auto"/>
              <w:jc w:val="center"/>
              <w:rPr>
                <w:kern w:val="0"/>
                <w:sz w:val="24"/>
              </w:rPr>
            </w:pPr>
            <w:r>
              <w:rPr>
                <w:b/>
                <w:kern w:val="0"/>
                <w:sz w:val="24"/>
              </w:rPr>
              <w:t>无</w:t>
            </w:r>
          </w:p>
        </w:tc>
      </w:tr>
    </w:tbl>
    <w:p>
      <w:pPr>
        <w:pStyle w:val="17"/>
        <w:jc w:val="center"/>
        <w:outlineLvl w:val="0"/>
        <w:rPr>
          <w:rFonts w:ascii="Times New Roman" w:hAnsi="Times New Roman"/>
          <w:b/>
          <w:bCs/>
          <w:snapToGrid w:val="0"/>
          <w:sz w:val="30"/>
          <w:szCs w:val="30"/>
        </w:rPr>
      </w:pPr>
      <w:r>
        <w:rPr>
          <w:rFonts w:ascii="Times New Roman" w:hAnsi="Times New Roman"/>
          <w:b/>
          <w:bCs/>
        </w:rPr>
        <w:br w:type="page"/>
      </w:r>
      <w:bookmarkStart w:id="9" w:name="_Toc822"/>
      <w:r>
        <w:rPr>
          <w:rFonts w:ascii="Times New Roman" w:hAnsi="Times New Roman"/>
          <w:b/>
          <w:bCs/>
          <w:snapToGrid w:val="0"/>
          <w:sz w:val="30"/>
          <w:szCs w:val="30"/>
        </w:rPr>
        <w:t>三、生态环境现状、保护目标及评价标准</w:t>
      </w:r>
      <w:bookmarkEnd w:id="9"/>
    </w:p>
    <w:tbl>
      <w:tblPr>
        <w:tblStyle w:val="20"/>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562"/>
        <w:gridCol w:w="86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pPr>
              <w:adjustRightInd w:val="0"/>
              <w:snapToGrid w:val="0"/>
              <w:jc w:val="center"/>
              <w:rPr>
                <w:kern w:val="0"/>
                <w:sz w:val="24"/>
                <w:szCs w:val="21"/>
              </w:rPr>
            </w:pPr>
            <w:r>
              <w:rPr>
                <w:kern w:val="0"/>
                <w:sz w:val="24"/>
                <w:szCs w:val="21"/>
              </w:rPr>
              <w:t>生态环境现状</w:t>
            </w:r>
          </w:p>
        </w:tc>
        <w:tc>
          <w:tcPr>
            <w:tcW w:w="9080" w:type="dxa"/>
            <w:gridSpan w:val="2"/>
            <w:vAlign w:val="center"/>
          </w:tcPr>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lang w:val="en-US"/>
              </w:rPr>
              <w:t>1、</w:t>
            </w:r>
            <w:r>
              <w:rPr>
                <w:rFonts w:ascii="Times New Roman" w:hAnsi="Times New Roman" w:eastAsia="宋体" w:cs="Times New Roman"/>
                <w:b/>
                <w:sz w:val="24"/>
              </w:rPr>
              <w:t>大气环境质量现状</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项目位于云南省昆明市东川区舍块乡云坪村、因民镇红山村境内，属于环境空气功能二类区，执行</w:t>
            </w:r>
            <w:r>
              <w:rPr>
                <w:rFonts w:ascii="Times New Roman" w:hAnsi="Times New Roman" w:eastAsia="宋体" w:cs="Times New Roman"/>
                <w:sz w:val="24"/>
                <w:lang w:val="en-US"/>
              </w:rPr>
              <w:t>《环境空气质量标准》（GB</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-2012）二级标准。</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w:t>
            </w:r>
            <w:r>
              <w:rPr>
                <w:rFonts w:ascii="Times New Roman" w:hAnsi="Times New Roman" w:eastAsia="宋体" w:cs="Times New Roman"/>
                <w:color w:val="auto"/>
                <w:kern w:val="0"/>
                <w:sz w:val="24"/>
              </w:rPr>
              <w:t>《202</w:t>
            </w:r>
            <w:r>
              <w:rPr>
                <w:rFonts w:hint="eastAsia" w:ascii="Times New Roman" w:hAnsi="Times New Roman" w:eastAsia="宋体" w:cs="Times New Roman"/>
                <w:color w:val="auto"/>
                <w:kern w:val="0"/>
                <w:sz w:val="24"/>
                <w:lang w:val="en-US" w:eastAsia="zh-CN"/>
              </w:rPr>
              <w:t>1</w:t>
            </w:r>
            <w:r>
              <w:rPr>
                <w:rFonts w:ascii="Times New Roman" w:hAnsi="Times New Roman" w:eastAsia="宋体" w:cs="Times New Roman"/>
                <w:color w:val="auto"/>
                <w:kern w:val="0"/>
                <w:sz w:val="24"/>
              </w:rPr>
              <w:t>年昆明市生态环境状况公报》</w:t>
            </w:r>
            <w:r>
              <w:rPr>
                <w:rFonts w:ascii="Times New Roman" w:hAnsi="Times New Roman" w:eastAsia="宋体" w:cs="Times New Roman"/>
                <w:kern w:val="0"/>
                <w:sz w:val="24"/>
              </w:rPr>
              <w:t>，县（市）区环境空气质量各县（市）区环境空气质量总体保持良好。与202</w:t>
            </w:r>
            <w:r>
              <w:rPr>
                <w:rFonts w:hint="eastAsia" w:ascii="Times New Roman" w:hAnsi="Times New Roman" w:eastAsia="宋体" w:cs="Times New Roman"/>
                <w:kern w:val="0"/>
                <w:sz w:val="24"/>
                <w:lang w:val="en-US" w:eastAsia="zh-CN"/>
              </w:rPr>
              <w:t>0</w:t>
            </w:r>
            <w:r>
              <w:rPr>
                <w:rFonts w:ascii="Times New Roman" w:hAnsi="Times New Roman" w:eastAsia="宋体" w:cs="Times New Roman"/>
                <w:kern w:val="0"/>
                <w:sz w:val="24"/>
              </w:rPr>
              <w:t>年相比，东川区环境空气综合污染指数有所上升。引用昆明市生态环境局东川分局提供的202</w:t>
            </w:r>
            <w:r>
              <w:rPr>
                <w:rFonts w:hint="eastAsia" w:ascii="Times New Roman" w:hAnsi="Times New Roman" w:eastAsia="宋体" w:cs="Times New Roman"/>
                <w:kern w:val="0"/>
                <w:sz w:val="24"/>
                <w:lang w:val="en-US" w:eastAsia="zh-CN"/>
              </w:rPr>
              <w:t>0</w:t>
            </w:r>
            <w:r>
              <w:rPr>
                <w:rFonts w:ascii="Times New Roman" w:hAnsi="Times New Roman" w:eastAsia="宋体" w:cs="Times New Roman"/>
                <w:kern w:val="0"/>
                <w:sz w:val="24"/>
              </w:rPr>
              <w:t>年大气环境质量监测数据汇总结果，</w:t>
            </w:r>
            <w:r>
              <w:rPr>
                <w:rFonts w:ascii="Times New Roman" w:hAnsi="Times New Roman" w:eastAsia="宋体" w:cs="Times New Roman"/>
                <w:sz w:val="24"/>
              </w:rPr>
              <w:t>东川区域环境质量现状详见下表：</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表3-1   基本污染物环境质量现状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442"/>
              <w:gridCol w:w="1668"/>
              <w:gridCol w:w="191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7"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污染物</w:t>
                  </w:r>
                </w:p>
              </w:tc>
              <w:tc>
                <w:tcPr>
                  <w:tcW w:w="3442"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评价指标</w:t>
                  </w:r>
                </w:p>
              </w:tc>
              <w:tc>
                <w:tcPr>
                  <w:tcW w:w="1668"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现状浓度（μg/m</w:t>
                  </w:r>
                  <w:r>
                    <w:rPr>
                      <w:rFonts w:ascii="Times New Roman" w:hAnsi="Times New Roman" w:eastAsia="宋体" w:cs="Times New Roman"/>
                      <w:b/>
                      <w:szCs w:val="21"/>
                      <w:vertAlign w:val="superscript"/>
                    </w:rPr>
                    <w:t>3</w:t>
                  </w:r>
                  <w:r>
                    <w:rPr>
                      <w:rFonts w:ascii="Times New Roman" w:hAnsi="Times New Roman" w:eastAsia="宋体" w:cs="Times New Roman"/>
                      <w:b/>
                      <w:szCs w:val="21"/>
                    </w:rPr>
                    <w:t>）</w:t>
                  </w:r>
                </w:p>
              </w:tc>
              <w:tc>
                <w:tcPr>
                  <w:tcW w:w="1912"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评价标准（</w:t>
                  </w:r>
                  <w:r>
                    <w:rPr>
                      <w:rFonts w:ascii="Times New Roman" w:hAnsi="Times New Roman" w:eastAsia="宋体" w:cs="Times New Roman"/>
                      <w:b/>
                      <w:szCs w:val="21"/>
                      <w:lang w:val="en-US"/>
                    </w:rPr>
                    <w:t>μg/m</w:t>
                  </w:r>
                  <w:r>
                    <w:rPr>
                      <w:rFonts w:ascii="Times New Roman" w:hAnsi="Times New Roman" w:eastAsia="宋体" w:cs="Times New Roman"/>
                      <w:b/>
                      <w:szCs w:val="21"/>
                      <w:vertAlign w:val="superscript"/>
                      <w:lang w:val="en-US"/>
                    </w:rPr>
                    <w:t>3</w:t>
                  </w:r>
                  <w:r>
                    <w:rPr>
                      <w:rFonts w:ascii="Times New Roman" w:hAnsi="Times New Roman" w:eastAsia="宋体" w:cs="Times New Roman"/>
                      <w:b/>
                      <w:szCs w:val="21"/>
                    </w:rPr>
                    <w:t>）</w:t>
                  </w:r>
                </w:p>
              </w:tc>
              <w:tc>
                <w:tcPr>
                  <w:tcW w:w="995"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37"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SO</w:t>
                  </w:r>
                  <w:r>
                    <w:rPr>
                      <w:rFonts w:ascii="Times New Roman" w:hAnsi="Times New Roman" w:eastAsia="宋体" w:cs="Times New Roman"/>
                      <w:bCs/>
                      <w:szCs w:val="21"/>
                      <w:vertAlign w:val="subscript"/>
                    </w:rPr>
                    <w:t>2</w:t>
                  </w:r>
                </w:p>
              </w:tc>
              <w:tc>
                <w:tcPr>
                  <w:tcW w:w="344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年平均</w:t>
                  </w:r>
                </w:p>
              </w:tc>
              <w:tc>
                <w:tcPr>
                  <w:tcW w:w="1668"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29</w:t>
                  </w:r>
                </w:p>
              </w:tc>
              <w:tc>
                <w:tcPr>
                  <w:tcW w:w="191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60</w:t>
                  </w:r>
                </w:p>
              </w:tc>
              <w:tc>
                <w:tcPr>
                  <w:tcW w:w="995"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37"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NO</w:t>
                  </w:r>
                  <w:r>
                    <w:rPr>
                      <w:rFonts w:ascii="Times New Roman" w:hAnsi="Times New Roman" w:eastAsia="宋体" w:cs="Times New Roman"/>
                      <w:bCs/>
                      <w:szCs w:val="21"/>
                      <w:vertAlign w:val="subscript"/>
                    </w:rPr>
                    <w:t>2</w:t>
                  </w:r>
                </w:p>
              </w:tc>
              <w:tc>
                <w:tcPr>
                  <w:tcW w:w="344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年平均</w:t>
                  </w:r>
                </w:p>
              </w:tc>
              <w:tc>
                <w:tcPr>
                  <w:tcW w:w="1668"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191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40</w:t>
                  </w:r>
                </w:p>
              </w:tc>
              <w:tc>
                <w:tcPr>
                  <w:tcW w:w="995"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37"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PM</w:t>
                  </w:r>
                  <w:r>
                    <w:rPr>
                      <w:rFonts w:ascii="Times New Roman" w:hAnsi="Times New Roman" w:eastAsia="宋体" w:cs="Times New Roman"/>
                      <w:bCs/>
                      <w:szCs w:val="21"/>
                      <w:vertAlign w:val="subscript"/>
                    </w:rPr>
                    <w:t>10</w:t>
                  </w:r>
                </w:p>
              </w:tc>
              <w:tc>
                <w:tcPr>
                  <w:tcW w:w="344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年平均</w:t>
                  </w:r>
                </w:p>
              </w:tc>
              <w:tc>
                <w:tcPr>
                  <w:tcW w:w="1668"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38</w:t>
                  </w:r>
                </w:p>
              </w:tc>
              <w:tc>
                <w:tcPr>
                  <w:tcW w:w="191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70</w:t>
                  </w:r>
                </w:p>
              </w:tc>
              <w:tc>
                <w:tcPr>
                  <w:tcW w:w="995"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37"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PM</w:t>
                  </w:r>
                  <w:r>
                    <w:rPr>
                      <w:rFonts w:ascii="Times New Roman" w:hAnsi="Times New Roman" w:eastAsia="宋体" w:cs="Times New Roman"/>
                      <w:bCs/>
                      <w:szCs w:val="21"/>
                      <w:vertAlign w:val="subscript"/>
                    </w:rPr>
                    <w:t>2.5</w:t>
                  </w:r>
                </w:p>
              </w:tc>
              <w:tc>
                <w:tcPr>
                  <w:tcW w:w="344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年平均</w:t>
                  </w:r>
                </w:p>
              </w:tc>
              <w:tc>
                <w:tcPr>
                  <w:tcW w:w="1668"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21</w:t>
                  </w:r>
                </w:p>
              </w:tc>
              <w:tc>
                <w:tcPr>
                  <w:tcW w:w="191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35</w:t>
                  </w:r>
                </w:p>
              </w:tc>
              <w:tc>
                <w:tcPr>
                  <w:tcW w:w="995"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37"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CO</w:t>
                  </w:r>
                </w:p>
              </w:tc>
              <w:tc>
                <w:tcPr>
                  <w:tcW w:w="344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日均值第95位百分数</w:t>
                  </w:r>
                </w:p>
              </w:tc>
              <w:tc>
                <w:tcPr>
                  <w:tcW w:w="1668"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700</w:t>
                  </w:r>
                </w:p>
              </w:tc>
              <w:tc>
                <w:tcPr>
                  <w:tcW w:w="191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4000</w:t>
                  </w:r>
                </w:p>
              </w:tc>
              <w:tc>
                <w:tcPr>
                  <w:tcW w:w="995"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7"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O</w:t>
                  </w:r>
                  <w:r>
                    <w:rPr>
                      <w:rFonts w:ascii="Times New Roman" w:hAnsi="Times New Roman" w:eastAsia="宋体" w:cs="Times New Roman"/>
                      <w:bCs/>
                      <w:szCs w:val="21"/>
                      <w:vertAlign w:val="subscript"/>
                    </w:rPr>
                    <w:t>3</w:t>
                  </w:r>
                </w:p>
              </w:tc>
              <w:tc>
                <w:tcPr>
                  <w:tcW w:w="344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日最大8小时平均值第90百分位数</w:t>
                  </w:r>
                </w:p>
              </w:tc>
              <w:tc>
                <w:tcPr>
                  <w:tcW w:w="1668"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67</w:t>
                  </w:r>
                </w:p>
              </w:tc>
              <w:tc>
                <w:tcPr>
                  <w:tcW w:w="1912"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160</w:t>
                  </w:r>
                </w:p>
              </w:tc>
              <w:tc>
                <w:tcPr>
                  <w:tcW w:w="995" w:type="dxa"/>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lang w:val="en-US"/>
                    </w:rPr>
                    <w:t>达标</w:t>
                  </w:r>
                </w:p>
              </w:tc>
            </w:tr>
          </w:tbl>
          <w:p>
            <w:pPr>
              <w:pStyle w:val="49"/>
              <w:spacing w:line="360" w:lineRule="auto"/>
              <w:ind w:firstLine="480" w:firstLineChars="200"/>
              <w:rPr>
                <w:rFonts w:ascii="Times New Roman" w:hAnsi="Times New Roman" w:eastAsia="宋体" w:cs="Times New Roman"/>
                <w:spacing w:val="-1"/>
                <w:sz w:val="24"/>
              </w:rPr>
            </w:pPr>
            <w:r>
              <w:rPr>
                <w:rFonts w:ascii="Times New Roman" w:hAnsi="Times New Roman" w:eastAsia="宋体" w:cs="Times New Roman"/>
                <w:sz w:val="24"/>
              </w:rPr>
              <w:t>根据上表统计数据，东川区环境空气中SO</w:t>
            </w:r>
            <w:r>
              <w:rPr>
                <w:rFonts w:ascii="Times New Roman" w:hAnsi="Times New Roman" w:eastAsia="宋体" w:cs="Times New Roman"/>
                <w:sz w:val="24"/>
                <w:vertAlign w:val="subscript"/>
              </w:rPr>
              <w:t>2</w:t>
            </w:r>
            <w:r>
              <w:rPr>
                <w:rFonts w:ascii="Times New Roman" w:hAnsi="Times New Roman" w:eastAsia="宋体" w:cs="Times New Roman"/>
                <w:sz w:val="24"/>
              </w:rPr>
              <w:t>、NO</w:t>
            </w:r>
            <w:r>
              <w:rPr>
                <w:rFonts w:ascii="Times New Roman" w:hAnsi="Times New Roman" w:eastAsia="宋体" w:cs="Times New Roman"/>
                <w:sz w:val="24"/>
                <w:vertAlign w:val="subscript"/>
              </w:rPr>
              <w:t>2</w:t>
            </w:r>
            <w:r>
              <w:rPr>
                <w:rFonts w:ascii="Times New Roman" w:hAnsi="Times New Roman" w:eastAsia="宋体" w:cs="Times New Roman"/>
                <w:sz w:val="24"/>
              </w:rPr>
              <w:t>、PM</w:t>
            </w:r>
            <w:r>
              <w:rPr>
                <w:rFonts w:ascii="Times New Roman" w:hAnsi="Times New Roman" w:eastAsia="宋体" w:cs="Times New Roman"/>
                <w:sz w:val="24"/>
                <w:vertAlign w:val="subscript"/>
              </w:rPr>
              <w:t>10</w:t>
            </w:r>
            <w:r>
              <w:rPr>
                <w:rFonts w:ascii="Times New Roman" w:hAnsi="Times New Roman" w:eastAsia="宋体" w:cs="Times New Roman"/>
                <w:sz w:val="24"/>
              </w:rPr>
              <w:t>、PM</w:t>
            </w:r>
            <w:r>
              <w:rPr>
                <w:rFonts w:ascii="Times New Roman" w:hAnsi="Times New Roman" w:eastAsia="宋体" w:cs="Times New Roman"/>
                <w:sz w:val="24"/>
                <w:vertAlign w:val="subscript"/>
              </w:rPr>
              <w:t>2.5</w:t>
            </w:r>
            <w:r>
              <w:rPr>
                <w:rFonts w:ascii="Times New Roman" w:hAnsi="Times New Roman" w:eastAsia="宋体" w:cs="Times New Roman"/>
                <w:sz w:val="24"/>
              </w:rPr>
              <w:t>年平均浓度满足《环境空气质量标准》（GB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-2012）二级标准限值，</w:t>
            </w:r>
            <w:r>
              <w:rPr>
                <w:rFonts w:ascii="Times New Roman" w:hAnsi="Times New Roman" w:eastAsia="宋体" w:cs="Times New Roman"/>
                <w:sz w:val="24"/>
                <w:lang w:val="en-US"/>
              </w:rPr>
              <w:t>SO</w:t>
            </w:r>
            <w:r>
              <w:rPr>
                <w:rFonts w:ascii="Times New Roman" w:hAnsi="Times New Roman" w:eastAsia="宋体" w:cs="Times New Roman"/>
                <w:sz w:val="24"/>
                <w:vertAlign w:val="subscript"/>
                <w:lang w:val="en-US"/>
              </w:rPr>
              <w:t>2</w:t>
            </w:r>
            <w:r>
              <w:rPr>
                <w:rFonts w:ascii="Times New Roman" w:hAnsi="Times New Roman" w:eastAsia="宋体" w:cs="Times New Roman"/>
                <w:sz w:val="24"/>
                <w:lang w:val="en-US"/>
              </w:rPr>
              <w:t>、NO</w:t>
            </w:r>
            <w:r>
              <w:rPr>
                <w:rFonts w:ascii="Times New Roman" w:hAnsi="Times New Roman" w:eastAsia="宋体" w:cs="Times New Roman"/>
                <w:sz w:val="24"/>
                <w:vertAlign w:val="subscript"/>
                <w:lang w:val="en-US"/>
              </w:rPr>
              <w:t>2</w:t>
            </w:r>
            <w:r>
              <w:rPr>
                <w:rFonts w:ascii="Times New Roman" w:hAnsi="Times New Roman" w:eastAsia="宋体" w:cs="Times New Roman"/>
                <w:sz w:val="24"/>
                <w:lang w:val="en-US"/>
              </w:rPr>
              <w:t>、PM</w:t>
            </w:r>
            <w:r>
              <w:rPr>
                <w:rFonts w:ascii="Times New Roman" w:hAnsi="Times New Roman" w:eastAsia="宋体" w:cs="Times New Roman"/>
                <w:sz w:val="24"/>
                <w:vertAlign w:val="subscript"/>
                <w:lang w:val="en-US"/>
              </w:rPr>
              <w:t>10</w:t>
            </w:r>
            <w:r>
              <w:rPr>
                <w:rFonts w:ascii="Times New Roman" w:hAnsi="Times New Roman" w:eastAsia="宋体" w:cs="Times New Roman"/>
                <w:sz w:val="24"/>
                <w:lang w:val="en-US"/>
              </w:rPr>
              <w:t>、PM</w:t>
            </w:r>
            <w:r>
              <w:rPr>
                <w:rFonts w:ascii="Times New Roman" w:hAnsi="Times New Roman" w:eastAsia="宋体" w:cs="Times New Roman"/>
                <w:sz w:val="24"/>
                <w:vertAlign w:val="subscript"/>
                <w:lang w:val="en-US"/>
              </w:rPr>
              <w:t>2.5</w:t>
            </w:r>
            <w:r>
              <w:rPr>
                <w:rFonts w:ascii="Times New Roman" w:hAnsi="Times New Roman" w:eastAsia="宋体" w:cs="Times New Roman"/>
                <w:sz w:val="24"/>
                <w:lang w:val="en-US"/>
              </w:rPr>
              <w:t>、CO、O</w:t>
            </w:r>
            <w:r>
              <w:rPr>
                <w:rFonts w:ascii="Times New Roman" w:hAnsi="Times New Roman" w:eastAsia="宋体" w:cs="Times New Roman"/>
                <w:sz w:val="24"/>
                <w:vertAlign w:val="subscript"/>
                <w:lang w:val="en-US"/>
              </w:rPr>
              <w:t>3</w:t>
            </w:r>
            <w:r>
              <w:rPr>
                <w:rFonts w:ascii="Times New Roman" w:hAnsi="Times New Roman" w:eastAsia="宋体" w:cs="Times New Roman"/>
                <w:sz w:val="24"/>
                <w:lang w:val="en-US"/>
              </w:rPr>
              <w:t>日平均浓度满足《环境空气质量标准》（GB</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-2012）二级标准限值，东川区为达标区。</w:t>
            </w:r>
            <w:r>
              <w:rPr>
                <w:rFonts w:ascii="Times New Roman" w:hAnsi="Times New Roman" w:eastAsia="宋体" w:cs="Times New Roman"/>
                <w:sz w:val="24"/>
              </w:rPr>
              <w:t>项目所在区域为乡镇地区，环境空气质量优于县城区域，因此项目所在区域环境空气质量也能达到GB</w:t>
            </w:r>
            <w:r>
              <w:rPr>
                <w:rFonts w:hint="eastAsia" w:ascii="Times New Roman" w:hAnsi="Times New Roman" w:eastAsia="宋体" w:cs="Times New Roman"/>
                <w:sz w:val="24"/>
                <w:lang w:eastAsia="zh-CN"/>
              </w:rPr>
              <w:t>****</w:t>
            </w:r>
            <w:r>
              <w:rPr>
                <w:rFonts w:ascii="Times New Roman" w:hAnsi="Times New Roman" w:eastAsia="宋体" w:cs="Times New Roman"/>
                <w:sz w:val="24"/>
              </w:rPr>
              <w:t>-2012《环境空气质量标准》二级标准，为达标区。</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lang w:val="en-US"/>
              </w:rPr>
              <w:t>2</w:t>
            </w:r>
            <w:r>
              <w:rPr>
                <w:rFonts w:ascii="Times New Roman" w:hAnsi="Times New Roman" w:eastAsia="宋体" w:cs="Times New Roman"/>
                <w:b/>
                <w:sz w:val="24"/>
              </w:rPr>
              <w:t>、地表水环境质量现状</w:t>
            </w:r>
          </w:p>
          <w:p>
            <w:pPr>
              <w:spacing w:line="360" w:lineRule="auto"/>
              <w:ind w:firstLine="480" w:firstLineChars="200"/>
              <w:jc w:val="left"/>
              <w:rPr>
                <w:sz w:val="24"/>
              </w:rPr>
            </w:pPr>
            <w:r>
              <w:rPr>
                <w:sz w:val="24"/>
              </w:rPr>
              <w:t>项目附近地表水体为光伏阵列范围内的无名山间沟箐，常年无水体流动，雨季产生雨水，区域内沟箐水汇集至大水沟，大水沟为金沙江的一级支流。根据《云南省水功能区划（2014 年修订）》，大水沟及金沙江蒙姑断面执行《地表水环境质量标准》（GB</w:t>
            </w:r>
            <w:r>
              <w:rPr>
                <w:rFonts w:hint="eastAsia"/>
                <w:sz w:val="24"/>
                <w:lang w:eastAsia="zh-CN"/>
              </w:rPr>
              <w:t>****</w:t>
            </w:r>
            <w:r>
              <w:rPr>
                <w:sz w:val="24"/>
              </w:rPr>
              <w:t>-2002）Ⅲ类标准。</w:t>
            </w:r>
          </w:p>
          <w:p>
            <w:pPr>
              <w:pStyle w:val="49"/>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为了解地表水水质情况，项目引用“昆明金睿人矿业有限公司铁矿破碎分级资源综合利用工程项目环境影响报告书”中2021年6月12日~2021年6月14日，委托云南云顺检测有限公司对大水沟进的监测资料，水质满足《地表水环境质量标准》（GB</w:t>
            </w:r>
            <w:r>
              <w:rPr>
                <w:rFonts w:hint="eastAsia" w:ascii="Times New Roman" w:hAnsi="Times New Roman" w:eastAsia="宋体" w:cs="Times New Roman"/>
                <w:bCs/>
                <w:sz w:val="24"/>
                <w:lang w:eastAsia="zh-CN"/>
              </w:rPr>
              <w:t>****</w:t>
            </w:r>
            <w:r>
              <w:rPr>
                <w:rFonts w:ascii="Times New Roman" w:hAnsi="Times New Roman" w:eastAsia="宋体" w:cs="Times New Roman"/>
                <w:bCs/>
                <w:sz w:val="24"/>
              </w:rPr>
              <w:t>-2002）Ⅲ类标准，监测结果如下：</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表3-2  大水沟水环境质量监测结果一览表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695"/>
              <w:gridCol w:w="1373"/>
              <w:gridCol w:w="1373"/>
              <w:gridCol w:w="1373"/>
              <w:gridCol w:w="143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restar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检测点位置</w:t>
                  </w:r>
                </w:p>
              </w:tc>
              <w:tc>
                <w:tcPr>
                  <w:tcW w:w="946" w:type="pct"/>
                  <w:vMerge w:val="restar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检测项目</w:t>
                  </w:r>
                </w:p>
              </w:tc>
              <w:tc>
                <w:tcPr>
                  <w:tcW w:w="2298" w:type="pct"/>
                  <w:gridSpan w:val="3"/>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检测结果</w:t>
                  </w:r>
                </w:p>
              </w:tc>
              <w:tc>
                <w:tcPr>
                  <w:tcW w:w="799" w:type="pct"/>
                  <w:vMerge w:val="restar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标准限值mg/L</w:t>
                  </w:r>
                </w:p>
              </w:tc>
              <w:tc>
                <w:tcPr>
                  <w:tcW w:w="472" w:type="pct"/>
                  <w:vMerge w:val="restar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Merge w:val="continue"/>
                  <w:vAlign w:val="center"/>
                </w:tcPr>
                <w:p>
                  <w:pPr>
                    <w:pStyle w:val="49"/>
                    <w:jc w:val="center"/>
                    <w:rPr>
                      <w:rFonts w:ascii="Times New Roman" w:hAnsi="Times New Roman" w:eastAsia="宋体" w:cs="Times New Roman"/>
                      <w:bCs/>
                      <w:szCs w:val="21"/>
                    </w:rPr>
                  </w:pP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2021.06.12</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2021.06.13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2021.06.14</w:t>
                  </w:r>
                </w:p>
              </w:tc>
              <w:tc>
                <w:tcPr>
                  <w:tcW w:w="799" w:type="pct"/>
                  <w:vMerge w:val="continue"/>
                  <w:vAlign w:val="center"/>
                </w:tcPr>
                <w:p>
                  <w:pPr>
                    <w:pStyle w:val="49"/>
                    <w:jc w:val="center"/>
                    <w:rPr>
                      <w:rFonts w:ascii="Times New Roman" w:hAnsi="Times New Roman" w:eastAsia="宋体" w:cs="Times New Roman"/>
                      <w:bCs/>
                      <w:szCs w:val="21"/>
                    </w:rPr>
                  </w:pPr>
                </w:p>
              </w:tc>
              <w:tc>
                <w:tcPr>
                  <w:tcW w:w="472" w:type="pct"/>
                  <w:vMerge w:val="continue"/>
                  <w:vAlign w:val="center"/>
                </w:tcPr>
                <w:p>
                  <w:pPr>
                    <w:pStyle w:val="49"/>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restar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大水沟上游</w:t>
                  </w: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PH（无量纲）</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7.06</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7.12</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7.18</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6~9</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COD</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≤20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BOD</w:t>
                  </w:r>
                  <w:r>
                    <w:rPr>
                      <w:rFonts w:ascii="Times New Roman" w:hAnsi="Times New Roman" w:eastAsia="宋体" w:cs="Times New Roman"/>
                      <w:bCs/>
                      <w:szCs w:val="21"/>
                      <w:vertAlign w:val="subscript"/>
                    </w:rPr>
                    <w:t>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2.6</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≤4</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氨氮</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0.079</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0.073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0.078</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总磷</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0.06</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0.06</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≤0.2</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总氮</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0.14</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石油类</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&lt;0.01</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高猛酸盐指数</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≤6</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溶解氧</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7.8</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7.6</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7.9</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铜</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锌</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氟化物</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0.143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0.162</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0.185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硒</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&lt;0.003</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≤0.01</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砷</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汞</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&lt;0.00004</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≤0.0001</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镉</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&lt;0.0001</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六价铬</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铅</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&lt;0.001</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氰化物</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≤0.2</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挥发酚</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阴离子表面活性剂</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≤0.2</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硫化物</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≤0.2</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粪大肠菌群（个/L）</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220</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230</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190</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≤10000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restar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大水沟下游</w:t>
                  </w: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PH（无量纲）</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7.24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7.28</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7.20</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6~9</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COD</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16</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≤20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BOD</w:t>
                  </w:r>
                  <w:r>
                    <w:rPr>
                      <w:rFonts w:ascii="Times New Roman" w:hAnsi="Times New Roman" w:eastAsia="宋体" w:cs="Times New Roman"/>
                      <w:bCs/>
                      <w:szCs w:val="21"/>
                      <w:vertAlign w:val="subscript"/>
                    </w:rPr>
                    <w:t>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3.7</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3.6</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3.0</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≤4</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氨氮</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0.152</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0.143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0.142</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总磷</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0.09</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0.10</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0.08</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≤0.2</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总氮</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0.25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0.29</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0.24</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石油类</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&lt;0.01</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高猛酸盐指数</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4.6</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4.2</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3.8</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≤6</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溶解氧</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6.6</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6.1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6.5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铜</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锌</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0.246</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0.238</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0.225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氟化物</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0.143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0.162</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0.185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硒</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&lt;0.003</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≤0.01</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砷</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汞</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&lt;0.00004</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≤0.0001</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镉</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&lt;0.0001</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六价铬</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铅</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&lt;0.001</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&lt;0.001</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氰化物</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&lt;0.004</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≤0.2</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挥发酚</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&lt;0.0003</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≤0.005</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阴离子表面活性剂</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≤0.2</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硫化物</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&lt;0.005</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&lt;0.005</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≤0.2</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Merge w:val="continue"/>
                  <w:vAlign w:val="center"/>
                </w:tcPr>
                <w:p>
                  <w:pPr>
                    <w:pStyle w:val="49"/>
                    <w:jc w:val="center"/>
                    <w:rPr>
                      <w:rFonts w:ascii="Times New Roman" w:hAnsi="Times New Roman" w:eastAsia="宋体" w:cs="Times New Roman"/>
                      <w:bCs/>
                      <w:szCs w:val="21"/>
                    </w:rPr>
                  </w:pPr>
                </w:p>
              </w:tc>
              <w:tc>
                <w:tcPr>
                  <w:tcW w:w="94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粪大肠菌群（个/L）</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460</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490</w:t>
                  </w:r>
                </w:p>
              </w:tc>
              <w:tc>
                <w:tcPr>
                  <w:tcW w:w="766"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410</w:t>
                  </w:r>
                </w:p>
              </w:tc>
              <w:tc>
                <w:tcPr>
                  <w:tcW w:w="799"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szCs w:val="21"/>
                    </w:rPr>
                    <w:t>≤10000</w:t>
                  </w:r>
                </w:p>
              </w:tc>
              <w:tc>
                <w:tcPr>
                  <w:tcW w:w="472" w:type="pct"/>
                  <w:vAlign w:val="center"/>
                </w:tcPr>
                <w:p>
                  <w:pPr>
                    <w:pStyle w:val="49"/>
                    <w:jc w:val="center"/>
                    <w:rPr>
                      <w:rFonts w:ascii="Times New Roman" w:hAnsi="Times New Roman" w:eastAsia="宋体" w:cs="Times New Roman"/>
                      <w:bCs/>
                      <w:szCs w:val="21"/>
                    </w:rPr>
                  </w:pPr>
                  <w:r>
                    <w:rPr>
                      <w:rFonts w:ascii="Times New Roman" w:hAnsi="Times New Roman" w:eastAsia="宋体" w:cs="Times New Roman"/>
                      <w:bCs/>
                      <w:szCs w:val="21"/>
                    </w:rPr>
                    <w:t>达标</w:t>
                  </w:r>
                </w:p>
              </w:tc>
            </w:tr>
          </w:tbl>
          <w:p>
            <w:pPr>
              <w:pStyle w:val="49"/>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综上，项目所在区域水环境质量处于达标区域，地表水环境水质现状可满足《地表水环境质量标准》（GB</w:t>
            </w:r>
            <w:r>
              <w:rPr>
                <w:rFonts w:hint="eastAsia" w:ascii="Times New Roman" w:hAnsi="Times New Roman" w:eastAsia="宋体" w:cs="Times New Roman"/>
                <w:bCs/>
                <w:sz w:val="24"/>
                <w:lang w:eastAsia="zh-CN"/>
              </w:rPr>
              <w:t>****</w:t>
            </w:r>
            <w:r>
              <w:rPr>
                <w:rFonts w:ascii="Times New Roman" w:hAnsi="Times New Roman" w:eastAsia="宋体" w:cs="Times New Roman"/>
                <w:bCs/>
                <w:sz w:val="24"/>
              </w:rPr>
              <w:t>-2002）Ⅲ类标准，水环境质量较好。</w:t>
            </w:r>
          </w:p>
          <w:p>
            <w:pPr>
              <w:pStyle w:val="49"/>
              <w:spacing w:line="360" w:lineRule="auto"/>
              <w:ind w:firstLine="482" w:firstLineChars="200"/>
              <w:rPr>
                <w:rFonts w:ascii="Times New Roman" w:hAnsi="Times New Roman" w:eastAsia="宋体" w:cs="Times New Roman"/>
                <w:b/>
                <w:sz w:val="24"/>
                <w:lang w:val="en-US"/>
              </w:rPr>
            </w:pPr>
            <w:r>
              <w:rPr>
                <w:rFonts w:ascii="Times New Roman" w:hAnsi="Times New Roman" w:eastAsia="宋体" w:cs="Times New Roman"/>
                <w:b/>
                <w:sz w:val="24"/>
                <w:lang w:val="en-US"/>
              </w:rPr>
              <w:t>3、声环境现状</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项目位于</w:t>
            </w:r>
            <w:r>
              <w:rPr>
                <w:rFonts w:ascii="Times New Roman" w:hAnsi="Times New Roman" w:eastAsia="宋体" w:cs="Times New Roman"/>
                <w:sz w:val="24"/>
              </w:rPr>
              <w:t>云南省昆明市东川区舍块乡云坪村、因民镇红山村境内</w:t>
            </w:r>
            <w:r>
              <w:rPr>
                <w:rFonts w:ascii="Times New Roman" w:hAnsi="Times New Roman" w:eastAsia="宋体" w:cs="Times New Roman"/>
                <w:sz w:val="24"/>
                <w:lang w:val="en-US"/>
              </w:rPr>
              <w:t>，属于农村地区，场内道路为乡道，声环境执行《声环境质量标准》（GB</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-2008）中2类标准。</w:t>
            </w:r>
          </w:p>
          <w:p>
            <w:pPr>
              <w:pStyle w:val="49"/>
              <w:spacing w:line="360" w:lineRule="auto"/>
              <w:ind w:firstLine="480" w:firstLineChars="200"/>
              <w:rPr>
                <w:rFonts w:hint="default" w:ascii="Times New Roman" w:hAnsi="Times New Roman" w:eastAsia="宋体" w:cs="Times New Roman"/>
                <w:sz w:val="24"/>
                <w:lang w:val="en-US" w:eastAsia="zh-CN"/>
              </w:rPr>
            </w:pPr>
            <w:r>
              <w:rPr>
                <w:rFonts w:ascii="Times New Roman" w:hAnsi="Times New Roman" w:eastAsia="宋体" w:cs="Times New Roman"/>
                <w:sz w:val="24"/>
                <w:lang w:val="en-US"/>
              </w:rPr>
              <w:t>本项目占地范围50m之内，无声环境保护目标居民点存在，未进行声环境质量现状监测。</w:t>
            </w:r>
            <w:r>
              <w:rPr>
                <w:rFonts w:ascii="Times New Roman" w:hAnsi="Times New Roman" w:eastAsia="宋体" w:cs="Times New Roman"/>
                <w:sz w:val="24"/>
              </w:rPr>
              <w:t>根据</w:t>
            </w:r>
            <w:r>
              <w:rPr>
                <w:rFonts w:ascii="Times New Roman" w:hAnsi="Times New Roman" w:eastAsia="宋体" w:cs="Times New Roman"/>
                <w:kern w:val="0"/>
                <w:sz w:val="24"/>
              </w:rPr>
              <w:t>《202</w:t>
            </w:r>
            <w:r>
              <w:rPr>
                <w:rFonts w:hint="eastAsia" w:ascii="Times New Roman" w:hAnsi="Times New Roman" w:eastAsia="宋体" w:cs="Times New Roman"/>
                <w:kern w:val="0"/>
                <w:sz w:val="24"/>
                <w:lang w:val="en-US" w:eastAsia="zh-CN"/>
              </w:rPr>
              <w:t>2</w:t>
            </w:r>
            <w:r>
              <w:rPr>
                <w:rFonts w:ascii="Times New Roman" w:hAnsi="Times New Roman" w:eastAsia="宋体" w:cs="Times New Roman"/>
                <w:kern w:val="0"/>
                <w:sz w:val="24"/>
              </w:rPr>
              <w:t>年昆明市生态环境状况公报》，202</w:t>
            </w:r>
            <w:r>
              <w:rPr>
                <w:rFonts w:hint="eastAsia" w:ascii="Times New Roman" w:hAnsi="Times New Roman" w:eastAsia="宋体" w:cs="Times New Roman"/>
                <w:kern w:val="0"/>
                <w:sz w:val="24"/>
                <w:lang w:val="en-US" w:eastAsia="zh-CN"/>
              </w:rPr>
              <w:t>2</w:t>
            </w:r>
            <w:r>
              <w:rPr>
                <w:rFonts w:ascii="Times New Roman" w:hAnsi="Times New Roman" w:eastAsia="宋体" w:cs="Times New Roman"/>
                <w:kern w:val="0"/>
                <w:sz w:val="24"/>
              </w:rPr>
              <w:t>年，</w:t>
            </w:r>
            <w:r>
              <w:rPr>
                <w:rFonts w:hint="eastAsia" w:ascii="Times New Roman" w:hAnsi="Times New Roman" w:eastAsia="宋体" w:cs="Times New Roman"/>
                <w:kern w:val="0"/>
                <w:sz w:val="24"/>
              </w:rPr>
              <w:t>各县（市）区区域环境噪声总体水平在一级（好）和二级（较好）之间。与2021年相比，东川区的昼间区域声环境质量平均等效声级上升</w:t>
            </w:r>
            <w:r>
              <w:rPr>
                <w:rFonts w:ascii="Times New Roman" w:hAnsi="Times New Roman" w:eastAsia="宋体" w:cs="Times New Roman"/>
                <w:sz w:val="24"/>
              </w:rPr>
              <w:t>。可知</w:t>
            </w:r>
            <w:r>
              <w:rPr>
                <w:rFonts w:ascii="Times New Roman" w:hAnsi="Times New Roman" w:eastAsia="宋体" w:cs="Times New Roman"/>
                <w:sz w:val="24"/>
                <w:lang w:val="en-US"/>
              </w:rPr>
              <w:t>东川区为声环境质量达标区。</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项目所在区域为乡镇地区，周边无工况企业运行，声环境质量优于县城区域，因此推断项目所在区域声环境质量也能达到</w:t>
            </w:r>
            <w:r>
              <w:rPr>
                <w:rFonts w:ascii="Times New Roman" w:hAnsi="Times New Roman" w:eastAsia="宋体" w:cs="Times New Roman"/>
                <w:sz w:val="24"/>
                <w:lang w:val="en-US"/>
              </w:rPr>
              <w:t>《声环境质量标准》（GB</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-2008）中2类标准。</w:t>
            </w:r>
          </w:p>
          <w:p>
            <w:pPr>
              <w:pStyle w:val="49"/>
              <w:spacing w:line="360" w:lineRule="auto"/>
              <w:ind w:firstLine="482" w:firstLineChars="200"/>
              <w:rPr>
                <w:rFonts w:ascii="Times New Roman" w:hAnsi="Times New Roman" w:eastAsia="宋体" w:cs="Times New Roman"/>
                <w:b/>
                <w:color w:val="auto"/>
                <w:sz w:val="24"/>
                <w:lang w:val="en-US"/>
              </w:rPr>
            </w:pPr>
            <w:r>
              <w:rPr>
                <w:rFonts w:ascii="Times New Roman" w:hAnsi="Times New Roman" w:eastAsia="宋体" w:cs="Times New Roman"/>
                <w:b/>
                <w:color w:val="auto"/>
                <w:sz w:val="24"/>
                <w:lang w:val="en-US"/>
              </w:rPr>
              <w:t>4、电磁环境</w:t>
            </w:r>
          </w:p>
          <w:p>
            <w:pPr>
              <w:pStyle w:val="49"/>
              <w:spacing w:line="360" w:lineRule="auto"/>
              <w:ind w:firstLine="480" w:firstLineChars="200"/>
              <w:rPr>
                <w:rFonts w:ascii="Times New Roman" w:hAnsi="Times New Roman" w:eastAsia="宋体" w:cs="Times New Roman"/>
                <w:color w:val="auto"/>
                <w:sz w:val="24"/>
                <w:lang w:val="en-US"/>
              </w:rPr>
            </w:pPr>
            <w:r>
              <w:rPr>
                <w:rFonts w:ascii="Times New Roman" w:hAnsi="Times New Roman" w:eastAsia="宋体" w:cs="Times New Roman"/>
                <w:color w:val="auto"/>
                <w:sz w:val="24"/>
                <w:lang w:val="en-US"/>
              </w:rPr>
              <w:t>项目位于云南省昆明市东川区舍块乡云坪村、因民镇红山村境内，属于农村地区，为了解项目占地区域内的电磁环境现状，</w:t>
            </w:r>
            <w:r>
              <w:rPr>
                <w:rFonts w:hint="eastAsia" w:ascii="Times New Roman" w:hAnsi="Times New Roman" w:eastAsia="宋体" w:cs="Times New Roman"/>
                <w:color w:val="auto"/>
                <w:sz w:val="24"/>
                <w:lang w:val="en-US" w:eastAsia="zh-CN"/>
              </w:rPr>
              <w:t>根据</w:t>
            </w:r>
            <w:r>
              <w:rPr>
                <w:rFonts w:ascii="Times New Roman" w:hAnsi="Times New Roman" w:eastAsia="宋体" w:cs="Times New Roman"/>
                <w:color w:val="auto"/>
                <w:sz w:val="24"/>
                <w:lang w:val="en-US"/>
              </w:rPr>
              <w:t>云南亚明环境监测科技有限公司2022年9月21日</w:t>
            </w:r>
            <w:r>
              <w:rPr>
                <w:rFonts w:hint="eastAsia" w:ascii="Times New Roman" w:hAnsi="Times New Roman" w:eastAsia="宋体" w:cs="Times New Roman"/>
                <w:color w:val="auto"/>
                <w:sz w:val="24"/>
                <w:lang w:val="en-US" w:eastAsia="zh-CN"/>
              </w:rPr>
              <w:t>出具的《东川区生态治理及修复光伏电站监测报告》（报告编号：YM***********）</w:t>
            </w:r>
            <w:r>
              <w:rPr>
                <w:rFonts w:ascii="Times New Roman" w:hAnsi="Times New Roman" w:eastAsia="宋体" w:cs="Times New Roman"/>
                <w:color w:val="auto"/>
                <w:sz w:val="24"/>
                <w:lang w:val="en-US"/>
              </w:rPr>
              <w:t>对项目区域内的电场强度、磁感应强度</w:t>
            </w:r>
            <w:r>
              <w:rPr>
                <w:rFonts w:hint="eastAsia" w:ascii="Times New Roman" w:hAnsi="Times New Roman" w:eastAsia="宋体" w:cs="Times New Roman"/>
                <w:color w:val="auto"/>
                <w:sz w:val="24"/>
                <w:lang w:val="en-US" w:eastAsia="zh-CN"/>
              </w:rPr>
              <w:t>的</w:t>
            </w:r>
            <w:r>
              <w:rPr>
                <w:rFonts w:ascii="Times New Roman" w:hAnsi="Times New Roman" w:eastAsia="宋体" w:cs="Times New Roman"/>
                <w:color w:val="auto"/>
                <w:sz w:val="24"/>
                <w:lang w:val="en-US"/>
              </w:rPr>
              <w:t>监测，监测结果详见下表：</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lang w:val="en-US"/>
              </w:rPr>
              <w:t>表3-4  电磁环境的质量现状监测结果表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383"/>
              <w:gridCol w:w="1252"/>
              <w:gridCol w:w="1029"/>
              <w:gridCol w:w="94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7"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监测因子</w:t>
                  </w:r>
                </w:p>
              </w:tc>
              <w:tc>
                <w:tcPr>
                  <w:tcW w:w="1329"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监测点位置</w:t>
                  </w:r>
                </w:p>
              </w:tc>
              <w:tc>
                <w:tcPr>
                  <w:tcW w:w="698"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监测日期</w:t>
                  </w:r>
                </w:p>
              </w:tc>
              <w:tc>
                <w:tcPr>
                  <w:tcW w:w="574"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测量值</w:t>
                  </w:r>
                </w:p>
              </w:tc>
              <w:tc>
                <w:tcPr>
                  <w:tcW w:w="526"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标准值</w:t>
                  </w:r>
                </w:p>
              </w:tc>
              <w:tc>
                <w:tcPr>
                  <w:tcW w:w="613"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7" w:type="pct"/>
                  <w:vMerge w:val="restar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工频电场强度（V/m）</w:t>
                  </w:r>
                </w:p>
              </w:tc>
              <w:tc>
                <w:tcPr>
                  <w:tcW w:w="1329" w:type="pct"/>
                  <w:vAlign w:val="center"/>
                </w:tcPr>
                <w:p>
                  <w:pPr>
                    <w:jc w:val="center"/>
                    <w:rPr>
                      <w:bCs/>
                      <w:spacing w:val="14"/>
                      <w:szCs w:val="21"/>
                    </w:rPr>
                  </w:pPr>
                  <w:r>
                    <w:rPr>
                      <w:bCs/>
                      <w:spacing w:val="14"/>
                      <w:szCs w:val="21"/>
                    </w:rPr>
                    <w:t>项目区1#地块位置</w:t>
                  </w:r>
                </w:p>
              </w:tc>
              <w:tc>
                <w:tcPr>
                  <w:tcW w:w="698" w:type="pct"/>
                  <w:vAlign w:val="center"/>
                </w:tcPr>
                <w:p>
                  <w:pPr>
                    <w:jc w:val="center"/>
                    <w:rPr>
                      <w:szCs w:val="21"/>
                    </w:rPr>
                  </w:pPr>
                  <w:r>
                    <w:rPr>
                      <w:szCs w:val="21"/>
                    </w:rPr>
                    <w:t>2022/9/21</w:t>
                  </w:r>
                </w:p>
              </w:tc>
              <w:tc>
                <w:tcPr>
                  <w:tcW w:w="574"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0.960</w:t>
                  </w:r>
                </w:p>
              </w:tc>
              <w:tc>
                <w:tcPr>
                  <w:tcW w:w="526"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4000</w:t>
                  </w:r>
                </w:p>
              </w:tc>
              <w:tc>
                <w:tcPr>
                  <w:tcW w:w="613"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7" w:type="pct"/>
                  <w:vMerge w:val="continue"/>
                  <w:vAlign w:val="center"/>
                </w:tcPr>
                <w:p>
                  <w:pPr>
                    <w:pStyle w:val="49"/>
                    <w:jc w:val="center"/>
                    <w:rPr>
                      <w:rFonts w:ascii="Times New Roman" w:hAnsi="Times New Roman" w:eastAsia="宋体" w:cs="Times New Roman"/>
                      <w:szCs w:val="21"/>
                    </w:rPr>
                  </w:pPr>
                </w:p>
              </w:tc>
              <w:tc>
                <w:tcPr>
                  <w:tcW w:w="1329" w:type="pct"/>
                  <w:vAlign w:val="center"/>
                </w:tcPr>
                <w:p>
                  <w:pPr>
                    <w:jc w:val="center"/>
                    <w:rPr>
                      <w:bCs/>
                      <w:spacing w:val="14"/>
                      <w:szCs w:val="21"/>
                    </w:rPr>
                  </w:pPr>
                  <w:r>
                    <w:rPr>
                      <w:bCs/>
                      <w:spacing w:val="14"/>
                      <w:szCs w:val="21"/>
                    </w:rPr>
                    <w:t>项目区4#地块位置</w:t>
                  </w:r>
                </w:p>
              </w:tc>
              <w:tc>
                <w:tcPr>
                  <w:tcW w:w="698" w:type="pct"/>
                  <w:vAlign w:val="center"/>
                </w:tcPr>
                <w:p>
                  <w:pPr>
                    <w:jc w:val="center"/>
                    <w:rPr>
                      <w:szCs w:val="21"/>
                    </w:rPr>
                  </w:pPr>
                  <w:r>
                    <w:rPr>
                      <w:szCs w:val="21"/>
                    </w:rPr>
                    <w:t>2022/9/21</w:t>
                  </w:r>
                </w:p>
              </w:tc>
              <w:tc>
                <w:tcPr>
                  <w:tcW w:w="574"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4.407</w:t>
                  </w:r>
                </w:p>
              </w:tc>
              <w:tc>
                <w:tcPr>
                  <w:tcW w:w="526"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4000</w:t>
                  </w:r>
                </w:p>
              </w:tc>
              <w:tc>
                <w:tcPr>
                  <w:tcW w:w="613"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7" w:type="pct"/>
                  <w:vMerge w:val="continue"/>
                  <w:vAlign w:val="center"/>
                </w:tcPr>
                <w:p>
                  <w:pPr>
                    <w:pStyle w:val="49"/>
                    <w:jc w:val="center"/>
                    <w:rPr>
                      <w:rFonts w:ascii="Times New Roman" w:hAnsi="Times New Roman" w:eastAsia="宋体" w:cs="Times New Roman"/>
                      <w:szCs w:val="21"/>
                    </w:rPr>
                  </w:pPr>
                </w:p>
              </w:tc>
              <w:tc>
                <w:tcPr>
                  <w:tcW w:w="1329" w:type="pct"/>
                  <w:vAlign w:val="center"/>
                </w:tcPr>
                <w:p>
                  <w:pPr>
                    <w:jc w:val="center"/>
                    <w:rPr>
                      <w:bCs/>
                      <w:spacing w:val="14"/>
                      <w:szCs w:val="21"/>
                    </w:rPr>
                  </w:pPr>
                  <w:r>
                    <w:rPr>
                      <w:bCs/>
                      <w:spacing w:val="14"/>
                      <w:szCs w:val="21"/>
                    </w:rPr>
                    <w:t>项目区升压站位置</w:t>
                  </w:r>
                </w:p>
              </w:tc>
              <w:tc>
                <w:tcPr>
                  <w:tcW w:w="698" w:type="pct"/>
                  <w:vAlign w:val="center"/>
                </w:tcPr>
                <w:p>
                  <w:pPr>
                    <w:jc w:val="center"/>
                    <w:rPr>
                      <w:spacing w:val="-5"/>
                      <w:szCs w:val="21"/>
                      <w:lang w:bidi="he-IL"/>
                    </w:rPr>
                  </w:pPr>
                  <w:r>
                    <w:rPr>
                      <w:szCs w:val="21"/>
                    </w:rPr>
                    <w:t>2022/9/21</w:t>
                  </w:r>
                </w:p>
              </w:tc>
              <w:tc>
                <w:tcPr>
                  <w:tcW w:w="574"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0.243</w:t>
                  </w:r>
                </w:p>
              </w:tc>
              <w:tc>
                <w:tcPr>
                  <w:tcW w:w="526"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4000</w:t>
                  </w:r>
                </w:p>
              </w:tc>
              <w:tc>
                <w:tcPr>
                  <w:tcW w:w="613"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7" w:type="pct"/>
                  <w:vMerge w:val="restar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工频磁感应强度（μT）</w:t>
                  </w:r>
                </w:p>
              </w:tc>
              <w:tc>
                <w:tcPr>
                  <w:tcW w:w="1329" w:type="pct"/>
                  <w:vAlign w:val="center"/>
                </w:tcPr>
                <w:p>
                  <w:pPr>
                    <w:jc w:val="center"/>
                    <w:rPr>
                      <w:bCs/>
                      <w:spacing w:val="14"/>
                      <w:szCs w:val="21"/>
                      <w:lang w:bidi="he-IL"/>
                    </w:rPr>
                  </w:pPr>
                  <w:r>
                    <w:rPr>
                      <w:bCs/>
                      <w:spacing w:val="14"/>
                      <w:szCs w:val="21"/>
                    </w:rPr>
                    <w:t>项目区1#地块位置</w:t>
                  </w:r>
                </w:p>
              </w:tc>
              <w:tc>
                <w:tcPr>
                  <w:tcW w:w="698" w:type="pct"/>
                  <w:vAlign w:val="center"/>
                </w:tcPr>
                <w:p>
                  <w:pPr>
                    <w:jc w:val="center"/>
                    <w:rPr>
                      <w:szCs w:val="21"/>
                    </w:rPr>
                  </w:pPr>
                  <w:r>
                    <w:rPr>
                      <w:szCs w:val="21"/>
                    </w:rPr>
                    <w:t>2022/9/21</w:t>
                  </w:r>
                </w:p>
              </w:tc>
              <w:tc>
                <w:tcPr>
                  <w:tcW w:w="574" w:type="pct"/>
                  <w:vAlign w:val="center"/>
                </w:tcPr>
                <w:p>
                  <w:pPr>
                    <w:jc w:val="center"/>
                    <w:rPr>
                      <w:spacing w:val="14"/>
                      <w:szCs w:val="21"/>
                    </w:rPr>
                  </w:pPr>
                  <w:r>
                    <w:rPr>
                      <w:spacing w:val="14"/>
                      <w:szCs w:val="21"/>
                    </w:rPr>
                    <w:t>0.0551</w:t>
                  </w:r>
                </w:p>
              </w:tc>
              <w:tc>
                <w:tcPr>
                  <w:tcW w:w="526" w:type="pct"/>
                  <w:vAlign w:val="center"/>
                </w:tcPr>
                <w:p>
                  <w:pPr>
                    <w:jc w:val="center"/>
                    <w:rPr>
                      <w:spacing w:val="14"/>
                      <w:szCs w:val="21"/>
                    </w:rPr>
                  </w:pPr>
                  <w:r>
                    <w:rPr>
                      <w:spacing w:val="14"/>
                      <w:szCs w:val="21"/>
                    </w:rPr>
                    <w:t>100</w:t>
                  </w:r>
                </w:p>
              </w:tc>
              <w:tc>
                <w:tcPr>
                  <w:tcW w:w="613"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7" w:type="pct"/>
                  <w:vMerge w:val="continue"/>
                  <w:vAlign w:val="center"/>
                </w:tcPr>
                <w:p>
                  <w:pPr>
                    <w:pStyle w:val="49"/>
                    <w:jc w:val="center"/>
                    <w:rPr>
                      <w:rFonts w:ascii="Times New Roman" w:hAnsi="Times New Roman" w:eastAsia="宋体" w:cs="Times New Roman"/>
                      <w:szCs w:val="21"/>
                    </w:rPr>
                  </w:pPr>
                </w:p>
              </w:tc>
              <w:tc>
                <w:tcPr>
                  <w:tcW w:w="1329" w:type="pct"/>
                  <w:vAlign w:val="center"/>
                </w:tcPr>
                <w:p>
                  <w:pPr>
                    <w:jc w:val="center"/>
                    <w:rPr>
                      <w:bCs/>
                      <w:spacing w:val="14"/>
                      <w:szCs w:val="21"/>
                      <w:lang w:bidi="he-IL"/>
                    </w:rPr>
                  </w:pPr>
                  <w:r>
                    <w:rPr>
                      <w:bCs/>
                      <w:spacing w:val="14"/>
                      <w:szCs w:val="21"/>
                    </w:rPr>
                    <w:t>项目区4#地块位置</w:t>
                  </w:r>
                </w:p>
              </w:tc>
              <w:tc>
                <w:tcPr>
                  <w:tcW w:w="698" w:type="pct"/>
                  <w:vAlign w:val="center"/>
                </w:tcPr>
                <w:p>
                  <w:pPr>
                    <w:jc w:val="center"/>
                    <w:rPr>
                      <w:szCs w:val="21"/>
                    </w:rPr>
                  </w:pPr>
                  <w:r>
                    <w:rPr>
                      <w:szCs w:val="21"/>
                    </w:rPr>
                    <w:t>2022/9/21</w:t>
                  </w:r>
                </w:p>
              </w:tc>
              <w:tc>
                <w:tcPr>
                  <w:tcW w:w="574" w:type="pct"/>
                  <w:vAlign w:val="center"/>
                </w:tcPr>
                <w:p>
                  <w:pPr>
                    <w:jc w:val="center"/>
                    <w:rPr>
                      <w:spacing w:val="14"/>
                      <w:szCs w:val="21"/>
                    </w:rPr>
                  </w:pPr>
                  <w:r>
                    <w:rPr>
                      <w:spacing w:val="14"/>
                      <w:szCs w:val="21"/>
                    </w:rPr>
                    <w:t>0.0866</w:t>
                  </w:r>
                </w:p>
              </w:tc>
              <w:tc>
                <w:tcPr>
                  <w:tcW w:w="526" w:type="pct"/>
                  <w:vAlign w:val="center"/>
                </w:tcPr>
                <w:p>
                  <w:pPr>
                    <w:jc w:val="center"/>
                    <w:rPr>
                      <w:spacing w:val="14"/>
                      <w:szCs w:val="21"/>
                    </w:rPr>
                  </w:pPr>
                  <w:r>
                    <w:rPr>
                      <w:spacing w:val="14"/>
                      <w:szCs w:val="21"/>
                    </w:rPr>
                    <w:t>100</w:t>
                  </w:r>
                </w:p>
              </w:tc>
              <w:tc>
                <w:tcPr>
                  <w:tcW w:w="613"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7" w:type="pct"/>
                  <w:vMerge w:val="continue"/>
                  <w:vAlign w:val="center"/>
                </w:tcPr>
                <w:p>
                  <w:pPr>
                    <w:pStyle w:val="49"/>
                    <w:jc w:val="center"/>
                    <w:rPr>
                      <w:rFonts w:ascii="Times New Roman" w:hAnsi="Times New Roman" w:eastAsia="宋体" w:cs="Times New Roman"/>
                      <w:szCs w:val="21"/>
                    </w:rPr>
                  </w:pPr>
                </w:p>
              </w:tc>
              <w:tc>
                <w:tcPr>
                  <w:tcW w:w="1329" w:type="pct"/>
                  <w:vAlign w:val="center"/>
                </w:tcPr>
                <w:p>
                  <w:pPr>
                    <w:jc w:val="center"/>
                    <w:rPr>
                      <w:bCs/>
                      <w:spacing w:val="14"/>
                      <w:szCs w:val="21"/>
                      <w:lang w:bidi="he-IL"/>
                    </w:rPr>
                  </w:pPr>
                  <w:r>
                    <w:rPr>
                      <w:bCs/>
                      <w:spacing w:val="14"/>
                      <w:szCs w:val="21"/>
                    </w:rPr>
                    <w:t>项目区升压站位置</w:t>
                  </w:r>
                </w:p>
              </w:tc>
              <w:tc>
                <w:tcPr>
                  <w:tcW w:w="698" w:type="pct"/>
                  <w:vAlign w:val="center"/>
                </w:tcPr>
                <w:p>
                  <w:pPr>
                    <w:jc w:val="center"/>
                    <w:rPr>
                      <w:spacing w:val="-5"/>
                      <w:szCs w:val="21"/>
                      <w:lang w:bidi="he-IL"/>
                    </w:rPr>
                  </w:pPr>
                  <w:r>
                    <w:rPr>
                      <w:szCs w:val="21"/>
                    </w:rPr>
                    <w:t>2022/9/21</w:t>
                  </w:r>
                </w:p>
              </w:tc>
              <w:tc>
                <w:tcPr>
                  <w:tcW w:w="574" w:type="pct"/>
                  <w:vAlign w:val="center"/>
                </w:tcPr>
                <w:p>
                  <w:pPr>
                    <w:jc w:val="center"/>
                    <w:rPr>
                      <w:spacing w:val="14"/>
                      <w:szCs w:val="21"/>
                    </w:rPr>
                  </w:pPr>
                  <w:r>
                    <w:rPr>
                      <w:spacing w:val="14"/>
                      <w:szCs w:val="21"/>
                    </w:rPr>
                    <w:t>0.0429</w:t>
                  </w:r>
                </w:p>
              </w:tc>
              <w:tc>
                <w:tcPr>
                  <w:tcW w:w="526" w:type="pct"/>
                  <w:vAlign w:val="center"/>
                </w:tcPr>
                <w:p>
                  <w:pPr>
                    <w:jc w:val="center"/>
                    <w:rPr>
                      <w:spacing w:val="14"/>
                      <w:szCs w:val="21"/>
                    </w:rPr>
                  </w:pPr>
                  <w:r>
                    <w:rPr>
                      <w:spacing w:val="14"/>
                      <w:szCs w:val="21"/>
                    </w:rPr>
                    <w:t>100</w:t>
                  </w:r>
                </w:p>
              </w:tc>
              <w:tc>
                <w:tcPr>
                  <w:tcW w:w="613" w:type="pc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是</w:t>
                  </w:r>
                </w:p>
              </w:tc>
            </w:tr>
          </w:tbl>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由上表可知，项目区工频电场强度最大值为</w:t>
            </w:r>
            <w:r>
              <w:rPr>
                <w:rFonts w:ascii="Times New Roman" w:hAnsi="Times New Roman" w:eastAsia="宋体" w:cs="Times New Roman"/>
                <w:sz w:val="24"/>
                <w:lang w:val="en-US"/>
              </w:rPr>
              <w:t>4.407V/m，工频磁感应强度最大值为0.0551μT，</w:t>
            </w:r>
            <w:r>
              <w:rPr>
                <w:rFonts w:ascii="Times New Roman" w:hAnsi="Times New Roman" w:eastAsia="宋体" w:cs="Times New Roman"/>
                <w:sz w:val="24"/>
              </w:rPr>
              <w:t>低于《电磁环境控制限值》(GB</w:t>
            </w:r>
            <w:r>
              <w:rPr>
                <w:rFonts w:hint="eastAsia" w:ascii="Times New Roman" w:hAnsi="Times New Roman" w:eastAsia="宋体" w:cs="Times New Roman"/>
                <w:sz w:val="24"/>
                <w:lang w:eastAsia="zh-CN"/>
              </w:rPr>
              <w:t>****</w:t>
            </w:r>
            <w:r>
              <w:rPr>
                <w:rFonts w:ascii="Times New Roman" w:hAnsi="Times New Roman" w:eastAsia="宋体" w:cs="Times New Roman"/>
                <w:sz w:val="24"/>
              </w:rPr>
              <w:t>-2014)中的工频电场强度4kV/m、工频磁感应强度100</w:t>
            </w:r>
            <w:r>
              <w:rPr>
                <w:rFonts w:ascii="Times New Roman" w:hAnsi="Times New Roman" w:eastAsia="宋体" w:cs="Times New Roman"/>
                <w:sz w:val="24"/>
                <w:lang w:val="en-US"/>
              </w:rPr>
              <w:t>μ</w:t>
            </w:r>
            <w:r>
              <w:rPr>
                <w:rFonts w:ascii="Times New Roman" w:hAnsi="Times New Roman" w:eastAsia="宋体" w:cs="Times New Roman"/>
                <w:sz w:val="24"/>
              </w:rPr>
              <w:t>T公众曝露限值的要求。工程所在区域电磁环境满足相关环保标准要求,环境现状良好，未发现相关环境问题。</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lang w:val="en-US"/>
              </w:rPr>
              <w:t>5、</w:t>
            </w:r>
            <w:r>
              <w:rPr>
                <w:rFonts w:ascii="Times New Roman" w:hAnsi="Times New Roman" w:eastAsia="宋体" w:cs="Times New Roman"/>
                <w:b/>
                <w:sz w:val="24"/>
              </w:rPr>
              <w:t>生态环境质量现状</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（1）主体功能区划</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位于云南省昆明市东川区舍块乡云坪村、因民镇红山村境内。根据《云南省生态功能区划》，项目所在区域属于高原亚热带北部常绿阔叶林生态区(III)，滇中、北中山峡笞暖性针叶林生态亚区（III2)，金沙江、小江高山峡谷水土保持功能区(III2-5)。</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该生态功能区的主要特征是以高山峡谷地貌为主，年降雨量河谷址带为700-900mm，山地和高原面上可达 1200mm。低海拔河谷地带植被以稀树灌木草丛为主，高原面上主要是云南松林、河谷土壤以燥红壤头主，山地上的土壤以红壤为主;该区的主要生态问题是森林覆盖率极低水土流失和泥石流严重；生态环境敏感性为土壤侵蚀高度敏感、泥石汤隐患严重；主要的生态系统服务功能是金沙江中段峡谷地带的水土保捷和生态灾害的综合治理；主要的保护措施及发展方向是水土流失和泥石流的生物治理和工程治理，提高森林的数量和质量，防止生态灾害的边一步恶化。</w:t>
            </w:r>
          </w:p>
          <w:p>
            <w:pPr>
              <w:pStyle w:val="49"/>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val="en-US" w:eastAsia="zh-CN"/>
              </w:rPr>
              <w:t>升压站用地类型为建设用地</w:t>
            </w:r>
            <w:r>
              <w:rPr>
                <w:rFonts w:ascii="Times New Roman" w:hAnsi="Times New Roman" w:eastAsia="宋体" w:cs="Times New Roman"/>
                <w:sz w:val="24"/>
              </w:rPr>
              <w:t>，建设过程中采取有效的水土保持措施，尽可能减小对生态的负面影响，同时在项目运营后期，将实施生态治理与修复。利用光伏板下的区域具有降风、增湿的特点，通过小区域气候变化，达到区域治荒改土、生态修复的目的；同时种植小灌木、草本、藤本立体配置充分利用空间生态位，构建稳定的植物群落结构，保证项目区生态恢复的同时，固碳氮、水土保持能力提升。</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（2）土地利用现状</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项目占用土地类型</w:t>
            </w:r>
            <w:r>
              <w:rPr>
                <w:rFonts w:hint="eastAsia" w:ascii="Times New Roman" w:hAnsi="Times New Roman" w:eastAsia="宋体" w:cs="Times New Roman"/>
                <w:sz w:val="24"/>
                <w:lang w:val="en-US" w:eastAsia="zh-CN"/>
              </w:rPr>
              <w:t>建设用地</w:t>
            </w:r>
            <w:r>
              <w:rPr>
                <w:rFonts w:ascii="Times New Roman" w:hAnsi="Times New Roman" w:eastAsia="宋体" w:cs="Times New Roman"/>
                <w:sz w:val="24"/>
              </w:rPr>
              <w:t>。</w:t>
            </w:r>
            <w:r>
              <w:rPr>
                <w:rFonts w:hint="eastAsia" w:ascii="Times New Roman" w:hAnsi="Times New Roman" w:eastAsia="宋体" w:cs="Times New Roman"/>
                <w:sz w:val="24"/>
              </w:rPr>
              <w:t>升压站</w:t>
            </w:r>
            <w:r>
              <w:rPr>
                <w:rFonts w:hint="eastAsia" w:ascii="Times New Roman" w:hAnsi="Times New Roman" w:eastAsia="宋体" w:cs="Times New Roman"/>
                <w:sz w:val="24"/>
                <w:lang w:val="en-US" w:eastAsia="zh-CN"/>
              </w:rPr>
              <w:t>占地面积</w:t>
            </w:r>
            <w:r>
              <w:rPr>
                <w:rFonts w:hint="eastAsia" w:ascii="Times New Roman" w:hAnsi="Times New Roman" w:eastAsia="宋体" w:cs="Times New Roman"/>
                <w:sz w:val="24"/>
              </w:rPr>
              <w:t>1.0212公顷</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为永久占地</w:t>
            </w:r>
            <w:r>
              <w:rPr>
                <w:rFonts w:hint="eastAsia" w:ascii="Times New Roman" w:hAnsi="Times New Roman" w:eastAsia="宋体" w:cs="Times New Roman"/>
                <w:sz w:val="24"/>
              </w:rPr>
              <w:t>。</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项目占地面积统计情况详见下表：</w:t>
            </w:r>
          </w:p>
          <w:p>
            <w:pPr>
              <w:pStyle w:val="49"/>
              <w:spacing w:line="360" w:lineRule="auto"/>
              <w:jc w:val="center"/>
              <w:rPr>
                <w:rFonts w:ascii="Times New Roman" w:hAnsi="Times New Roman" w:eastAsia="宋体" w:cs="Times New Roman"/>
                <w:b/>
                <w:sz w:val="24"/>
                <w:shd w:val="clear" w:color="auto" w:fill="FFFFFF"/>
              </w:rPr>
            </w:pPr>
            <w:r>
              <w:rPr>
                <w:rFonts w:ascii="Times New Roman" w:hAnsi="Times New Roman" w:eastAsia="宋体" w:cs="Times New Roman"/>
                <w:b/>
                <w:sz w:val="24"/>
              </w:rPr>
              <w:t>表3-5  项目占地面积统计表  单位：</w:t>
            </w:r>
            <w:r>
              <w:rPr>
                <w:rFonts w:ascii="Times New Roman" w:hAnsi="Times New Roman" w:eastAsia="宋体" w:cs="Times New Roman"/>
                <w:b/>
                <w:sz w:val="24"/>
                <w:shd w:val="clear" w:color="auto" w:fill="FFFFFF"/>
              </w:rPr>
              <w:t>ha</w:t>
            </w:r>
          </w:p>
          <w:tbl>
            <w:tblPr>
              <w:tblStyle w:val="20"/>
              <w:tblW w:w="8946" w:type="dxa"/>
              <w:tblInd w:w="0" w:type="dxa"/>
              <w:tblLayout w:type="autofit"/>
              <w:tblCellMar>
                <w:top w:w="0" w:type="dxa"/>
                <w:left w:w="108" w:type="dxa"/>
                <w:bottom w:w="0" w:type="dxa"/>
                <w:right w:w="108" w:type="dxa"/>
              </w:tblCellMar>
            </w:tblPr>
            <w:tblGrid>
              <w:gridCol w:w="675"/>
              <w:gridCol w:w="2977"/>
              <w:gridCol w:w="1276"/>
              <w:gridCol w:w="1134"/>
              <w:gridCol w:w="2884"/>
            </w:tblGrid>
            <w:tr>
              <w:trPr>
                <w:trHeight w:val="36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序号</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Cs/>
                      <w:color w:val="auto"/>
                      <w:kern w:val="0"/>
                      <w:szCs w:val="21"/>
                    </w:rPr>
                  </w:pPr>
                  <w:r>
                    <w:rPr>
                      <w:rFonts w:ascii="Times New Roman" w:hAnsi="Times New Roman"/>
                      <w:bCs/>
                      <w:color w:val="auto"/>
                      <w:kern w:val="0"/>
                      <w:szCs w:val="21"/>
                    </w:rPr>
                    <w:t>项目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Cs/>
                      <w:color w:val="auto"/>
                      <w:kern w:val="0"/>
                      <w:szCs w:val="21"/>
                    </w:rPr>
                  </w:pPr>
                  <w:r>
                    <w:rPr>
                      <w:rFonts w:ascii="Times New Roman" w:hAnsi="Times New Roman"/>
                      <w:color w:val="auto"/>
                      <w:kern w:val="0"/>
                      <w:szCs w:val="21"/>
                    </w:rPr>
                    <w: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Cs/>
                      <w:color w:val="auto"/>
                      <w:kern w:val="0"/>
                      <w:szCs w:val="21"/>
                    </w:rPr>
                  </w:pPr>
                  <w:r>
                    <w:rPr>
                      <w:rFonts w:ascii="Times New Roman" w:hAnsi="Times New Roman"/>
                      <w:bCs/>
                      <w:color w:val="auto"/>
                      <w:kern w:val="0"/>
                      <w:szCs w:val="21"/>
                    </w:rPr>
                    <w:t>亩</w:t>
                  </w:r>
                </w:p>
              </w:tc>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备注</w:t>
                  </w:r>
                </w:p>
              </w:tc>
            </w:tr>
            <w:tr>
              <w:tblPrEx>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220kV升压站</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1"/>
                    <w:adjustRightInd w:val="0"/>
                    <w:snapToGrid w:val="0"/>
                    <w:spacing w:line="240" w:lineRule="auto"/>
                    <w:rPr>
                      <w:color w:val="auto"/>
                    </w:rPr>
                  </w:pPr>
                  <w:r>
                    <w:rPr>
                      <w:color w:val="auto"/>
                    </w:rPr>
                    <w:t>10212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1"/>
                    <w:adjustRightInd w:val="0"/>
                    <w:snapToGrid w:val="0"/>
                    <w:spacing w:line="240" w:lineRule="auto"/>
                    <w:rPr>
                      <w:color w:val="auto"/>
                    </w:rPr>
                  </w:pPr>
                  <w:r>
                    <w:rPr>
                      <w:color w:val="auto"/>
                    </w:rPr>
                    <w:t>15.3</w:t>
                  </w:r>
                </w:p>
              </w:tc>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含边沟与挡土墙面积</w:t>
                  </w:r>
                </w:p>
              </w:tc>
            </w:tr>
            <w:tr>
              <w:trPr>
                <w:trHeight w:val="36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1"/>
                    <w:adjustRightInd w:val="0"/>
                    <w:snapToGrid w:val="0"/>
                    <w:spacing w:line="240" w:lineRule="auto"/>
                    <w:rPr>
                      <w:color w:val="auto"/>
                    </w:rPr>
                  </w:pPr>
                  <w:r>
                    <w:rPr>
                      <w:color w:val="auto"/>
                    </w:rPr>
                    <w:t>10212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1"/>
                    <w:adjustRightInd w:val="0"/>
                    <w:snapToGrid w:val="0"/>
                    <w:spacing w:line="240" w:lineRule="auto"/>
                    <w:rPr>
                      <w:color w:val="auto"/>
                    </w:rPr>
                  </w:pPr>
                  <w:r>
                    <w:rPr>
                      <w:color w:val="auto"/>
                    </w:rPr>
                    <w:t>15.3</w:t>
                  </w:r>
                </w:p>
              </w:tc>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Cs w:val="21"/>
                    </w:rPr>
                  </w:pPr>
                  <w:r>
                    <w:rPr>
                      <w:rFonts w:ascii="Times New Roman" w:hAnsi="Times New Roman"/>
                      <w:color w:val="auto"/>
                      <w:kern w:val="0"/>
                      <w:szCs w:val="21"/>
                    </w:rPr>
                    <w:t>　</w:t>
                  </w:r>
                </w:p>
              </w:tc>
            </w:tr>
          </w:tbl>
          <w:p>
            <w:pPr>
              <w:pStyle w:val="49"/>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（2）植被现状调查</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东川区受地貌影响，境内植被群落分布与气候、土壤的垂直分布相适应，呈明显的垂直分布，项目工程海拔高程为2800～3300m，该海拔高度林地植被主要以急尖长苞冷杉为优势种的寒温性亚高山针叶林，以及高山松为优势树种的温冷性常绿针叶林和以黄背栎为优势树种的常绿硬阔叶林。</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根据现场调查，</w:t>
            </w:r>
            <w:r>
              <w:rPr>
                <w:rFonts w:hint="eastAsia" w:ascii="Times New Roman" w:hAnsi="Times New Roman" w:eastAsia="宋体" w:cs="Times New Roman"/>
                <w:sz w:val="24"/>
                <w:lang w:val="en-US" w:eastAsia="zh-CN"/>
              </w:rPr>
              <w:t>升压站</w:t>
            </w:r>
            <w:r>
              <w:rPr>
                <w:rFonts w:ascii="Times New Roman" w:hAnsi="Times New Roman" w:eastAsia="宋体" w:cs="Times New Roman"/>
                <w:sz w:val="24"/>
                <w:lang w:val="en-US"/>
              </w:rPr>
              <w:t>占用土地主要为荒山荒坡，植被覆盖极少。项目区目前大多为草地，未栽种植被，长有多种杂草。</w:t>
            </w:r>
          </w:p>
          <w:p>
            <w:pPr>
              <w:pStyle w:val="49"/>
              <w:wordWrap w:val="0"/>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项目区占地草地主要植被类型为以羊茅为优势的亚高山草甸，主要为羊茅群落，群落高度0.3~0.5m，总盖度60%左右，组成群落的种类比较多。优势种为羊茅</w:t>
            </w:r>
            <w:r>
              <w:rPr>
                <w:rFonts w:ascii="Times New Roman" w:hAnsi="Times New Roman" w:eastAsia="宋体" w:cs="Times New Roman"/>
                <w:i/>
                <w:sz w:val="24"/>
                <w:lang w:val="en-US"/>
              </w:rPr>
              <w:t>Festuca pamirica</w:t>
            </w:r>
            <w:r>
              <w:rPr>
                <w:rFonts w:ascii="Times New Roman" w:hAnsi="Times New Roman" w:eastAsia="宋体" w:cs="Times New Roman"/>
                <w:sz w:val="24"/>
                <w:lang w:val="en-US"/>
              </w:rPr>
              <w:t>和野青茅</w:t>
            </w:r>
            <w:r>
              <w:rPr>
                <w:rFonts w:ascii="Times New Roman" w:hAnsi="Times New Roman" w:eastAsia="宋体" w:cs="Times New Roman"/>
                <w:i/>
                <w:sz w:val="24"/>
                <w:lang w:val="en-US"/>
              </w:rPr>
              <w:t>Deyeuxia pyramidalis</w:t>
            </w:r>
            <w:r>
              <w:rPr>
                <w:rFonts w:ascii="Times New Roman" w:hAnsi="Times New Roman" w:eastAsia="宋体" w:cs="Times New Roman"/>
                <w:sz w:val="24"/>
                <w:lang w:val="en-US"/>
              </w:rPr>
              <w:t>，但是，由于地形变化和人为干扰程度，优势种也常随之而发生改变，种类有:羊茅</w:t>
            </w:r>
            <w:r>
              <w:rPr>
                <w:rFonts w:ascii="Times New Roman" w:hAnsi="Times New Roman" w:eastAsia="宋体" w:cs="Times New Roman"/>
                <w:i/>
                <w:sz w:val="24"/>
                <w:lang w:val="en-US"/>
              </w:rPr>
              <w:t>Festuca ovina</w:t>
            </w:r>
            <w:r>
              <w:rPr>
                <w:rFonts w:ascii="Times New Roman" w:hAnsi="Times New Roman" w:eastAsia="宋体" w:cs="Times New Roman"/>
                <w:sz w:val="24"/>
                <w:lang w:val="en-US"/>
              </w:rPr>
              <w:t>、西南萎陵菜</w:t>
            </w:r>
            <w:r>
              <w:rPr>
                <w:rFonts w:ascii="Times New Roman" w:hAnsi="Times New Roman" w:eastAsia="宋体" w:cs="Times New Roman"/>
                <w:i/>
                <w:sz w:val="24"/>
                <w:lang w:val="en-US"/>
              </w:rPr>
              <w:t>Potentilla lineata</w:t>
            </w:r>
            <w:r>
              <w:rPr>
                <w:rFonts w:ascii="Times New Roman" w:hAnsi="Times New Roman" w:eastAsia="宋体" w:cs="Times New Roman"/>
                <w:sz w:val="24"/>
                <w:lang w:val="en-US"/>
              </w:rPr>
              <w:t>、獐牙菜</w:t>
            </w:r>
            <w:r>
              <w:rPr>
                <w:rFonts w:ascii="Times New Roman" w:hAnsi="Times New Roman" w:eastAsia="宋体" w:cs="Times New Roman"/>
                <w:i/>
                <w:sz w:val="24"/>
                <w:lang w:val="en-US"/>
              </w:rPr>
              <w:t>Swertia bimaculata</w:t>
            </w:r>
            <w:r>
              <w:rPr>
                <w:rFonts w:ascii="Times New Roman" w:hAnsi="Times New Roman" w:eastAsia="宋体" w:cs="Times New Roman"/>
                <w:sz w:val="24"/>
                <w:lang w:val="en-US"/>
              </w:rPr>
              <w:t>、展毛银连花</w:t>
            </w:r>
            <w:r>
              <w:rPr>
                <w:rFonts w:ascii="Times New Roman" w:hAnsi="Times New Roman" w:eastAsia="宋体" w:cs="Times New Roman"/>
                <w:i/>
                <w:sz w:val="24"/>
                <w:lang w:val="en-US"/>
              </w:rPr>
              <w:t>Anemonedemissa</w:t>
            </w:r>
            <w:r>
              <w:rPr>
                <w:rFonts w:ascii="Times New Roman" w:hAnsi="Times New Roman" w:eastAsia="宋体" w:cs="Times New Roman"/>
                <w:sz w:val="24"/>
                <w:lang w:val="en-US"/>
              </w:rPr>
              <w:t>、龙胆</w:t>
            </w:r>
            <w:r>
              <w:rPr>
                <w:rFonts w:ascii="Times New Roman" w:hAnsi="Times New Roman" w:eastAsia="宋体" w:cs="Times New Roman"/>
                <w:i/>
                <w:sz w:val="24"/>
                <w:lang w:val="en-US"/>
              </w:rPr>
              <w:t>Gentiana cephalantha</w:t>
            </w:r>
            <w:r>
              <w:rPr>
                <w:rFonts w:ascii="Times New Roman" w:hAnsi="Times New Roman" w:eastAsia="宋体" w:cs="Times New Roman"/>
                <w:sz w:val="24"/>
                <w:lang w:val="en-US"/>
              </w:rPr>
              <w:t>、卵叶银莲花</w:t>
            </w:r>
            <w:r>
              <w:rPr>
                <w:rFonts w:ascii="Times New Roman" w:hAnsi="Times New Roman" w:eastAsia="宋体" w:cs="Times New Roman"/>
                <w:i/>
                <w:sz w:val="24"/>
                <w:lang w:val="en-US"/>
              </w:rPr>
              <w:t>Anemone obtusiloba</w:t>
            </w:r>
            <w:r>
              <w:rPr>
                <w:rFonts w:ascii="Times New Roman" w:hAnsi="Times New Roman" w:eastAsia="宋体" w:cs="Times New Roman"/>
                <w:sz w:val="24"/>
                <w:lang w:val="en-US"/>
              </w:rPr>
              <w:t>、夏枯草</w:t>
            </w:r>
            <w:r>
              <w:rPr>
                <w:rFonts w:ascii="Times New Roman" w:hAnsi="Times New Roman" w:eastAsia="宋体" w:cs="Times New Roman"/>
                <w:i/>
                <w:sz w:val="24"/>
                <w:lang w:val="en-US"/>
              </w:rPr>
              <w:t>Prumella vulgaris</w:t>
            </w:r>
            <w:r>
              <w:rPr>
                <w:rFonts w:ascii="Times New Roman" w:hAnsi="Times New Roman" w:eastAsia="宋体" w:cs="Times New Roman"/>
                <w:sz w:val="24"/>
                <w:lang w:val="en-US"/>
              </w:rPr>
              <w:t>、柔软紫宛</w:t>
            </w:r>
            <w:r>
              <w:rPr>
                <w:rFonts w:ascii="Times New Roman" w:hAnsi="Times New Roman" w:eastAsia="宋体" w:cs="Times New Roman"/>
                <w:i/>
                <w:sz w:val="24"/>
                <w:lang w:val="en-US"/>
              </w:rPr>
              <w:t>Aster flaccidus</w:t>
            </w:r>
            <w:r>
              <w:rPr>
                <w:rFonts w:ascii="Times New Roman" w:hAnsi="Times New Roman" w:eastAsia="宋体" w:cs="Times New Roman"/>
                <w:sz w:val="24"/>
                <w:lang w:val="en-US"/>
              </w:rPr>
              <w:t>、云南马先蒿</w:t>
            </w:r>
            <w:r>
              <w:rPr>
                <w:rFonts w:ascii="Times New Roman" w:hAnsi="Times New Roman" w:eastAsia="宋体" w:cs="Times New Roman"/>
                <w:i/>
                <w:sz w:val="24"/>
                <w:lang w:val="en-US"/>
              </w:rPr>
              <w:t>Pedicularis yunnanensis</w:t>
            </w:r>
            <w:r>
              <w:rPr>
                <w:rFonts w:ascii="Times New Roman" w:hAnsi="Times New Roman" w:eastAsia="宋体" w:cs="Times New Roman"/>
                <w:sz w:val="24"/>
                <w:lang w:val="en-US"/>
              </w:rPr>
              <w:t>、二色香青</w:t>
            </w:r>
            <w:r>
              <w:rPr>
                <w:rFonts w:ascii="Times New Roman" w:hAnsi="Times New Roman" w:eastAsia="宋体" w:cs="Times New Roman"/>
                <w:i/>
                <w:sz w:val="24"/>
                <w:lang w:val="en-US"/>
              </w:rPr>
              <w:t>Anaphalis bicolor</w:t>
            </w:r>
            <w:r>
              <w:rPr>
                <w:rFonts w:ascii="Times New Roman" w:hAnsi="Times New Roman" w:eastAsia="宋体" w:cs="Times New Roman"/>
                <w:sz w:val="24"/>
                <w:lang w:val="en-US"/>
              </w:rPr>
              <w:t>、长柔毛委陵菜</w:t>
            </w:r>
            <w:r>
              <w:rPr>
                <w:rFonts w:ascii="Times New Roman" w:hAnsi="Times New Roman" w:eastAsia="宋体" w:cs="Times New Roman"/>
                <w:i/>
                <w:sz w:val="24"/>
                <w:lang w:val="en-US"/>
              </w:rPr>
              <w:t>Potentilla griffithii</w:t>
            </w:r>
            <w:r>
              <w:rPr>
                <w:rFonts w:ascii="Times New Roman" w:hAnsi="Times New Roman" w:eastAsia="宋体" w:cs="Times New Roman"/>
                <w:sz w:val="24"/>
                <w:lang w:val="en-US"/>
              </w:rPr>
              <w:t>、长苞火绒草</w:t>
            </w:r>
            <w:r>
              <w:rPr>
                <w:rFonts w:ascii="Times New Roman" w:hAnsi="Times New Roman" w:eastAsia="宋体" w:cs="Times New Roman"/>
                <w:i/>
                <w:sz w:val="24"/>
                <w:lang w:val="en-US"/>
              </w:rPr>
              <w:t>Leontopodium himalayanum</w:t>
            </w:r>
            <w:r>
              <w:rPr>
                <w:rFonts w:ascii="Times New Roman" w:hAnsi="Times New Roman" w:eastAsia="宋体" w:cs="Times New Roman"/>
                <w:sz w:val="24"/>
                <w:lang w:val="en-US"/>
              </w:rPr>
              <w:t>、扁穗莎草</w:t>
            </w:r>
            <w:r>
              <w:rPr>
                <w:rFonts w:ascii="Times New Roman" w:hAnsi="Times New Roman" w:eastAsia="宋体" w:cs="Times New Roman"/>
                <w:i/>
                <w:sz w:val="24"/>
                <w:lang w:val="en-US"/>
              </w:rPr>
              <w:t>Cyperus compressus</w:t>
            </w:r>
            <w:r>
              <w:rPr>
                <w:rFonts w:ascii="Times New Roman" w:hAnsi="Times New Roman" w:eastAsia="宋体" w:cs="Times New Roman"/>
                <w:sz w:val="24"/>
                <w:lang w:val="en-US"/>
              </w:rPr>
              <w:t>、舟叶橐吾</w:t>
            </w:r>
            <w:r>
              <w:rPr>
                <w:rFonts w:ascii="Times New Roman" w:hAnsi="Times New Roman" w:eastAsia="宋体" w:cs="Times New Roman"/>
                <w:i/>
                <w:sz w:val="24"/>
                <w:lang w:val="en-US"/>
              </w:rPr>
              <w:t>Ligulariacymbulifera</w:t>
            </w:r>
            <w:r>
              <w:rPr>
                <w:rFonts w:ascii="Times New Roman" w:hAnsi="Times New Roman" w:eastAsia="宋体" w:cs="Times New Roman"/>
                <w:sz w:val="24"/>
                <w:lang w:val="en-US"/>
              </w:rPr>
              <w:t xml:space="preserve"> 、高山嵩草</w:t>
            </w:r>
            <w:r>
              <w:rPr>
                <w:rFonts w:ascii="Times New Roman" w:hAnsi="Times New Roman" w:eastAsia="宋体" w:cs="Times New Roman"/>
                <w:i/>
                <w:sz w:val="24"/>
                <w:lang w:val="en-US"/>
              </w:rPr>
              <w:t>Kobresia pygmaea</w:t>
            </w:r>
            <w:r>
              <w:rPr>
                <w:rFonts w:ascii="Times New Roman" w:hAnsi="Times New Roman" w:eastAsia="宋体" w:cs="Times New Roman"/>
                <w:sz w:val="24"/>
                <w:lang w:val="en-US"/>
              </w:rPr>
              <w:t xml:space="preserve"> 、黑垂头菊</w:t>
            </w:r>
            <w:r>
              <w:rPr>
                <w:rFonts w:ascii="Times New Roman" w:hAnsi="Times New Roman" w:eastAsia="宋体" w:cs="Times New Roman"/>
                <w:i/>
                <w:sz w:val="24"/>
                <w:lang w:val="en-US"/>
              </w:rPr>
              <w:t>Cremanthodiumatrocapitatum</w:t>
            </w:r>
            <w:r>
              <w:rPr>
                <w:rFonts w:ascii="Times New Roman" w:hAnsi="Times New Roman" w:eastAsia="宋体" w:cs="Times New Roman"/>
                <w:sz w:val="24"/>
                <w:lang w:val="en-US"/>
              </w:rPr>
              <w:t>、小叶帚菊</w:t>
            </w:r>
            <w:r>
              <w:rPr>
                <w:rFonts w:ascii="Times New Roman" w:hAnsi="Times New Roman" w:eastAsia="宋体" w:cs="Times New Roman"/>
                <w:i/>
                <w:sz w:val="24"/>
                <w:lang w:val="en-US"/>
              </w:rPr>
              <w:t>Pertya phylicoides</w:t>
            </w:r>
            <w:r>
              <w:rPr>
                <w:rFonts w:ascii="Times New Roman" w:hAnsi="Times New Roman" w:eastAsia="宋体" w:cs="Times New Roman"/>
                <w:sz w:val="24"/>
                <w:lang w:val="en-US"/>
              </w:rPr>
              <w:t>、百裂风毛菊</w:t>
            </w:r>
            <w:r>
              <w:rPr>
                <w:rFonts w:ascii="Times New Roman" w:hAnsi="Times New Roman" w:eastAsia="宋体" w:cs="Times New Roman"/>
                <w:i/>
                <w:sz w:val="24"/>
                <w:lang w:val="en-US"/>
              </w:rPr>
              <w:t>Saussurea centiloba</w:t>
            </w:r>
            <w:r>
              <w:rPr>
                <w:rFonts w:ascii="Times New Roman" w:hAnsi="Times New Roman" w:eastAsia="宋体" w:cs="Times New Roman"/>
                <w:sz w:val="24"/>
                <w:lang w:val="en-US"/>
              </w:rPr>
              <w:t>、知风草</w:t>
            </w:r>
            <w:r>
              <w:rPr>
                <w:rFonts w:ascii="Times New Roman" w:hAnsi="Times New Roman" w:eastAsia="宋体" w:cs="Times New Roman"/>
                <w:i/>
                <w:sz w:val="24"/>
                <w:lang w:val="en-US"/>
              </w:rPr>
              <w:t>Eragrostis ferruginea</w:t>
            </w:r>
            <w:r>
              <w:rPr>
                <w:rFonts w:ascii="Times New Roman" w:hAnsi="Times New Roman" w:eastAsia="宋体" w:cs="Times New Roman"/>
                <w:sz w:val="24"/>
                <w:lang w:val="en-US"/>
              </w:rPr>
              <w:t>、腋花马先蒿</w:t>
            </w:r>
            <w:r>
              <w:rPr>
                <w:rFonts w:ascii="Times New Roman" w:hAnsi="Times New Roman" w:eastAsia="宋体" w:cs="Times New Roman"/>
                <w:i/>
                <w:sz w:val="24"/>
                <w:lang w:val="en-US"/>
              </w:rPr>
              <w:t xml:space="preserve">Pedicularis axillaris </w:t>
            </w:r>
            <w:r>
              <w:rPr>
                <w:rFonts w:ascii="Times New Roman" w:hAnsi="Times New Roman" w:eastAsia="宋体" w:cs="Times New Roman"/>
                <w:sz w:val="24"/>
                <w:lang w:val="en-US"/>
              </w:rPr>
              <w:t>等。均为当地常见草本植物。</w:t>
            </w:r>
          </w:p>
          <w:p>
            <w:pPr>
              <w:pStyle w:val="49"/>
              <w:wordWrap w:val="0"/>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占地附近200m评价范围内林地主要为低矮灌木，主要植被类型为以杜鹃灌丛为主的灌丛高寒灌丛，主要为杜鹃灌丛</w:t>
            </w:r>
            <w:r>
              <w:rPr>
                <w:rFonts w:ascii="Times New Roman" w:hAnsi="Times New Roman" w:eastAsia="宋体" w:cs="Times New Roman"/>
                <w:i/>
                <w:iCs/>
                <w:sz w:val="24"/>
                <w:lang w:val="en-US"/>
              </w:rPr>
              <w:t>Rhododendron dumicola</w:t>
            </w:r>
            <w:r>
              <w:rPr>
                <w:rFonts w:ascii="Times New Roman" w:hAnsi="Times New Roman" w:eastAsia="宋体" w:cs="Times New Roman"/>
                <w:sz w:val="24"/>
                <w:lang w:val="en-US"/>
              </w:rPr>
              <w:t>、马樱花灌丛</w:t>
            </w:r>
            <w:r>
              <w:rPr>
                <w:rFonts w:ascii="Times New Roman" w:hAnsi="Times New Roman" w:eastAsia="宋体" w:cs="Times New Roman"/>
                <w:i/>
                <w:sz w:val="24"/>
                <w:lang w:val="en-US"/>
              </w:rPr>
              <w:t>Rhododendron delavayi、</w:t>
            </w:r>
            <w:r>
              <w:rPr>
                <w:rFonts w:ascii="Times New Roman" w:hAnsi="Times New Roman" w:eastAsia="宋体" w:cs="Times New Roman"/>
                <w:sz w:val="24"/>
                <w:lang w:val="en-US"/>
              </w:rPr>
              <w:t>雪松灌丛</w:t>
            </w:r>
            <w:r>
              <w:rPr>
                <w:rFonts w:ascii="Times New Roman" w:hAnsi="Times New Roman" w:eastAsia="宋体" w:cs="Times New Roman"/>
                <w:i/>
                <w:iCs/>
                <w:sz w:val="24"/>
                <w:lang w:val="en-US"/>
              </w:rPr>
              <w:t>Cedrus deodara</w:t>
            </w:r>
            <w:r>
              <w:rPr>
                <w:rFonts w:ascii="Times New Roman" w:hAnsi="Times New Roman" w:eastAsia="宋体" w:cs="Times New Roman"/>
                <w:sz w:val="24"/>
                <w:lang w:val="en-US"/>
              </w:rPr>
              <w:t>等植物群落，均为当地常见灌丛。</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（3）野生动物现状调查</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项目占地范围内未发现国家和省级重点保护野生动物分布，多为当地常见的动物。根据现场踏勘及调查，项目占地区域人类活动较为频繁，未见大型野生动物分布，</w:t>
            </w:r>
            <w:r>
              <w:rPr>
                <w:rFonts w:ascii="Times New Roman" w:hAnsi="Times New Roman" w:eastAsia="宋体" w:cs="Times New Roman"/>
                <w:sz w:val="24"/>
                <w:lang w:val="en-US"/>
              </w:rPr>
              <w:t>野生动物的原始生境已不存在，</w:t>
            </w:r>
            <w:r>
              <w:rPr>
                <w:rFonts w:ascii="Times New Roman" w:hAnsi="Times New Roman" w:eastAsia="宋体" w:cs="Times New Roman"/>
                <w:sz w:val="24"/>
              </w:rPr>
              <w:t>区域动物多为适应人类活动的啮齿目动物和小型鸟类，</w:t>
            </w:r>
            <w:r>
              <w:rPr>
                <w:rFonts w:ascii="Times New Roman" w:hAnsi="Times New Roman" w:eastAsia="宋体" w:cs="Times New Roman"/>
                <w:sz w:val="24"/>
                <w:lang w:val="en-US"/>
              </w:rPr>
              <w:t>常见动物种类有老鼠、麻雀、野兔、蛇及各种常见昆虫等。项目所在区域地带性植被基本不见，人为干扰严重，因此，野生动物的适宜生境较少，动物资源受到限制，种类不多，且种群数量较小。项目评价区的野生动物主要分布在人为干扰较少的灌丛中，部分动物在农田中觅食。</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（5）水文地质</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项目位于云南省昆明市东川区舍块乡云坪村、因民镇红山村境内，工程布置远离河道，不影响河道行洪。</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现场调查结果显示，项目占地范围内不存在溶洞区、滑坡区、泥石流影响区以及湿地等区域，不属于蓄水的淹没区及保护区范围。东川区不属于地震带范围，项目的建设不属于地震发生区，项目的建设符合要求。</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US"/>
              </w:rPr>
              <w:t>项目区处于侵蚀剥蚀构造高原台地区，广泛出露震旦系灯影组灰岩、白云岩，地势平坦，岩溶发育，有利于大气降水及地表水入渗，属地下水补给区，现场调查结果，占地范围内无地下水渗出，无孔隙水露出。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gridSpan w:val="2"/>
            <w:vAlign w:val="center"/>
          </w:tcPr>
          <w:p>
            <w:pPr>
              <w:adjustRightInd w:val="0"/>
              <w:snapToGrid w:val="0"/>
              <w:jc w:val="center"/>
              <w:rPr>
                <w:kern w:val="0"/>
                <w:sz w:val="24"/>
              </w:rPr>
            </w:pPr>
            <w:r>
              <w:rPr>
                <w:bCs/>
                <w:sz w:val="24"/>
              </w:rPr>
              <w:t>与项目有关的原有环境污染和生态破坏问题</w:t>
            </w:r>
          </w:p>
        </w:tc>
        <w:tc>
          <w:tcPr>
            <w:tcW w:w="8506" w:type="dxa"/>
            <w:vAlign w:val="center"/>
          </w:tcPr>
          <w:p>
            <w:pPr>
              <w:adjustRightInd w:val="0"/>
              <w:snapToGrid w:val="0"/>
              <w:spacing w:line="360" w:lineRule="auto"/>
              <w:rPr>
                <w:kern w:val="0"/>
                <w:sz w:val="24"/>
              </w:rPr>
            </w:pPr>
            <w:r>
              <w:rPr>
                <w:sz w:val="24"/>
              </w:rPr>
              <w:t>本项目为新建项目，不存在原有环境污染和生态破坏问题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pPr>
              <w:adjustRightInd w:val="0"/>
              <w:snapToGrid w:val="0"/>
              <w:jc w:val="center"/>
              <w:rPr>
                <w:kern w:val="0"/>
                <w:sz w:val="24"/>
                <w:szCs w:val="21"/>
              </w:rPr>
            </w:pPr>
            <w:r>
              <w:rPr>
                <w:kern w:val="0"/>
                <w:sz w:val="24"/>
                <w:szCs w:val="21"/>
              </w:rPr>
              <w:t>生态环境保护目标</w:t>
            </w:r>
          </w:p>
        </w:tc>
        <w:tc>
          <w:tcPr>
            <w:tcW w:w="9080" w:type="dxa"/>
            <w:gridSpan w:val="2"/>
            <w:vAlign w:val="center"/>
          </w:tcPr>
          <w:p>
            <w:pPr>
              <w:spacing w:line="360" w:lineRule="auto"/>
              <w:ind w:firstLine="480" w:firstLineChars="200"/>
              <w:rPr>
                <w:color w:val="auto"/>
                <w:sz w:val="24"/>
              </w:rPr>
            </w:pPr>
            <w:r>
              <w:rPr>
                <w:sz w:val="24"/>
              </w:rPr>
              <w:t>经调查，本项目不涉及生态保护红线、自然保护区、世界文化和自然遗产地、风景名</w:t>
            </w:r>
            <w:r>
              <w:rPr>
                <w:color w:val="auto"/>
                <w:sz w:val="24"/>
              </w:rPr>
              <w:t>胜区、饮用水水源保护区、森林公园等环境敏感区，也没有以医疗卫生、文化教育、科研、行政办公等为主要功能的区域，无文物保护单位，无具有特殊历史、文化、科学、民族意义的保护地等环境敏感区。</w:t>
            </w:r>
          </w:p>
          <w:p>
            <w:pPr>
              <w:spacing w:line="360" w:lineRule="auto"/>
              <w:ind w:firstLine="480" w:firstLineChars="200"/>
              <w:rPr>
                <w:sz w:val="24"/>
              </w:rPr>
            </w:pPr>
            <w:r>
              <w:rPr>
                <w:color w:val="auto"/>
                <w:sz w:val="24"/>
              </w:rPr>
              <w:t>据现场调查、访问咨询和收集资料，</w:t>
            </w:r>
            <w:r>
              <w:rPr>
                <w:sz w:val="24"/>
              </w:rPr>
              <w:t>项目评价区没有地下水出露，也没有地下水水源保护区，因此，项目评价范围内无地下水保护目标。</w:t>
            </w:r>
          </w:p>
          <w:p>
            <w:pPr>
              <w:spacing w:line="360" w:lineRule="auto"/>
              <w:ind w:firstLine="480" w:firstLineChars="200"/>
              <w:rPr>
                <w:rFonts w:hint="eastAsia" w:eastAsia="宋体"/>
                <w:sz w:val="24"/>
                <w:lang w:val="en-US" w:eastAsia="zh-CN"/>
              </w:rPr>
            </w:pPr>
            <w:r>
              <w:rPr>
                <w:sz w:val="24"/>
              </w:rPr>
              <w:t>根据项目特点和所在区域特点，确定本项目的环境，保护目标如下。</w:t>
            </w:r>
          </w:p>
          <w:p>
            <w:pPr>
              <w:spacing w:line="360" w:lineRule="auto"/>
              <w:jc w:val="center"/>
              <w:rPr>
                <w:b/>
                <w:bCs/>
                <w:sz w:val="24"/>
                <w:szCs w:val="21"/>
              </w:rPr>
            </w:pPr>
            <w:r>
              <w:rPr>
                <w:b/>
                <w:bCs/>
                <w:sz w:val="24"/>
                <w:szCs w:val="21"/>
              </w:rPr>
              <w:t>表3-6  项目环境保护目标一览表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670"/>
              <w:gridCol w:w="894"/>
              <w:gridCol w:w="1848"/>
              <w:gridCol w:w="300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1" w:type="pct"/>
                  <w:vAlign w:val="center"/>
                </w:tcPr>
                <w:p>
                  <w:pPr>
                    <w:adjustRightInd w:val="0"/>
                    <w:snapToGrid w:val="0"/>
                    <w:jc w:val="center"/>
                    <w:rPr>
                      <w:b/>
                      <w:kern w:val="0"/>
                      <w:szCs w:val="21"/>
                    </w:rPr>
                  </w:pPr>
                  <w:bookmarkStart w:id="10" w:name="OLE_LINK1"/>
                  <w:r>
                    <w:rPr>
                      <w:b/>
                      <w:kern w:val="0"/>
                      <w:szCs w:val="21"/>
                    </w:rPr>
                    <w:t>环境要素</w:t>
                  </w:r>
                </w:p>
              </w:tc>
              <w:tc>
                <w:tcPr>
                  <w:tcW w:w="374" w:type="pct"/>
                  <w:vAlign w:val="center"/>
                </w:tcPr>
                <w:p>
                  <w:pPr>
                    <w:jc w:val="center"/>
                    <w:rPr>
                      <w:b/>
                      <w:bCs/>
                      <w:szCs w:val="21"/>
                    </w:rPr>
                  </w:pPr>
                  <w:r>
                    <w:rPr>
                      <w:b/>
                      <w:bCs/>
                      <w:szCs w:val="21"/>
                    </w:rPr>
                    <w:t>保护目标</w:t>
                  </w:r>
                </w:p>
              </w:tc>
              <w:tc>
                <w:tcPr>
                  <w:tcW w:w="499" w:type="pct"/>
                  <w:vAlign w:val="center"/>
                </w:tcPr>
                <w:p>
                  <w:pPr>
                    <w:jc w:val="center"/>
                    <w:rPr>
                      <w:b/>
                      <w:bCs/>
                      <w:szCs w:val="21"/>
                    </w:rPr>
                  </w:pPr>
                  <w:r>
                    <w:rPr>
                      <w:b/>
                      <w:bCs/>
                      <w:szCs w:val="21"/>
                    </w:rPr>
                    <w:t>概况</w:t>
                  </w:r>
                </w:p>
              </w:tc>
              <w:tc>
                <w:tcPr>
                  <w:tcW w:w="1031" w:type="pct"/>
                  <w:vAlign w:val="center"/>
                </w:tcPr>
                <w:p>
                  <w:pPr>
                    <w:jc w:val="center"/>
                    <w:rPr>
                      <w:b/>
                      <w:bCs/>
                      <w:szCs w:val="21"/>
                    </w:rPr>
                  </w:pPr>
                  <w:r>
                    <w:rPr>
                      <w:b/>
                      <w:bCs/>
                      <w:szCs w:val="21"/>
                    </w:rPr>
                    <w:t>位置关系</w:t>
                  </w:r>
                </w:p>
              </w:tc>
              <w:tc>
                <w:tcPr>
                  <w:tcW w:w="1678" w:type="pct"/>
                  <w:vAlign w:val="center"/>
                </w:tcPr>
                <w:p>
                  <w:pPr>
                    <w:jc w:val="center"/>
                    <w:rPr>
                      <w:b/>
                      <w:bCs/>
                      <w:szCs w:val="21"/>
                    </w:rPr>
                  </w:pPr>
                  <w:r>
                    <w:rPr>
                      <w:b/>
                      <w:bCs/>
                      <w:szCs w:val="21"/>
                    </w:rPr>
                    <w:t>保护要求</w:t>
                  </w:r>
                </w:p>
              </w:tc>
              <w:tc>
                <w:tcPr>
                  <w:tcW w:w="656" w:type="pct"/>
                  <w:vAlign w:val="center"/>
                </w:tcPr>
                <w:p>
                  <w:pPr>
                    <w:jc w:val="center"/>
                    <w:rPr>
                      <w:b/>
                      <w:bCs/>
                      <w:szCs w:val="21"/>
                    </w:rPr>
                  </w:pPr>
                  <w:r>
                    <w:rPr>
                      <w:b/>
                      <w:bCs/>
                      <w:szCs w:val="21"/>
                    </w:rPr>
                    <w:t>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pct"/>
                  <w:vAlign w:val="center"/>
                </w:tcPr>
                <w:p>
                  <w:pPr>
                    <w:adjustRightInd w:val="0"/>
                    <w:snapToGrid w:val="0"/>
                    <w:jc w:val="center"/>
                    <w:rPr>
                      <w:kern w:val="0"/>
                      <w:szCs w:val="21"/>
                    </w:rPr>
                  </w:pPr>
                  <w:r>
                    <w:rPr>
                      <w:kern w:val="0"/>
                      <w:szCs w:val="21"/>
                    </w:rPr>
                    <w:t>大气环境、声环境、电磁环境</w:t>
                  </w:r>
                </w:p>
              </w:tc>
              <w:tc>
                <w:tcPr>
                  <w:tcW w:w="374" w:type="pct"/>
                  <w:vAlign w:val="center"/>
                </w:tcPr>
                <w:p>
                  <w:pPr>
                    <w:jc w:val="center"/>
                    <w:rPr>
                      <w:bCs/>
                      <w:szCs w:val="21"/>
                    </w:rPr>
                  </w:pPr>
                  <w:r>
                    <w:rPr>
                      <w:bCs/>
                      <w:szCs w:val="21"/>
                    </w:rPr>
                    <w:t>无</w:t>
                  </w:r>
                </w:p>
              </w:tc>
              <w:tc>
                <w:tcPr>
                  <w:tcW w:w="499" w:type="pct"/>
                  <w:vAlign w:val="center"/>
                </w:tcPr>
                <w:p>
                  <w:pPr>
                    <w:jc w:val="center"/>
                    <w:rPr>
                      <w:bCs/>
                      <w:szCs w:val="21"/>
                    </w:rPr>
                  </w:pPr>
                  <w:r>
                    <w:rPr>
                      <w:bCs/>
                      <w:szCs w:val="21"/>
                    </w:rPr>
                    <w:t>/</w:t>
                  </w:r>
                </w:p>
              </w:tc>
              <w:tc>
                <w:tcPr>
                  <w:tcW w:w="1031" w:type="pct"/>
                  <w:vAlign w:val="center"/>
                </w:tcPr>
                <w:p>
                  <w:pPr>
                    <w:jc w:val="center"/>
                    <w:rPr>
                      <w:bCs/>
                      <w:szCs w:val="21"/>
                    </w:rPr>
                  </w:pPr>
                  <w:r>
                    <w:rPr>
                      <w:kern w:val="0"/>
                      <w:szCs w:val="21"/>
                    </w:rPr>
                    <w:t>工程建设区域周边200m范围内无居民点分布</w:t>
                  </w:r>
                </w:p>
              </w:tc>
              <w:tc>
                <w:tcPr>
                  <w:tcW w:w="1678" w:type="pct"/>
                  <w:vAlign w:val="center"/>
                </w:tcPr>
                <w:p>
                  <w:pPr>
                    <w:jc w:val="center"/>
                    <w:rPr>
                      <w:bCs/>
                      <w:szCs w:val="21"/>
                    </w:rPr>
                  </w:pPr>
                  <w:r>
                    <w:rPr>
                      <w:bCs/>
                      <w:szCs w:val="21"/>
                    </w:rPr>
                    <w:t>/</w:t>
                  </w:r>
                </w:p>
              </w:tc>
              <w:tc>
                <w:tcPr>
                  <w:tcW w:w="656" w:type="pct"/>
                  <w:vAlign w:val="center"/>
                </w:tcPr>
                <w:p>
                  <w:pPr>
                    <w:jc w:val="center"/>
                    <w:rPr>
                      <w:bCs/>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pct"/>
                  <w:vMerge w:val="restart"/>
                  <w:vAlign w:val="center"/>
                </w:tcPr>
                <w:p>
                  <w:pPr>
                    <w:adjustRightInd w:val="0"/>
                    <w:snapToGrid w:val="0"/>
                    <w:jc w:val="center"/>
                    <w:rPr>
                      <w:kern w:val="0"/>
                      <w:szCs w:val="21"/>
                    </w:rPr>
                  </w:pPr>
                  <w:r>
                    <w:rPr>
                      <w:kern w:val="0"/>
                      <w:szCs w:val="21"/>
                    </w:rPr>
                    <w:t>水环境</w:t>
                  </w:r>
                </w:p>
              </w:tc>
              <w:tc>
                <w:tcPr>
                  <w:tcW w:w="374" w:type="pct"/>
                  <w:vAlign w:val="center"/>
                </w:tcPr>
                <w:p>
                  <w:pPr>
                    <w:adjustRightInd w:val="0"/>
                    <w:snapToGrid w:val="0"/>
                    <w:jc w:val="center"/>
                    <w:rPr>
                      <w:kern w:val="0"/>
                      <w:szCs w:val="21"/>
                    </w:rPr>
                  </w:pPr>
                  <w:r>
                    <w:rPr>
                      <w:kern w:val="0"/>
                      <w:szCs w:val="21"/>
                    </w:rPr>
                    <w:t>无名箐沟</w:t>
                  </w:r>
                </w:p>
              </w:tc>
              <w:tc>
                <w:tcPr>
                  <w:tcW w:w="499" w:type="pct"/>
                  <w:vAlign w:val="center"/>
                </w:tcPr>
                <w:p>
                  <w:pPr>
                    <w:jc w:val="center"/>
                    <w:rPr>
                      <w:bCs/>
                      <w:szCs w:val="21"/>
                    </w:rPr>
                  </w:pPr>
                  <w:r>
                    <w:rPr>
                      <w:bCs/>
                      <w:szCs w:val="21"/>
                    </w:rPr>
                    <w:t>/</w:t>
                  </w:r>
                </w:p>
              </w:tc>
              <w:tc>
                <w:tcPr>
                  <w:tcW w:w="1031" w:type="pct"/>
                  <w:vAlign w:val="center"/>
                </w:tcPr>
                <w:p>
                  <w:pPr>
                    <w:jc w:val="center"/>
                    <w:rPr>
                      <w:rFonts w:hint="default" w:eastAsia="宋体"/>
                      <w:bCs/>
                      <w:szCs w:val="21"/>
                      <w:lang w:val="en-US" w:eastAsia="zh-CN"/>
                    </w:rPr>
                  </w:pPr>
                  <w:r>
                    <w:rPr>
                      <w:rFonts w:hint="eastAsia"/>
                      <w:kern w:val="0"/>
                      <w:szCs w:val="21"/>
                      <w:lang w:val="en-US" w:eastAsia="zh-CN"/>
                    </w:rPr>
                    <w:t>西侧2.5km</w:t>
                  </w:r>
                </w:p>
              </w:tc>
              <w:tc>
                <w:tcPr>
                  <w:tcW w:w="1678" w:type="pct"/>
                  <w:vMerge w:val="restart"/>
                  <w:vAlign w:val="center"/>
                </w:tcPr>
                <w:p>
                  <w:pPr>
                    <w:jc w:val="center"/>
                    <w:rPr>
                      <w:bCs/>
                      <w:szCs w:val="21"/>
                    </w:rPr>
                  </w:pPr>
                  <w:r>
                    <w:rPr>
                      <w:bCs/>
                      <w:szCs w:val="21"/>
                    </w:rPr>
                    <w:t>《地表水环境质量标准》（GB</w:t>
                  </w:r>
                  <w:r>
                    <w:rPr>
                      <w:rFonts w:hint="eastAsia"/>
                      <w:bCs/>
                      <w:szCs w:val="21"/>
                      <w:lang w:eastAsia="zh-CN"/>
                    </w:rPr>
                    <w:t>****</w:t>
                  </w:r>
                  <w:r>
                    <w:rPr>
                      <w:bCs/>
                      <w:szCs w:val="21"/>
                    </w:rPr>
                    <w:t>-2002）III类标准</w:t>
                  </w:r>
                </w:p>
              </w:tc>
              <w:tc>
                <w:tcPr>
                  <w:tcW w:w="656" w:type="pct"/>
                  <w:vMerge w:val="restart"/>
                  <w:vAlign w:val="center"/>
                </w:tcPr>
                <w:p>
                  <w:pPr>
                    <w:jc w:val="center"/>
                    <w:rPr>
                      <w:bCs/>
                      <w:szCs w:val="21"/>
                    </w:rPr>
                  </w:pPr>
                  <w:r>
                    <w:rPr>
                      <w:bCs/>
                      <w:szCs w:val="21"/>
                    </w:rPr>
                    <w:t>间接影响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61" w:type="pct"/>
                  <w:vMerge w:val="continue"/>
                  <w:vAlign w:val="center"/>
                </w:tcPr>
                <w:p>
                  <w:pPr>
                    <w:adjustRightInd w:val="0"/>
                    <w:snapToGrid w:val="0"/>
                    <w:jc w:val="center"/>
                    <w:rPr>
                      <w:kern w:val="0"/>
                      <w:szCs w:val="21"/>
                    </w:rPr>
                  </w:pPr>
                </w:p>
              </w:tc>
              <w:tc>
                <w:tcPr>
                  <w:tcW w:w="374" w:type="pct"/>
                  <w:vAlign w:val="center"/>
                </w:tcPr>
                <w:p>
                  <w:pPr>
                    <w:adjustRightInd w:val="0"/>
                    <w:snapToGrid w:val="0"/>
                    <w:jc w:val="center"/>
                    <w:rPr>
                      <w:kern w:val="0"/>
                      <w:szCs w:val="21"/>
                    </w:rPr>
                  </w:pPr>
                  <w:r>
                    <w:rPr>
                      <w:kern w:val="0"/>
                      <w:szCs w:val="21"/>
                    </w:rPr>
                    <w:t>大水沟</w:t>
                  </w:r>
                </w:p>
              </w:tc>
              <w:tc>
                <w:tcPr>
                  <w:tcW w:w="499" w:type="pct"/>
                  <w:vAlign w:val="center"/>
                </w:tcPr>
                <w:p>
                  <w:pPr>
                    <w:jc w:val="center"/>
                    <w:rPr>
                      <w:bCs/>
                      <w:szCs w:val="21"/>
                    </w:rPr>
                  </w:pPr>
                  <w:r>
                    <w:rPr>
                      <w:bCs/>
                      <w:szCs w:val="21"/>
                    </w:rPr>
                    <w:t>/</w:t>
                  </w:r>
                </w:p>
              </w:tc>
              <w:tc>
                <w:tcPr>
                  <w:tcW w:w="1031" w:type="pct"/>
                  <w:vAlign w:val="center"/>
                </w:tcPr>
                <w:p>
                  <w:pPr>
                    <w:jc w:val="center"/>
                    <w:rPr>
                      <w:kern w:val="0"/>
                      <w:szCs w:val="21"/>
                    </w:rPr>
                  </w:pPr>
                  <w:r>
                    <w:rPr>
                      <w:kern w:val="0"/>
                      <w:szCs w:val="21"/>
                    </w:rPr>
                    <w:t>东北侧5.0km</w:t>
                  </w:r>
                </w:p>
              </w:tc>
              <w:tc>
                <w:tcPr>
                  <w:tcW w:w="1678" w:type="pct"/>
                  <w:vMerge w:val="continue"/>
                  <w:vAlign w:val="center"/>
                </w:tcPr>
                <w:p>
                  <w:pPr>
                    <w:jc w:val="center"/>
                    <w:rPr>
                      <w:bCs/>
                      <w:szCs w:val="21"/>
                    </w:rPr>
                  </w:pPr>
                </w:p>
              </w:tc>
              <w:tc>
                <w:tcPr>
                  <w:tcW w:w="656" w:type="pct"/>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pct"/>
                  <w:vMerge w:val="continue"/>
                  <w:vAlign w:val="center"/>
                </w:tcPr>
                <w:p>
                  <w:pPr>
                    <w:adjustRightInd w:val="0"/>
                    <w:snapToGrid w:val="0"/>
                    <w:jc w:val="center"/>
                    <w:rPr>
                      <w:kern w:val="0"/>
                      <w:szCs w:val="21"/>
                    </w:rPr>
                  </w:pPr>
                </w:p>
              </w:tc>
              <w:tc>
                <w:tcPr>
                  <w:tcW w:w="374" w:type="pct"/>
                  <w:vAlign w:val="center"/>
                </w:tcPr>
                <w:p>
                  <w:pPr>
                    <w:adjustRightInd w:val="0"/>
                    <w:snapToGrid w:val="0"/>
                    <w:jc w:val="center"/>
                    <w:rPr>
                      <w:kern w:val="0"/>
                      <w:szCs w:val="21"/>
                    </w:rPr>
                  </w:pPr>
                  <w:r>
                    <w:rPr>
                      <w:kern w:val="0"/>
                      <w:szCs w:val="21"/>
                    </w:rPr>
                    <w:t>金沙江</w:t>
                  </w:r>
                </w:p>
              </w:tc>
              <w:tc>
                <w:tcPr>
                  <w:tcW w:w="499" w:type="pct"/>
                  <w:vAlign w:val="center"/>
                </w:tcPr>
                <w:p>
                  <w:pPr>
                    <w:jc w:val="center"/>
                    <w:rPr>
                      <w:bCs/>
                      <w:szCs w:val="21"/>
                    </w:rPr>
                  </w:pPr>
                  <w:r>
                    <w:rPr>
                      <w:bCs/>
                      <w:szCs w:val="21"/>
                    </w:rPr>
                    <w:t>/</w:t>
                  </w:r>
                </w:p>
              </w:tc>
              <w:tc>
                <w:tcPr>
                  <w:tcW w:w="1031" w:type="pct"/>
                  <w:vAlign w:val="center"/>
                </w:tcPr>
                <w:p>
                  <w:pPr>
                    <w:jc w:val="center"/>
                    <w:rPr>
                      <w:kern w:val="0"/>
                      <w:szCs w:val="21"/>
                    </w:rPr>
                  </w:pPr>
                  <w:r>
                    <w:rPr>
                      <w:kern w:val="0"/>
                      <w:szCs w:val="21"/>
                    </w:rPr>
                    <w:t>北侧9.8km</w:t>
                  </w:r>
                </w:p>
              </w:tc>
              <w:tc>
                <w:tcPr>
                  <w:tcW w:w="1678" w:type="pct"/>
                  <w:vMerge w:val="continue"/>
                  <w:vAlign w:val="center"/>
                </w:tcPr>
                <w:p>
                  <w:pPr>
                    <w:jc w:val="center"/>
                    <w:rPr>
                      <w:bCs/>
                      <w:szCs w:val="21"/>
                    </w:rPr>
                  </w:pPr>
                </w:p>
              </w:tc>
              <w:tc>
                <w:tcPr>
                  <w:tcW w:w="656" w:type="pct"/>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pct"/>
                  <w:vMerge w:val="restart"/>
                  <w:vAlign w:val="center"/>
                </w:tcPr>
                <w:p>
                  <w:pPr>
                    <w:jc w:val="center"/>
                    <w:rPr>
                      <w:bCs/>
                      <w:szCs w:val="21"/>
                    </w:rPr>
                  </w:pPr>
                  <w:r>
                    <w:rPr>
                      <w:kern w:val="0"/>
                      <w:szCs w:val="21"/>
                    </w:rPr>
                    <w:t>生态环境</w:t>
                  </w:r>
                </w:p>
              </w:tc>
              <w:tc>
                <w:tcPr>
                  <w:tcW w:w="374" w:type="pct"/>
                  <w:vAlign w:val="center"/>
                </w:tcPr>
                <w:p>
                  <w:pPr>
                    <w:jc w:val="center"/>
                    <w:rPr>
                      <w:bCs/>
                      <w:szCs w:val="21"/>
                    </w:rPr>
                  </w:pPr>
                  <w:r>
                    <w:rPr>
                      <w:bCs/>
                      <w:szCs w:val="21"/>
                    </w:rPr>
                    <w:t>植被</w:t>
                  </w:r>
                </w:p>
              </w:tc>
              <w:tc>
                <w:tcPr>
                  <w:tcW w:w="499" w:type="pct"/>
                  <w:vAlign w:val="center"/>
                </w:tcPr>
                <w:p>
                  <w:pPr>
                    <w:jc w:val="center"/>
                    <w:rPr>
                      <w:bCs/>
                      <w:szCs w:val="21"/>
                    </w:rPr>
                  </w:pPr>
                  <w:r>
                    <w:rPr>
                      <w:bCs/>
                      <w:szCs w:val="21"/>
                    </w:rPr>
                    <w:t>以亚高山草甸为主</w:t>
                  </w:r>
                </w:p>
              </w:tc>
              <w:tc>
                <w:tcPr>
                  <w:tcW w:w="1031" w:type="pct"/>
                  <w:vAlign w:val="center"/>
                </w:tcPr>
                <w:p>
                  <w:pPr>
                    <w:jc w:val="center"/>
                    <w:rPr>
                      <w:rFonts w:hint="default" w:eastAsia="宋体"/>
                      <w:bCs/>
                      <w:szCs w:val="21"/>
                      <w:lang w:val="en-US" w:eastAsia="zh-CN"/>
                    </w:rPr>
                  </w:pPr>
                  <w:r>
                    <w:rPr>
                      <w:rFonts w:hint="eastAsia"/>
                      <w:kern w:val="0"/>
                      <w:szCs w:val="21"/>
                      <w:lang w:val="en-US" w:eastAsia="zh-CN"/>
                    </w:rPr>
                    <w:t>站区周围准备</w:t>
                  </w:r>
                </w:p>
              </w:tc>
              <w:tc>
                <w:tcPr>
                  <w:tcW w:w="1678" w:type="pct"/>
                  <w:vAlign w:val="center"/>
                </w:tcPr>
                <w:p>
                  <w:pPr>
                    <w:jc w:val="center"/>
                    <w:rPr>
                      <w:bCs/>
                      <w:szCs w:val="21"/>
                    </w:rPr>
                  </w:pPr>
                  <w:r>
                    <w:rPr>
                      <w:bCs/>
                      <w:szCs w:val="21"/>
                    </w:rPr>
                    <w:t>保持评价区生态系统稳定性和完整性</w:t>
                  </w:r>
                </w:p>
              </w:tc>
              <w:tc>
                <w:tcPr>
                  <w:tcW w:w="656" w:type="pct"/>
                  <w:vMerge w:val="restart"/>
                  <w:vAlign w:val="center"/>
                </w:tcPr>
                <w:p>
                  <w:pPr>
                    <w:jc w:val="center"/>
                    <w:rPr>
                      <w:bCs/>
                      <w:szCs w:val="21"/>
                    </w:rPr>
                  </w:pPr>
                  <w:r>
                    <w:rPr>
                      <w:bCs/>
                      <w:szCs w:val="21"/>
                    </w:rPr>
                    <w:t>工程占地及施工活动人为干扰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pct"/>
                  <w:vMerge w:val="continue"/>
                  <w:vAlign w:val="center"/>
                </w:tcPr>
                <w:p>
                  <w:pPr>
                    <w:jc w:val="center"/>
                    <w:rPr>
                      <w:kern w:val="0"/>
                      <w:szCs w:val="21"/>
                    </w:rPr>
                  </w:pPr>
                </w:p>
              </w:tc>
              <w:tc>
                <w:tcPr>
                  <w:tcW w:w="374" w:type="pct"/>
                  <w:vAlign w:val="center"/>
                </w:tcPr>
                <w:p>
                  <w:pPr>
                    <w:jc w:val="center"/>
                    <w:rPr>
                      <w:bCs/>
                      <w:szCs w:val="21"/>
                    </w:rPr>
                  </w:pPr>
                  <w:r>
                    <w:rPr>
                      <w:bCs/>
                      <w:szCs w:val="21"/>
                    </w:rPr>
                    <w:t>动物</w:t>
                  </w:r>
                </w:p>
              </w:tc>
              <w:tc>
                <w:tcPr>
                  <w:tcW w:w="499" w:type="pct"/>
                  <w:vAlign w:val="center"/>
                </w:tcPr>
                <w:p>
                  <w:pPr>
                    <w:jc w:val="center"/>
                    <w:rPr>
                      <w:bCs/>
                      <w:szCs w:val="21"/>
                    </w:rPr>
                  </w:pPr>
                  <w:r>
                    <w:rPr>
                      <w:szCs w:val="21"/>
                    </w:rPr>
                    <w:t>当地常见的动物</w:t>
                  </w:r>
                </w:p>
              </w:tc>
              <w:tc>
                <w:tcPr>
                  <w:tcW w:w="1031" w:type="pct"/>
                  <w:vAlign w:val="center"/>
                </w:tcPr>
                <w:p>
                  <w:pPr>
                    <w:jc w:val="center"/>
                    <w:rPr>
                      <w:bCs/>
                      <w:szCs w:val="21"/>
                    </w:rPr>
                  </w:pPr>
                  <w:r>
                    <w:rPr>
                      <w:rFonts w:hint="eastAsia"/>
                      <w:kern w:val="0"/>
                      <w:szCs w:val="21"/>
                      <w:lang w:val="en-US" w:eastAsia="zh-CN"/>
                    </w:rPr>
                    <w:t>升压站</w:t>
                  </w:r>
                  <w:r>
                    <w:rPr>
                      <w:kern w:val="0"/>
                      <w:szCs w:val="21"/>
                    </w:rPr>
                    <w:t>规划范围内</w:t>
                  </w:r>
                </w:p>
              </w:tc>
              <w:tc>
                <w:tcPr>
                  <w:tcW w:w="1678" w:type="pct"/>
                  <w:vAlign w:val="center"/>
                </w:tcPr>
                <w:p>
                  <w:pPr>
                    <w:jc w:val="center"/>
                    <w:rPr>
                      <w:bCs/>
                      <w:szCs w:val="21"/>
                    </w:rPr>
                  </w:pPr>
                  <w:r>
                    <w:rPr>
                      <w:bCs/>
                      <w:szCs w:val="21"/>
                    </w:rPr>
                    <w:t>保护评价区野生动植物资源不受较大影响，保证物种多样性</w:t>
                  </w:r>
                </w:p>
              </w:tc>
              <w:tc>
                <w:tcPr>
                  <w:tcW w:w="656" w:type="pct"/>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pct"/>
                  <w:vAlign w:val="center"/>
                </w:tcPr>
                <w:p>
                  <w:pPr>
                    <w:jc w:val="center"/>
                    <w:rPr>
                      <w:kern w:val="0"/>
                      <w:szCs w:val="21"/>
                    </w:rPr>
                  </w:pPr>
                  <w:r>
                    <w:rPr>
                      <w:kern w:val="0"/>
                      <w:szCs w:val="21"/>
                    </w:rPr>
                    <w:t>土壤环境</w:t>
                  </w:r>
                </w:p>
              </w:tc>
              <w:tc>
                <w:tcPr>
                  <w:tcW w:w="374" w:type="pct"/>
                  <w:vAlign w:val="center"/>
                </w:tcPr>
                <w:p>
                  <w:pPr>
                    <w:jc w:val="center"/>
                    <w:rPr>
                      <w:bCs/>
                      <w:szCs w:val="21"/>
                    </w:rPr>
                  </w:pPr>
                  <w:r>
                    <w:rPr>
                      <w:bCs/>
                      <w:szCs w:val="21"/>
                    </w:rPr>
                    <w:t>土壤</w:t>
                  </w:r>
                </w:p>
              </w:tc>
              <w:tc>
                <w:tcPr>
                  <w:tcW w:w="499" w:type="pct"/>
                  <w:vAlign w:val="center"/>
                </w:tcPr>
                <w:p>
                  <w:pPr>
                    <w:jc w:val="center"/>
                    <w:rPr>
                      <w:szCs w:val="21"/>
                    </w:rPr>
                  </w:pPr>
                  <w:r>
                    <w:rPr>
                      <w:szCs w:val="21"/>
                    </w:rPr>
                    <w:t>/</w:t>
                  </w:r>
                </w:p>
              </w:tc>
              <w:tc>
                <w:tcPr>
                  <w:tcW w:w="1031" w:type="pct"/>
                  <w:vAlign w:val="center"/>
                </w:tcPr>
                <w:p>
                  <w:pPr>
                    <w:jc w:val="center"/>
                    <w:rPr>
                      <w:kern w:val="0"/>
                      <w:szCs w:val="21"/>
                    </w:rPr>
                  </w:pPr>
                  <w:r>
                    <w:rPr>
                      <w:rFonts w:hint="eastAsia"/>
                      <w:kern w:val="0"/>
                      <w:szCs w:val="21"/>
                      <w:lang w:val="en-US" w:eastAsia="zh-CN"/>
                    </w:rPr>
                    <w:t>升压站</w:t>
                  </w:r>
                  <w:r>
                    <w:rPr>
                      <w:kern w:val="0"/>
                      <w:szCs w:val="21"/>
                    </w:rPr>
                    <w:t>规划范围内</w:t>
                  </w:r>
                </w:p>
              </w:tc>
              <w:tc>
                <w:tcPr>
                  <w:tcW w:w="1678" w:type="pct"/>
                  <w:vAlign w:val="center"/>
                </w:tcPr>
                <w:p>
                  <w:pPr>
                    <w:jc w:val="center"/>
                    <w:rPr>
                      <w:bCs/>
                      <w:szCs w:val="21"/>
                    </w:rPr>
                  </w:pPr>
                  <w:r>
                    <w:rPr>
                      <w:bCs/>
                      <w:szCs w:val="21"/>
                    </w:rPr>
                    <w:t>保护土壤环境质量现状，光伏组件下方</w:t>
                  </w:r>
                  <w:r>
                    <w:rPr>
                      <w:szCs w:val="21"/>
                    </w:rPr>
                    <w:t>不得裸露地表、硬化或作其他用途。</w:t>
                  </w:r>
                </w:p>
              </w:tc>
              <w:tc>
                <w:tcPr>
                  <w:tcW w:w="656" w:type="pct"/>
                  <w:vAlign w:val="center"/>
                </w:tcPr>
                <w:p>
                  <w:pPr>
                    <w:jc w:val="center"/>
                    <w:rPr>
                      <w:bCs/>
                      <w:szCs w:val="21"/>
                    </w:rPr>
                  </w:pPr>
                  <w:r>
                    <w:rPr>
                      <w:bCs/>
                      <w:szCs w:val="21"/>
                    </w:rPr>
                    <w:t>工程占地及施工活动人为干扰</w:t>
                  </w:r>
                </w:p>
              </w:tc>
            </w:tr>
            <w:bookmarkEnd w:id="10"/>
          </w:tbl>
          <w:p>
            <w:pPr>
              <w:adjustRightInd w:val="0"/>
              <w:snapToGrid w:val="0"/>
              <w:jc w:val="center"/>
              <w:rPr>
                <w:kern w:val="0"/>
                <w:szCs w:val="21"/>
              </w:rPr>
            </w:pPr>
          </w:p>
          <w:p>
            <w:pPr>
              <w:adjustRightInd w:val="0"/>
              <w:snapToGrid w:val="0"/>
              <w:jc w:val="both"/>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pPr>
              <w:adjustRightInd w:val="0"/>
              <w:snapToGrid w:val="0"/>
              <w:jc w:val="center"/>
              <w:rPr>
                <w:kern w:val="0"/>
                <w:sz w:val="24"/>
                <w:szCs w:val="21"/>
              </w:rPr>
            </w:pPr>
            <w:r>
              <w:rPr>
                <w:kern w:val="0"/>
                <w:sz w:val="24"/>
                <w:szCs w:val="21"/>
              </w:rPr>
              <w:t>评价</w:t>
            </w:r>
          </w:p>
          <w:p>
            <w:pPr>
              <w:adjustRightInd w:val="0"/>
              <w:snapToGrid w:val="0"/>
              <w:jc w:val="center"/>
              <w:rPr>
                <w:kern w:val="0"/>
                <w:sz w:val="24"/>
                <w:szCs w:val="21"/>
              </w:rPr>
            </w:pPr>
            <w:r>
              <w:rPr>
                <w:kern w:val="0"/>
                <w:sz w:val="24"/>
                <w:szCs w:val="21"/>
              </w:rPr>
              <w:t>标准</w:t>
            </w:r>
          </w:p>
        </w:tc>
        <w:tc>
          <w:tcPr>
            <w:tcW w:w="9080" w:type="dxa"/>
            <w:gridSpan w:val="2"/>
            <w:vAlign w:val="center"/>
          </w:tcPr>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 xml:space="preserve">1、环境质量标准 </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（1）环境空气</w:t>
            </w:r>
          </w:p>
          <w:p>
            <w:pPr>
              <w:pStyle w:val="49"/>
              <w:spacing w:line="360" w:lineRule="auto"/>
              <w:ind w:firstLine="480" w:firstLineChars="200"/>
              <w:rPr>
                <w:rFonts w:ascii="Times New Roman" w:hAnsi="Times New Roman" w:eastAsia="宋体" w:cs="Times New Roman"/>
                <w:b/>
                <w:bCs/>
                <w:sz w:val="24"/>
              </w:rPr>
            </w:pPr>
            <w:r>
              <w:rPr>
                <w:rFonts w:ascii="Times New Roman" w:hAnsi="Times New Roman" w:eastAsia="宋体" w:cs="Times New Roman"/>
                <w:sz w:val="24"/>
              </w:rPr>
              <w:t>项目位于东川区舍块乡云坪村、因民镇红山村境内，所在地环境空气属于二类区，执行GB</w:t>
            </w:r>
            <w:r>
              <w:rPr>
                <w:rFonts w:hint="eastAsia" w:ascii="Times New Roman" w:hAnsi="Times New Roman" w:eastAsia="宋体" w:cs="Times New Roman"/>
                <w:sz w:val="24"/>
                <w:lang w:eastAsia="zh-CN"/>
              </w:rPr>
              <w:t>****</w:t>
            </w:r>
            <w:r>
              <w:rPr>
                <w:rFonts w:ascii="Times New Roman" w:hAnsi="Times New Roman" w:eastAsia="宋体" w:cs="Times New Roman"/>
                <w:sz w:val="24"/>
              </w:rPr>
              <w:t>-2012《环境空气质量标准》二级标准限值，标准值见下。</w:t>
            </w:r>
          </w:p>
          <w:p>
            <w:pPr>
              <w:adjustRightInd w:val="0"/>
              <w:snapToGrid w:val="0"/>
              <w:spacing w:line="360" w:lineRule="auto"/>
              <w:ind w:firstLine="200"/>
              <w:jc w:val="center"/>
              <w:rPr>
                <w:b/>
                <w:bCs/>
                <w:sz w:val="24"/>
              </w:rPr>
            </w:pPr>
            <w:r>
              <w:rPr>
                <w:b/>
                <w:sz w:val="24"/>
              </w:rPr>
              <w:t xml:space="preserve">表3-7  环境空气质量标准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3419"/>
              <w:gridCol w:w="2061"/>
              <w:gridCol w:w="118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8" w:type="pct"/>
                  <w:vMerge w:val="restart"/>
                  <w:vAlign w:val="center"/>
                </w:tcPr>
                <w:p>
                  <w:pPr>
                    <w:jc w:val="center"/>
                    <w:rPr>
                      <w:b/>
                      <w:bCs/>
                      <w:szCs w:val="21"/>
                    </w:rPr>
                  </w:pPr>
                  <w:r>
                    <w:rPr>
                      <w:b/>
                      <w:bCs/>
                      <w:szCs w:val="21"/>
                    </w:rPr>
                    <w:t>污染物类别</w:t>
                  </w:r>
                </w:p>
              </w:tc>
              <w:tc>
                <w:tcPr>
                  <w:tcW w:w="1908" w:type="pct"/>
                  <w:vMerge w:val="restart"/>
                  <w:vAlign w:val="center"/>
                </w:tcPr>
                <w:p>
                  <w:pPr>
                    <w:jc w:val="center"/>
                    <w:rPr>
                      <w:b/>
                      <w:bCs/>
                      <w:szCs w:val="21"/>
                    </w:rPr>
                  </w:pPr>
                  <w:r>
                    <w:rPr>
                      <w:b/>
                      <w:bCs/>
                      <w:szCs w:val="21"/>
                    </w:rPr>
                    <w:t>污染物项目</w:t>
                  </w:r>
                </w:p>
              </w:tc>
              <w:tc>
                <w:tcPr>
                  <w:tcW w:w="1150" w:type="pct"/>
                  <w:vMerge w:val="restart"/>
                  <w:vAlign w:val="center"/>
                </w:tcPr>
                <w:p>
                  <w:pPr>
                    <w:jc w:val="center"/>
                    <w:rPr>
                      <w:b/>
                      <w:bCs/>
                      <w:szCs w:val="21"/>
                    </w:rPr>
                  </w:pPr>
                  <w:r>
                    <w:rPr>
                      <w:b/>
                      <w:bCs/>
                      <w:szCs w:val="21"/>
                    </w:rPr>
                    <w:t>平均时段</w:t>
                  </w:r>
                </w:p>
              </w:tc>
              <w:tc>
                <w:tcPr>
                  <w:tcW w:w="661" w:type="pct"/>
                  <w:vAlign w:val="center"/>
                </w:tcPr>
                <w:p>
                  <w:pPr>
                    <w:jc w:val="center"/>
                    <w:rPr>
                      <w:b/>
                      <w:bCs/>
                      <w:szCs w:val="21"/>
                    </w:rPr>
                  </w:pPr>
                  <w:r>
                    <w:rPr>
                      <w:b/>
                      <w:bCs/>
                      <w:szCs w:val="21"/>
                    </w:rPr>
                    <w:t>浓度限值</w:t>
                  </w:r>
                </w:p>
              </w:tc>
              <w:tc>
                <w:tcPr>
                  <w:tcW w:w="503" w:type="pct"/>
                  <w:vMerge w:val="restart"/>
                  <w:vAlign w:val="center"/>
                </w:tcPr>
                <w:p>
                  <w:pPr>
                    <w:jc w:val="center"/>
                    <w:rPr>
                      <w:b/>
                      <w:bCs/>
                      <w:szCs w:val="21"/>
                    </w:rPr>
                  </w:pPr>
                  <w:r>
                    <w:rPr>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8" w:type="pct"/>
                  <w:vMerge w:val="continue"/>
                  <w:vAlign w:val="center"/>
                </w:tcPr>
                <w:p>
                  <w:pPr>
                    <w:jc w:val="center"/>
                    <w:rPr>
                      <w:b/>
                      <w:bCs/>
                      <w:szCs w:val="21"/>
                    </w:rPr>
                  </w:pPr>
                </w:p>
              </w:tc>
              <w:tc>
                <w:tcPr>
                  <w:tcW w:w="1908" w:type="pct"/>
                  <w:vMerge w:val="continue"/>
                  <w:vAlign w:val="center"/>
                </w:tcPr>
                <w:p>
                  <w:pPr>
                    <w:jc w:val="center"/>
                    <w:rPr>
                      <w:b/>
                      <w:bCs/>
                      <w:szCs w:val="21"/>
                    </w:rPr>
                  </w:pPr>
                </w:p>
              </w:tc>
              <w:tc>
                <w:tcPr>
                  <w:tcW w:w="1150" w:type="pct"/>
                  <w:vMerge w:val="continue"/>
                  <w:vAlign w:val="center"/>
                </w:tcPr>
                <w:p>
                  <w:pPr>
                    <w:jc w:val="center"/>
                    <w:rPr>
                      <w:b/>
                      <w:bCs/>
                      <w:szCs w:val="21"/>
                    </w:rPr>
                  </w:pPr>
                </w:p>
              </w:tc>
              <w:tc>
                <w:tcPr>
                  <w:tcW w:w="661" w:type="pct"/>
                  <w:vAlign w:val="center"/>
                </w:tcPr>
                <w:p>
                  <w:pPr>
                    <w:jc w:val="center"/>
                    <w:rPr>
                      <w:b/>
                      <w:bCs/>
                      <w:szCs w:val="21"/>
                    </w:rPr>
                  </w:pPr>
                  <w:r>
                    <w:rPr>
                      <w:b/>
                      <w:bCs/>
                      <w:szCs w:val="21"/>
                    </w:rPr>
                    <w:t>二级</w:t>
                  </w:r>
                </w:p>
              </w:tc>
              <w:tc>
                <w:tcPr>
                  <w:tcW w:w="503" w:type="pct"/>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8" w:type="pct"/>
                  <w:vMerge w:val="restart"/>
                  <w:vAlign w:val="center"/>
                </w:tcPr>
                <w:p>
                  <w:pPr>
                    <w:jc w:val="center"/>
                    <w:rPr>
                      <w:szCs w:val="21"/>
                    </w:rPr>
                  </w:pPr>
                  <w:r>
                    <w:rPr>
                      <w:szCs w:val="21"/>
                    </w:rPr>
                    <w:t>基本因子</w:t>
                  </w:r>
                </w:p>
              </w:tc>
              <w:tc>
                <w:tcPr>
                  <w:tcW w:w="1908" w:type="pct"/>
                  <w:vMerge w:val="restart"/>
                  <w:vAlign w:val="center"/>
                </w:tcPr>
                <w:p>
                  <w:pPr>
                    <w:jc w:val="center"/>
                    <w:rPr>
                      <w:szCs w:val="21"/>
                    </w:rPr>
                  </w:pPr>
                  <w:r>
                    <w:rPr>
                      <w:szCs w:val="21"/>
                    </w:rPr>
                    <w:t>二氧化硫（SO</w:t>
                  </w:r>
                  <w:r>
                    <w:rPr>
                      <w:szCs w:val="21"/>
                      <w:vertAlign w:val="subscript"/>
                    </w:rPr>
                    <w:t>2</w:t>
                  </w:r>
                  <w:r>
                    <w:rPr>
                      <w:szCs w:val="21"/>
                    </w:rPr>
                    <w:t>）</w:t>
                  </w:r>
                </w:p>
              </w:tc>
              <w:tc>
                <w:tcPr>
                  <w:tcW w:w="1150" w:type="pct"/>
                  <w:vAlign w:val="center"/>
                </w:tcPr>
                <w:p>
                  <w:pPr>
                    <w:jc w:val="center"/>
                    <w:rPr>
                      <w:szCs w:val="21"/>
                    </w:rPr>
                  </w:pPr>
                  <w:r>
                    <w:rPr>
                      <w:szCs w:val="21"/>
                    </w:rPr>
                    <w:t>年平均</w:t>
                  </w:r>
                </w:p>
              </w:tc>
              <w:tc>
                <w:tcPr>
                  <w:tcW w:w="661" w:type="pct"/>
                  <w:vAlign w:val="center"/>
                </w:tcPr>
                <w:p>
                  <w:pPr>
                    <w:jc w:val="center"/>
                    <w:rPr>
                      <w:szCs w:val="21"/>
                    </w:rPr>
                  </w:pPr>
                  <w:r>
                    <w:rPr>
                      <w:szCs w:val="21"/>
                    </w:rPr>
                    <w:t>60</w:t>
                  </w:r>
                </w:p>
              </w:tc>
              <w:tc>
                <w:tcPr>
                  <w:tcW w:w="503" w:type="pct"/>
                  <w:vMerge w:val="restart"/>
                  <w:vAlign w:val="center"/>
                </w:tcPr>
                <w:p>
                  <w:pPr>
                    <w:jc w:val="center"/>
                    <w:rPr>
                      <w:szCs w:val="21"/>
                    </w:rPr>
                  </w:pPr>
                  <w:r>
                    <w:rPr>
                      <w:szCs w:val="21"/>
                    </w:rPr>
                    <w:t>µg/m³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78" w:type="pct"/>
                  <w:vMerge w:val="continue"/>
                  <w:vAlign w:val="center"/>
                </w:tcPr>
                <w:p>
                  <w:pPr>
                    <w:jc w:val="center"/>
                    <w:rPr>
                      <w:szCs w:val="21"/>
                    </w:rPr>
                  </w:pPr>
                </w:p>
              </w:tc>
              <w:tc>
                <w:tcPr>
                  <w:tcW w:w="1908" w:type="pct"/>
                  <w:vMerge w:val="continue"/>
                  <w:vAlign w:val="center"/>
                </w:tcPr>
                <w:p>
                  <w:pPr>
                    <w:jc w:val="center"/>
                    <w:rPr>
                      <w:szCs w:val="21"/>
                    </w:rPr>
                  </w:pPr>
                </w:p>
              </w:tc>
              <w:tc>
                <w:tcPr>
                  <w:tcW w:w="1150" w:type="pct"/>
                  <w:vAlign w:val="center"/>
                </w:tcPr>
                <w:p>
                  <w:pPr>
                    <w:jc w:val="center"/>
                    <w:rPr>
                      <w:szCs w:val="21"/>
                    </w:rPr>
                  </w:pPr>
                  <w:r>
                    <w:rPr>
                      <w:szCs w:val="21"/>
                    </w:rPr>
                    <w:t>24小时平均</w:t>
                  </w:r>
                </w:p>
              </w:tc>
              <w:tc>
                <w:tcPr>
                  <w:tcW w:w="661" w:type="pct"/>
                  <w:vAlign w:val="center"/>
                </w:tcPr>
                <w:p>
                  <w:pPr>
                    <w:jc w:val="center"/>
                    <w:rPr>
                      <w:szCs w:val="21"/>
                    </w:rPr>
                  </w:pPr>
                  <w:r>
                    <w:rPr>
                      <w:szCs w:val="21"/>
                    </w:rPr>
                    <w:t>150</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778" w:type="pct"/>
                  <w:vMerge w:val="continue"/>
                  <w:vAlign w:val="center"/>
                </w:tcPr>
                <w:p>
                  <w:pPr>
                    <w:jc w:val="center"/>
                    <w:rPr>
                      <w:szCs w:val="21"/>
                    </w:rPr>
                  </w:pPr>
                </w:p>
              </w:tc>
              <w:tc>
                <w:tcPr>
                  <w:tcW w:w="1908" w:type="pct"/>
                  <w:vMerge w:val="continue"/>
                  <w:vAlign w:val="center"/>
                </w:tcPr>
                <w:p>
                  <w:pPr>
                    <w:jc w:val="center"/>
                    <w:rPr>
                      <w:szCs w:val="21"/>
                    </w:rPr>
                  </w:pPr>
                </w:p>
              </w:tc>
              <w:tc>
                <w:tcPr>
                  <w:tcW w:w="1150" w:type="pct"/>
                  <w:vAlign w:val="center"/>
                </w:tcPr>
                <w:p>
                  <w:pPr>
                    <w:jc w:val="center"/>
                    <w:rPr>
                      <w:szCs w:val="21"/>
                    </w:rPr>
                  </w:pPr>
                  <w:r>
                    <w:rPr>
                      <w:szCs w:val="21"/>
                    </w:rPr>
                    <w:t>1小时平均</w:t>
                  </w:r>
                </w:p>
              </w:tc>
              <w:tc>
                <w:tcPr>
                  <w:tcW w:w="661" w:type="pct"/>
                  <w:vAlign w:val="center"/>
                </w:tcPr>
                <w:p>
                  <w:pPr>
                    <w:jc w:val="center"/>
                    <w:rPr>
                      <w:szCs w:val="21"/>
                    </w:rPr>
                  </w:pPr>
                  <w:r>
                    <w:rPr>
                      <w:szCs w:val="21"/>
                    </w:rPr>
                    <w:t>500</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78" w:type="pct"/>
                  <w:vMerge w:val="continue"/>
                  <w:vAlign w:val="center"/>
                </w:tcPr>
                <w:p>
                  <w:pPr>
                    <w:jc w:val="center"/>
                    <w:rPr>
                      <w:szCs w:val="21"/>
                    </w:rPr>
                  </w:pPr>
                </w:p>
              </w:tc>
              <w:tc>
                <w:tcPr>
                  <w:tcW w:w="1908" w:type="pct"/>
                  <w:vMerge w:val="restart"/>
                  <w:vAlign w:val="center"/>
                </w:tcPr>
                <w:p>
                  <w:pPr>
                    <w:jc w:val="center"/>
                    <w:rPr>
                      <w:szCs w:val="21"/>
                    </w:rPr>
                  </w:pPr>
                  <w:r>
                    <w:rPr>
                      <w:szCs w:val="21"/>
                    </w:rPr>
                    <w:t>二氧化氮（NO</w:t>
                  </w:r>
                  <w:r>
                    <w:rPr>
                      <w:szCs w:val="21"/>
                      <w:vertAlign w:val="subscript"/>
                    </w:rPr>
                    <w:t>2</w:t>
                  </w:r>
                  <w:r>
                    <w:rPr>
                      <w:szCs w:val="21"/>
                    </w:rPr>
                    <w:t>）</w:t>
                  </w:r>
                </w:p>
              </w:tc>
              <w:tc>
                <w:tcPr>
                  <w:tcW w:w="1150" w:type="pct"/>
                  <w:vAlign w:val="center"/>
                </w:tcPr>
                <w:p>
                  <w:pPr>
                    <w:jc w:val="center"/>
                    <w:rPr>
                      <w:szCs w:val="21"/>
                    </w:rPr>
                  </w:pPr>
                  <w:r>
                    <w:rPr>
                      <w:szCs w:val="21"/>
                    </w:rPr>
                    <w:t>年平均</w:t>
                  </w:r>
                </w:p>
              </w:tc>
              <w:tc>
                <w:tcPr>
                  <w:tcW w:w="661" w:type="pct"/>
                  <w:vAlign w:val="center"/>
                </w:tcPr>
                <w:p>
                  <w:pPr>
                    <w:jc w:val="center"/>
                    <w:rPr>
                      <w:szCs w:val="21"/>
                    </w:rPr>
                  </w:pPr>
                  <w:r>
                    <w:rPr>
                      <w:szCs w:val="21"/>
                    </w:rPr>
                    <w:t>40</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78" w:type="pct"/>
                  <w:vMerge w:val="continue"/>
                  <w:vAlign w:val="center"/>
                </w:tcPr>
                <w:p>
                  <w:pPr>
                    <w:jc w:val="center"/>
                    <w:rPr>
                      <w:szCs w:val="21"/>
                    </w:rPr>
                  </w:pPr>
                </w:p>
              </w:tc>
              <w:tc>
                <w:tcPr>
                  <w:tcW w:w="1908" w:type="pct"/>
                  <w:vMerge w:val="continue"/>
                  <w:vAlign w:val="center"/>
                </w:tcPr>
                <w:p>
                  <w:pPr>
                    <w:jc w:val="center"/>
                    <w:rPr>
                      <w:szCs w:val="21"/>
                    </w:rPr>
                  </w:pPr>
                </w:p>
              </w:tc>
              <w:tc>
                <w:tcPr>
                  <w:tcW w:w="1150" w:type="pct"/>
                  <w:vAlign w:val="center"/>
                </w:tcPr>
                <w:p>
                  <w:pPr>
                    <w:jc w:val="center"/>
                    <w:rPr>
                      <w:szCs w:val="21"/>
                    </w:rPr>
                  </w:pPr>
                  <w:r>
                    <w:rPr>
                      <w:szCs w:val="21"/>
                    </w:rPr>
                    <w:t>24小时平均</w:t>
                  </w:r>
                </w:p>
              </w:tc>
              <w:tc>
                <w:tcPr>
                  <w:tcW w:w="661" w:type="pct"/>
                  <w:vAlign w:val="center"/>
                </w:tcPr>
                <w:p>
                  <w:pPr>
                    <w:jc w:val="center"/>
                    <w:rPr>
                      <w:szCs w:val="21"/>
                    </w:rPr>
                  </w:pPr>
                  <w:r>
                    <w:rPr>
                      <w:szCs w:val="21"/>
                    </w:rPr>
                    <w:t>80</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78" w:type="pct"/>
                  <w:vMerge w:val="continue"/>
                  <w:vAlign w:val="center"/>
                </w:tcPr>
                <w:p>
                  <w:pPr>
                    <w:jc w:val="center"/>
                    <w:rPr>
                      <w:szCs w:val="21"/>
                    </w:rPr>
                  </w:pPr>
                </w:p>
              </w:tc>
              <w:tc>
                <w:tcPr>
                  <w:tcW w:w="1908" w:type="pct"/>
                  <w:vMerge w:val="continue"/>
                  <w:vAlign w:val="center"/>
                </w:tcPr>
                <w:p>
                  <w:pPr>
                    <w:jc w:val="center"/>
                    <w:rPr>
                      <w:szCs w:val="21"/>
                    </w:rPr>
                  </w:pPr>
                </w:p>
              </w:tc>
              <w:tc>
                <w:tcPr>
                  <w:tcW w:w="1150" w:type="pct"/>
                  <w:vAlign w:val="center"/>
                </w:tcPr>
                <w:p>
                  <w:pPr>
                    <w:jc w:val="center"/>
                    <w:rPr>
                      <w:szCs w:val="21"/>
                    </w:rPr>
                  </w:pPr>
                  <w:r>
                    <w:rPr>
                      <w:szCs w:val="21"/>
                    </w:rPr>
                    <w:t>1小时平均</w:t>
                  </w:r>
                </w:p>
              </w:tc>
              <w:tc>
                <w:tcPr>
                  <w:tcW w:w="661" w:type="pct"/>
                  <w:vAlign w:val="center"/>
                </w:tcPr>
                <w:p>
                  <w:pPr>
                    <w:jc w:val="center"/>
                    <w:rPr>
                      <w:szCs w:val="21"/>
                    </w:rPr>
                  </w:pPr>
                  <w:r>
                    <w:rPr>
                      <w:szCs w:val="21"/>
                    </w:rPr>
                    <w:t>200</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78" w:type="pct"/>
                  <w:vMerge w:val="continue"/>
                  <w:vAlign w:val="center"/>
                </w:tcPr>
                <w:p>
                  <w:pPr>
                    <w:jc w:val="center"/>
                    <w:rPr>
                      <w:szCs w:val="21"/>
                    </w:rPr>
                  </w:pPr>
                </w:p>
              </w:tc>
              <w:tc>
                <w:tcPr>
                  <w:tcW w:w="1908" w:type="pct"/>
                  <w:vMerge w:val="restart"/>
                  <w:vAlign w:val="center"/>
                </w:tcPr>
                <w:p>
                  <w:pPr>
                    <w:jc w:val="center"/>
                    <w:rPr>
                      <w:szCs w:val="21"/>
                    </w:rPr>
                  </w:pPr>
                  <w:r>
                    <w:rPr>
                      <w:szCs w:val="21"/>
                    </w:rPr>
                    <w:t>一氧化碳（CO）</w:t>
                  </w:r>
                </w:p>
              </w:tc>
              <w:tc>
                <w:tcPr>
                  <w:tcW w:w="1150" w:type="pct"/>
                  <w:vAlign w:val="center"/>
                </w:tcPr>
                <w:p>
                  <w:pPr>
                    <w:jc w:val="center"/>
                    <w:rPr>
                      <w:szCs w:val="21"/>
                    </w:rPr>
                  </w:pPr>
                  <w:r>
                    <w:rPr>
                      <w:szCs w:val="21"/>
                    </w:rPr>
                    <w:t>24小时平均</w:t>
                  </w:r>
                </w:p>
              </w:tc>
              <w:tc>
                <w:tcPr>
                  <w:tcW w:w="661" w:type="pct"/>
                  <w:vAlign w:val="center"/>
                </w:tcPr>
                <w:p>
                  <w:pPr>
                    <w:jc w:val="center"/>
                    <w:rPr>
                      <w:szCs w:val="21"/>
                    </w:rPr>
                  </w:pPr>
                  <w:r>
                    <w:rPr>
                      <w:szCs w:val="21"/>
                    </w:rPr>
                    <w:t>4</w:t>
                  </w:r>
                </w:p>
              </w:tc>
              <w:tc>
                <w:tcPr>
                  <w:tcW w:w="503" w:type="pct"/>
                  <w:vMerge w:val="restart"/>
                  <w:vAlign w:val="center"/>
                </w:tcPr>
                <w:p>
                  <w:pPr>
                    <w:jc w:val="center"/>
                    <w:rPr>
                      <w:szCs w:val="21"/>
                    </w:rPr>
                  </w:pPr>
                  <w:r>
                    <w:rPr>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78" w:type="pct"/>
                  <w:vMerge w:val="continue"/>
                  <w:vAlign w:val="center"/>
                </w:tcPr>
                <w:p>
                  <w:pPr>
                    <w:jc w:val="center"/>
                    <w:rPr>
                      <w:szCs w:val="21"/>
                    </w:rPr>
                  </w:pPr>
                </w:p>
              </w:tc>
              <w:tc>
                <w:tcPr>
                  <w:tcW w:w="1908" w:type="pct"/>
                  <w:vMerge w:val="continue"/>
                  <w:vAlign w:val="center"/>
                </w:tcPr>
                <w:p>
                  <w:pPr>
                    <w:jc w:val="center"/>
                    <w:rPr>
                      <w:szCs w:val="21"/>
                    </w:rPr>
                  </w:pPr>
                </w:p>
              </w:tc>
              <w:tc>
                <w:tcPr>
                  <w:tcW w:w="1150" w:type="pct"/>
                  <w:vAlign w:val="center"/>
                </w:tcPr>
                <w:p>
                  <w:pPr>
                    <w:jc w:val="center"/>
                    <w:rPr>
                      <w:szCs w:val="21"/>
                    </w:rPr>
                  </w:pPr>
                  <w:r>
                    <w:rPr>
                      <w:szCs w:val="21"/>
                    </w:rPr>
                    <w:t>1小时平均</w:t>
                  </w:r>
                </w:p>
              </w:tc>
              <w:tc>
                <w:tcPr>
                  <w:tcW w:w="661" w:type="pct"/>
                  <w:vAlign w:val="center"/>
                </w:tcPr>
                <w:p>
                  <w:pPr>
                    <w:jc w:val="center"/>
                    <w:rPr>
                      <w:szCs w:val="21"/>
                    </w:rPr>
                  </w:pPr>
                  <w:r>
                    <w:rPr>
                      <w:szCs w:val="21"/>
                    </w:rPr>
                    <w:t>10</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78" w:type="pct"/>
                  <w:vMerge w:val="continue"/>
                  <w:vAlign w:val="center"/>
                </w:tcPr>
                <w:p>
                  <w:pPr>
                    <w:jc w:val="center"/>
                    <w:rPr>
                      <w:szCs w:val="21"/>
                    </w:rPr>
                  </w:pPr>
                </w:p>
              </w:tc>
              <w:tc>
                <w:tcPr>
                  <w:tcW w:w="1908" w:type="pct"/>
                  <w:vMerge w:val="restart"/>
                  <w:vAlign w:val="center"/>
                </w:tcPr>
                <w:p>
                  <w:pPr>
                    <w:jc w:val="center"/>
                    <w:rPr>
                      <w:szCs w:val="21"/>
                    </w:rPr>
                  </w:pPr>
                  <w:r>
                    <w:rPr>
                      <w:szCs w:val="21"/>
                    </w:rPr>
                    <w:t>臭氧（O</w:t>
                  </w:r>
                  <w:r>
                    <w:rPr>
                      <w:szCs w:val="21"/>
                      <w:vertAlign w:val="subscript"/>
                    </w:rPr>
                    <w:t>3</w:t>
                  </w:r>
                  <w:r>
                    <w:rPr>
                      <w:szCs w:val="21"/>
                    </w:rPr>
                    <w:t>）</w:t>
                  </w:r>
                </w:p>
              </w:tc>
              <w:tc>
                <w:tcPr>
                  <w:tcW w:w="1150" w:type="pct"/>
                  <w:vAlign w:val="center"/>
                </w:tcPr>
                <w:p>
                  <w:pPr>
                    <w:jc w:val="center"/>
                    <w:rPr>
                      <w:szCs w:val="21"/>
                    </w:rPr>
                  </w:pPr>
                  <w:r>
                    <w:rPr>
                      <w:szCs w:val="21"/>
                    </w:rPr>
                    <w:t>日最大8小时平均</w:t>
                  </w:r>
                </w:p>
              </w:tc>
              <w:tc>
                <w:tcPr>
                  <w:tcW w:w="661" w:type="pct"/>
                  <w:vAlign w:val="center"/>
                </w:tcPr>
                <w:p>
                  <w:pPr>
                    <w:jc w:val="center"/>
                    <w:rPr>
                      <w:szCs w:val="21"/>
                    </w:rPr>
                  </w:pPr>
                  <w:r>
                    <w:rPr>
                      <w:szCs w:val="21"/>
                    </w:rPr>
                    <w:t>160</w:t>
                  </w:r>
                </w:p>
              </w:tc>
              <w:tc>
                <w:tcPr>
                  <w:tcW w:w="503" w:type="pct"/>
                  <w:vMerge w:val="restart"/>
                  <w:vAlign w:val="center"/>
                </w:tcPr>
                <w:p>
                  <w:pPr>
                    <w:jc w:val="center"/>
                    <w:rPr>
                      <w:szCs w:val="21"/>
                    </w:rPr>
                  </w:pPr>
                  <w:r>
                    <w:rPr>
                      <w:szCs w:val="21"/>
                    </w:rPr>
                    <w:t>µg/m³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78" w:type="pct"/>
                  <w:vMerge w:val="continue"/>
                  <w:vAlign w:val="center"/>
                </w:tcPr>
                <w:p>
                  <w:pPr>
                    <w:jc w:val="center"/>
                    <w:rPr>
                      <w:szCs w:val="21"/>
                    </w:rPr>
                  </w:pPr>
                </w:p>
              </w:tc>
              <w:tc>
                <w:tcPr>
                  <w:tcW w:w="1908" w:type="pct"/>
                  <w:vMerge w:val="continue"/>
                  <w:vAlign w:val="center"/>
                </w:tcPr>
                <w:p>
                  <w:pPr>
                    <w:jc w:val="center"/>
                    <w:rPr>
                      <w:szCs w:val="21"/>
                    </w:rPr>
                  </w:pPr>
                </w:p>
              </w:tc>
              <w:tc>
                <w:tcPr>
                  <w:tcW w:w="1150" w:type="pct"/>
                  <w:vAlign w:val="center"/>
                </w:tcPr>
                <w:p>
                  <w:pPr>
                    <w:jc w:val="center"/>
                    <w:rPr>
                      <w:szCs w:val="21"/>
                    </w:rPr>
                  </w:pPr>
                  <w:r>
                    <w:rPr>
                      <w:szCs w:val="21"/>
                    </w:rPr>
                    <w:t>1小时平均</w:t>
                  </w:r>
                </w:p>
              </w:tc>
              <w:tc>
                <w:tcPr>
                  <w:tcW w:w="661" w:type="pct"/>
                  <w:vAlign w:val="center"/>
                </w:tcPr>
                <w:p>
                  <w:pPr>
                    <w:jc w:val="center"/>
                    <w:rPr>
                      <w:szCs w:val="21"/>
                    </w:rPr>
                  </w:pPr>
                  <w:r>
                    <w:rPr>
                      <w:szCs w:val="21"/>
                    </w:rPr>
                    <w:t>200</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8" w:type="pct"/>
                  <w:vMerge w:val="continue"/>
                  <w:vAlign w:val="center"/>
                </w:tcPr>
                <w:p>
                  <w:pPr>
                    <w:jc w:val="center"/>
                    <w:rPr>
                      <w:szCs w:val="21"/>
                    </w:rPr>
                  </w:pPr>
                </w:p>
              </w:tc>
              <w:tc>
                <w:tcPr>
                  <w:tcW w:w="1908" w:type="pct"/>
                  <w:vMerge w:val="restart"/>
                  <w:vAlign w:val="center"/>
                </w:tcPr>
                <w:p>
                  <w:pPr>
                    <w:jc w:val="center"/>
                    <w:rPr>
                      <w:szCs w:val="21"/>
                    </w:rPr>
                  </w:pPr>
                  <w:r>
                    <w:rPr>
                      <w:szCs w:val="21"/>
                    </w:rPr>
                    <w:t>颗粒物（粒径小于等于10μm）</w:t>
                  </w:r>
                </w:p>
              </w:tc>
              <w:tc>
                <w:tcPr>
                  <w:tcW w:w="1150" w:type="pct"/>
                  <w:vAlign w:val="center"/>
                </w:tcPr>
                <w:p>
                  <w:pPr>
                    <w:jc w:val="center"/>
                    <w:rPr>
                      <w:szCs w:val="21"/>
                    </w:rPr>
                  </w:pPr>
                  <w:r>
                    <w:rPr>
                      <w:szCs w:val="21"/>
                    </w:rPr>
                    <w:t>年平均</w:t>
                  </w:r>
                </w:p>
              </w:tc>
              <w:tc>
                <w:tcPr>
                  <w:tcW w:w="661" w:type="pct"/>
                  <w:vAlign w:val="center"/>
                </w:tcPr>
                <w:p>
                  <w:pPr>
                    <w:jc w:val="center"/>
                    <w:rPr>
                      <w:szCs w:val="21"/>
                    </w:rPr>
                  </w:pPr>
                  <w:r>
                    <w:rPr>
                      <w:szCs w:val="21"/>
                    </w:rPr>
                    <w:t>70</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8" w:type="pct"/>
                  <w:vMerge w:val="continue"/>
                  <w:vAlign w:val="center"/>
                </w:tcPr>
                <w:p>
                  <w:pPr>
                    <w:jc w:val="center"/>
                    <w:rPr>
                      <w:szCs w:val="21"/>
                    </w:rPr>
                  </w:pPr>
                </w:p>
              </w:tc>
              <w:tc>
                <w:tcPr>
                  <w:tcW w:w="1908" w:type="pct"/>
                  <w:vMerge w:val="continue"/>
                  <w:vAlign w:val="center"/>
                </w:tcPr>
                <w:p>
                  <w:pPr>
                    <w:jc w:val="center"/>
                    <w:rPr>
                      <w:szCs w:val="21"/>
                    </w:rPr>
                  </w:pPr>
                </w:p>
              </w:tc>
              <w:tc>
                <w:tcPr>
                  <w:tcW w:w="1150" w:type="pct"/>
                  <w:vAlign w:val="center"/>
                </w:tcPr>
                <w:p>
                  <w:pPr>
                    <w:jc w:val="center"/>
                    <w:rPr>
                      <w:szCs w:val="21"/>
                    </w:rPr>
                  </w:pPr>
                  <w:r>
                    <w:rPr>
                      <w:szCs w:val="21"/>
                    </w:rPr>
                    <w:t>24小时平均</w:t>
                  </w:r>
                </w:p>
              </w:tc>
              <w:tc>
                <w:tcPr>
                  <w:tcW w:w="661" w:type="pct"/>
                  <w:vAlign w:val="center"/>
                </w:tcPr>
                <w:p>
                  <w:pPr>
                    <w:jc w:val="center"/>
                    <w:rPr>
                      <w:szCs w:val="21"/>
                    </w:rPr>
                  </w:pPr>
                  <w:r>
                    <w:rPr>
                      <w:szCs w:val="21"/>
                    </w:rPr>
                    <w:t>150</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8" w:type="pct"/>
                  <w:vMerge w:val="continue"/>
                  <w:vAlign w:val="center"/>
                </w:tcPr>
                <w:p>
                  <w:pPr>
                    <w:jc w:val="center"/>
                    <w:rPr>
                      <w:szCs w:val="21"/>
                    </w:rPr>
                  </w:pPr>
                </w:p>
              </w:tc>
              <w:tc>
                <w:tcPr>
                  <w:tcW w:w="1908" w:type="pct"/>
                  <w:vMerge w:val="restart"/>
                  <w:vAlign w:val="center"/>
                </w:tcPr>
                <w:p>
                  <w:pPr>
                    <w:jc w:val="center"/>
                    <w:rPr>
                      <w:szCs w:val="21"/>
                    </w:rPr>
                  </w:pPr>
                  <w:r>
                    <w:rPr>
                      <w:szCs w:val="21"/>
                    </w:rPr>
                    <w:t>颗粒物（粒径小于等于2.5μm）</w:t>
                  </w:r>
                </w:p>
              </w:tc>
              <w:tc>
                <w:tcPr>
                  <w:tcW w:w="1150" w:type="pct"/>
                  <w:vAlign w:val="center"/>
                </w:tcPr>
                <w:p>
                  <w:pPr>
                    <w:jc w:val="center"/>
                    <w:rPr>
                      <w:szCs w:val="21"/>
                    </w:rPr>
                  </w:pPr>
                  <w:r>
                    <w:rPr>
                      <w:szCs w:val="21"/>
                    </w:rPr>
                    <w:t>年平均</w:t>
                  </w:r>
                </w:p>
              </w:tc>
              <w:tc>
                <w:tcPr>
                  <w:tcW w:w="661" w:type="pct"/>
                  <w:vAlign w:val="center"/>
                </w:tcPr>
                <w:p>
                  <w:pPr>
                    <w:jc w:val="center"/>
                    <w:rPr>
                      <w:szCs w:val="21"/>
                    </w:rPr>
                  </w:pPr>
                  <w:r>
                    <w:rPr>
                      <w:szCs w:val="21"/>
                    </w:rPr>
                    <w:t>35</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8" w:type="pct"/>
                  <w:vMerge w:val="continue"/>
                  <w:vAlign w:val="center"/>
                </w:tcPr>
                <w:p>
                  <w:pPr>
                    <w:jc w:val="center"/>
                    <w:rPr>
                      <w:szCs w:val="21"/>
                    </w:rPr>
                  </w:pPr>
                </w:p>
              </w:tc>
              <w:tc>
                <w:tcPr>
                  <w:tcW w:w="1908" w:type="pct"/>
                  <w:vMerge w:val="continue"/>
                  <w:vAlign w:val="center"/>
                </w:tcPr>
                <w:p>
                  <w:pPr>
                    <w:jc w:val="center"/>
                    <w:rPr>
                      <w:szCs w:val="21"/>
                    </w:rPr>
                  </w:pPr>
                </w:p>
              </w:tc>
              <w:tc>
                <w:tcPr>
                  <w:tcW w:w="1150" w:type="pct"/>
                  <w:vAlign w:val="center"/>
                </w:tcPr>
                <w:p>
                  <w:pPr>
                    <w:jc w:val="center"/>
                    <w:rPr>
                      <w:szCs w:val="21"/>
                    </w:rPr>
                  </w:pPr>
                  <w:r>
                    <w:rPr>
                      <w:szCs w:val="21"/>
                    </w:rPr>
                    <w:t>24小时平均</w:t>
                  </w:r>
                </w:p>
              </w:tc>
              <w:tc>
                <w:tcPr>
                  <w:tcW w:w="661" w:type="pct"/>
                  <w:vAlign w:val="center"/>
                </w:tcPr>
                <w:p>
                  <w:pPr>
                    <w:jc w:val="center"/>
                    <w:rPr>
                      <w:szCs w:val="21"/>
                    </w:rPr>
                  </w:pPr>
                  <w:r>
                    <w:rPr>
                      <w:szCs w:val="21"/>
                    </w:rPr>
                    <w:t>75</w:t>
                  </w:r>
                </w:p>
              </w:tc>
              <w:tc>
                <w:tcPr>
                  <w:tcW w:w="503"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8" w:type="pct"/>
                  <w:vMerge w:val="restart"/>
                  <w:vAlign w:val="center"/>
                </w:tcPr>
                <w:p>
                  <w:pPr>
                    <w:jc w:val="center"/>
                    <w:rPr>
                      <w:szCs w:val="21"/>
                    </w:rPr>
                  </w:pPr>
                  <w:r>
                    <w:rPr>
                      <w:szCs w:val="21"/>
                    </w:rPr>
                    <w:t>特征因子</w:t>
                  </w:r>
                </w:p>
              </w:tc>
              <w:tc>
                <w:tcPr>
                  <w:tcW w:w="1908" w:type="pct"/>
                  <w:vMerge w:val="restart"/>
                  <w:vAlign w:val="center"/>
                </w:tcPr>
                <w:p>
                  <w:pPr>
                    <w:jc w:val="center"/>
                    <w:rPr>
                      <w:szCs w:val="21"/>
                    </w:rPr>
                  </w:pPr>
                  <w:r>
                    <w:rPr>
                      <w:szCs w:val="21"/>
                    </w:rPr>
                    <w:t>总悬浮颗粒物（TSP）</w:t>
                  </w:r>
                </w:p>
              </w:tc>
              <w:tc>
                <w:tcPr>
                  <w:tcW w:w="1150" w:type="pct"/>
                  <w:vAlign w:val="center"/>
                </w:tcPr>
                <w:p>
                  <w:pPr>
                    <w:jc w:val="center"/>
                    <w:rPr>
                      <w:szCs w:val="21"/>
                    </w:rPr>
                  </w:pPr>
                  <w:r>
                    <w:rPr>
                      <w:szCs w:val="21"/>
                    </w:rPr>
                    <w:t>年平均</w:t>
                  </w:r>
                </w:p>
              </w:tc>
              <w:tc>
                <w:tcPr>
                  <w:tcW w:w="661" w:type="pct"/>
                  <w:vAlign w:val="center"/>
                </w:tcPr>
                <w:p>
                  <w:pPr>
                    <w:jc w:val="center"/>
                    <w:rPr>
                      <w:szCs w:val="21"/>
                    </w:rPr>
                  </w:pPr>
                  <w:r>
                    <w:rPr>
                      <w:szCs w:val="21"/>
                    </w:rPr>
                    <w:t>200</w:t>
                  </w:r>
                </w:p>
              </w:tc>
              <w:tc>
                <w:tcPr>
                  <w:tcW w:w="503" w:type="pct"/>
                  <w:vMerge w:val="restart"/>
                  <w:vAlign w:val="center"/>
                </w:tcPr>
                <w:p>
                  <w:pPr>
                    <w:jc w:val="center"/>
                    <w:rPr>
                      <w:szCs w:val="21"/>
                    </w:rPr>
                  </w:pPr>
                  <w:r>
                    <w:rPr>
                      <w:szCs w:val="21"/>
                    </w:rPr>
                    <w:t>µg/m³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778" w:type="pct"/>
                  <w:vMerge w:val="continue"/>
                  <w:vAlign w:val="center"/>
                </w:tcPr>
                <w:p>
                  <w:pPr>
                    <w:jc w:val="center"/>
                    <w:rPr>
                      <w:szCs w:val="21"/>
                    </w:rPr>
                  </w:pPr>
                </w:p>
              </w:tc>
              <w:tc>
                <w:tcPr>
                  <w:tcW w:w="1908" w:type="pct"/>
                  <w:vMerge w:val="continue"/>
                  <w:vAlign w:val="center"/>
                </w:tcPr>
                <w:p>
                  <w:pPr>
                    <w:jc w:val="center"/>
                    <w:rPr>
                      <w:szCs w:val="21"/>
                    </w:rPr>
                  </w:pPr>
                </w:p>
              </w:tc>
              <w:tc>
                <w:tcPr>
                  <w:tcW w:w="1150" w:type="pct"/>
                  <w:vAlign w:val="center"/>
                </w:tcPr>
                <w:p>
                  <w:pPr>
                    <w:jc w:val="center"/>
                    <w:rPr>
                      <w:szCs w:val="21"/>
                    </w:rPr>
                  </w:pPr>
                  <w:r>
                    <w:rPr>
                      <w:szCs w:val="21"/>
                    </w:rPr>
                    <w:t>24小时平均</w:t>
                  </w:r>
                </w:p>
              </w:tc>
              <w:tc>
                <w:tcPr>
                  <w:tcW w:w="661" w:type="pct"/>
                  <w:vAlign w:val="center"/>
                </w:tcPr>
                <w:p>
                  <w:pPr>
                    <w:jc w:val="center"/>
                    <w:rPr>
                      <w:szCs w:val="21"/>
                    </w:rPr>
                  </w:pPr>
                  <w:r>
                    <w:rPr>
                      <w:szCs w:val="21"/>
                    </w:rPr>
                    <w:t>300</w:t>
                  </w:r>
                </w:p>
              </w:tc>
              <w:tc>
                <w:tcPr>
                  <w:tcW w:w="503" w:type="pct"/>
                  <w:vMerge w:val="continue"/>
                  <w:vAlign w:val="center"/>
                </w:tcPr>
                <w:p>
                  <w:pPr>
                    <w:jc w:val="center"/>
                    <w:rPr>
                      <w:szCs w:val="21"/>
                    </w:rPr>
                  </w:pPr>
                </w:p>
              </w:tc>
            </w:tr>
          </w:tbl>
          <w:p>
            <w:pPr>
              <w:adjustRightInd w:val="0"/>
              <w:snapToGrid w:val="0"/>
              <w:spacing w:line="360" w:lineRule="auto"/>
              <w:ind w:firstLine="482" w:firstLineChars="200"/>
              <w:rPr>
                <w:b/>
                <w:sz w:val="24"/>
              </w:rPr>
            </w:pPr>
            <w:r>
              <w:rPr>
                <w:b/>
                <w:sz w:val="24"/>
              </w:rPr>
              <w:t>（2）地表水</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项目附近地表水体为无名山间沟箐，常年无水体流动，雨季产生雨水，区域内沟箐水汇集至大水沟，大水沟为金沙江的一级支流。根据《云南省水功能区划（2014 年修订）》，项目大水沟及金沙江蒙姑断面执行《地表水环境质量标准》（GB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-2002）Ⅲ类水质标准。</w:t>
            </w:r>
            <w:r>
              <w:rPr>
                <w:rFonts w:ascii="Times New Roman" w:hAnsi="Times New Roman" w:eastAsia="宋体" w:cs="Times New Roman"/>
                <w:sz w:val="24"/>
                <w:lang w:val="en-US"/>
              </w:rPr>
              <w:t>标准值如下：</w:t>
            </w:r>
          </w:p>
          <w:p>
            <w:pPr>
              <w:adjustRightInd w:val="0"/>
              <w:snapToGrid w:val="0"/>
              <w:spacing w:line="360" w:lineRule="auto"/>
              <w:jc w:val="center"/>
              <w:rPr>
                <w:b/>
                <w:sz w:val="24"/>
              </w:rPr>
            </w:pPr>
            <w:r>
              <w:rPr>
                <w:b/>
                <w:sz w:val="24"/>
              </w:rPr>
              <w:t>表3-8  地表水环境质量标准单位：mg/L</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3041"/>
              <w:gridCol w:w="179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442" w:type="pct"/>
                  <w:vAlign w:val="center"/>
                </w:tcPr>
                <w:p>
                  <w:pPr>
                    <w:snapToGrid w:val="0"/>
                    <w:jc w:val="center"/>
                    <w:rPr>
                      <w:b/>
                      <w:bCs/>
                      <w:szCs w:val="21"/>
                    </w:rPr>
                  </w:pPr>
                  <w:r>
                    <w:rPr>
                      <w:b/>
                      <w:bCs/>
                      <w:szCs w:val="21"/>
                    </w:rPr>
                    <w:t>项目</w:t>
                  </w:r>
                </w:p>
              </w:tc>
              <w:tc>
                <w:tcPr>
                  <w:tcW w:w="1697" w:type="pct"/>
                  <w:vAlign w:val="center"/>
                </w:tcPr>
                <w:p>
                  <w:pPr>
                    <w:jc w:val="center"/>
                    <w:rPr>
                      <w:b/>
                      <w:bCs/>
                      <w:szCs w:val="21"/>
                    </w:rPr>
                  </w:pPr>
                  <w:r>
                    <w:rPr>
                      <w:b/>
                      <w:bCs/>
                      <w:szCs w:val="21"/>
                    </w:rPr>
                    <w:t>III类标准值</w:t>
                  </w:r>
                </w:p>
              </w:tc>
              <w:tc>
                <w:tcPr>
                  <w:tcW w:w="1000" w:type="pct"/>
                  <w:vAlign w:val="center"/>
                </w:tcPr>
                <w:p>
                  <w:pPr>
                    <w:jc w:val="center"/>
                    <w:rPr>
                      <w:b/>
                      <w:bCs/>
                      <w:szCs w:val="21"/>
                    </w:rPr>
                  </w:pPr>
                  <w:r>
                    <w:rPr>
                      <w:b/>
                      <w:bCs/>
                      <w:szCs w:val="21"/>
                    </w:rPr>
                    <w:t>项目</w:t>
                  </w:r>
                </w:p>
              </w:tc>
              <w:tc>
                <w:tcPr>
                  <w:tcW w:w="861" w:type="pct"/>
                  <w:vAlign w:val="center"/>
                </w:tcPr>
                <w:p>
                  <w:pPr>
                    <w:jc w:val="center"/>
                    <w:rPr>
                      <w:b/>
                      <w:bCs/>
                      <w:szCs w:val="21"/>
                    </w:rPr>
                  </w:pPr>
                  <w:r>
                    <w:rPr>
                      <w:b/>
                      <w:bCs/>
                      <w:szCs w:val="21"/>
                    </w:rPr>
                    <w:t>III类标准值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trPr>
              <w:tc>
                <w:tcPr>
                  <w:tcW w:w="1442" w:type="pct"/>
                  <w:vAlign w:val="center"/>
                </w:tcPr>
                <w:p>
                  <w:pPr>
                    <w:jc w:val="center"/>
                    <w:rPr>
                      <w:szCs w:val="21"/>
                    </w:rPr>
                  </w:pPr>
                  <w:r>
                    <w:rPr>
                      <w:szCs w:val="21"/>
                    </w:rPr>
                    <w:t>水温（℃）</w:t>
                  </w:r>
                </w:p>
              </w:tc>
              <w:tc>
                <w:tcPr>
                  <w:tcW w:w="1697" w:type="pct"/>
                  <w:vAlign w:val="center"/>
                </w:tcPr>
                <w:p>
                  <w:pPr>
                    <w:jc w:val="center"/>
                    <w:rPr>
                      <w:szCs w:val="21"/>
                    </w:rPr>
                  </w:pPr>
                  <w:r>
                    <w:rPr>
                      <w:szCs w:val="21"/>
                    </w:rPr>
                    <w:t>人为造成的环境水温变化应限值在：</w:t>
                  </w:r>
                </w:p>
                <w:p>
                  <w:pPr>
                    <w:jc w:val="center"/>
                    <w:rPr>
                      <w:szCs w:val="21"/>
                    </w:rPr>
                  </w:pPr>
                  <w:r>
                    <w:rPr>
                      <w:szCs w:val="21"/>
                    </w:rPr>
                    <w:t>周平均最大升温≤1</w:t>
                  </w:r>
                </w:p>
                <w:p>
                  <w:pPr>
                    <w:jc w:val="center"/>
                    <w:rPr>
                      <w:szCs w:val="21"/>
                    </w:rPr>
                  </w:pPr>
                  <w:r>
                    <w:rPr>
                      <w:szCs w:val="21"/>
                    </w:rPr>
                    <w:t>周平均最大降温≤2</w:t>
                  </w:r>
                </w:p>
              </w:tc>
              <w:tc>
                <w:tcPr>
                  <w:tcW w:w="1000" w:type="pct"/>
                  <w:vAlign w:val="center"/>
                </w:tcPr>
                <w:p>
                  <w:pPr>
                    <w:jc w:val="center"/>
                    <w:rPr>
                      <w:szCs w:val="21"/>
                    </w:rPr>
                  </w:pPr>
                  <w:r>
                    <w:rPr>
                      <w:szCs w:val="21"/>
                    </w:rPr>
                    <w:t>硒≤</w:t>
                  </w:r>
                </w:p>
              </w:tc>
              <w:tc>
                <w:tcPr>
                  <w:tcW w:w="861" w:type="pct"/>
                  <w:vAlign w:val="center"/>
                </w:tcPr>
                <w:p>
                  <w:pPr>
                    <w:jc w:val="center"/>
                    <w:rPr>
                      <w:szCs w:val="21"/>
                    </w:rPr>
                  </w:pPr>
                  <w:r>
                    <w:rPr>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trPr>
              <w:tc>
                <w:tcPr>
                  <w:tcW w:w="1442" w:type="pct"/>
                  <w:vAlign w:val="center"/>
                </w:tcPr>
                <w:p>
                  <w:pPr>
                    <w:jc w:val="center"/>
                    <w:rPr>
                      <w:szCs w:val="21"/>
                    </w:rPr>
                  </w:pPr>
                  <w:r>
                    <w:rPr>
                      <w:szCs w:val="21"/>
                    </w:rPr>
                    <w:t>pH值（无量纲）</w:t>
                  </w:r>
                </w:p>
              </w:tc>
              <w:tc>
                <w:tcPr>
                  <w:tcW w:w="1697" w:type="pct"/>
                  <w:vAlign w:val="center"/>
                </w:tcPr>
                <w:p>
                  <w:pPr>
                    <w:jc w:val="center"/>
                    <w:rPr>
                      <w:szCs w:val="21"/>
                    </w:rPr>
                  </w:pPr>
                  <w:r>
                    <w:rPr>
                      <w:szCs w:val="21"/>
                    </w:rPr>
                    <w:t>6~9</w:t>
                  </w:r>
                </w:p>
              </w:tc>
              <w:tc>
                <w:tcPr>
                  <w:tcW w:w="1000" w:type="pct"/>
                  <w:vAlign w:val="center"/>
                </w:tcPr>
                <w:p>
                  <w:pPr>
                    <w:jc w:val="center"/>
                    <w:rPr>
                      <w:szCs w:val="21"/>
                    </w:rPr>
                  </w:pPr>
                  <w:r>
                    <w:rPr>
                      <w:szCs w:val="21"/>
                    </w:rPr>
                    <w:t>砷≤</w:t>
                  </w:r>
                </w:p>
              </w:tc>
              <w:tc>
                <w:tcPr>
                  <w:tcW w:w="861" w:type="pct"/>
                  <w:vAlign w:val="center"/>
                </w:tcPr>
                <w:p>
                  <w:pPr>
                    <w:jc w:val="center"/>
                    <w:rPr>
                      <w:szCs w:val="21"/>
                    </w:rPr>
                  </w:pPr>
                  <w:r>
                    <w:rPr>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trPr>
              <w:tc>
                <w:tcPr>
                  <w:tcW w:w="1442" w:type="pct"/>
                  <w:vAlign w:val="center"/>
                </w:tcPr>
                <w:p>
                  <w:pPr>
                    <w:jc w:val="center"/>
                    <w:rPr>
                      <w:szCs w:val="21"/>
                    </w:rPr>
                  </w:pPr>
                  <w:r>
                    <w:rPr>
                      <w:szCs w:val="21"/>
                    </w:rPr>
                    <w:t>溶解氧≥</w:t>
                  </w:r>
                </w:p>
              </w:tc>
              <w:tc>
                <w:tcPr>
                  <w:tcW w:w="1697" w:type="pct"/>
                  <w:vAlign w:val="center"/>
                </w:tcPr>
                <w:p>
                  <w:pPr>
                    <w:jc w:val="center"/>
                    <w:rPr>
                      <w:szCs w:val="21"/>
                    </w:rPr>
                  </w:pPr>
                  <w:r>
                    <w:rPr>
                      <w:szCs w:val="21"/>
                    </w:rPr>
                    <w:t>5</w:t>
                  </w:r>
                </w:p>
              </w:tc>
              <w:tc>
                <w:tcPr>
                  <w:tcW w:w="1000" w:type="pct"/>
                  <w:vAlign w:val="center"/>
                </w:tcPr>
                <w:p>
                  <w:pPr>
                    <w:jc w:val="center"/>
                    <w:rPr>
                      <w:szCs w:val="21"/>
                    </w:rPr>
                  </w:pPr>
                  <w:r>
                    <w:rPr>
                      <w:szCs w:val="21"/>
                    </w:rPr>
                    <w:t>汞≤</w:t>
                  </w:r>
                </w:p>
              </w:tc>
              <w:tc>
                <w:tcPr>
                  <w:tcW w:w="861" w:type="pct"/>
                  <w:vAlign w:val="center"/>
                </w:tcPr>
                <w:p>
                  <w:pPr>
                    <w:jc w:val="center"/>
                    <w:rPr>
                      <w:szCs w:val="21"/>
                    </w:rPr>
                  </w:pPr>
                  <w:r>
                    <w:rPr>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42" w:type="pct"/>
                  <w:vAlign w:val="center"/>
                </w:tcPr>
                <w:p>
                  <w:pPr>
                    <w:jc w:val="center"/>
                    <w:rPr>
                      <w:szCs w:val="21"/>
                    </w:rPr>
                  </w:pPr>
                  <w:r>
                    <w:rPr>
                      <w:szCs w:val="21"/>
                    </w:rPr>
                    <w:t>高锰酸盐指数≤</w:t>
                  </w:r>
                </w:p>
              </w:tc>
              <w:tc>
                <w:tcPr>
                  <w:tcW w:w="1697" w:type="pct"/>
                  <w:vAlign w:val="center"/>
                </w:tcPr>
                <w:p>
                  <w:pPr>
                    <w:jc w:val="center"/>
                    <w:rPr>
                      <w:szCs w:val="21"/>
                    </w:rPr>
                  </w:pPr>
                  <w:r>
                    <w:rPr>
                      <w:szCs w:val="21"/>
                    </w:rPr>
                    <w:t>6</w:t>
                  </w:r>
                </w:p>
              </w:tc>
              <w:tc>
                <w:tcPr>
                  <w:tcW w:w="1000" w:type="pct"/>
                  <w:vAlign w:val="center"/>
                </w:tcPr>
                <w:p>
                  <w:pPr>
                    <w:jc w:val="center"/>
                    <w:rPr>
                      <w:szCs w:val="21"/>
                    </w:rPr>
                  </w:pPr>
                  <w:r>
                    <w:rPr>
                      <w:szCs w:val="21"/>
                    </w:rPr>
                    <w:t>镉≤</w:t>
                  </w:r>
                </w:p>
              </w:tc>
              <w:tc>
                <w:tcPr>
                  <w:tcW w:w="861" w:type="pct"/>
                  <w:vAlign w:val="center"/>
                </w:tcPr>
                <w:p>
                  <w:pPr>
                    <w:jc w:val="center"/>
                    <w:rPr>
                      <w:szCs w:val="21"/>
                    </w:rPr>
                  </w:pPr>
                  <w:r>
                    <w:rPr>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42" w:type="pct"/>
                  <w:vAlign w:val="center"/>
                </w:tcPr>
                <w:p>
                  <w:pPr>
                    <w:jc w:val="center"/>
                    <w:rPr>
                      <w:szCs w:val="21"/>
                    </w:rPr>
                  </w:pPr>
                  <w:r>
                    <w:rPr>
                      <w:szCs w:val="21"/>
                    </w:rPr>
                    <w:t>化学需氧量（COD）≤</w:t>
                  </w:r>
                </w:p>
              </w:tc>
              <w:tc>
                <w:tcPr>
                  <w:tcW w:w="1697" w:type="pct"/>
                  <w:vAlign w:val="center"/>
                </w:tcPr>
                <w:p>
                  <w:pPr>
                    <w:jc w:val="center"/>
                    <w:rPr>
                      <w:szCs w:val="21"/>
                    </w:rPr>
                  </w:pPr>
                  <w:r>
                    <w:rPr>
                      <w:szCs w:val="21"/>
                    </w:rPr>
                    <w:t>20</w:t>
                  </w:r>
                </w:p>
              </w:tc>
              <w:tc>
                <w:tcPr>
                  <w:tcW w:w="1000" w:type="pct"/>
                  <w:vAlign w:val="center"/>
                </w:tcPr>
                <w:p>
                  <w:pPr>
                    <w:jc w:val="center"/>
                    <w:rPr>
                      <w:szCs w:val="21"/>
                    </w:rPr>
                  </w:pPr>
                  <w:r>
                    <w:rPr>
                      <w:szCs w:val="21"/>
                    </w:rPr>
                    <w:t>铬（六价）≤</w:t>
                  </w:r>
                </w:p>
              </w:tc>
              <w:tc>
                <w:tcPr>
                  <w:tcW w:w="861" w:type="pct"/>
                  <w:vAlign w:val="center"/>
                </w:tcPr>
                <w:p>
                  <w:pPr>
                    <w:jc w:val="center"/>
                    <w:rPr>
                      <w:szCs w:val="21"/>
                    </w:rPr>
                  </w:pPr>
                  <w:r>
                    <w:rPr>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42" w:type="pct"/>
                  <w:vAlign w:val="center"/>
                </w:tcPr>
                <w:p>
                  <w:pPr>
                    <w:jc w:val="center"/>
                    <w:rPr>
                      <w:szCs w:val="21"/>
                    </w:rPr>
                  </w:pPr>
                  <w:r>
                    <w:rPr>
                      <w:szCs w:val="21"/>
                    </w:rPr>
                    <w:t>五日生化需氧量（BOD</w:t>
                  </w:r>
                  <w:r>
                    <w:rPr>
                      <w:szCs w:val="21"/>
                      <w:vertAlign w:val="subscript"/>
                    </w:rPr>
                    <w:t>5</w:t>
                  </w:r>
                  <w:r>
                    <w:rPr>
                      <w:szCs w:val="21"/>
                    </w:rPr>
                    <w:t>）≤</w:t>
                  </w:r>
                </w:p>
              </w:tc>
              <w:tc>
                <w:tcPr>
                  <w:tcW w:w="1697" w:type="pct"/>
                  <w:vAlign w:val="center"/>
                </w:tcPr>
                <w:p>
                  <w:pPr>
                    <w:jc w:val="center"/>
                    <w:rPr>
                      <w:szCs w:val="21"/>
                    </w:rPr>
                  </w:pPr>
                  <w:r>
                    <w:rPr>
                      <w:szCs w:val="21"/>
                    </w:rPr>
                    <w:t>4</w:t>
                  </w:r>
                </w:p>
              </w:tc>
              <w:tc>
                <w:tcPr>
                  <w:tcW w:w="1000" w:type="pct"/>
                  <w:vAlign w:val="center"/>
                </w:tcPr>
                <w:p>
                  <w:pPr>
                    <w:jc w:val="center"/>
                    <w:rPr>
                      <w:szCs w:val="21"/>
                    </w:rPr>
                  </w:pPr>
                  <w:r>
                    <w:rPr>
                      <w:szCs w:val="21"/>
                    </w:rPr>
                    <w:t>铅≤</w:t>
                  </w:r>
                </w:p>
              </w:tc>
              <w:tc>
                <w:tcPr>
                  <w:tcW w:w="861" w:type="pct"/>
                  <w:vAlign w:val="center"/>
                </w:tcPr>
                <w:p>
                  <w:pPr>
                    <w:jc w:val="center"/>
                    <w:rPr>
                      <w:szCs w:val="21"/>
                    </w:rPr>
                  </w:pPr>
                  <w:r>
                    <w:rPr>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442" w:type="pct"/>
                  <w:vAlign w:val="center"/>
                </w:tcPr>
                <w:p>
                  <w:pPr>
                    <w:jc w:val="center"/>
                    <w:rPr>
                      <w:szCs w:val="21"/>
                    </w:rPr>
                  </w:pPr>
                  <w:r>
                    <w:rPr>
                      <w:szCs w:val="21"/>
                    </w:rPr>
                    <w:t>氨氮（NH</w:t>
                  </w:r>
                  <w:r>
                    <w:rPr>
                      <w:szCs w:val="21"/>
                      <w:vertAlign w:val="subscript"/>
                    </w:rPr>
                    <w:t>3</w:t>
                  </w:r>
                  <w:r>
                    <w:rPr>
                      <w:szCs w:val="21"/>
                    </w:rPr>
                    <w:t>-N）≤</w:t>
                  </w:r>
                </w:p>
              </w:tc>
              <w:tc>
                <w:tcPr>
                  <w:tcW w:w="1697" w:type="pct"/>
                  <w:vAlign w:val="center"/>
                </w:tcPr>
                <w:p>
                  <w:pPr>
                    <w:jc w:val="center"/>
                    <w:rPr>
                      <w:szCs w:val="21"/>
                    </w:rPr>
                  </w:pPr>
                  <w:r>
                    <w:rPr>
                      <w:szCs w:val="21"/>
                    </w:rPr>
                    <w:t>1.0</w:t>
                  </w:r>
                </w:p>
              </w:tc>
              <w:tc>
                <w:tcPr>
                  <w:tcW w:w="1000" w:type="pct"/>
                  <w:vAlign w:val="center"/>
                </w:tcPr>
                <w:p>
                  <w:pPr>
                    <w:jc w:val="center"/>
                    <w:rPr>
                      <w:szCs w:val="21"/>
                    </w:rPr>
                  </w:pPr>
                  <w:r>
                    <w:rPr>
                      <w:szCs w:val="21"/>
                    </w:rPr>
                    <w:t>氰化物≤</w:t>
                  </w:r>
                </w:p>
              </w:tc>
              <w:tc>
                <w:tcPr>
                  <w:tcW w:w="861" w:type="pct"/>
                  <w:vAlign w:val="center"/>
                </w:tcPr>
                <w:p>
                  <w:pPr>
                    <w:jc w:val="center"/>
                    <w:rPr>
                      <w:szCs w:val="21"/>
                    </w:rPr>
                  </w:pP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1442" w:type="pct"/>
                  <w:vAlign w:val="center"/>
                </w:tcPr>
                <w:p>
                  <w:pPr>
                    <w:jc w:val="center"/>
                    <w:rPr>
                      <w:szCs w:val="21"/>
                    </w:rPr>
                  </w:pPr>
                  <w:r>
                    <w:rPr>
                      <w:szCs w:val="21"/>
                    </w:rPr>
                    <w:t>总氮（湖、库、以N计）≤</w:t>
                  </w:r>
                </w:p>
              </w:tc>
              <w:tc>
                <w:tcPr>
                  <w:tcW w:w="1697" w:type="pct"/>
                  <w:vAlign w:val="center"/>
                </w:tcPr>
                <w:p>
                  <w:pPr>
                    <w:jc w:val="center"/>
                    <w:rPr>
                      <w:szCs w:val="21"/>
                    </w:rPr>
                  </w:pPr>
                  <w:r>
                    <w:rPr>
                      <w:szCs w:val="21"/>
                    </w:rPr>
                    <w:t>0.2</w:t>
                  </w:r>
                </w:p>
              </w:tc>
              <w:tc>
                <w:tcPr>
                  <w:tcW w:w="1000" w:type="pct"/>
                  <w:vAlign w:val="center"/>
                </w:tcPr>
                <w:p>
                  <w:pPr>
                    <w:jc w:val="center"/>
                    <w:rPr>
                      <w:szCs w:val="21"/>
                    </w:rPr>
                  </w:pPr>
                  <w:r>
                    <w:rPr>
                      <w:szCs w:val="21"/>
                    </w:rPr>
                    <w:t>挥发酚≤</w:t>
                  </w:r>
                </w:p>
              </w:tc>
              <w:tc>
                <w:tcPr>
                  <w:tcW w:w="861" w:type="pct"/>
                  <w:vAlign w:val="center"/>
                </w:tcPr>
                <w:p>
                  <w:pPr>
                    <w:jc w:val="center"/>
                    <w:rPr>
                      <w:szCs w:val="21"/>
                    </w:rPr>
                  </w:pPr>
                  <w:r>
                    <w:rPr>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1442" w:type="pct"/>
                  <w:vAlign w:val="center"/>
                </w:tcPr>
                <w:p>
                  <w:pPr>
                    <w:jc w:val="center"/>
                    <w:rPr>
                      <w:szCs w:val="21"/>
                    </w:rPr>
                  </w:pPr>
                  <w:r>
                    <w:rPr>
                      <w:szCs w:val="21"/>
                    </w:rPr>
                    <w:t>总磷（以P计）≤</w:t>
                  </w:r>
                </w:p>
              </w:tc>
              <w:tc>
                <w:tcPr>
                  <w:tcW w:w="1697" w:type="pct"/>
                  <w:vAlign w:val="center"/>
                </w:tcPr>
                <w:p>
                  <w:pPr>
                    <w:jc w:val="center"/>
                    <w:rPr>
                      <w:szCs w:val="21"/>
                    </w:rPr>
                  </w:pPr>
                  <w:r>
                    <w:rPr>
                      <w:szCs w:val="21"/>
                    </w:rPr>
                    <w:t>1.0</w:t>
                  </w:r>
                </w:p>
              </w:tc>
              <w:tc>
                <w:tcPr>
                  <w:tcW w:w="1000" w:type="pct"/>
                  <w:vAlign w:val="center"/>
                </w:tcPr>
                <w:p>
                  <w:pPr>
                    <w:jc w:val="center"/>
                    <w:rPr>
                      <w:szCs w:val="21"/>
                    </w:rPr>
                  </w:pPr>
                  <w:r>
                    <w:rPr>
                      <w:szCs w:val="21"/>
                    </w:rPr>
                    <w:t>石油类≤</w:t>
                  </w:r>
                </w:p>
              </w:tc>
              <w:tc>
                <w:tcPr>
                  <w:tcW w:w="861" w:type="pct"/>
                  <w:vAlign w:val="center"/>
                </w:tcPr>
                <w:p>
                  <w:pPr>
                    <w:jc w:val="center"/>
                    <w:rPr>
                      <w:szCs w:val="21"/>
                    </w:rPr>
                  </w:pPr>
                  <w:r>
                    <w:rPr>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1442" w:type="pct"/>
                  <w:vAlign w:val="center"/>
                </w:tcPr>
                <w:p>
                  <w:pPr>
                    <w:jc w:val="center"/>
                    <w:rPr>
                      <w:szCs w:val="21"/>
                    </w:rPr>
                  </w:pPr>
                  <w:r>
                    <w:rPr>
                      <w:szCs w:val="21"/>
                    </w:rPr>
                    <w:t>铜≤</w:t>
                  </w:r>
                </w:p>
              </w:tc>
              <w:tc>
                <w:tcPr>
                  <w:tcW w:w="1697" w:type="pct"/>
                  <w:vAlign w:val="center"/>
                </w:tcPr>
                <w:p>
                  <w:pPr>
                    <w:jc w:val="center"/>
                    <w:rPr>
                      <w:szCs w:val="21"/>
                    </w:rPr>
                  </w:pPr>
                  <w:r>
                    <w:rPr>
                      <w:szCs w:val="21"/>
                    </w:rPr>
                    <w:t>1.0</w:t>
                  </w:r>
                </w:p>
              </w:tc>
              <w:tc>
                <w:tcPr>
                  <w:tcW w:w="1000" w:type="pct"/>
                  <w:vAlign w:val="center"/>
                </w:tcPr>
                <w:p>
                  <w:pPr>
                    <w:jc w:val="center"/>
                    <w:rPr>
                      <w:szCs w:val="21"/>
                    </w:rPr>
                  </w:pPr>
                  <w:r>
                    <w:rPr>
                      <w:szCs w:val="21"/>
                    </w:rPr>
                    <w:t>阴离子表面活性剂≤</w:t>
                  </w:r>
                </w:p>
              </w:tc>
              <w:tc>
                <w:tcPr>
                  <w:tcW w:w="861" w:type="pct"/>
                  <w:vAlign w:val="center"/>
                </w:tcPr>
                <w:p>
                  <w:pPr>
                    <w:jc w:val="center"/>
                    <w:rPr>
                      <w:szCs w:val="21"/>
                    </w:rPr>
                  </w:pP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442" w:type="pct"/>
                  <w:vAlign w:val="center"/>
                </w:tcPr>
                <w:p>
                  <w:pPr>
                    <w:jc w:val="center"/>
                    <w:rPr>
                      <w:szCs w:val="21"/>
                    </w:rPr>
                  </w:pPr>
                  <w:r>
                    <w:rPr>
                      <w:szCs w:val="21"/>
                    </w:rPr>
                    <w:t>锌≤</w:t>
                  </w:r>
                </w:p>
              </w:tc>
              <w:tc>
                <w:tcPr>
                  <w:tcW w:w="1697" w:type="pct"/>
                  <w:vAlign w:val="center"/>
                </w:tcPr>
                <w:p>
                  <w:pPr>
                    <w:jc w:val="center"/>
                    <w:rPr>
                      <w:szCs w:val="21"/>
                    </w:rPr>
                  </w:pPr>
                  <w:r>
                    <w:rPr>
                      <w:szCs w:val="21"/>
                    </w:rPr>
                    <w:t>1.0</w:t>
                  </w:r>
                </w:p>
              </w:tc>
              <w:tc>
                <w:tcPr>
                  <w:tcW w:w="1000" w:type="pct"/>
                  <w:vAlign w:val="center"/>
                </w:tcPr>
                <w:p>
                  <w:pPr>
                    <w:jc w:val="center"/>
                    <w:rPr>
                      <w:szCs w:val="21"/>
                    </w:rPr>
                  </w:pPr>
                  <w:r>
                    <w:rPr>
                      <w:szCs w:val="21"/>
                    </w:rPr>
                    <w:t>硫化物≤</w:t>
                  </w:r>
                </w:p>
              </w:tc>
              <w:tc>
                <w:tcPr>
                  <w:tcW w:w="861" w:type="pct"/>
                  <w:vAlign w:val="center"/>
                </w:tcPr>
                <w:p>
                  <w:pPr>
                    <w:jc w:val="center"/>
                    <w:rPr>
                      <w:szCs w:val="21"/>
                    </w:rPr>
                  </w:pP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1442" w:type="pct"/>
                  <w:vAlign w:val="center"/>
                </w:tcPr>
                <w:p>
                  <w:pPr>
                    <w:jc w:val="center"/>
                    <w:rPr>
                      <w:szCs w:val="21"/>
                    </w:rPr>
                  </w:pPr>
                  <w:r>
                    <w:rPr>
                      <w:szCs w:val="21"/>
                    </w:rPr>
                    <w:t>氟化物（以F</w:t>
                  </w:r>
                  <w:r>
                    <w:rPr>
                      <w:szCs w:val="21"/>
                      <w:vertAlign w:val="superscript"/>
                    </w:rPr>
                    <w:t>-</w:t>
                  </w:r>
                  <w:r>
                    <w:rPr>
                      <w:szCs w:val="21"/>
                    </w:rPr>
                    <w:t>计）≤</w:t>
                  </w:r>
                </w:p>
              </w:tc>
              <w:tc>
                <w:tcPr>
                  <w:tcW w:w="1697" w:type="pct"/>
                  <w:vAlign w:val="center"/>
                </w:tcPr>
                <w:p>
                  <w:pPr>
                    <w:jc w:val="center"/>
                    <w:rPr>
                      <w:szCs w:val="21"/>
                    </w:rPr>
                  </w:pPr>
                  <w:r>
                    <w:rPr>
                      <w:szCs w:val="21"/>
                    </w:rPr>
                    <w:t>1.0</w:t>
                  </w:r>
                </w:p>
              </w:tc>
              <w:tc>
                <w:tcPr>
                  <w:tcW w:w="1000" w:type="pct"/>
                  <w:vAlign w:val="center"/>
                </w:tcPr>
                <w:p>
                  <w:pPr>
                    <w:jc w:val="center"/>
                    <w:rPr>
                      <w:szCs w:val="21"/>
                    </w:rPr>
                  </w:pPr>
                  <w:r>
                    <w:rPr>
                      <w:szCs w:val="21"/>
                    </w:rPr>
                    <w:t>粪大肠菌群（个/L）≤</w:t>
                  </w:r>
                </w:p>
              </w:tc>
              <w:tc>
                <w:tcPr>
                  <w:tcW w:w="861" w:type="pct"/>
                  <w:vAlign w:val="center"/>
                </w:tcPr>
                <w:p>
                  <w:pPr>
                    <w:jc w:val="center"/>
                    <w:rPr>
                      <w:szCs w:val="21"/>
                    </w:rPr>
                  </w:pPr>
                  <w:r>
                    <w:rPr>
                      <w:szCs w:val="21"/>
                    </w:rPr>
                    <w:t>10000</w:t>
                  </w:r>
                </w:p>
              </w:tc>
            </w:tr>
          </w:tbl>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（3）声环境</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项目区域声环境质量执行《声环境质量标准》（GB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-2008）2类区标准。</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表3-</w:t>
            </w:r>
            <w:r>
              <w:rPr>
                <w:rFonts w:ascii="Times New Roman" w:hAnsi="Times New Roman" w:eastAsia="宋体" w:cs="Times New Roman"/>
                <w:b/>
                <w:sz w:val="24"/>
                <w:lang w:val="en-US"/>
              </w:rPr>
              <w:t xml:space="preserve">9 </w:t>
            </w:r>
            <w:r>
              <w:rPr>
                <w:rFonts w:ascii="Times New Roman" w:hAnsi="Times New Roman" w:eastAsia="宋体" w:cs="Times New Roman"/>
                <w:b/>
                <w:sz w:val="24"/>
              </w:rPr>
              <w:t xml:space="preserve"> 声环境质量标准单位：dB(A)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2987"/>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67" w:type="pct"/>
                </w:tcPr>
                <w:p>
                  <w:pPr>
                    <w:jc w:val="center"/>
                  </w:pPr>
                  <w:r>
                    <w:t>类别</w:t>
                  </w:r>
                </w:p>
              </w:tc>
              <w:tc>
                <w:tcPr>
                  <w:tcW w:w="1667" w:type="pct"/>
                </w:tcPr>
                <w:p>
                  <w:pPr>
                    <w:jc w:val="center"/>
                  </w:pPr>
                  <w:r>
                    <w:t>昼间</w:t>
                  </w:r>
                </w:p>
              </w:tc>
              <w:tc>
                <w:tcPr>
                  <w:tcW w:w="1667" w:type="pct"/>
                </w:tcPr>
                <w:p>
                  <w:pPr>
                    <w:jc w:val="center"/>
                  </w:pPr>
                  <w: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67" w:type="pct"/>
                </w:tcPr>
                <w:p>
                  <w:pPr>
                    <w:jc w:val="center"/>
                  </w:pPr>
                  <w:r>
                    <w:t>2类</w:t>
                  </w:r>
                </w:p>
              </w:tc>
              <w:tc>
                <w:tcPr>
                  <w:tcW w:w="1667" w:type="pct"/>
                </w:tcPr>
                <w:p>
                  <w:pPr>
                    <w:jc w:val="center"/>
                  </w:pPr>
                  <w:r>
                    <w:t>60</w:t>
                  </w:r>
                </w:p>
              </w:tc>
              <w:tc>
                <w:tcPr>
                  <w:tcW w:w="1667" w:type="pct"/>
                </w:tcPr>
                <w:p>
                  <w:pPr>
                    <w:jc w:val="center"/>
                  </w:pPr>
                  <w:r>
                    <w:t>50</w:t>
                  </w:r>
                </w:p>
              </w:tc>
            </w:tr>
          </w:tbl>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2、污染物排放标准</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（1）大气污染物排放标准</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施工期：无组织排放执行《大气污染物综合排放标准》（GB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-1996），即颗粒物：周界外浓度最高点≤1.0mg/m</w:t>
            </w:r>
            <w:r>
              <w:rPr>
                <w:rFonts w:ascii="Times New Roman" w:hAnsi="Times New Roman" w:eastAsia="宋体" w:cs="Times New Roman"/>
                <w:sz w:val="24"/>
                <w:vertAlign w:val="superscript"/>
              </w:rPr>
              <w:t>3</w:t>
            </w:r>
            <w:r>
              <w:rPr>
                <w:rFonts w:ascii="Times New Roman" w:hAnsi="Times New Roman" w:eastAsia="宋体" w:cs="Times New Roman"/>
                <w:sz w:val="24"/>
              </w:rPr>
              <w:t>。</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运</w:t>
            </w:r>
            <w:r>
              <w:rPr>
                <w:rFonts w:ascii="Times New Roman" w:hAnsi="Times New Roman" w:eastAsia="宋体" w:cs="Times New Roman"/>
                <w:sz w:val="24"/>
                <w:lang w:val="en-US"/>
              </w:rPr>
              <w:t>营</w:t>
            </w:r>
            <w:r>
              <w:rPr>
                <w:rFonts w:ascii="Times New Roman" w:hAnsi="Times New Roman" w:eastAsia="宋体" w:cs="Times New Roman"/>
                <w:sz w:val="24"/>
              </w:rPr>
              <w:t>期：升压站饮食</w:t>
            </w:r>
            <w:r>
              <w:rPr>
                <w:rFonts w:ascii="Times New Roman" w:hAnsi="Times New Roman" w:eastAsia="宋体" w:cs="Times New Roman"/>
                <w:sz w:val="24"/>
                <w:lang w:val="en-US"/>
              </w:rPr>
              <w:t>油烟排放执行</w:t>
            </w:r>
            <w:r>
              <w:rPr>
                <w:rFonts w:ascii="Times New Roman" w:hAnsi="Times New Roman" w:eastAsia="宋体" w:cs="Times New Roman"/>
                <w:sz w:val="24"/>
              </w:rPr>
              <w:t>《</w:t>
            </w:r>
            <w:r>
              <w:rPr>
                <w:rFonts w:ascii="Times New Roman" w:hAnsi="Times New Roman" w:eastAsia="宋体" w:cs="Times New Roman"/>
                <w:sz w:val="24"/>
                <w:lang w:val="en-US"/>
              </w:rPr>
              <w:t>饮食油烟排放标准</w:t>
            </w:r>
            <w:r>
              <w:rPr>
                <w:rFonts w:ascii="Times New Roman" w:hAnsi="Times New Roman" w:eastAsia="宋体" w:cs="Times New Roman"/>
                <w:sz w:val="24"/>
              </w:rPr>
              <w:t>》（GB</w:t>
            </w:r>
            <w:r>
              <w:rPr>
                <w:rFonts w:hint="eastAsia" w:ascii="Times New Roman" w:hAnsi="Times New Roman" w:eastAsia="宋体" w:cs="Times New Roman"/>
                <w:sz w:val="24"/>
                <w:lang w:eastAsia="zh-CN"/>
              </w:rPr>
              <w:t>*****</w:t>
            </w:r>
            <w:r>
              <w:rPr>
                <w:rFonts w:ascii="Times New Roman" w:hAnsi="Times New Roman" w:eastAsia="宋体" w:cs="Times New Roman"/>
                <w:sz w:val="24"/>
              </w:rPr>
              <w:t>-2001）</w:t>
            </w:r>
            <w:r>
              <w:rPr>
                <w:rFonts w:ascii="Times New Roman" w:hAnsi="Times New Roman" w:eastAsia="宋体" w:cs="Times New Roman"/>
                <w:sz w:val="24"/>
                <w:lang w:val="en-US"/>
              </w:rPr>
              <w:t>表2</w:t>
            </w:r>
            <w:r>
              <w:rPr>
                <w:rFonts w:ascii="Times New Roman" w:hAnsi="Times New Roman" w:eastAsia="宋体" w:cs="Times New Roman"/>
                <w:sz w:val="24"/>
              </w:rPr>
              <w:t>中</w:t>
            </w:r>
            <w:r>
              <w:rPr>
                <w:rFonts w:ascii="Times New Roman" w:hAnsi="Times New Roman" w:eastAsia="宋体" w:cs="Times New Roman"/>
                <w:sz w:val="24"/>
                <w:lang w:val="en-US"/>
              </w:rPr>
              <w:t>的小型标准</w:t>
            </w:r>
            <w:r>
              <w:rPr>
                <w:rFonts w:ascii="Times New Roman" w:hAnsi="Times New Roman" w:eastAsia="宋体" w:cs="Times New Roman"/>
                <w:sz w:val="24"/>
              </w:rPr>
              <w:t>。</w:t>
            </w:r>
          </w:p>
          <w:p>
            <w:pPr>
              <w:adjustRightInd w:val="0"/>
              <w:snapToGrid w:val="0"/>
              <w:spacing w:line="360" w:lineRule="auto"/>
              <w:jc w:val="center"/>
              <w:rPr>
                <w:b/>
                <w:sz w:val="24"/>
              </w:rPr>
            </w:pPr>
            <w:r>
              <w:rPr>
                <w:b/>
                <w:sz w:val="24"/>
              </w:rPr>
              <w:t>表3-10  饮食业油烟排放标准</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4174" w:type="pct"/>
                  <w:vAlign w:val="center"/>
                </w:tcPr>
                <w:p>
                  <w:pPr>
                    <w:jc w:val="center"/>
                  </w:pPr>
                  <w:r>
                    <w:t>规模</w:t>
                  </w:r>
                </w:p>
              </w:tc>
              <w:tc>
                <w:tcPr>
                  <w:tcW w:w="826" w:type="pct"/>
                  <w:vAlign w:val="center"/>
                </w:tcPr>
                <w:p>
                  <w:pPr>
                    <w:jc w:val="center"/>
                  </w:pPr>
                  <w: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4" w:type="pct"/>
                  <w:vAlign w:val="center"/>
                </w:tcPr>
                <w:p>
                  <w:pPr>
                    <w:jc w:val="center"/>
                  </w:pPr>
                  <w:r>
                    <w:t>油烟最高允许排放浓度（mg/m</w:t>
                  </w:r>
                  <w:r>
                    <w:rPr>
                      <w:vertAlign w:val="superscript"/>
                    </w:rPr>
                    <w:t>3</w:t>
                  </w:r>
                  <w:r>
                    <w:t>）</w:t>
                  </w:r>
                </w:p>
              </w:tc>
              <w:tc>
                <w:tcPr>
                  <w:tcW w:w="826" w:type="pct"/>
                  <w:vAlign w:val="center"/>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4" w:type="pct"/>
                  <w:vAlign w:val="center"/>
                </w:tcPr>
                <w:p>
                  <w:pPr>
                    <w:jc w:val="center"/>
                  </w:pPr>
                  <w:r>
                    <w:t>净化设施最低去除效率（%）</w:t>
                  </w:r>
                </w:p>
              </w:tc>
              <w:tc>
                <w:tcPr>
                  <w:tcW w:w="826" w:type="pct"/>
                  <w:vAlign w:val="center"/>
                </w:tcPr>
                <w:p>
                  <w:pPr>
                    <w:jc w:val="center"/>
                  </w:pPr>
                  <w:r>
                    <w:t>60</w:t>
                  </w:r>
                </w:p>
              </w:tc>
            </w:tr>
          </w:tbl>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（2）噪声排放标准</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施工期：执行《建筑施工场界环境噪声排放标准》（GB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-2011）</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表3-</w:t>
            </w:r>
            <w:r>
              <w:rPr>
                <w:rFonts w:ascii="Times New Roman" w:hAnsi="Times New Roman" w:eastAsia="宋体" w:cs="Times New Roman"/>
                <w:b/>
                <w:sz w:val="24"/>
                <w:lang w:val="en-US"/>
              </w:rPr>
              <w:t xml:space="preserve">11  </w:t>
            </w:r>
            <w:r>
              <w:rPr>
                <w:rFonts w:ascii="Times New Roman" w:hAnsi="Times New Roman" w:eastAsia="宋体" w:cs="Times New Roman"/>
                <w:b/>
                <w:sz w:val="24"/>
              </w:rPr>
              <w:t>建筑施工场界噪声排放标准单位：dB(A)</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2690"/>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97" w:type="pct"/>
                  <w:vAlign w:val="center"/>
                </w:tcPr>
                <w:p>
                  <w:pPr>
                    <w:jc w:val="center"/>
                  </w:pPr>
                  <w:r>
                    <w:t>时段</w:t>
                  </w:r>
                </w:p>
              </w:tc>
              <w:tc>
                <w:tcPr>
                  <w:tcW w:w="1501" w:type="pct"/>
                  <w:vAlign w:val="center"/>
                </w:tcPr>
                <w:p>
                  <w:pPr>
                    <w:jc w:val="center"/>
                  </w:pPr>
                  <w:r>
                    <w:t>昼间</w:t>
                  </w:r>
                </w:p>
              </w:tc>
              <w:tc>
                <w:tcPr>
                  <w:tcW w:w="1501" w:type="pct"/>
                  <w:vAlign w:val="center"/>
                </w:tcPr>
                <w:p>
                  <w:pPr>
                    <w:jc w:val="center"/>
                  </w:pPr>
                  <w: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997" w:type="pct"/>
                  <w:vAlign w:val="center"/>
                </w:tcPr>
                <w:p>
                  <w:pPr>
                    <w:jc w:val="center"/>
                  </w:pPr>
                  <w:r>
                    <w:t>标准值</w:t>
                  </w:r>
                </w:p>
              </w:tc>
              <w:tc>
                <w:tcPr>
                  <w:tcW w:w="1501" w:type="pct"/>
                  <w:vAlign w:val="center"/>
                </w:tcPr>
                <w:p>
                  <w:pPr>
                    <w:jc w:val="center"/>
                  </w:pPr>
                  <w:r>
                    <w:t>70</w:t>
                  </w:r>
                </w:p>
              </w:tc>
              <w:tc>
                <w:tcPr>
                  <w:tcW w:w="1501" w:type="pct"/>
                  <w:vAlign w:val="center"/>
                </w:tcPr>
                <w:p>
                  <w:pPr>
                    <w:jc w:val="center"/>
                  </w:pPr>
                  <w:r>
                    <w:t>55</w:t>
                  </w:r>
                </w:p>
              </w:tc>
            </w:tr>
          </w:tbl>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运营期：执行《工业企业厂界环境噪声排放标准》（GB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-2008）2类标准。</w:t>
            </w:r>
          </w:p>
          <w:p>
            <w:pPr>
              <w:pStyle w:val="49"/>
              <w:spacing w:line="360" w:lineRule="auto"/>
              <w:jc w:val="center"/>
              <w:rPr>
                <w:rFonts w:ascii="Times New Roman" w:hAnsi="Times New Roman" w:eastAsia="宋体" w:cs="Times New Roman"/>
                <w:b/>
                <w:sz w:val="23"/>
              </w:rPr>
            </w:pPr>
            <w:r>
              <w:rPr>
                <w:rFonts w:ascii="Times New Roman" w:hAnsi="Times New Roman" w:eastAsia="宋体" w:cs="Times New Roman"/>
                <w:b/>
                <w:sz w:val="24"/>
              </w:rPr>
              <w:t>表3-</w:t>
            </w:r>
            <w:r>
              <w:rPr>
                <w:rFonts w:ascii="Times New Roman" w:hAnsi="Times New Roman" w:eastAsia="宋体" w:cs="Times New Roman"/>
                <w:b/>
                <w:sz w:val="24"/>
                <w:lang w:val="en-US"/>
              </w:rPr>
              <w:t xml:space="preserve">12 </w:t>
            </w:r>
            <w:r>
              <w:rPr>
                <w:rFonts w:ascii="Times New Roman" w:hAnsi="Times New Roman" w:eastAsia="宋体" w:cs="Times New Roman"/>
                <w:b/>
                <w:sz w:val="24"/>
              </w:rPr>
              <w:t xml:space="preserve"> 工业企业厂界环境噪声排放标准单位：dB(A)</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2690"/>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97" w:type="pct"/>
                  <w:vAlign w:val="center"/>
                </w:tcPr>
                <w:p>
                  <w:pPr>
                    <w:jc w:val="center"/>
                  </w:pPr>
                  <w:r>
                    <w:t>时段</w:t>
                  </w:r>
                </w:p>
              </w:tc>
              <w:tc>
                <w:tcPr>
                  <w:tcW w:w="1501" w:type="pct"/>
                  <w:vAlign w:val="center"/>
                </w:tcPr>
                <w:p>
                  <w:pPr>
                    <w:jc w:val="center"/>
                  </w:pPr>
                  <w:r>
                    <w:t>昼间</w:t>
                  </w:r>
                </w:p>
              </w:tc>
              <w:tc>
                <w:tcPr>
                  <w:tcW w:w="1501" w:type="pct"/>
                  <w:vAlign w:val="center"/>
                </w:tcPr>
                <w:p>
                  <w:pPr>
                    <w:jc w:val="center"/>
                  </w:pPr>
                  <w: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997" w:type="pct"/>
                  <w:vAlign w:val="center"/>
                </w:tcPr>
                <w:p>
                  <w:pPr>
                    <w:jc w:val="center"/>
                  </w:pPr>
                  <w:r>
                    <w:t>标准值</w:t>
                  </w:r>
                </w:p>
              </w:tc>
              <w:tc>
                <w:tcPr>
                  <w:tcW w:w="1501" w:type="pct"/>
                  <w:vAlign w:val="center"/>
                </w:tcPr>
                <w:p>
                  <w:pPr>
                    <w:jc w:val="center"/>
                  </w:pPr>
                  <w:r>
                    <w:t>60</w:t>
                  </w:r>
                </w:p>
              </w:tc>
              <w:tc>
                <w:tcPr>
                  <w:tcW w:w="1501" w:type="pct"/>
                  <w:vAlign w:val="center"/>
                </w:tcPr>
                <w:p>
                  <w:pPr>
                    <w:jc w:val="center"/>
                  </w:pPr>
                  <w:r>
                    <w:t>50</w:t>
                  </w:r>
                </w:p>
              </w:tc>
            </w:tr>
          </w:tbl>
          <w:p>
            <w:pPr>
              <w:adjustRightInd w:val="0"/>
              <w:snapToGrid w:val="0"/>
              <w:spacing w:line="360" w:lineRule="auto"/>
              <w:ind w:firstLine="482" w:firstLineChars="200"/>
              <w:rPr>
                <w:b/>
                <w:sz w:val="24"/>
              </w:rPr>
            </w:pPr>
            <w:r>
              <w:rPr>
                <w:b/>
                <w:sz w:val="24"/>
              </w:rPr>
              <w:t xml:space="preserve">（3）废水排放标准 </w:t>
            </w:r>
          </w:p>
          <w:p>
            <w:pPr>
              <w:pStyle w:val="49"/>
              <w:wordWrap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施工期：项目施工废水经沉淀处理后回用于施工现场洒水降尘，不外排。</w:t>
            </w:r>
          </w:p>
          <w:p>
            <w:pPr>
              <w:pStyle w:val="49"/>
              <w:wordWrap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运营期：升压站食堂废水经隔油池预处理后，连同其它生活污水经化粪池处理后，一同进入一体化污水处理站处理达到《城市污水再生利用 城市杂用水水质》（GB/T</w:t>
            </w:r>
            <w:r>
              <w:rPr>
                <w:rFonts w:hint="eastAsia" w:ascii="Times New Roman" w:hAnsi="Times New Roman" w:eastAsia="宋体" w:cs="Times New Roman"/>
                <w:sz w:val="24"/>
                <w:lang w:eastAsia="zh-CN"/>
              </w:rPr>
              <w:t>*****</w:t>
            </w:r>
            <w:r>
              <w:rPr>
                <w:rFonts w:ascii="Times New Roman" w:hAnsi="Times New Roman" w:eastAsia="宋体" w:cs="Times New Roman"/>
                <w:sz w:val="24"/>
              </w:rPr>
              <w:t>-2020）中绿化标准后回用于升压站内绿化，不外排。执行标准值如下：</w:t>
            </w:r>
          </w:p>
          <w:p>
            <w:pPr>
              <w:pStyle w:val="49"/>
              <w:spacing w:before="24" w:after="24" w:line="360" w:lineRule="auto"/>
              <w:jc w:val="center"/>
              <w:rPr>
                <w:rFonts w:ascii="Times New Roman" w:hAnsi="Times New Roman" w:eastAsia="宋体" w:cs="Times New Roman"/>
                <w:b/>
                <w:bCs/>
                <w:sz w:val="24"/>
              </w:rPr>
            </w:pPr>
            <w:r>
              <w:rPr>
                <w:rFonts w:ascii="Times New Roman" w:hAnsi="Times New Roman" w:eastAsia="宋体" w:cs="Times New Roman"/>
                <w:b/>
                <w:bCs/>
                <w:sz w:val="24"/>
              </w:rPr>
              <w:t>表3-13  城市污水再生利用城市杂用水水质单位：mg/L</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855"/>
              <w:gridCol w:w="572"/>
              <w:gridCol w:w="713"/>
              <w:gridCol w:w="873"/>
              <w:gridCol w:w="740"/>
              <w:gridCol w:w="695"/>
              <w:gridCol w:w="717"/>
              <w:gridCol w:w="1435"/>
              <w:gridCol w:w="126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96" w:type="pct"/>
                  <w:vMerge w:val="restart"/>
                  <w:vAlign w:val="center"/>
                </w:tcPr>
                <w:p>
                  <w:pPr>
                    <w:pStyle w:val="49"/>
                    <w:wordWrap w:val="0"/>
                    <w:spacing w:line="360" w:lineRule="auto"/>
                    <w:jc w:val="center"/>
                    <w:rPr>
                      <w:rFonts w:ascii="Times New Roman" w:hAnsi="Times New Roman" w:eastAsia="宋体" w:cs="Times New Roman"/>
                      <w:sz w:val="24"/>
                    </w:rPr>
                  </w:pPr>
                  <w:r>
                    <w:rPr>
                      <w:rFonts w:ascii="Times New Roman" w:hAnsi="Times New Roman" w:eastAsia="宋体" w:cs="Times New Roman"/>
                    </w:rPr>
                    <w:t>绿化用水</w:t>
                  </w:r>
                </w:p>
              </w:tc>
              <w:tc>
                <w:tcPr>
                  <w:tcW w:w="477" w:type="pct"/>
                  <w:vAlign w:val="center"/>
                </w:tcPr>
                <w:p>
                  <w:pPr>
                    <w:wordWrap w:val="0"/>
                    <w:jc w:val="center"/>
                    <w:rPr>
                      <w:sz w:val="24"/>
                    </w:rPr>
                  </w:pPr>
                  <w:r>
                    <w:t>pH（无量纲）</w:t>
                  </w:r>
                </w:p>
              </w:tc>
              <w:tc>
                <w:tcPr>
                  <w:tcW w:w="319" w:type="pct"/>
                  <w:vAlign w:val="center"/>
                </w:tcPr>
                <w:p>
                  <w:pPr>
                    <w:wordWrap w:val="0"/>
                    <w:jc w:val="center"/>
                    <w:rPr>
                      <w:sz w:val="24"/>
                    </w:rPr>
                  </w:pPr>
                  <w:r>
                    <w:t>色度</w:t>
                  </w:r>
                </w:p>
              </w:tc>
              <w:tc>
                <w:tcPr>
                  <w:tcW w:w="398" w:type="pct"/>
                  <w:vAlign w:val="center"/>
                </w:tcPr>
                <w:p>
                  <w:pPr>
                    <w:wordWrap w:val="0"/>
                    <w:jc w:val="center"/>
                    <w:rPr>
                      <w:sz w:val="24"/>
                    </w:rPr>
                  </w:pPr>
                  <w:r>
                    <w:t>嗅</w:t>
                  </w:r>
                </w:p>
              </w:tc>
              <w:tc>
                <w:tcPr>
                  <w:tcW w:w="487" w:type="pct"/>
                  <w:vAlign w:val="center"/>
                </w:tcPr>
                <w:p>
                  <w:pPr>
                    <w:wordWrap w:val="0"/>
                    <w:jc w:val="center"/>
                    <w:rPr>
                      <w:sz w:val="24"/>
                    </w:rPr>
                  </w:pPr>
                  <w:r>
                    <w:t>溶解性总固体</w:t>
                  </w:r>
                </w:p>
              </w:tc>
              <w:tc>
                <w:tcPr>
                  <w:tcW w:w="413" w:type="pct"/>
                  <w:vAlign w:val="center"/>
                </w:tcPr>
                <w:p>
                  <w:pPr>
                    <w:wordWrap w:val="0"/>
                    <w:jc w:val="center"/>
                    <w:rPr>
                      <w:sz w:val="24"/>
                    </w:rPr>
                  </w:pPr>
                  <w:r>
                    <w:t>BOD</w:t>
                  </w:r>
                  <w:r>
                    <w:rPr>
                      <w:vertAlign w:val="subscript"/>
                    </w:rPr>
                    <w:t>5</w:t>
                  </w:r>
                </w:p>
              </w:tc>
              <w:tc>
                <w:tcPr>
                  <w:tcW w:w="388" w:type="pct"/>
                  <w:vAlign w:val="center"/>
                </w:tcPr>
                <w:p>
                  <w:pPr>
                    <w:wordWrap w:val="0"/>
                    <w:jc w:val="center"/>
                    <w:rPr>
                      <w:sz w:val="24"/>
                    </w:rPr>
                  </w:pPr>
                  <w:r>
                    <w:t>氨氮</w:t>
                  </w:r>
                </w:p>
              </w:tc>
              <w:tc>
                <w:tcPr>
                  <w:tcW w:w="400" w:type="pct"/>
                  <w:vAlign w:val="center"/>
                </w:tcPr>
                <w:p>
                  <w:pPr>
                    <w:wordWrap w:val="0"/>
                    <w:jc w:val="center"/>
                    <w:rPr>
                      <w:sz w:val="24"/>
                    </w:rPr>
                  </w:pPr>
                  <w:r>
                    <w:t>溶解氧</w:t>
                  </w:r>
                </w:p>
              </w:tc>
              <w:tc>
                <w:tcPr>
                  <w:tcW w:w="801" w:type="pct"/>
                  <w:vAlign w:val="center"/>
                </w:tcPr>
                <w:p>
                  <w:pPr>
                    <w:wordWrap w:val="0"/>
                    <w:jc w:val="center"/>
                    <w:rPr>
                      <w:sz w:val="24"/>
                    </w:rPr>
                  </w:pPr>
                  <w:r>
                    <w:t>阴离子表面活性剂</w:t>
                  </w:r>
                </w:p>
              </w:tc>
              <w:tc>
                <w:tcPr>
                  <w:tcW w:w="706" w:type="pct"/>
                  <w:vAlign w:val="center"/>
                </w:tcPr>
                <w:p>
                  <w:pPr>
                    <w:wordWrap w:val="0"/>
                    <w:jc w:val="center"/>
                    <w:rPr>
                      <w:sz w:val="24"/>
                    </w:rPr>
                  </w:pPr>
                  <w:r>
                    <w:t>大肠埃希氏菌（MPN/100mL）</w:t>
                  </w:r>
                </w:p>
              </w:tc>
              <w:tc>
                <w:tcPr>
                  <w:tcW w:w="315" w:type="pct"/>
                  <w:vAlign w:val="center"/>
                </w:tcPr>
                <w:p>
                  <w:pPr>
                    <w:wordWrap w:val="0"/>
                    <w:jc w:val="center"/>
                    <w:rPr>
                      <w:sz w:val="24"/>
                    </w:rPr>
                  </w:pPr>
                  <w:r>
                    <w:t>总氯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vMerge w:val="continue"/>
                  <w:vAlign w:val="center"/>
                </w:tcPr>
                <w:p>
                  <w:pPr>
                    <w:pStyle w:val="49"/>
                    <w:wordWrap w:val="0"/>
                    <w:spacing w:line="360" w:lineRule="auto"/>
                    <w:jc w:val="center"/>
                    <w:rPr>
                      <w:rFonts w:ascii="Times New Roman" w:hAnsi="Times New Roman" w:eastAsia="宋体" w:cs="Times New Roman"/>
                      <w:sz w:val="24"/>
                    </w:rPr>
                  </w:pPr>
                </w:p>
              </w:tc>
              <w:tc>
                <w:tcPr>
                  <w:tcW w:w="477" w:type="pct"/>
                  <w:vAlign w:val="center"/>
                </w:tcPr>
                <w:p>
                  <w:pPr>
                    <w:wordWrap w:val="0"/>
                    <w:jc w:val="center"/>
                    <w:rPr>
                      <w:sz w:val="24"/>
                    </w:rPr>
                  </w:pPr>
                  <w:r>
                    <w:t>6-9</w:t>
                  </w:r>
                </w:p>
              </w:tc>
              <w:tc>
                <w:tcPr>
                  <w:tcW w:w="319" w:type="pct"/>
                  <w:vAlign w:val="center"/>
                </w:tcPr>
                <w:p>
                  <w:pPr>
                    <w:wordWrap w:val="0"/>
                    <w:jc w:val="center"/>
                    <w:rPr>
                      <w:sz w:val="24"/>
                    </w:rPr>
                  </w:pPr>
                  <w:r>
                    <w:t>≤30</w:t>
                  </w:r>
                </w:p>
              </w:tc>
              <w:tc>
                <w:tcPr>
                  <w:tcW w:w="398" w:type="pct"/>
                  <w:vAlign w:val="center"/>
                </w:tcPr>
                <w:p>
                  <w:pPr>
                    <w:wordWrap w:val="0"/>
                    <w:jc w:val="center"/>
                    <w:rPr>
                      <w:sz w:val="24"/>
                    </w:rPr>
                  </w:pPr>
                  <w:r>
                    <w:t>无不快感</w:t>
                  </w:r>
                </w:p>
              </w:tc>
              <w:tc>
                <w:tcPr>
                  <w:tcW w:w="487" w:type="pct"/>
                  <w:vAlign w:val="center"/>
                </w:tcPr>
                <w:p>
                  <w:pPr>
                    <w:wordWrap w:val="0"/>
                    <w:jc w:val="center"/>
                    <w:rPr>
                      <w:sz w:val="24"/>
                    </w:rPr>
                  </w:pPr>
                  <w:r>
                    <w:t>≤1000</w:t>
                  </w:r>
                </w:p>
              </w:tc>
              <w:tc>
                <w:tcPr>
                  <w:tcW w:w="413" w:type="pct"/>
                  <w:vAlign w:val="center"/>
                </w:tcPr>
                <w:p>
                  <w:pPr>
                    <w:wordWrap w:val="0"/>
                    <w:jc w:val="center"/>
                    <w:rPr>
                      <w:sz w:val="24"/>
                    </w:rPr>
                  </w:pPr>
                  <w:r>
                    <w:t>≤10</w:t>
                  </w:r>
                </w:p>
              </w:tc>
              <w:tc>
                <w:tcPr>
                  <w:tcW w:w="388" w:type="pct"/>
                  <w:vAlign w:val="center"/>
                </w:tcPr>
                <w:p>
                  <w:pPr>
                    <w:wordWrap w:val="0"/>
                    <w:jc w:val="center"/>
                    <w:rPr>
                      <w:sz w:val="24"/>
                    </w:rPr>
                  </w:pPr>
                  <w:r>
                    <w:t>≤8</w:t>
                  </w:r>
                </w:p>
              </w:tc>
              <w:tc>
                <w:tcPr>
                  <w:tcW w:w="400" w:type="pct"/>
                  <w:vAlign w:val="center"/>
                </w:tcPr>
                <w:p>
                  <w:pPr>
                    <w:wordWrap w:val="0"/>
                    <w:jc w:val="center"/>
                    <w:rPr>
                      <w:sz w:val="24"/>
                    </w:rPr>
                  </w:pPr>
                  <w:r>
                    <w:t>≥2.0</w:t>
                  </w:r>
                </w:p>
              </w:tc>
              <w:tc>
                <w:tcPr>
                  <w:tcW w:w="801" w:type="pct"/>
                  <w:vAlign w:val="center"/>
                </w:tcPr>
                <w:p>
                  <w:pPr>
                    <w:wordWrap w:val="0"/>
                    <w:jc w:val="center"/>
                    <w:rPr>
                      <w:sz w:val="24"/>
                    </w:rPr>
                  </w:pPr>
                  <w:r>
                    <w:t>≤0.5</w:t>
                  </w:r>
                </w:p>
              </w:tc>
              <w:tc>
                <w:tcPr>
                  <w:tcW w:w="706" w:type="pct"/>
                  <w:vAlign w:val="center"/>
                </w:tcPr>
                <w:p>
                  <w:pPr>
                    <w:wordWrap w:val="0"/>
                    <w:jc w:val="center"/>
                    <w:rPr>
                      <w:sz w:val="24"/>
                    </w:rPr>
                  </w:pPr>
                  <w:r>
                    <w:t>不应检出</w:t>
                  </w:r>
                </w:p>
              </w:tc>
              <w:tc>
                <w:tcPr>
                  <w:tcW w:w="315" w:type="pct"/>
                  <w:vAlign w:val="center"/>
                </w:tcPr>
                <w:p>
                  <w:pPr>
                    <w:wordWrap w:val="0"/>
                    <w:jc w:val="center"/>
                    <w:rPr>
                      <w:sz w:val="24"/>
                    </w:rPr>
                  </w:pPr>
                  <w:r>
                    <w:t>2.5</w:t>
                  </w:r>
                </w:p>
              </w:tc>
            </w:tr>
          </w:tbl>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（4）工频电场、工频磁场</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本项目属于交流输变电项目，工作频率为50Hz，根据《电磁环境控制限值》（GB</w:t>
            </w:r>
            <w:r>
              <w:rPr>
                <w:rFonts w:hint="eastAsia" w:ascii="Times New Roman" w:hAnsi="Times New Roman" w:eastAsia="宋体" w:cs="Times New Roman"/>
                <w:sz w:val="24"/>
                <w:lang w:eastAsia="zh-CN"/>
              </w:rPr>
              <w:t>****</w:t>
            </w:r>
            <w:r>
              <w:rPr>
                <w:rFonts w:ascii="Times New Roman" w:hAnsi="Times New Roman" w:eastAsia="宋体" w:cs="Times New Roman"/>
                <w:sz w:val="24"/>
              </w:rPr>
              <w:t>-2014），工频电场采用</w:t>
            </w:r>
            <w:r>
              <w:rPr>
                <w:rFonts w:ascii="Times New Roman" w:hAnsi="Times New Roman" w:eastAsia="宋体" w:cs="Times New Roman"/>
                <w:sz w:val="24"/>
                <w:lang w:val="en-US"/>
              </w:rPr>
              <w:t>公众曝露电场强度控制限值4KV/m；工频磁场采用公众曝露磁感应强度控制限值100μT为评价标准。</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（5）固废标准</w:t>
            </w:r>
          </w:p>
          <w:p>
            <w:pPr>
              <w:pStyle w:val="49"/>
              <w:spacing w:line="360" w:lineRule="auto"/>
              <w:ind w:firstLine="480" w:firstLineChars="200"/>
              <w:rPr>
                <w:rFonts w:ascii="Times New Roman" w:hAnsi="Times New Roman" w:eastAsia="宋体" w:cs="Times New Roman"/>
                <w:kern w:val="0"/>
                <w:szCs w:val="21"/>
              </w:rPr>
            </w:pPr>
            <w:r>
              <w:rPr>
                <w:rFonts w:ascii="Times New Roman" w:hAnsi="Times New Roman" w:eastAsia="宋体" w:cs="Times New Roman"/>
                <w:sz w:val="24"/>
              </w:rPr>
              <w:t>施工期以及运营期产生的固体废弃物，贮存过程执行</w:t>
            </w:r>
            <w:r>
              <w:rPr>
                <w:rFonts w:hint="eastAsia" w:ascii="Times New Roman" w:hAnsi="Times New Roman" w:eastAsia="宋体" w:cs="Times New Roman"/>
                <w:sz w:val="24"/>
              </w:rPr>
              <w:t>《一般工业固体废物贮存和填埋污染控制标准》（</w:t>
            </w:r>
            <w:r>
              <w:rPr>
                <w:rFonts w:ascii="Times New Roman" w:hAnsi="Times New Roman" w:eastAsia="宋体" w:cs="Times New Roman"/>
                <w:sz w:val="24"/>
              </w:rPr>
              <w:t>GB</w:t>
            </w:r>
            <w:r>
              <w:rPr>
                <w:rFonts w:hint="eastAsia" w:ascii="Times New Roman" w:hAnsi="Times New Roman" w:eastAsia="宋体" w:cs="Times New Roman"/>
                <w:sz w:val="24"/>
                <w:lang w:eastAsia="zh-CN"/>
              </w:rPr>
              <w:t>*****</w:t>
            </w:r>
            <w:r>
              <w:rPr>
                <w:rFonts w:ascii="Times New Roman" w:hAnsi="Times New Roman" w:eastAsia="宋体" w:cs="Times New Roman"/>
                <w:sz w:val="24"/>
              </w:rPr>
              <w:t>-2020）中的相关规定；危险废物处置执行《危险废物贮存污染控制标准》（GB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-2023）相关规定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pPr>
              <w:adjustRightInd w:val="0"/>
              <w:snapToGrid w:val="0"/>
              <w:jc w:val="center"/>
              <w:rPr>
                <w:kern w:val="0"/>
                <w:sz w:val="24"/>
                <w:szCs w:val="21"/>
              </w:rPr>
            </w:pPr>
            <w:r>
              <w:rPr>
                <w:kern w:val="0"/>
                <w:sz w:val="24"/>
                <w:szCs w:val="21"/>
              </w:rPr>
              <w:t>其他</w:t>
            </w:r>
          </w:p>
        </w:tc>
        <w:tc>
          <w:tcPr>
            <w:tcW w:w="9080" w:type="dxa"/>
            <w:gridSpan w:val="2"/>
            <w:vAlign w:val="center"/>
          </w:tcPr>
          <w:p>
            <w:pPr>
              <w:spacing w:line="360" w:lineRule="auto"/>
              <w:ind w:firstLine="480" w:firstLineChars="200"/>
              <w:rPr>
                <w:sz w:val="24"/>
                <w:lang w:val="zh-CN" w:bidi="zh-CN"/>
              </w:rPr>
            </w:pPr>
            <w:r>
              <w:rPr>
                <w:sz w:val="24"/>
                <w:lang w:val="zh-CN" w:bidi="zh-CN"/>
              </w:rPr>
              <w:t>按照污染物“达标排放”的原则，根据《国务院关于印发“十四五”节能减排综合性工作方案的通知》（国发〔2021〕33号），“十四五”期间国家对化学需氧量、氨氮、氮氧化物以及挥发性有机物等主要污染物实行排放总量控制计划管理。本次评价总量控制指标取NO</w:t>
            </w:r>
            <w:r>
              <w:rPr>
                <w:sz w:val="24"/>
                <w:vertAlign w:val="subscript"/>
                <w:lang w:val="zh-CN" w:bidi="zh-CN"/>
              </w:rPr>
              <w:t>x</w:t>
            </w:r>
            <w:r>
              <w:rPr>
                <w:sz w:val="24"/>
                <w:lang w:val="zh-CN" w:bidi="zh-CN"/>
              </w:rPr>
              <w:t>、COD</w:t>
            </w:r>
            <w:r>
              <w:rPr>
                <w:sz w:val="24"/>
                <w:vertAlign w:val="subscript"/>
                <w:lang w:val="zh-CN" w:bidi="zh-CN"/>
              </w:rPr>
              <w:t>cr</w:t>
            </w:r>
            <w:r>
              <w:rPr>
                <w:sz w:val="24"/>
                <w:lang w:val="zh-CN" w:bidi="zh-CN"/>
              </w:rPr>
              <w:t>、NH</w:t>
            </w:r>
            <w:r>
              <w:rPr>
                <w:sz w:val="24"/>
                <w:vertAlign w:val="subscript"/>
                <w:lang w:val="zh-CN" w:bidi="zh-CN"/>
              </w:rPr>
              <w:t>3</w:t>
            </w:r>
            <w:r>
              <w:rPr>
                <w:sz w:val="24"/>
                <w:lang w:val="zh-CN" w:bidi="zh-CN"/>
              </w:rPr>
              <w:t>-N及挥发性有机物，对上述四项主要污染物实施国家总量控制，统一要求，统一考核。</w:t>
            </w:r>
          </w:p>
          <w:p>
            <w:pPr>
              <w:adjustRightInd w:val="0"/>
              <w:snapToGrid w:val="0"/>
              <w:spacing w:line="360" w:lineRule="auto"/>
              <w:ind w:firstLine="480" w:firstLineChars="200"/>
              <w:rPr>
                <w:bCs/>
                <w:kern w:val="0"/>
                <w:sz w:val="24"/>
              </w:rPr>
            </w:pPr>
            <w:r>
              <w:rPr>
                <w:sz w:val="24"/>
                <w:lang w:val="zh-CN" w:bidi="zh-CN"/>
              </w:rPr>
              <w:t>项目运行期间产生生活污水量为262.8m</w:t>
            </w:r>
            <w:r>
              <w:rPr>
                <w:sz w:val="24"/>
                <w:vertAlign w:val="superscript"/>
                <w:lang w:val="zh-CN" w:bidi="zh-CN"/>
              </w:rPr>
              <w:t>3</w:t>
            </w:r>
            <w:r>
              <w:rPr>
                <w:sz w:val="24"/>
                <w:lang w:val="zh-CN" w:bidi="zh-CN"/>
              </w:rPr>
              <w:t>/a，COD产生量为0.079t/a，BOD产生量为0.053t/a，氨氮产生量为</w:t>
            </w:r>
            <w:r>
              <w:rPr>
                <w:sz w:val="24"/>
                <w:lang w:bidi="zh-CN"/>
              </w:rPr>
              <w:t>0.0066</w:t>
            </w:r>
            <w:r>
              <w:rPr>
                <w:sz w:val="24"/>
                <w:lang w:val="zh-CN" w:bidi="zh-CN"/>
              </w:rPr>
              <w:t>t/a，经一体化污水处理站处理之后，在升压站内回用</w:t>
            </w:r>
            <w:r>
              <w:rPr>
                <w:bCs/>
                <w:sz w:val="24"/>
              </w:rPr>
              <w:t>。无污水外排，不设置水污染物总量控制指标。</w:t>
            </w:r>
          </w:p>
          <w:p>
            <w:pPr>
              <w:spacing w:line="360" w:lineRule="auto"/>
              <w:ind w:firstLine="480" w:firstLineChars="200"/>
              <w:rPr>
                <w:sz w:val="24"/>
                <w:lang w:bidi="zh-CN"/>
              </w:rPr>
            </w:pPr>
            <w:r>
              <w:rPr>
                <w:sz w:val="24"/>
                <w:lang w:bidi="zh-CN"/>
              </w:rPr>
              <w:t>运营期间，项目主要大气污染物为食堂油烟，不设置大气污染物总量控制指标。</w:t>
            </w:r>
            <w:r>
              <w:rPr>
                <w:sz w:val="24"/>
                <w:lang w:val="zh-CN" w:bidi="zh-CN"/>
              </w:rPr>
              <w:t>故本次环评建议不设总量指标。</w:t>
            </w:r>
          </w:p>
        </w:tc>
      </w:tr>
    </w:tbl>
    <w:p>
      <w:pPr>
        <w:pStyle w:val="17"/>
        <w:jc w:val="center"/>
        <w:outlineLvl w:val="0"/>
        <w:rPr>
          <w:rFonts w:ascii="Times New Roman" w:hAnsi="Times New Roman"/>
          <w:snapToGrid w:val="0"/>
          <w:sz w:val="30"/>
          <w:szCs w:val="30"/>
        </w:rPr>
        <w:sectPr>
          <w:pgSz w:w="11906" w:h="16838"/>
          <w:pgMar w:top="1440" w:right="1800" w:bottom="1440" w:left="1800" w:header="851" w:footer="1077" w:gutter="0"/>
          <w:cols w:space="720" w:num="1"/>
          <w:docGrid w:linePitch="312" w:charSpace="0"/>
        </w:sectPr>
      </w:pPr>
    </w:p>
    <w:p>
      <w:pPr>
        <w:pStyle w:val="17"/>
        <w:jc w:val="center"/>
        <w:outlineLvl w:val="0"/>
        <w:rPr>
          <w:rFonts w:ascii="Times New Roman" w:hAnsi="Times New Roman"/>
          <w:b/>
          <w:bCs/>
          <w:snapToGrid w:val="0"/>
          <w:sz w:val="30"/>
          <w:szCs w:val="30"/>
        </w:rPr>
      </w:pPr>
      <w:bookmarkStart w:id="11" w:name="_Toc32091"/>
      <w:r>
        <w:rPr>
          <w:rFonts w:ascii="Times New Roman" w:hAnsi="Times New Roman"/>
          <w:b/>
          <w:bCs/>
          <w:snapToGrid w:val="0"/>
          <w:sz w:val="30"/>
          <w:szCs w:val="30"/>
        </w:rPr>
        <w:t>四、生态环境影响分析</w:t>
      </w:r>
      <w:bookmarkEnd w:id="11"/>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9"/>
        <w:gridCol w:w="9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Mar>
              <w:left w:w="28" w:type="dxa"/>
              <w:right w:w="28" w:type="dxa"/>
            </w:tcMar>
            <w:vAlign w:val="center"/>
          </w:tcPr>
          <w:p>
            <w:pPr>
              <w:pStyle w:val="17"/>
              <w:adjustRightInd w:val="0"/>
              <w:snapToGrid w:val="0"/>
              <w:spacing w:before="0" w:beforeAutospacing="0" w:after="0" w:afterAutospacing="0"/>
              <w:jc w:val="center"/>
              <w:rPr>
                <w:rFonts w:ascii="Times New Roman" w:hAnsi="Times New Roman"/>
                <w:bCs/>
                <w:kern w:val="2"/>
                <w:szCs w:val="21"/>
              </w:rPr>
            </w:pPr>
            <w:bookmarkStart w:id="12" w:name="_Hlk49796138"/>
            <w:r>
              <w:rPr>
                <w:rFonts w:ascii="Times New Roman" w:hAnsi="Times New Roman"/>
                <w:bCs/>
                <w:spacing w:val="10"/>
                <w:kern w:val="2"/>
                <w:szCs w:val="21"/>
              </w:rPr>
              <w:t>施工期生态环境影响分析</w:t>
            </w:r>
            <w:bookmarkEnd w:id="12"/>
          </w:p>
        </w:tc>
        <w:tc>
          <w:tcPr>
            <w:tcW w:w="9074" w:type="dxa"/>
          </w:tcPr>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（一）施工期环境影响分析</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本项目施工期主要的建设内容为</w:t>
            </w:r>
            <w:r>
              <w:rPr>
                <w:rFonts w:hint="eastAsia" w:ascii="Times New Roman" w:hAnsi="Times New Roman" w:eastAsia="宋体" w:cs="Times New Roman"/>
                <w:sz w:val="24"/>
                <w:lang w:val="en-US" w:eastAsia="zh-CN"/>
              </w:rPr>
              <w:t>场地平整、基础开挖、回填、基础浇筑、建构筑物建设等</w:t>
            </w:r>
            <w:r>
              <w:rPr>
                <w:rFonts w:ascii="Times New Roman" w:hAnsi="Times New Roman" w:eastAsia="宋体" w:cs="Times New Roman"/>
                <w:sz w:val="24"/>
              </w:rPr>
              <w:t>。项目在土石方开挖及回填、建设施工材料运输时将产生粉尘，施工过程中施工机械将产生噪声，建设过程中还将产生建筑垃圾等固体废弃物等，同时施工中将破坏地表植被和产生水土流失等。</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1、施工期生态环境影响</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（1）对植被和植物的影响分析</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项目施工过程中不可避免的占用土地，现场调查过程发现</w:t>
            </w:r>
            <w:r>
              <w:rPr>
                <w:rFonts w:hint="eastAsia" w:ascii="Times New Roman" w:hAnsi="Times New Roman" w:eastAsia="宋体" w:cs="Times New Roman"/>
                <w:sz w:val="24"/>
                <w:lang w:eastAsia="zh-CN"/>
              </w:rPr>
              <w:t>。</w:t>
            </w:r>
            <w:r>
              <w:rPr>
                <w:rFonts w:ascii="Times New Roman" w:hAnsi="Times New Roman" w:eastAsia="宋体" w:cs="Times New Roman"/>
                <w:sz w:val="24"/>
              </w:rPr>
              <w:t>升压站建设过程中土地需进行硬化，</w:t>
            </w:r>
            <w:r>
              <w:rPr>
                <w:rFonts w:ascii="Times New Roman" w:hAnsi="Times New Roman" w:eastAsia="宋体" w:cs="Times New Roman"/>
                <w:sz w:val="24"/>
                <w:lang w:val="en-US"/>
              </w:rPr>
              <w:t>占用面积1.2372</w:t>
            </w:r>
            <w:r>
              <w:rPr>
                <w:rFonts w:hint="eastAsia" w:ascii="Times New Roman" w:hAnsi="Times New Roman" w:eastAsia="宋体" w:cs="Times New Roman"/>
                <w:sz w:val="24"/>
                <w:lang w:val="en-US"/>
              </w:rPr>
              <w:t>ha</w:t>
            </w:r>
            <w:r>
              <w:rPr>
                <w:rFonts w:ascii="Times New Roman" w:hAnsi="Times New Roman" w:eastAsia="宋体" w:cs="Times New Roman"/>
                <w:sz w:val="24"/>
                <w:lang w:val="en-US"/>
              </w:rPr>
              <w:t>，占地全为草地，占用了一部分的草本植物生长环境，占地面积不大，破坏植被面积有限。</w:t>
            </w:r>
          </w:p>
          <w:p>
            <w:pPr>
              <w:pStyle w:val="49"/>
              <w:spacing w:line="360" w:lineRule="auto"/>
              <w:ind w:firstLine="480" w:firstLineChars="200"/>
              <w:rPr>
                <w:rFonts w:ascii="Times New Roman" w:hAnsi="Times New Roman" w:eastAsia="宋体" w:cs="Times New Roman"/>
                <w:sz w:val="24"/>
                <w:lang w:val="en-US"/>
              </w:rPr>
            </w:pPr>
            <w:r>
              <w:rPr>
                <w:rFonts w:hint="eastAsia" w:ascii="Times New Roman" w:hAnsi="Times New Roman" w:eastAsia="宋体" w:cs="Times New Roman"/>
                <w:sz w:val="24"/>
                <w:lang w:val="en-US" w:eastAsia="zh-CN"/>
              </w:rPr>
              <w:t>施工结束后站区将以长期的、稳定的人工绿化替代原有间断性、规律性作物植被，施工对植被影响较小</w:t>
            </w:r>
            <w:r>
              <w:rPr>
                <w:rFonts w:ascii="Times New Roman" w:hAnsi="Times New Roman" w:eastAsia="宋体" w:cs="Times New Roman"/>
                <w:sz w:val="24"/>
                <w:lang w:val="en-US"/>
              </w:rPr>
              <w:t>。</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（2）对动物的影响分析</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项目实施对陆生野生脊椎动物的影响在以下三方面：</w:t>
            </w:r>
            <w:r>
              <w:rPr>
                <w:rFonts w:ascii="宋体" w:hAnsi="宋体" w:eastAsia="宋体" w:cs="宋体"/>
                <w:sz w:val="24"/>
              </w:rPr>
              <w:t>①</w:t>
            </w:r>
            <w:r>
              <w:rPr>
                <w:rFonts w:ascii="Times New Roman" w:hAnsi="Times New Roman" w:eastAsia="宋体" w:cs="Times New Roman"/>
                <w:sz w:val="24"/>
              </w:rPr>
              <w:t>施工对动物生境的干扰和破坏，如施工对动物栖息地的破坏等；</w:t>
            </w:r>
            <w:r>
              <w:rPr>
                <w:rFonts w:ascii="宋体" w:hAnsi="宋体" w:eastAsia="宋体" w:cs="宋体"/>
                <w:sz w:val="24"/>
              </w:rPr>
              <w:t>②</w:t>
            </w:r>
            <w:r>
              <w:rPr>
                <w:rFonts w:ascii="Times New Roman" w:hAnsi="Times New Roman" w:eastAsia="宋体" w:cs="Times New Roman"/>
                <w:sz w:val="24"/>
              </w:rPr>
              <w:t>施工人员的人为干扰；</w:t>
            </w:r>
            <w:r>
              <w:rPr>
                <w:rFonts w:ascii="宋体" w:hAnsi="宋体" w:eastAsia="宋体" w:cs="宋体"/>
                <w:sz w:val="24"/>
              </w:rPr>
              <w:t>③</w:t>
            </w:r>
            <w:r>
              <w:rPr>
                <w:rFonts w:ascii="Times New Roman" w:hAnsi="Times New Roman" w:eastAsia="宋体" w:cs="Times New Roman"/>
                <w:sz w:val="24"/>
              </w:rPr>
              <w:t>施工噪声对动物生境的破坏以及对动物的惊吓、驱赶等。影响的结果将使得大部分动物迁移它处，远离施工影响范围。</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在评价区有较多的鸟类，偶尔会进入项目区，鸟类动物迁徙能力强，活动区域大，其性甚机警，在环境受到干扰时，会迅速迁移至其他相同或相似生境中，会通过迁移来避免工程建设对其的影响，因此，只要加强施工管理，项目建设对鸟类的影响不大。</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评价区内的生态环境比较简单，不适宜野生动物的生存，同时周边有人类活动参与，大部分动物迁徙他处，不在评价区范围内活动。项目区分布的动物绝大多数为小型、常见的啮齿类小型动物，且多数对人类干扰有一定适应。项目的实施对野生动物的直接影响相对较小，通过加强对施工人员的环保教育，保护好野生动物，总体上项目实施对当地的动物影响不大。</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（3）对水土流失影响分析</w:t>
            </w:r>
          </w:p>
          <w:p>
            <w:pPr>
              <w:pStyle w:val="49"/>
              <w:spacing w:line="360" w:lineRule="auto"/>
              <w:ind w:firstLine="480" w:firstLineChars="200"/>
              <w:rPr>
                <w:rFonts w:ascii="Times New Roman" w:hAnsi="Times New Roman" w:eastAsia="宋体" w:cs="Times New Roman"/>
                <w:sz w:val="24"/>
                <w:lang w:val="en-US"/>
              </w:rPr>
            </w:pPr>
            <w:r>
              <w:rPr>
                <w:rFonts w:hint="eastAsia" w:ascii="Times New Roman" w:hAnsi="Times New Roman" w:eastAsia="宋体" w:cs="Times New Roman"/>
                <w:sz w:val="24"/>
                <w:lang w:val="en-US" w:eastAsia="zh-CN"/>
              </w:rPr>
              <w:t>项目建设期间基础开挖将导致地表裸露、土体松散，土壤抗蚀能力降低，引发水土流失；开挖出的土石方和表土堆放不当也将造成局部水土流失影响加剧。项目施工面积较小，开挖面积较小，临时表土堆场剥离后单独堆放，设置围挡、密网覆盖等临时保护措施后施工对水土流失影响较小</w:t>
            </w:r>
            <w:r>
              <w:rPr>
                <w:rFonts w:ascii="Times New Roman" w:hAnsi="Times New Roman" w:eastAsia="宋体" w:cs="Times New Roman"/>
                <w:sz w:val="24"/>
                <w:lang w:val="en-US"/>
              </w:rPr>
              <w:t>。</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2、施工期废气影响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项目施工期大气污染物主要是施工扬尘、施工机械和运输车辆及装修时产生的废气。</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lang w:val="en-US"/>
              </w:rPr>
              <w:t>（1）</w:t>
            </w:r>
            <w:r>
              <w:rPr>
                <w:rFonts w:ascii="Times New Roman" w:hAnsi="Times New Roman" w:eastAsia="宋体" w:cs="Times New Roman"/>
                <w:b/>
                <w:sz w:val="24"/>
              </w:rPr>
              <w:t>施工扬尘</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的扬尘主要是由地基开挖、建材装卸等施工作业，以及施工形成的裸土面而产生，再就是施工车辆运送水泥、沙石等材料也可能引起较大的扬尘及道路粉尘。主要污染物为TSP，不含有毒有害的特殊污染物质，对施工环境有一定的污染。粉尘呈无组织排放，其产生强度与施工方式、气象条件有关。</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施工作业中产生的扬尘对环境空气造成的影响大小取决于产生量和气候条件，影响面主要集中在施工场地200m范围内。据有关施工场地扬尘资料显示，当风速大于3.0m/s时，地面将产生扬尘。另外，进出施工场地的运输车辆也会造成施工作业场所近地面粉尘浓度升高，运输车辆引起的扬尘对路边30m范围内影响较大，而且形成线形污染，路边的TSP浓度可达10mg/m</w:t>
            </w:r>
            <w:r>
              <w:rPr>
                <w:rFonts w:ascii="Times New Roman" w:hAnsi="Times New Roman" w:eastAsia="宋体" w:cs="Times New Roman"/>
                <w:sz w:val="24"/>
                <w:vertAlign w:val="superscript"/>
              </w:rPr>
              <w:t>3</w:t>
            </w:r>
            <w:r>
              <w:rPr>
                <w:rFonts w:ascii="Times New Roman" w:hAnsi="Times New Roman" w:eastAsia="宋体" w:cs="Times New Roman"/>
                <w:sz w:val="24"/>
              </w:rPr>
              <w:t>以上，一般浓度范围在1.5～30mg/m</w:t>
            </w:r>
            <w:r>
              <w:rPr>
                <w:rFonts w:ascii="Times New Roman" w:hAnsi="Times New Roman" w:eastAsia="宋体" w:cs="Times New Roman"/>
                <w:sz w:val="24"/>
                <w:vertAlign w:val="superscript"/>
              </w:rPr>
              <w:t>3</w:t>
            </w:r>
            <w:r>
              <w:rPr>
                <w:rFonts w:ascii="Times New Roman" w:hAnsi="Times New Roman" w:eastAsia="宋体" w:cs="Times New Roman"/>
                <w:sz w:val="24"/>
              </w:rPr>
              <w:t>。</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由周围环境关系可知，</w:t>
            </w:r>
            <w:r>
              <w:rPr>
                <w:rFonts w:hint="eastAsia" w:ascii="Times New Roman" w:hAnsi="Times New Roman" w:eastAsia="宋体" w:cs="Times New Roman"/>
                <w:sz w:val="24"/>
                <w:lang w:val="en-US" w:eastAsia="zh-CN"/>
              </w:rPr>
              <w:t>升压站</w:t>
            </w:r>
            <w:r>
              <w:rPr>
                <w:rFonts w:ascii="Times New Roman" w:hAnsi="Times New Roman" w:eastAsia="宋体" w:cs="Times New Roman"/>
                <w:sz w:val="24"/>
                <w:lang w:val="en-US"/>
              </w:rPr>
              <w:t>周围最近的居民</w:t>
            </w:r>
            <w:r>
              <w:rPr>
                <w:rFonts w:hint="eastAsia" w:ascii="Times New Roman" w:hAnsi="Times New Roman" w:eastAsia="宋体" w:cs="Times New Roman"/>
                <w:sz w:val="24"/>
                <w:lang w:val="en-US" w:eastAsia="zh-CN"/>
              </w:rPr>
              <w:t>西</w:t>
            </w:r>
            <w:r>
              <w:rPr>
                <w:rFonts w:ascii="Times New Roman" w:hAnsi="Times New Roman" w:eastAsia="宋体" w:cs="Times New Roman"/>
                <w:sz w:val="24"/>
                <w:lang w:val="en-US"/>
              </w:rPr>
              <w:t>侧</w:t>
            </w:r>
            <w:r>
              <w:rPr>
                <w:rFonts w:hint="eastAsia" w:ascii="Times New Roman" w:hAnsi="Times New Roman" w:eastAsia="宋体" w:cs="Times New Roman"/>
                <w:sz w:val="24"/>
                <w:lang w:val="en-US" w:eastAsia="zh-CN"/>
              </w:rPr>
              <w:t>2.5km</w:t>
            </w:r>
            <w:r>
              <w:rPr>
                <w:rFonts w:ascii="Times New Roman" w:hAnsi="Times New Roman" w:eastAsia="宋体" w:cs="Times New Roman"/>
                <w:sz w:val="24"/>
                <w:lang w:val="en-US"/>
              </w:rPr>
              <w:t>的大陷塘村，对施工场地进行洒水降尘，堆场进行遮盖，升压站进行围挡。在材料运输过程中要</w:t>
            </w:r>
            <w:r>
              <w:rPr>
                <w:rFonts w:ascii="Times New Roman" w:hAnsi="Times New Roman" w:eastAsia="宋体" w:cs="Times New Roman"/>
                <w:bCs/>
                <w:sz w:val="24"/>
                <w:lang w:val="en-US"/>
              </w:rPr>
              <w:t>对运输物料进行遮蔽处理，装载不宜过满，</w:t>
            </w:r>
            <w:r>
              <w:rPr>
                <w:rFonts w:ascii="Times New Roman" w:hAnsi="Times New Roman" w:eastAsia="宋体" w:cs="Times New Roman"/>
                <w:sz w:val="24"/>
                <w:lang w:val="en-US"/>
              </w:rPr>
              <w:t>同时对沿经的道路及时洒水降尘，车辆进出装卸场地时限速行驶。</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经采取上述措施后，施工扬尘对周围环境影响不大。</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lang w:val="en-US"/>
              </w:rPr>
              <w:t>（</w:t>
            </w:r>
            <w:r>
              <w:rPr>
                <w:rFonts w:ascii="Times New Roman" w:hAnsi="Times New Roman" w:eastAsia="宋体" w:cs="Times New Roman"/>
                <w:b/>
                <w:sz w:val="24"/>
              </w:rPr>
              <w:t>2）施工机械和车辆废气</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本项目施工期废气主要来源于运输车辆及其它燃油机械施工时产生的废气，其中的污染物主要有烟尘、NO</w:t>
            </w:r>
            <w:r>
              <w:rPr>
                <w:rFonts w:ascii="Times New Roman" w:hAnsi="Times New Roman" w:eastAsia="宋体" w:cs="Times New Roman"/>
                <w:sz w:val="24"/>
                <w:vertAlign w:val="subscript"/>
              </w:rPr>
              <w:t>x</w:t>
            </w:r>
            <w:r>
              <w:rPr>
                <w:rFonts w:ascii="Times New Roman" w:hAnsi="Times New Roman" w:eastAsia="宋体" w:cs="Times New Roman"/>
                <w:sz w:val="24"/>
              </w:rPr>
              <w:t>、CO及CH</w:t>
            </w:r>
            <w:r>
              <w:rPr>
                <w:rFonts w:ascii="Times New Roman" w:hAnsi="Times New Roman" w:eastAsia="宋体" w:cs="Times New Roman"/>
                <w:sz w:val="24"/>
                <w:vertAlign w:val="subscript"/>
              </w:rPr>
              <w:t>x</w:t>
            </w:r>
            <w:r>
              <w:rPr>
                <w:rFonts w:ascii="Times New Roman" w:hAnsi="Times New Roman" w:eastAsia="宋体" w:cs="Times New Roman"/>
                <w:sz w:val="24"/>
              </w:rPr>
              <w:t>等，会对环境空气造成一定影响。施工机械废气具有间断性产生、产生量较小、产生点相对分散、易被稀释扩散等特点。项目区处于半山坡地形，周边无特别高的山体，有利于大气扩散，一般情况下，施工机械和运输车辆所产生的废气污染在空气中经自然扩散和稀释后，对项目区域的空气环境质量影响不大。同时</w:t>
            </w:r>
            <w:r>
              <w:rPr>
                <w:rFonts w:ascii="Times New Roman" w:hAnsi="Times New Roman" w:eastAsia="宋体" w:cs="Times New Roman"/>
                <w:bCs/>
                <w:sz w:val="24"/>
                <w:lang w:val="en-US"/>
              </w:rPr>
              <w:t>在施工机械的选型上考虑相应的环保型产品，主要使用轻质柴油或电作为能源，不得使用劣质燃料。</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lang w:val="en-US"/>
              </w:rPr>
              <w:t>（</w:t>
            </w:r>
            <w:r>
              <w:rPr>
                <w:rFonts w:ascii="Times New Roman" w:hAnsi="Times New Roman" w:eastAsia="宋体" w:cs="Times New Roman"/>
                <w:b/>
                <w:sz w:val="24"/>
              </w:rPr>
              <w:t>3）装修废气</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施工期的室内装修主要为升压站区域综合楼、辅助用房装修。在装修过程中焊接和粉刷过程中会产生少量装修废气，产生量少，装修时间较短，装修废气随着装修的结束而消失。在空气中经自然扩散和稀释后，对项目区域的空气环境质量影响不大。</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3、施工废水影响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项目施工期废水主要包括建筑施工废水、施工生活污水、雨季径流。</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lang w:val="en-US"/>
              </w:rPr>
              <w:t>（</w:t>
            </w:r>
            <w:r>
              <w:rPr>
                <w:rFonts w:ascii="Times New Roman" w:hAnsi="Times New Roman" w:eastAsia="宋体" w:cs="Times New Roman"/>
                <w:b/>
                <w:sz w:val="24"/>
              </w:rPr>
              <w:t>1）建筑施工废水</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建筑施工废水主要为混凝土养护废水、工具清洗废水等。废水中所含污染物主要为SS，浓度约为3000mg/L左右，参照《云南省地方标准用水定额》（DB53/T</w:t>
            </w:r>
            <w:r>
              <w:rPr>
                <w:rFonts w:hint="eastAsia" w:ascii="Times New Roman" w:hAnsi="Times New Roman" w:eastAsia="宋体" w:cs="Times New Roman"/>
                <w:sz w:val="24"/>
                <w:lang w:eastAsia="zh-CN"/>
              </w:rPr>
              <w:t>***</w:t>
            </w:r>
            <w:r>
              <w:rPr>
                <w:rFonts w:ascii="Times New Roman" w:hAnsi="Times New Roman" w:eastAsia="宋体" w:cs="Times New Roman"/>
                <w:sz w:val="24"/>
              </w:rPr>
              <w:t>-2019）建筑业用水定额，砖混结构用水定额为1.3m</w:t>
            </w:r>
            <w:r>
              <w:rPr>
                <w:rFonts w:ascii="Times New Roman" w:hAnsi="Times New Roman" w:eastAsia="宋体" w:cs="Times New Roman"/>
                <w:sz w:val="24"/>
                <w:vertAlign w:val="superscript"/>
              </w:rPr>
              <w:t>3</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ascii="Times New Roman" w:hAnsi="Times New Roman" w:eastAsia="宋体" w:cs="Times New Roman"/>
                <w:sz w:val="24"/>
              </w:rPr>
              <w:t>，其他结构为</w:t>
            </w:r>
            <w:r>
              <w:rPr>
                <w:rFonts w:ascii="Times New Roman" w:hAnsi="Times New Roman" w:eastAsia="宋体" w:cs="Times New Roman"/>
                <w:sz w:val="24"/>
                <w:lang w:val="en-US"/>
              </w:rPr>
              <w:t>0.8m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/m</w:t>
            </w:r>
            <w:r>
              <w:rPr>
                <w:rFonts w:ascii="Times New Roman" w:hAnsi="Times New Roman" w:eastAsia="宋体" w:cs="Times New Roman"/>
                <w:sz w:val="24"/>
                <w:vertAlign w:val="superscript"/>
                <w:lang w:val="en-US"/>
              </w:rPr>
              <w:t>2</w:t>
            </w:r>
            <w:r>
              <w:rPr>
                <w:rFonts w:ascii="Times New Roman" w:hAnsi="Times New Roman" w:eastAsia="宋体" w:cs="Times New Roman"/>
                <w:sz w:val="24"/>
                <w:lang w:val="en-US"/>
              </w:rPr>
              <w:t>。</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color w:val="auto"/>
                <w:sz w:val="24"/>
              </w:rPr>
              <w:t>本次建设设置生活区122.4m</w:t>
            </w:r>
            <w:r>
              <w:rPr>
                <w:rFonts w:ascii="Times New Roman" w:hAnsi="Times New Roman" w:eastAsia="宋体" w:cs="Times New Roman"/>
                <w:color w:val="auto"/>
                <w:sz w:val="24"/>
                <w:vertAlign w:val="superscript"/>
              </w:rPr>
              <w:t>2</w:t>
            </w:r>
            <w:r>
              <w:rPr>
                <w:rFonts w:ascii="Times New Roman" w:hAnsi="Times New Roman" w:eastAsia="宋体" w:cs="Times New Roman"/>
                <w:color w:val="auto"/>
                <w:sz w:val="24"/>
              </w:rPr>
              <w:t>，GIS室215.8m</w:t>
            </w:r>
            <w:r>
              <w:rPr>
                <w:rFonts w:ascii="Times New Roman" w:hAnsi="Times New Roman" w:eastAsia="宋体" w:cs="Times New Roman"/>
                <w:color w:val="auto"/>
                <w:sz w:val="24"/>
                <w:vertAlign w:val="superscript"/>
              </w:rPr>
              <w:t>2</w:t>
            </w:r>
            <w:r>
              <w:rPr>
                <w:rFonts w:ascii="Times New Roman" w:hAnsi="Times New Roman" w:eastAsia="宋体" w:cs="Times New Roman"/>
                <w:color w:val="auto"/>
                <w:sz w:val="24"/>
              </w:rPr>
              <w:t>，其余混凝土浇筑占地面积约4900</w:t>
            </w:r>
            <w:r>
              <w:rPr>
                <w:rFonts w:ascii="Times New Roman" w:hAnsi="Times New Roman" w:eastAsia="宋体" w:cs="Times New Roman"/>
                <w:color w:val="auto"/>
                <w:sz w:val="24"/>
                <w:lang w:val="en-US"/>
              </w:rPr>
              <w:t>m</w:t>
            </w:r>
            <w:r>
              <w:rPr>
                <w:rFonts w:ascii="Times New Roman" w:hAnsi="Times New Roman" w:eastAsia="宋体" w:cs="Times New Roman"/>
                <w:color w:val="auto"/>
                <w:sz w:val="24"/>
                <w:vertAlign w:val="superscript"/>
                <w:lang w:val="en-US"/>
              </w:rPr>
              <w:t>2</w:t>
            </w:r>
            <w:r>
              <w:rPr>
                <w:rFonts w:ascii="Times New Roman" w:hAnsi="Times New Roman" w:eastAsia="宋体" w:cs="Times New Roman"/>
                <w:color w:val="auto"/>
                <w:sz w:val="24"/>
                <w:lang w:val="en-US"/>
              </w:rPr>
              <w:t>，则计算得施工用水为4359.66m</w:t>
            </w:r>
            <w:r>
              <w:rPr>
                <w:rFonts w:ascii="Times New Roman" w:hAnsi="Times New Roman" w:eastAsia="宋体" w:cs="Times New Roman"/>
                <w:color w:val="auto"/>
                <w:sz w:val="24"/>
                <w:vertAlign w:val="superscript"/>
                <w:lang w:val="en-US"/>
              </w:rPr>
              <w:t>3</w:t>
            </w:r>
            <w:r>
              <w:rPr>
                <w:rFonts w:ascii="Times New Roman" w:hAnsi="Times New Roman" w:eastAsia="宋体" w:cs="Times New Roman"/>
                <w:color w:val="auto"/>
                <w:sz w:val="24"/>
                <w:lang w:val="en-US"/>
              </w:rPr>
              <w:t>，</w:t>
            </w:r>
            <w:r>
              <w:rPr>
                <w:rFonts w:ascii="Times New Roman" w:hAnsi="Times New Roman" w:eastAsia="宋体" w:cs="Times New Roman"/>
                <w:color w:val="auto"/>
                <w:sz w:val="24"/>
              </w:rPr>
              <w:t>根据施工单位提供经验系数可知，施工废水产生量约占施工用水量的5%。则废水产生量约为217.983m</w:t>
            </w:r>
            <w:r>
              <w:rPr>
                <w:rFonts w:ascii="Times New Roman" w:hAnsi="Times New Roman" w:eastAsia="宋体" w:cs="Times New Roman"/>
                <w:color w:val="auto"/>
                <w:sz w:val="24"/>
                <w:vertAlign w:val="superscript"/>
              </w:rPr>
              <w:t>3</w:t>
            </w:r>
            <w:r>
              <w:rPr>
                <w:rFonts w:ascii="Times New Roman" w:hAnsi="Times New Roman" w:eastAsia="宋体" w:cs="Times New Roman"/>
                <w:color w:val="auto"/>
                <w:sz w:val="24"/>
              </w:rPr>
              <w:t>。项目施工工期为</w:t>
            </w:r>
            <w:r>
              <w:rPr>
                <w:rFonts w:hint="eastAsia" w:ascii="Times New Roman" w:hAnsi="Times New Roman" w:eastAsia="宋体" w:cs="Times New Roman"/>
                <w:color w:val="auto"/>
                <w:sz w:val="24"/>
                <w:lang w:val="en-US" w:eastAsia="zh-CN"/>
              </w:rPr>
              <w:t>8</w:t>
            </w:r>
            <w:r>
              <w:rPr>
                <w:rFonts w:ascii="Times New Roman" w:hAnsi="Times New Roman" w:eastAsia="宋体" w:cs="Times New Roman"/>
                <w:color w:val="auto"/>
                <w:sz w:val="24"/>
              </w:rPr>
              <w:t>个</w:t>
            </w:r>
            <w:r>
              <w:rPr>
                <w:rFonts w:ascii="Times New Roman" w:hAnsi="Times New Roman" w:eastAsia="宋体" w:cs="Times New Roman"/>
                <w:sz w:val="24"/>
              </w:rPr>
              <w:t>月，则施工期每天废水的产生量约0.</w:t>
            </w:r>
            <w:r>
              <w:rPr>
                <w:rFonts w:hint="eastAsia" w:ascii="Times New Roman" w:hAnsi="Times New Roman" w:eastAsia="宋体" w:cs="Times New Roman"/>
                <w:sz w:val="24"/>
                <w:lang w:val="en-US" w:eastAsia="zh-CN"/>
              </w:rPr>
              <w:t>908</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sz w:val="24"/>
              </w:rPr>
              <w:t>/d，施工场地设置临时沉淀池，施工废水经沉淀池处理之后，回用于施工现场，不外排，不会对周围地表水体产生影响。</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（2）施工人员废水</w:t>
            </w:r>
          </w:p>
          <w:p>
            <w:pPr>
              <w:pStyle w:val="49"/>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color w:val="auto"/>
                <w:sz w:val="24"/>
                <w:lang w:val="en-US" w:eastAsia="zh-CN"/>
              </w:rPr>
              <w:t>升压站施工期不单独设置施工营地，依托光伏电站设置的施工营地，</w:t>
            </w:r>
            <w:r>
              <w:rPr>
                <w:rFonts w:ascii="Times New Roman" w:hAnsi="Times New Roman" w:eastAsia="宋体" w:cs="Times New Roman"/>
                <w:sz w:val="24"/>
              </w:rPr>
              <w:t>施工人员洗漱等生活清洁废水经收集池简易收集之后，作为场地的洒水降尘用水，不外排</w:t>
            </w:r>
            <w:r>
              <w:rPr>
                <w:rFonts w:ascii="Times New Roman" w:hAnsi="Times New Roman" w:eastAsia="宋体" w:cs="Times New Roman"/>
                <w:sz w:val="24"/>
                <w:lang w:val="en-US"/>
              </w:rPr>
              <w:t>，同时修建临时旱厕，对施工人员的如厕粪便进行收集处理。禁止向工程场界外农灌干渠排放污水</w:t>
            </w:r>
            <w:r>
              <w:rPr>
                <w:rFonts w:ascii="Times New Roman" w:hAnsi="Times New Roman" w:eastAsia="宋体" w:cs="Times New Roman"/>
                <w:sz w:val="24"/>
              </w:rPr>
              <w:t>，不会对周围地表水体产生影响。</w:t>
            </w:r>
          </w:p>
          <w:p>
            <w:pPr>
              <w:pStyle w:val="49"/>
              <w:spacing w:line="360" w:lineRule="auto"/>
              <w:ind w:firstLine="482" w:firstLineChars="200"/>
              <w:rPr>
                <w:rFonts w:ascii="Times New Roman" w:hAnsi="Times New Roman" w:eastAsia="宋体" w:cs="Times New Roman"/>
                <w:b/>
                <w:color w:val="auto"/>
                <w:sz w:val="24"/>
                <w:shd w:val="clear" w:color="auto" w:fill="auto"/>
              </w:rPr>
            </w:pPr>
            <w:r>
              <w:rPr>
                <w:rFonts w:ascii="Times New Roman" w:hAnsi="Times New Roman" w:eastAsia="宋体" w:cs="Times New Roman"/>
                <w:b/>
                <w:color w:val="auto"/>
                <w:sz w:val="24"/>
                <w:shd w:val="clear" w:color="auto" w:fill="auto"/>
              </w:rPr>
              <w:t>（3）雨季径流</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雨季径流主要为雨季降水冲刷施工场地产生，其产生量根据降雨情况不同而不同，所含污染物主要为SS和微量石油类，其中SS浓度为200～500mg/L左右。</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施工过程不可避免的造成地面裸露，</w:t>
            </w:r>
            <w:r>
              <w:rPr>
                <w:rFonts w:ascii="Times New Roman" w:hAnsi="Times New Roman" w:eastAsia="宋体" w:cs="Times New Roman"/>
                <w:sz w:val="24"/>
                <w:lang w:val="en-US"/>
              </w:rPr>
              <w:t>升压站</w:t>
            </w:r>
            <w:r>
              <w:rPr>
                <w:rFonts w:ascii="Times New Roman" w:hAnsi="Times New Roman" w:eastAsia="宋体" w:cs="Times New Roman"/>
                <w:sz w:val="24"/>
              </w:rPr>
              <w:t>和道路区在地势低处设置排水沟，排水沟末端设置沉淀池，废水经沉淀后再外排，对周围地表水体影响较小。</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另外应做好施工机械的日常维修保养，杜绝跑、冒、滴、漏现象。另外，雨天应对各类机械、粉状物料进行遮盖防雨。防治物料汇入雨水径流中未经处理排出场界外。</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4、施工噪声影响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项目施工期间噪声源主要为机械噪声，施工建设过程中将使用吊车、推土机、汽车、平地机等噪声较大的设备及车辆进行施工，各施工阶段的主要噪声源及其声级见下表。</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表4-1  各施工阶段主要噪声源源强</w:t>
            </w:r>
          </w:p>
          <w:tbl>
            <w:tblPr>
              <w:tblStyle w:val="20"/>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2456"/>
              <w:gridCol w:w="926"/>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kern w:val="0"/>
                      <w:szCs w:val="21"/>
                    </w:rPr>
                  </w:pPr>
                  <w:r>
                    <w:rPr>
                      <w:b/>
                      <w:kern w:val="0"/>
                      <w:szCs w:val="21"/>
                    </w:rPr>
                    <w:t>施工阶段</w:t>
                  </w:r>
                </w:p>
              </w:tc>
              <w:tc>
                <w:tcPr>
                  <w:tcW w:w="2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kern w:val="0"/>
                      <w:szCs w:val="21"/>
                    </w:rPr>
                  </w:pPr>
                  <w:r>
                    <w:rPr>
                      <w:b/>
                      <w:kern w:val="0"/>
                      <w:szCs w:val="21"/>
                    </w:rPr>
                    <w:t>设备名称及型号</w:t>
                  </w:r>
                </w:p>
              </w:tc>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kern w:val="0"/>
                      <w:szCs w:val="21"/>
                    </w:rPr>
                  </w:pPr>
                  <w:r>
                    <w:rPr>
                      <w:b/>
                      <w:kern w:val="0"/>
                      <w:szCs w:val="21"/>
                    </w:rPr>
                    <w:t>台数</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kern w:val="0"/>
                      <w:szCs w:val="21"/>
                    </w:rPr>
                  </w:pPr>
                  <w:r>
                    <w:rPr>
                      <w:b/>
                      <w:kern w:val="0"/>
                      <w:szCs w:val="21"/>
                    </w:rPr>
                    <w:t>噪声源强dB(A)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lang w:val="en-US" w:eastAsia="zh-CN"/>
                    </w:rPr>
                    <w:t>设备</w:t>
                  </w:r>
                  <w:r>
                    <w:rPr>
                      <w:kern w:val="0"/>
                      <w:szCs w:val="21"/>
                    </w:rPr>
                    <w:t>安装</w:t>
                  </w:r>
                </w:p>
              </w:tc>
              <w:tc>
                <w:tcPr>
                  <w:tcW w:w="2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250t汽车吊</w:t>
                  </w:r>
                </w:p>
              </w:tc>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运输建筑材料</w:t>
                  </w:r>
                </w:p>
              </w:tc>
              <w:tc>
                <w:tcPr>
                  <w:tcW w:w="2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8t自卸汽车</w:t>
                  </w:r>
                </w:p>
              </w:tc>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12</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建筑材料垂直运输</w:t>
                  </w:r>
                </w:p>
              </w:tc>
              <w:tc>
                <w:tcPr>
                  <w:tcW w:w="2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kern w:val="0"/>
                      <w:szCs w:val="21"/>
                    </w:rPr>
                    <w:t>垂直升降机</w:t>
                  </w:r>
                </w:p>
              </w:tc>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混凝土施工</w:t>
                  </w:r>
                </w:p>
              </w:tc>
              <w:tc>
                <w:tcPr>
                  <w:tcW w:w="2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插入式振捣器</w:t>
                  </w:r>
                </w:p>
              </w:tc>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24</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施工用水</w:t>
                  </w:r>
                </w:p>
              </w:tc>
              <w:tc>
                <w:tcPr>
                  <w:tcW w:w="2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输水车</w:t>
                  </w:r>
                </w:p>
              </w:tc>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基础成孔</w:t>
                  </w:r>
                </w:p>
              </w:tc>
              <w:tc>
                <w:tcPr>
                  <w:tcW w:w="2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钻机</w:t>
                  </w:r>
                </w:p>
              </w:tc>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kern w:val="0"/>
                      <w:szCs w:val="21"/>
                    </w:rPr>
                    <w:t>100</w:t>
                  </w:r>
                </w:p>
              </w:tc>
            </w:tr>
          </w:tbl>
          <w:p>
            <w:pPr>
              <w:spacing w:line="360" w:lineRule="auto"/>
              <w:ind w:firstLine="480" w:firstLineChars="200"/>
              <w:jc w:val="left"/>
              <w:rPr>
                <w:sz w:val="24"/>
                <w:lang w:bidi="zh-CN"/>
              </w:rPr>
            </w:pPr>
            <w:r>
              <w:rPr>
                <w:sz w:val="24"/>
              </w:rPr>
              <w:t>由上表可知，施工机械中噪声影响较大的设备是钻机、振捣器等，设备运行根据不同的施工阶段分批次运行，夜间不进行施工，大部分施工过程都远离居民点进行，产生的噪声在经距离衰减之后对周边声环境的影响较小，同时为了减轻噪声的影响，</w:t>
            </w:r>
            <w:r>
              <w:rPr>
                <w:sz w:val="24"/>
                <w:lang w:bidi="zh-CN"/>
              </w:rPr>
              <w:t>运输车辆经过敏感点时，需要采取减速行驶、禁鸣等措施后，减小噪声对所经过敏感点的声环境影响。</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5、施工期固体废物影响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项目施工期固体废物主要为废弃土石方、建筑垃圾、生活垃圾和粪便等。</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（1）建筑垃圾</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施工建筑垃圾主要指建筑修筑、材料运输、基础工程施工期间产生的废弃建筑材料，如砂石、石灰、混凝土等。查阅《昆明市城市建筑垃圾管理实施办法实施细则（修订）》（2018年）“附件1”中对建筑垃圾产生量的计算标准，房屋主体施工产生建筑垃圾量=建筑面积×单位面积建筑废弃物量，其中，钢筋混凝土结构每平方米产生建筑垃圾量为0.02m</w:t>
            </w:r>
            <w:r>
              <w:rPr>
                <w:rFonts w:ascii="Times New Roman" w:hAnsi="Times New Roman" w:eastAsia="宋体" w:cs="Times New Roman"/>
                <w:sz w:val="24"/>
                <w:vertAlign w:val="superscript"/>
              </w:rPr>
              <w:t>3</w:t>
            </w:r>
            <w:r>
              <w:rPr>
                <w:rFonts w:ascii="Times New Roman" w:hAnsi="Times New Roman" w:eastAsia="宋体" w:cs="Times New Roman"/>
                <w:sz w:val="24"/>
              </w:rPr>
              <w:t>。</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US"/>
              </w:rPr>
              <w:t>项目建设</w:t>
            </w:r>
            <w:r>
              <w:rPr>
                <w:rFonts w:ascii="Times New Roman" w:hAnsi="Times New Roman" w:eastAsia="宋体" w:cs="Times New Roman"/>
                <w:sz w:val="24"/>
              </w:rPr>
              <w:t>设置生活区122.4m</w:t>
            </w:r>
            <w:r>
              <w:rPr>
                <w:rFonts w:ascii="Times New Roman" w:hAnsi="Times New Roman" w:eastAsia="宋体" w:cs="Times New Roman"/>
                <w:sz w:val="24"/>
                <w:vertAlign w:val="superscript"/>
              </w:rPr>
              <w:t>2</w:t>
            </w:r>
            <w:r>
              <w:rPr>
                <w:rFonts w:ascii="Times New Roman" w:hAnsi="Times New Roman" w:eastAsia="宋体" w:cs="Times New Roman"/>
                <w:sz w:val="24"/>
              </w:rPr>
              <w:t>，GIS室215.8m</w:t>
            </w:r>
            <w:r>
              <w:rPr>
                <w:rFonts w:ascii="Times New Roman" w:hAnsi="Times New Roman" w:eastAsia="宋体" w:cs="Times New Roman"/>
                <w:sz w:val="24"/>
                <w:vertAlign w:val="superscript"/>
              </w:rPr>
              <w:t>2</w:t>
            </w:r>
            <w:r>
              <w:rPr>
                <w:rFonts w:ascii="Times New Roman" w:hAnsi="Times New Roman" w:eastAsia="宋体" w:cs="Times New Roman"/>
                <w:sz w:val="24"/>
              </w:rPr>
              <w:t>，建筑垃圾产生量按0.02m</w:t>
            </w:r>
            <w:r>
              <w:rPr>
                <w:rFonts w:ascii="Times New Roman" w:hAnsi="Times New Roman" w:eastAsia="宋体" w:cs="Times New Roman"/>
                <w:sz w:val="24"/>
                <w:vertAlign w:val="superscript"/>
              </w:rPr>
              <w:t>3</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ascii="Times New Roman" w:hAnsi="Times New Roman" w:eastAsia="宋体" w:cs="Times New Roman"/>
                <w:sz w:val="24"/>
              </w:rPr>
              <w:t>计，建筑垃圾比重按2t/m</w:t>
            </w:r>
            <w:r>
              <w:rPr>
                <w:rFonts w:ascii="Times New Roman" w:hAnsi="Times New Roman" w:eastAsia="宋体" w:cs="Times New Roman"/>
                <w:sz w:val="24"/>
                <w:vertAlign w:val="superscript"/>
              </w:rPr>
              <w:t>3</w:t>
            </w:r>
            <w:r>
              <w:rPr>
                <w:rFonts w:ascii="Times New Roman" w:hAnsi="Times New Roman" w:eastAsia="宋体" w:cs="Times New Roman"/>
                <w:sz w:val="24"/>
              </w:rPr>
              <w:t>进行计算，则施工期建筑垃圾产生量约为13.528t。</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建筑垃圾拟分类收集，可回收利用部分（钢筋、木材等）外售相应收购商，不可回收部分（废弃砂石），由建设单位统一清运，至当地住建部门指定的建筑垃圾存放点位进行堆存。采取上述措施后，固废对环境造成污染影响可降至最低。</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（2）生活垃圾及粪便</w:t>
            </w:r>
          </w:p>
          <w:p>
            <w:pPr>
              <w:pStyle w:val="49"/>
              <w:spacing w:line="360" w:lineRule="auto"/>
              <w:ind w:firstLine="480" w:firstLineChars="200"/>
              <w:rPr>
                <w:rFonts w:ascii="Times New Roman" w:hAnsi="Times New Roman" w:eastAsia="宋体" w:cs="Times New Roman"/>
                <w:sz w:val="24"/>
                <w:lang w:val="en-US"/>
              </w:rPr>
            </w:pPr>
            <w:r>
              <w:rPr>
                <w:rFonts w:hint="eastAsia" w:ascii="Times New Roman" w:hAnsi="Times New Roman" w:eastAsia="宋体" w:cs="Times New Roman"/>
                <w:sz w:val="24"/>
                <w:lang w:val="en-US" w:eastAsia="zh-CN"/>
              </w:rPr>
              <w:t>升压站不单独设置施工营地，</w:t>
            </w:r>
            <w:r>
              <w:rPr>
                <w:rFonts w:ascii="Times New Roman" w:hAnsi="Times New Roman" w:eastAsia="宋体" w:cs="Times New Roman"/>
                <w:sz w:val="24"/>
                <w:lang w:val="en-US"/>
              </w:rPr>
              <w:t>项目施工人员</w:t>
            </w:r>
            <w:r>
              <w:rPr>
                <w:rFonts w:hint="eastAsia" w:ascii="Times New Roman" w:hAnsi="Times New Roman" w:eastAsia="宋体" w:cs="Times New Roman"/>
                <w:sz w:val="24"/>
                <w:lang w:val="en-US" w:eastAsia="zh-CN"/>
              </w:rPr>
              <w:t>依托光伏电站施工营地</w:t>
            </w:r>
            <w:r>
              <w:rPr>
                <w:rFonts w:ascii="Times New Roman" w:hAnsi="Times New Roman" w:eastAsia="宋体" w:cs="Times New Roman"/>
                <w:sz w:val="24"/>
                <w:lang w:val="en-US"/>
              </w:rPr>
              <w:t>。该部分垃圾通过施工现场设置的临时垃圾桶收集后，定期统一清运于因民镇上统一的垃圾收集处置点进行处理。</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设置临时旱厕收集的粪便，施工完成之后委托周围农户进行统一清掏处理，作为周边农田的施肥使用，同时对旱厕坑洞进行回填处理。</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（3）土石方</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①土石方平衡</w:t>
            </w:r>
          </w:p>
          <w:p>
            <w:pPr>
              <w:pStyle w:val="49"/>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val="en-US" w:eastAsia="zh-CN"/>
              </w:rPr>
              <w:t>升压站</w:t>
            </w:r>
            <w:r>
              <w:rPr>
                <w:rFonts w:ascii="Times New Roman" w:hAnsi="Times New Roman" w:eastAsia="宋体" w:cs="Times New Roman"/>
                <w:sz w:val="24"/>
              </w:rPr>
              <w:t>开挖形成的土石方及表土及时覆土回填，回填不完部分，调入临时堆场进行暂存，在施工后期调入光伏场区、集电线路工程区作为覆土回填使用。</w:t>
            </w:r>
          </w:p>
          <w:p>
            <w:pPr>
              <w:pStyle w:val="49"/>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val="en-US" w:eastAsia="zh-CN"/>
              </w:rPr>
              <w:t>升压站</w:t>
            </w:r>
            <w:r>
              <w:rPr>
                <w:rFonts w:ascii="Times New Roman" w:hAnsi="Times New Roman" w:eastAsia="宋体" w:cs="Times New Roman"/>
                <w:sz w:val="24"/>
              </w:rPr>
              <w:t>建设过程中开挖土石方</w:t>
            </w:r>
            <w:r>
              <w:rPr>
                <w:rFonts w:hint="eastAsia" w:ascii="Times New Roman" w:hAnsi="Times New Roman" w:eastAsia="宋体" w:cs="Times New Roman"/>
                <w:sz w:val="24"/>
                <w:lang w:val="en-US" w:eastAsia="zh-CN"/>
              </w:rPr>
              <w:t>4.55</w:t>
            </w:r>
            <w:r>
              <w:rPr>
                <w:rFonts w:ascii="Times New Roman" w:hAnsi="Times New Roman" w:eastAsia="宋体" w:cs="Times New Roman"/>
                <w:sz w:val="24"/>
              </w:rPr>
              <w:t>万m</w:t>
            </w:r>
            <w:r>
              <w:rPr>
                <w:rFonts w:ascii="Times New Roman" w:hAnsi="Times New Roman" w:eastAsia="宋体" w:cs="Times New Roman"/>
                <w:sz w:val="24"/>
                <w:vertAlign w:val="superscript"/>
              </w:rPr>
              <w:t>3</w:t>
            </w:r>
            <w:r>
              <w:rPr>
                <w:rFonts w:ascii="Times New Roman" w:hAnsi="Times New Roman" w:eastAsia="宋体" w:cs="Times New Roman"/>
                <w:sz w:val="24"/>
              </w:rPr>
              <w:t>（其中表土</w:t>
            </w:r>
            <w:r>
              <w:rPr>
                <w:rFonts w:hint="eastAsia" w:ascii="Times New Roman" w:hAnsi="Times New Roman" w:eastAsia="宋体" w:cs="Times New Roman"/>
                <w:sz w:val="24"/>
                <w:lang w:val="en-US" w:eastAsia="zh-CN"/>
              </w:rPr>
              <w:t>0.1</w:t>
            </w:r>
            <w:r>
              <w:rPr>
                <w:rFonts w:ascii="Times New Roman" w:hAnsi="Times New Roman" w:eastAsia="宋体" w:cs="Times New Roman"/>
                <w:sz w:val="24"/>
              </w:rPr>
              <w:t>万m</w:t>
            </w:r>
            <w:r>
              <w:rPr>
                <w:rFonts w:ascii="Times New Roman" w:hAnsi="Times New Roman" w:eastAsia="宋体" w:cs="Times New Roman"/>
                <w:sz w:val="24"/>
                <w:vertAlign w:val="superscript"/>
              </w:rPr>
              <w:t>3</w:t>
            </w:r>
            <w:r>
              <w:rPr>
                <w:rFonts w:ascii="Times New Roman" w:hAnsi="Times New Roman" w:eastAsia="宋体" w:cs="Times New Roman"/>
                <w:sz w:val="24"/>
              </w:rPr>
              <w:t>，土石方开挖</w:t>
            </w:r>
            <w:r>
              <w:rPr>
                <w:rFonts w:hint="eastAsia" w:ascii="Times New Roman" w:hAnsi="Times New Roman" w:eastAsia="宋体" w:cs="Times New Roman"/>
                <w:sz w:val="24"/>
                <w:lang w:val="en-US" w:eastAsia="zh-CN"/>
              </w:rPr>
              <w:t>4.45</w:t>
            </w:r>
            <w:r>
              <w:rPr>
                <w:rFonts w:ascii="Times New Roman" w:hAnsi="Times New Roman" w:eastAsia="宋体" w:cs="Times New Roman"/>
                <w:sz w:val="24"/>
              </w:rPr>
              <w:t>万m</w:t>
            </w:r>
            <w:r>
              <w:rPr>
                <w:rFonts w:ascii="Times New Roman" w:hAnsi="Times New Roman" w:eastAsia="宋体" w:cs="Times New Roman"/>
                <w:sz w:val="24"/>
                <w:vertAlign w:val="superscript"/>
              </w:rPr>
              <w:t>3</w:t>
            </w:r>
            <w:r>
              <w:rPr>
                <w:rFonts w:ascii="Times New Roman" w:hAnsi="Times New Roman" w:eastAsia="宋体" w:cs="Times New Roman"/>
                <w:sz w:val="24"/>
              </w:rPr>
              <w:t>），施工过程及时回填利用部分</w:t>
            </w:r>
            <w:r>
              <w:rPr>
                <w:rFonts w:hint="eastAsia" w:ascii="Times New Roman" w:hAnsi="Times New Roman" w:eastAsia="宋体" w:cs="Times New Roman"/>
                <w:sz w:val="24"/>
                <w:lang w:val="en-US" w:eastAsia="zh-CN"/>
              </w:rPr>
              <w:t>3.77</w:t>
            </w:r>
            <w:r>
              <w:rPr>
                <w:rFonts w:ascii="Times New Roman" w:hAnsi="Times New Roman" w:eastAsia="宋体" w:cs="Times New Roman"/>
                <w:sz w:val="24"/>
              </w:rPr>
              <w:t>万m</w:t>
            </w:r>
            <w:r>
              <w:rPr>
                <w:rFonts w:ascii="Times New Roman" w:hAnsi="Times New Roman" w:eastAsia="宋体" w:cs="Times New Roman"/>
                <w:sz w:val="24"/>
                <w:vertAlign w:val="superscript"/>
              </w:rPr>
              <w:t>3</w:t>
            </w:r>
            <w:r>
              <w:rPr>
                <w:rFonts w:ascii="Times New Roman" w:hAnsi="Times New Roman" w:eastAsia="宋体" w:cs="Times New Roman"/>
                <w:sz w:val="24"/>
              </w:rPr>
              <w:t>（其中表土</w:t>
            </w:r>
            <w:r>
              <w:rPr>
                <w:rFonts w:hint="eastAsia" w:ascii="Times New Roman" w:hAnsi="Times New Roman" w:eastAsia="宋体" w:cs="Times New Roman"/>
                <w:sz w:val="24"/>
                <w:lang w:val="en-US" w:eastAsia="zh-CN"/>
              </w:rPr>
              <w:t>0.06</w:t>
            </w:r>
            <w:r>
              <w:rPr>
                <w:rFonts w:ascii="Times New Roman" w:hAnsi="Times New Roman" w:eastAsia="宋体" w:cs="Times New Roman"/>
                <w:sz w:val="24"/>
              </w:rPr>
              <w:t>万m</w:t>
            </w:r>
            <w:r>
              <w:rPr>
                <w:rFonts w:ascii="Times New Roman" w:hAnsi="Times New Roman" w:eastAsia="宋体" w:cs="Times New Roman"/>
                <w:sz w:val="24"/>
                <w:vertAlign w:val="superscript"/>
              </w:rPr>
              <w:t>3</w:t>
            </w:r>
            <w:r>
              <w:rPr>
                <w:rFonts w:ascii="Times New Roman" w:hAnsi="Times New Roman" w:eastAsia="宋体" w:cs="Times New Roman"/>
                <w:sz w:val="24"/>
              </w:rPr>
              <w:t>，土石方开挖</w:t>
            </w:r>
            <w:r>
              <w:rPr>
                <w:rFonts w:hint="eastAsia" w:ascii="Times New Roman" w:hAnsi="Times New Roman" w:eastAsia="宋体" w:cs="Times New Roman"/>
                <w:sz w:val="24"/>
                <w:lang w:val="en-US" w:eastAsia="zh-CN"/>
              </w:rPr>
              <w:t>3.71</w:t>
            </w:r>
            <w:r>
              <w:rPr>
                <w:rFonts w:ascii="Times New Roman" w:hAnsi="Times New Roman" w:eastAsia="宋体" w:cs="Times New Roman"/>
                <w:sz w:val="24"/>
              </w:rPr>
              <w:t>万m</w:t>
            </w:r>
            <w:r>
              <w:rPr>
                <w:rFonts w:ascii="Times New Roman" w:hAnsi="Times New Roman" w:eastAsia="宋体" w:cs="Times New Roman"/>
                <w:sz w:val="24"/>
                <w:vertAlign w:val="superscript"/>
              </w:rPr>
              <w:t>3</w:t>
            </w:r>
            <w:r>
              <w:rPr>
                <w:rFonts w:ascii="Times New Roman" w:hAnsi="Times New Roman" w:eastAsia="宋体" w:cs="Times New Roman"/>
                <w:sz w:val="24"/>
              </w:rPr>
              <w:t>），调入临时堆场部分</w:t>
            </w:r>
            <w:r>
              <w:rPr>
                <w:rFonts w:hint="eastAsia" w:ascii="Times New Roman" w:hAnsi="Times New Roman" w:eastAsia="宋体" w:cs="Times New Roman"/>
                <w:sz w:val="24"/>
                <w:lang w:val="en-US" w:eastAsia="zh-CN"/>
              </w:rPr>
              <w:t>0.79</w:t>
            </w:r>
            <w:r>
              <w:rPr>
                <w:rFonts w:ascii="Times New Roman" w:hAnsi="Times New Roman" w:eastAsia="宋体" w:cs="Times New Roman"/>
                <w:sz w:val="24"/>
              </w:rPr>
              <w:t>万m</w:t>
            </w:r>
            <w:r>
              <w:rPr>
                <w:rFonts w:ascii="Times New Roman" w:hAnsi="Times New Roman" w:eastAsia="宋体" w:cs="Times New Roman"/>
                <w:sz w:val="24"/>
                <w:vertAlign w:val="superscript"/>
              </w:rPr>
              <w:t>3</w:t>
            </w:r>
            <w:r>
              <w:rPr>
                <w:rFonts w:ascii="Times New Roman" w:hAnsi="Times New Roman" w:eastAsia="宋体" w:cs="Times New Roman"/>
                <w:sz w:val="24"/>
              </w:rPr>
              <w:t>，临时堆存部分全部后期调入光伏场区、集电线路工程区作为覆土回填使用。本项目开挖的土石方全部用于项目区回填及综合利用，无外借土石方和弃方。土石方平衡流向如下：</w:t>
            </w:r>
          </w:p>
          <w:p>
            <w:pPr>
              <w:pStyle w:val="49"/>
              <w:tabs>
                <w:tab w:val="left" w:pos="1589"/>
                <w:tab w:val="left" w:pos="2244"/>
                <w:tab w:val="center" w:pos="4429"/>
              </w:tabs>
              <w:spacing w:line="360" w:lineRule="auto"/>
              <w:jc w:val="center"/>
              <w:rPr>
                <w:rFonts w:ascii="Times New Roman" w:hAnsi="Times New Roman" w:eastAsia="宋体" w:cs="Times New Roman"/>
                <w:b/>
                <w:bCs/>
                <w:sz w:val="24"/>
              </w:rPr>
            </w:pPr>
            <w:r>
              <w:rPr>
                <w:rFonts w:ascii="Times New Roman" w:hAnsi="Times New Roman" w:eastAsia="宋体" w:cs="Times New Roman"/>
                <w:b/>
                <w:bCs/>
                <w:sz w:val="24"/>
              </w:rPr>
              <w:t>表4-2  土石方平衡流向表  单位：万m</w:t>
            </w:r>
            <w:r>
              <w:rPr>
                <w:rFonts w:ascii="Times New Roman" w:hAnsi="Times New Roman" w:eastAsia="宋体" w:cs="Times New Roman"/>
                <w:b/>
                <w:bCs/>
                <w:sz w:val="24"/>
                <w:vertAlign w:val="superscript"/>
              </w:rPr>
              <w:t>3</w:t>
            </w:r>
          </w:p>
          <w:tbl>
            <w:tblPr>
              <w:tblStyle w:val="20"/>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09"/>
              <w:gridCol w:w="850"/>
              <w:gridCol w:w="709"/>
              <w:gridCol w:w="709"/>
              <w:gridCol w:w="850"/>
              <w:gridCol w:w="709"/>
              <w:gridCol w:w="709"/>
              <w:gridCol w:w="1134"/>
              <w:gridCol w:w="877"/>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2" w:type="dxa"/>
                  <w:vMerge w:val="restart"/>
                  <w:noWrap/>
                  <w:vAlign w:val="center"/>
                </w:tcPr>
                <w:p>
                  <w:pPr>
                    <w:widowControl/>
                    <w:jc w:val="center"/>
                    <w:textAlignment w:val="center"/>
                    <w:rPr>
                      <w:kern w:val="0"/>
                      <w:szCs w:val="21"/>
                      <w:lang w:bidi="ar"/>
                    </w:rPr>
                  </w:pPr>
                  <w:r>
                    <w:rPr>
                      <w:kern w:val="0"/>
                      <w:szCs w:val="21"/>
                      <w:lang w:bidi="ar"/>
                    </w:rPr>
                    <w:t>项目组成</w:t>
                  </w:r>
                </w:p>
              </w:tc>
              <w:tc>
                <w:tcPr>
                  <w:tcW w:w="2268" w:type="dxa"/>
                  <w:gridSpan w:val="3"/>
                  <w:vAlign w:val="center"/>
                </w:tcPr>
                <w:p>
                  <w:pPr>
                    <w:widowControl/>
                    <w:jc w:val="center"/>
                    <w:textAlignment w:val="center"/>
                    <w:rPr>
                      <w:kern w:val="0"/>
                      <w:szCs w:val="21"/>
                      <w:lang w:bidi="ar"/>
                    </w:rPr>
                  </w:pPr>
                  <w:r>
                    <w:rPr>
                      <w:kern w:val="0"/>
                      <w:szCs w:val="21"/>
                      <w:lang w:bidi="ar"/>
                    </w:rPr>
                    <w:t>开挖</w:t>
                  </w:r>
                </w:p>
              </w:tc>
              <w:tc>
                <w:tcPr>
                  <w:tcW w:w="2268" w:type="dxa"/>
                  <w:gridSpan w:val="3"/>
                  <w:vAlign w:val="center"/>
                </w:tcPr>
                <w:p>
                  <w:pPr>
                    <w:widowControl/>
                    <w:jc w:val="center"/>
                    <w:textAlignment w:val="center"/>
                    <w:rPr>
                      <w:kern w:val="0"/>
                      <w:szCs w:val="21"/>
                      <w:lang w:bidi="ar"/>
                    </w:rPr>
                  </w:pPr>
                  <w:r>
                    <w:rPr>
                      <w:kern w:val="0"/>
                      <w:szCs w:val="21"/>
                      <w:lang w:bidi="ar"/>
                    </w:rPr>
                    <w:t>回填</w:t>
                  </w:r>
                </w:p>
              </w:tc>
              <w:tc>
                <w:tcPr>
                  <w:tcW w:w="1843" w:type="dxa"/>
                  <w:gridSpan w:val="2"/>
                  <w:noWrap/>
                  <w:vAlign w:val="center"/>
                </w:tcPr>
                <w:p>
                  <w:pPr>
                    <w:widowControl/>
                    <w:jc w:val="center"/>
                    <w:textAlignment w:val="center"/>
                    <w:rPr>
                      <w:kern w:val="0"/>
                      <w:szCs w:val="21"/>
                      <w:lang w:bidi="ar"/>
                    </w:rPr>
                  </w:pPr>
                  <w:r>
                    <w:rPr>
                      <w:kern w:val="0"/>
                      <w:szCs w:val="21"/>
                      <w:lang w:bidi="ar"/>
                    </w:rPr>
                    <w:t>调入</w:t>
                  </w:r>
                </w:p>
              </w:tc>
              <w:tc>
                <w:tcPr>
                  <w:tcW w:w="1513" w:type="dxa"/>
                  <w:gridSpan w:val="2"/>
                  <w:noWrap/>
                  <w:vAlign w:val="center"/>
                </w:tcPr>
                <w:p>
                  <w:pPr>
                    <w:widowControl/>
                    <w:jc w:val="center"/>
                    <w:textAlignment w:val="center"/>
                    <w:rPr>
                      <w:kern w:val="0"/>
                      <w:szCs w:val="21"/>
                      <w:lang w:bidi="ar"/>
                    </w:rPr>
                  </w:pPr>
                  <w:r>
                    <w:rPr>
                      <w:kern w:val="0"/>
                      <w:szCs w:val="21"/>
                      <w:lang w:bidi="ar"/>
                    </w:rPr>
                    <w:t>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2" w:type="dxa"/>
                  <w:vMerge w:val="continue"/>
                  <w:noWrap/>
                  <w:vAlign w:val="center"/>
                </w:tcPr>
                <w:p>
                  <w:pPr>
                    <w:widowControl/>
                    <w:jc w:val="center"/>
                    <w:textAlignment w:val="center"/>
                    <w:rPr>
                      <w:kern w:val="0"/>
                      <w:szCs w:val="21"/>
                      <w:lang w:bidi="ar"/>
                    </w:rPr>
                  </w:pPr>
                </w:p>
              </w:tc>
              <w:tc>
                <w:tcPr>
                  <w:tcW w:w="709" w:type="dxa"/>
                  <w:vAlign w:val="center"/>
                </w:tcPr>
                <w:p>
                  <w:pPr>
                    <w:widowControl/>
                    <w:jc w:val="center"/>
                    <w:textAlignment w:val="center"/>
                    <w:rPr>
                      <w:kern w:val="0"/>
                      <w:szCs w:val="21"/>
                      <w:lang w:bidi="ar"/>
                    </w:rPr>
                  </w:pPr>
                  <w:r>
                    <w:rPr>
                      <w:kern w:val="0"/>
                      <w:szCs w:val="21"/>
                      <w:lang w:bidi="ar"/>
                    </w:rPr>
                    <w:t>表土</w:t>
                  </w:r>
                </w:p>
              </w:tc>
              <w:tc>
                <w:tcPr>
                  <w:tcW w:w="850" w:type="dxa"/>
                  <w:vAlign w:val="center"/>
                </w:tcPr>
                <w:p>
                  <w:pPr>
                    <w:widowControl/>
                    <w:jc w:val="center"/>
                    <w:textAlignment w:val="center"/>
                    <w:rPr>
                      <w:kern w:val="0"/>
                      <w:szCs w:val="21"/>
                      <w:lang w:bidi="ar"/>
                    </w:rPr>
                  </w:pPr>
                  <w:r>
                    <w:rPr>
                      <w:kern w:val="0"/>
                      <w:szCs w:val="21"/>
                      <w:lang w:bidi="ar"/>
                    </w:rPr>
                    <w:t>土石方</w:t>
                  </w:r>
                </w:p>
              </w:tc>
              <w:tc>
                <w:tcPr>
                  <w:tcW w:w="709" w:type="dxa"/>
                  <w:noWrap/>
                  <w:vAlign w:val="center"/>
                </w:tcPr>
                <w:p>
                  <w:pPr>
                    <w:widowControl/>
                    <w:jc w:val="center"/>
                    <w:textAlignment w:val="center"/>
                    <w:rPr>
                      <w:kern w:val="0"/>
                      <w:szCs w:val="21"/>
                      <w:lang w:bidi="ar"/>
                    </w:rPr>
                  </w:pPr>
                  <w:r>
                    <w:rPr>
                      <w:kern w:val="0"/>
                      <w:szCs w:val="21"/>
                      <w:lang w:bidi="ar"/>
                    </w:rPr>
                    <w:t>小计</w:t>
                  </w:r>
                </w:p>
              </w:tc>
              <w:tc>
                <w:tcPr>
                  <w:tcW w:w="709" w:type="dxa"/>
                  <w:noWrap/>
                  <w:vAlign w:val="center"/>
                </w:tcPr>
                <w:p>
                  <w:pPr>
                    <w:widowControl/>
                    <w:jc w:val="center"/>
                    <w:textAlignment w:val="center"/>
                    <w:rPr>
                      <w:kern w:val="0"/>
                      <w:szCs w:val="21"/>
                      <w:lang w:bidi="ar"/>
                    </w:rPr>
                  </w:pPr>
                  <w:r>
                    <w:rPr>
                      <w:kern w:val="0"/>
                      <w:szCs w:val="21"/>
                      <w:lang w:bidi="ar"/>
                    </w:rPr>
                    <w:t>表土</w:t>
                  </w:r>
                </w:p>
              </w:tc>
              <w:tc>
                <w:tcPr>
                  <w:tcW w:w="850" w:type="dxa"/>
                  <w:noWrap/>
                  <w:vAlign w:val="center"/>
                </w:tcPr>
                <w:p>
                  <w:pPr>
                    <w:widowControl/>
                    <w:jc w:val="center"/>
                    <w:textAlignment w:val="center"/>
                    <w:rPr>
                      <w:kern w:val="0"/>
                      <w:szCs w:val="21"/>
                      <w:lang w:bidi="ar"/>
                    </w:rPr>
                  </w:pPr>
                  <w:r>
                    <w:rPr>
                      <w:kern w:val="0"/>
                      <w:szCs w:val="21"/>
                      <w:lang w:bidi="ar"/>
                    </w:rPr>
                    <w:t>土石方</w:t>
                  </w:r>
                </w:p>
              </w:tc>
              <w:tc>
                <w:tcPr>
                  <w:tcW w:w="709" w:type="dxa"/>
                  <w:noWrap/>
                  <w:vAlign w:val="center"/>
                </w:tcPr>
                <w:p>
                  <w:pPr>
                    <w:widowControl/>
                    <w:jc w:val="center"/>
                    <w:textAlignment w:val="center"/>
                    <w:rPr>
                      <w:kern w:val="0"/>
                      <w:szCs w:val="21"/>
                      <w:lang w:bidi="ar"/>
                    </w:rPr>
                  </w:pPr>
                  <w:r>
                    <w:rPr>
                      <w:kern w:val="0"/>
                      <w:szCs w:val="21"/>
                      <w:lang w:bidi="ar"/>
                    </w:rPr>
                    <w:t>小计</w:t>
                  </w:r>
                </w:p>
              </w:tc>
              <w:tc>
                <w:tcPr>
                  <w:tcW w:w="709" w:type="dxa"/>
                  <w:noWrap/>
                  <w:vAlign w:val="center"/>
                </w:tcPr>
                <w:p>
                  <w:pPr>
                    <w:widowControl/>
                    <w:jc w:val="center"/>
                    <w:textAlignment w:val="center"/>
                    <w:rPr>
                      <w:kern w:val="0"/>
                      <w:szCs w:val="21"/>
                      <w:lang w:bidi="ar"/>
                    </w:rPr>
                  </w:pPr>
                  <w:r>
                    <w:rPr>
                      <w:kern w:val="0"/>
                      <w:szCs w:val="21"/>
                      <w:lang w:bidi="ar"/>
                    </w:rPr>
                    <w:t>数量</w:t>
                  </w:r>
                </w:p>
              </w:tc>
              <w:tc>
                <w:tcPr>
                  <w:tcW w:w="1134" w:type="dxa"/>
                  <w:noWrap/>
                  <w:vAlign w:val="center"/>
                </w:tcPr>
                <w:p>
                  <w:pPr>
                    <w:widowControl/>
                    <w:jc w:val="center"/>
                    <w:textAlignment w:val="center"/>
                    <w:rPr>
                      <w:kern w:val="0"/>
                      <w:szCs w:val="21"/>
                      <w:lang w:bidi="ar"/>
                    </w:rPr>
                  </w:pPr>
                  <w:r>
                    <w:rPr>
                      <w:kern w:val="0"/>
                      <w:szCs w:val="21"/>
                      <w:lang w:bidi="ar"/>
                    </w:rPr>
                    <w:t>来源</w:t>
                  </w:r>
                </w:p>
              </w:tc>
              <w:tc>
                <w:tcPr>
                  <w:tcW w:w="877" w:type="dxa"/>
                  <w:noWrap/>
                  <w:vAlign w:val="center"/>
                </w:tcPr>
                <w:p>
                  <w:pPr>
                    <w:widowControl/>
                    <w:jc w:val="center"/>
                    <w:textAlignment w:val="center"/>
                    <w:rPr>
                      <w:kern w:val="0"/>
                      <w:szCs w:val="21"/>
                      <w:lang w:bidi="ar"/>
                    </w:rPr>
                  </w:pPr>
                  <w:r>
                    <w:rPr>
                      <w:kern w:val="0"/>
                      <w:szCs w:val="21"/>
                      <w:lang w:bidi="ar"/>
                    </w:rPr>
                    <w:t>数量</w:t>
                  </w:r>
                </w:p>
              </w:tc>
              <w:tc>
                <w:tcPr>
                  <w:tcW w:w="636" w:type="dxa"/>
                  <w:noWrap/>
                  <w:vAlign w:val="center"/>
                </w:tcPr>
                <w:p>
                  <w:pPr>
                    <w:widowControl/>
                    <w:jc w:val="center"/>
                    <w:textAlignment w:val="center"/>
                    <w:rPr>
                      <w:kern w:val="0"/>
                      <w:szCs w:val="21"/>
                      <w:lang w:bidi="ar"/>
                    </w:rPr>
                  </w:pPr>
                  <w:r>
                    <w:rPr>
                      <w:kern w:val="0"/>
                      <w:szCs w:val="21"/>
                      <w:lang w:bidi="ar"/>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22" w:type="dxa"/>
                  <w:noWrap/>
                  <w:vAlign w:val="center"/>
                </w:tcPr>
                <w:p>
                  <w:pPr>
                    <w:widowControl/>
                    <w:jc w:val="center"/>
                    <w:textAlignment w:val="center"/>
                    <w:rPr>
                      <w:kern w:val="0"/>
                      <w:szCs w:val="21"/>
                      <w:lang w:bidi="ar"/>
                    </w:rPr>
                  </w:pPr>
                  <w:r>
                    <w:rPr>
                      <w:kern w:val="0"/>
                      <w:szCs w:val="21"/>
                      <w:lang w:bidi="ar"/>
                    </w:rPr>
                    <w:t>升压站区</w:t>
                  </w:r>
                </w:p>
              </w:tc>
              <w:tc>
                <w:tcPr>
                  <w:tcW w:w="709" w:type="dxa"/>
                  <w:vAlign w:val="center"/>
                </w:tcPr>
                <w:p>
                  <w:pPr>
                    <w:widowControl/>
                    <w:jc w:val="center"/>
                    <w:textAlignment w:val="center"/>
                    <w:rPr>
                      <w:kern w:val="0"/>
                      <w:szCs w:val="21"/>
                      <w:lang w:bidi="ar"/>
                    </w:rPr>
                  </w:pPr>
                  <w:r>
                    <w:rPr>
                      <w:kern w:val="0"/>
                      <w:szCs w:val="21"/>
                      <w:lang w:bidi="ar"/>
                    </w:rPr>
                    <w:t xml:space="preserve">0.10 </w:t>
                  </w:r>
                </w:p>
              </w:tc>
              <w:tc>
                <w:tcPr>
                  <w:tcW w:w="850" w:type="dxa"/>
                  <w:vAlign w:val="center"/>
                </w:tcPr>
                <w:p>
                  <w:pPr>
                    <w:widowControl/>
                    <w:jc w:val="center"/>
                    <w:textAlignment w:val="center"/>
                    <w:rPr>
                      <w:kern w:val="0"/>
                      <w:szCs w:val="21"/>
                      <w:lang w:bidi="ar"/>
                    </w:rPr>
                  </w:pPr>
                  <w:r>
                    <w:rPr>
                      <w:kern w:val="0"/>
                      <w:szCs w:val="21"/>
                      <w:lang w:bidi="ar"/>
                    </w:rPr>
                    <w:t>4.45</w:t>
                  </w:r>
                </w:p>
              </w:tc>
              <w:tc>
                <w:tcPr>
                  <w:tcW w:w="709" w:type="dxa"/>
                  <w:noWrap/>
                  <w:vAlign w:val="center"/>
                </w:tcPr>
                <w:p>
                  <w:pPr>
                    <w:widowControl/>
                    <w:jc w:val="center"/>
                    <w:textAlignment w:val="center"/>
                    <w:rPr>
                      <w:kern w:val="0"/>
                      <w:szCs w:val="21"/>
                      <w:lang w:bidi="ar"/>
                    </w:rPr>
                  </w:pPr>
                  <w:r>
                    <w:rPr>
                      <w:kern w:val="0"/>
                      <w:szCs w:val="21"/>
                      <w:lang w:bidi="ar"/>
                    </w:rPr>
                    <w:t xml:space="preserve">4.55 </w:t>
                  </w:r>
                </w:p>
              </w:tc>
              <w:tc>
                <w:tcPr>
                  <w:tcW w:w="709" w:type="dxa"/>
                  <w:vAlign w:val="center"/>
                </w:tcPr>
                <w:p>
                  <w:pPr>
                    <w:widowControl/>
                    <w:jc w:val="center"/>
                    <w:textAlignment w:val="center"/>
                    <w:rPr>
                      <w:kern w:val="0"/>
                      <w:szCs w:val="21"/>
                      <w:lang w:bidi="ar"/>
                    </w:rPr>
                  </w:pPr>
                  <w:r>
                    <w:rPr>
                      <w:kern w:val="0"/>
                      <w:szCs w:val="21"/>
                      <w:lang w:bidi="ar"/>
                    </w:rPr>
                    <w:t>0.06</w:t>
                  </w:r>
                </w:p>
              </w:tc>
              <w:tc>
                <w:tcPr>
                  <w:tcW w:w="850" w:type="dxa"/>
                  <w:vAlign w:val="center"/>
                </w:tcPr>
                <w:p>
                  <w:pPr>
                    <w:widowControl/>
                    <w:jc w:val="center"/>
                    <w:textAlignment w:val="center"/>
                    <w:rPr>
                      <w:kern w:val="0"/>
                      <w:szCs w:val="21"/>
                      <w:lang w:bidi="ar"/>
                    </w:rPr>
                  </w:pPr>
                  <w:r>
                    <w:rPr>
                      <w:kern w:val="0"/>
                      <w:szCs w:val="21"/>
                      <w:lang w:bidi="ar"/>
                    </w:rPr>
                    <w:t>3.71</w:t>
                  </w:r>
                </w:p>
              </w:tc>
              <w:tc>
                <w:tcPr>
                  <w:tcW w:w="709" w:type="dxa"/>
                  <w:noWrap/>
                  <w:vAlign w:val="center"/>
                </w:tcPr>
                <w:p>
                  <w:pPr>
                    <w:widowControl/>
                    <w:jc w:val="center"/>
                    <w:textAlignment w:val="center"/>
                    <w:rPr>
                      <w:kern w:val="0"/>
                      <w:szCs w:val="21"/>
                      <w:lang w:bidi="ar"/>
                    </w:rPr>
                  </w:pPr>
                  <w:r>
                    <w:rPr>
                      <w:kern w:val="0"/>
                      <w:szCs w:val="21"/>
                      <w:lang w:bidi="ar"/>
                    </w:rPr>
                    <w:t xml:space="preserve">3.77 </w:t>
                  </w:r>
                </w:p>
              </w:tc>
              <w:tc>
                <w:tcPr>
                  <w:tcW w:w="709" w:type="dxa"/>
                  <w:noWrap/>
                  <w:vAlign w:val="center"/>
                </w:tcPr>
                <w:p>
                  <w:pPr>
                    <w:widowControl/>
                    <w:jc w:val="center"/>
                    <w:textAlignment w:val="center"/>
                    <w:rPr>
                      <w:kern w:val="0"/>
                      <w:szCs w:val="21"/>
                      <w:lang w:bidi="ar"/>
                    </w:rPr>
                  </w:pPr>
                  <w:r>
                    <w:rPr>
                      <w:kern w:val="0"/>
                      <w:szCs w:val="21"/>
                      <w:lang w:bidi="ar"/>
                    </w:rPr>
                    <w:t>/</w:t>
                  </w:r>
                </w:p>
              </w:tc>
              <w:tc>
                <w:tcPr>
                  <w:tcW w:w="1134" w:type="dxa"/>
                  <w:noWrap/>
                  <w:vAlign w:val="center"/>
                </w:tcPr>
                <w:p>
                  <w:pPr>
                    <w:widowControl/>
                    <w:jc w:val="center"/>
                    <w:textAlignment w:val="center"/>
                    <w:rPr>
                      <w:kern w:val="0"/>
                      <w:szCs w:val="21"/>
                      <w:lang w:bidi="ar"/>
                    </w:rPr>
                  </w:pPr>
                  <w:r>
                    <w:rPr>
                      <w:kern w:val="0"/>
                      <w:szCs w:val="21"/>
                      <w:lang w:bidi="ar"/>
                    </w:rPr>
                    <w:t>/</w:t>
                  </w:r>
                </w:p>
              </w:tc>
              <w:tc>
                <w:tcPr>
                  <w:tcW w:w="877" w:type="dxa"/>
                  <w:noWrap/>
                  <w:vAlign w:val="center"/>
                </w:tcPr>
                <w:p>
                  <w:pPr>
                    <w:widowControl/>
                    <w:jc w:val="center"/>
                    <w:textAlignment w:val="center"/>
                    <w:rPr>
                      <w:kern w:val="0"/>
                      <w:szCs w:val="21"/>
                      <w:lang w:bidi="ar"/>
                    </w:rPr>
                  </w:pPr>
                  <w:r>
                    <w:rPr>
                      <w:kern w:val="0"/>
                      <w:szCs w:val="21"/>
                      <w:lang w:bidi="ar"/>
                    </w:rPr>
                    <w:t xml:space="preserve">0.79 </w:t>
                  </w:r>
                </w:p>
              </w:tc>
              <w:tc>
                <w:tcPr>
                  <w:tcW w:w="636" w:type="dxa"/>
                  <w:vAlign w:val="center"/>
                </w:tcPr>
                <w:p>
                  <w:pPr>
                    <w:widowControl/>
                    <w:jc w:val="center"/>
                    <w:textAlignment w:val="center"/>
                    <w:rPr>
                      <w:kern w:val="0"/>
                      <w:szCs w:val="21"/>
                      <w:lang w:bidi="ar"/>
                    </w:rPr>
                  </w:pPr>
                  <w:r>
                    <w:rPr>
                      <w:kern w:val="0"/>
                      <w:szCs w:val="21"/>
                      <w:lang w:bidi="ar"/>
                    </w:rPr>
                    <w:t>光伏场区</w:t>
                  </w:r>
                </w:p>
              </w:tc>
            </w:tr>
          </w:tbl>
          <w:p>
            <w:pPr>
              <w:pStyle w:val="49"/>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注：①各种土石方均为自然方量；②土石方平衡计算公式为：开挖+调入+外借=回填+调出+废弃。</w:t>
            </w:r>
          </w:p>
          <w:p>
            <w:pPr>
              <w:pStyle w:val="49"/>
              <w:spacing w:line="360" w:lineRule="auto"/>
              <w:jc w:val="center"/>
            </w:pPr>
            <w:r>
              <w:object>
                <v:shape id="_x0000_i1026" o:spt="75" type="#_x0000_t75" style="height:44.75pt;width:442.8pt;" o:ole="t" filled="f" o:preferrelative="t" stroked="f" coordsize="21600,21600">
                  <v:path/>
                  <v:fill on="f" focussize="0,0"/>
                  <v:stroke on="f"/>
                  <v:imagedata r:id="rId11" o:title=""/>
                  <o:lock v:ext="edit" aspectratio="f"/>
                  <w10:wrap type="none"/>
                  <w10:anchorlock/>
                </v:shape>
                <o:OLEObject Type="Embed" ProgID="Visio.Drawing.15" ShapeID="_x0000_i1026" DrawAspect="Content" ObjectID="_1468075726" r:id="rId10">
                  <o:LockedField>false</o:LockedField>
                </o:OLEObject>
              </w:object>
            </w:r>
          </w:p>
          <w:p>
            <w:pPr>
              <w:pStyle w:val="49"/>
              <w:spacing w:line="360" w:lineRule="auto"/>
              <w:jc w:val="center"/>
              <w:rPr>
                <w:rFonts w:ascii="Times New Roman" w:hAnsi="Times New Roman" w:eastAsia="宋体" w:cs="Times New Roman"/>
                <w:b/>
                <w:sz w:val="24"/>
                <w:szCs w:val="22"/>
              </w:rPr>
            </w:pPr>
            <w:r>
              <w:rPr>
                <w:rFonts w:ascii="Times New Roman" w:hAnsi="Times New Roman" w:eastAsia="宋体" w:cs="Times New Roman"/>
                <w:b/>
                <w:sz w:val="24"/>
                <w:szCs w:val="22"/>
              </w:rPr>
              <w:t>图4-1   建设项目土石方平衡图  单位：万m</w:t>
            </w:r>
            <w:r>
              <w:rPr>
                <w:rFonts w:ascii="Times New Roman" w:hAnsi="Times New Roman" w:eastAsia="宋体" w:cs="Times New Roman"/>
                <w:b/>
                <w:sz w:val="24"/>
                <w:szCs w:val="22"/>
                <w:vertAlign w:val="superscript"/>
              </w:rPr>
              <w:t>3</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从以上平衡分析可知，项目施工过程中产生的土石方及表土可做到挖填平衡，无外借土石方和永久弃方产生，无需设置永久弃渣场。</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②临时堆场</w:t>
            </w:r>
          </w:p>
          <w:p>
            <w:pPr>
              <w:pStyle w:val="49"/>
              <w:spacing w:line="360" w:lineRule="auto"/>
              <w:ind w:firstLine="480" w:firstLineChars="200"/>
              <w:rPr>
                <w:rFonts w:ascii="Times New Roman" w:hAnsi="Times New Roman" w:eastAsia="宋体" w:cs="Times New Roman"/>
                <w:sz w:val="24"/>
                <w:lang w:val="en-US"/>
              </w:rPr>
            </w:pPr>
            <w:r>
              <w:rPr>
                <w:rFonts w:hint="eastAsia" w:ascii="Times New Roman" w:hAnsi="Times New Roman" w:eastAsia="宋体" w:cs="Times New Roman"/>
                <w:sz w:val="24"/>
                <w:lang w:val="en-US" w:eastAsia="zh-CN"/>
              </w:rPr>
              <w:t>升压站不单独设置临时堆场，升压站产生的土石方及表土均依托光伏电站设置的临时堆场暂存（0.79万m³），光伏电站设置</w:t>
            </w:r>
            <w:r>
              <w:rPr>
                <w:rFonts w:ascii="Times New Roman" w:hAnsi="Times New Roman" w:eastAsia="宋体" w:cs="Times New Roman"/>
                <w:sz w:val="24"/>
              </w:rPr>
              <w:t>2000m</w:t>
            </w:r>
            <w:r>
              <w:rPr>
                <w:rFonts w:ascii="Times New Roman" w:hAnsi="Times New Roman" w:eastAsia="宋体" w:cs="Times New Roman"/>
                <w:sz w:val="24"/>
                <w:vertAlign w:val="superscript"/>
              </w:rPr>
              <w:t>2</w:t>
            </w:r>
            <w:r>
              <w:rPr>
                <w:rFonts w:ascii="Times New Roman" w:hAnsi="Times New Roman" w:eastAsia="宋体" w:cs="Times New Roman"/>
                <w:sz w:val="24"/>
              </w:rPr>
              <w:t>占地的临时堆场，设计堆高10m，可保证土石方及表土的堆存量要求。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Mar>
              <w:left w:w="28" w:type="dxa"/>
              <w:right w:w="28" w:type="dxa"/>
            </w:tcMar>
            <w:vAlign w:val="center"/>
          </w:tcPr>
          <w:p>
            <w:pPr>
              <w:pStyle w:val="17"/>
              <w:adjustRightInd w:val="0"/>
              <w:snapToGrid w:val="0"/>
              <w:spacing w:before="0" w:beforeAutospacing="0" w:after="0" w:afterAutospacing="0"/>
              <w:jc w:val="center"/>
              <w:rPr>
                <w:rFonts w:ascii="Times New Roman" w:hAnsi="Times New Roman"/>
                <w:bCs/>
                <w:spacing w:val="10"/>
                <w:kern w:val="2"/>
                <w:szCs w:val="21"/>
              </w:rPr>
            </w:pPr>
            <w:r>
              <w:rPr>
                <w:rFonts w:ascii="Times New Roman" w:hAnsi="Times New Roman"/>
                <w:bCs/>
              </w:rPr>
              <w:t>运营期生态环境影响分析</w:t>
            </w:r>
          </w:p>
        </w:tc>
        <w:tc>
          <w:tcPr>
            <w:tcW w:w="9074" w:type="dxa"/>
          </w:tcPr>
          <w:p>
            <w:pPr>
              <w:pStyle w:val="49"/>
              <w:spacing w:line="360" w:lineRule="auto"/>
              <w:ind w:firstLine="482" w:firstLineChars="200"/>
              <w:jc w:val="left"/>
              <w:rPr>
                <w:rFonts w:ascii="Times New Roman" w:hAnsi="Times New Roman" w:eastAsia="宋体" w:cs="Times New Roman"/>
                <w:b/>
                <w:color w:val="auto"/>
                <w:sz w:val="24"/>
              </w:rPr>
            </w:pPr>
            <w:r>
              <w:rPr>
                <w:rFonts w:ascii="Times New Roman" w:hAnsi="Times New Roman" w:eastAsia="宋体" w:cs="Times New Roman"/>
                <w:b/>
                <w:color w:val="auto"/>
                <w:sz w:val="24"/>
              </w:rPr>
              <w:t>（一）运营期工艺流程</w:t>
            </w:r>
          </w:p>
          <w:p>
            <w:pPr>
              <w:pStyle w:val="49"/>
              <w:spacing w:line="360" w:lineRule="auto"/>
              <w:ind w:firstLine="480" w:firstLineChars="200"/>
              <w:jc w:val="left"/>
              <w:rPr>
                <w:rFonts w:ascii="Times New Roman" w:hAnsi="Times New Roman" w:eastAsia="宋体" w:cs="Times New Roman"/>
                <w:lang w:val="en-US" w:bidi="ar-SA"/>
              </w:rPr>
            </w:pPr>
            <w:r>
              <w:rPr>
                <w:rFonts w:hint="eastAsia" w:ascii="Times New Roman" w:hAnsi="Times New Roman" w:eastAsia="宋体" w:cs="Times New Roman"/>
                <w:sz w:val="24"/>
                <w:lang w:val="en-US" w:eastAsia="zh-CN"/>
              </w:rPr>
              <w:t>项目运营期由光伏发电站1回35kv集电线路送入站区，经升压至220kv后通过220kV架空导线并入电网</w:t>
            </w:r>
            <w:r>
              <w:rPr>
                <w:rFonts w:ascii="Times New Roman" w:hAnsi="Times New Roman" w:eastAsia="宋体" w:cs="Times New Roman"/>
                <w:sz w:val="24"/>
              </w:rPr>
              <w:t>。运营期工艺流程及产污环节如下所示：</w:t>
            </w:r>
          </w:p>
          <w:p>
            <w:pPr>
              <w:pStyle w:val="49"/>
              <w:spacing w:line="360" w:lineRule="auto"/>
              <w:jc w:val="center"/>
              <w:rPr>
                <w:rFonts w:ascii="Times New Roman" w:hAnsi="Times New Roman" w:eastAsia="宋体" w:cs="Times New Roman"/>
              </w:rPr>
            </w:pPr>
            <w:r>
              <w:rPr>
                <w:rFonts w:ascii="Times New Roman" w:hAnsi="Times New Roman" w:eastAsia="宋体" w:cs="Times New Roman"/>
              </w:rPr>
              <w:object>
                <v:shape id="_x0000_i1027" o:spt="75" type="#_x0000_t75" style="height:158.25pt;width:396pt;" o:ole="t" filled="f" o:preferrelative="t" stroked="f" coordsize="21600,21600">
                  <v:path/>
                  <v:fill on="f" focussize="0,0"/>
                  <v:stroke on="f"/>
                  <v:imagedata r:id="rId13" o:title=""/>
                  <o:lock v:ext="edit" aspectratio="f"/>
                  <w10:wrap type="none"/>
                  <w10:anchorlock/>
                </v:shape>
                <o:OLEObject Type="Embed" ProgID="Visio.Drawing.15" ShapeID="_x0000_i1027" DrawAspect="Content" ObjectID="_1468075727" r:id="rId12">
                  <o:LockedField>false</o:LockedField>
                </o:OLEObject>
              </w:objec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图4-2   运营期</w:t>
            </w:r>
            <w:r>
              <w:rPr>
                <w:rFonts w:hint="eastAsia" w:ascii="Times New Roman" w:hAnsi="Times New Roman" w:eastAsia="宋体" w:cs="Times New Roman"/>
                <w:b/>
                <w:sz w:val="24"/>
                <w:lang w:val="en-US" w:eastAsia="zh-CN"/>
              </w:rPr>
              <w:t>升压站</w:t>
            </w:r>
            <w:r>
              <w:rPr>
                <w:rFonts w:ascii="Times New Roman" w:hAnsi="Times New Roman" w:eastAsia="宋体" w:cs="Times New Roman"/>
                <w:b/>
                <w:sz w:val="24"/>
              </w:rPr>
              <w:t>工艺流程及产污节点图</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（二）运营期环境影响分析</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1、运营期生态环境影响</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lang w:val="en-US"/>
              </w:rPr>
              <w:t>（1）</w:t>
            </w:r>
            <w:r>
              <w:rPr>
                <w:rFonts w:ascii="Times New Roman" w:hAnsi="Times New Roman" w:eastAsia="宋体" w:cs="Times New Roman"/>
                <w:b/>
                <w:sz w:val="24"/>
              </w:rPr>
              <w:t>对地表植被的影响分析</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拟建场址主要植被为</w:t>
            </w:r>
            <w:r>
              <w:rPr>
                <w:rFonts w:ascii="Times New Roman" w:hAnsi="Times New Roman" w:eastAsia="宋体" w:cs="Times New Roman"/>
                <w:sz w:val="24"/>
                <w:lang w:val="en-US"/>
              </w:rPr>
              <w:t>低矮野生草丛</w:t>
            </w:r>
            <w:r>
              <w:rPr>
                <w:rFonts w:ascii="Times New Roman" w:hAnsi="Times New Roman" w:eastAsia="宋体" w:cs="Times New Roman"/>
                <w:sz w:val="24"/>
              </w:rPr>
              <w:t>，同时夹带少量低矮灌木从，无果园。影响到的植被类型在该地区分布广、面积大，项目的建设不会对这些植被类型在该地区的分布造成太大影响。</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施工结束之后，生态修复实施阶段，将恢复土地利用价值进行重新播种，相较于原有的草地提升了生物多样性，可有效的保护生态环境，使得工程对植物的影响降到可控制范围之内。</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（2）对当地动物的影响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US"/>
              </w:rPr>
              <w:t>项目建成后，</w:t>
            </w:r>
            <w:r>
              <w:rPr>
                <w:rFonts w:ascii="Times New Roman" w:hAnsi="Times New Roman" w:eastAsia="宋体" w:cs="Times New Roman"/>
                <w:sz w:val="24"/>
              </w:rPr>
              <w:t>升压站设置</w:t>
            </w:r>
            <w:r>
              <w:rPr>
                <w:rFonts w:ascii="Times New Roman" w:hAnsi="Times New Roman" w:eastAsia="宋体" w:cs="Times New Roman"/>
                <w:sz w:val="24"/>
                <w:lang w:val="en-US"/>
              </w:rPr>
              <w:t>围栏，</w:t>
            </w:r>
            <w:r>
              <w:rPr>
                <w:rFonts w:hint="eastAsia" w:ascii="Times New Roman" w:hAnsi="Times New Roman" w:eastAsia="宋体" w:cs="Times New Roman"/>
                <w:sz w:val="24"/>
                <w:lang w:val="en-US" w:eastAsia="zh-CN"/>
              </w:rPr>
              <w:t>升压站</w:t>
            </w:r>
            <w:r>
              <w:rPr>
                <w:rFonts w:ascii="Times New Roman" w:hAnsi="Times New Roman" w:eastAsia="宋体" w:cs="Times New Roman"/>
                <w:sz w:val="24"/>
                <w:lang w:val="en-US"/>
              </w:rPr>
              <w:t>占用部分地面，将减少地面动物的活动区域，但围栏遮挡以及支架使用的面积较小，影响范围小；本项目声源少，噪声值较低，噪声源产生的噪声经光伏组件隔声和距离衰减后，不会对地面上动物的日常迁徙及鸟类正常活动造成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场地内野生动物的种类及数量将随着场内植被类型的变化而变化，农业作物种植及管理使区域内人类活动较现有的开放式季节性农业种植更频繁，项目区域内野生动物种类及数量均会有一定减少；同时，由于野生动物趋避迁移，项目周边</w:t>
            </w:r>
            <w:r>
              <w:rPr>
                <w:rFonts w:ascii="Times New Roman" w:hAnsi="Times New Roman" w:eastAsia="宋体" w:cs="Times New Roman"/>
                <w:sz w:val="24"/>
                <w:lang w:val="en-US"/>
              </w:rPr>
              <w:t>梯坪地</w:t>
            </w:r>
            <w:r>
              <w:rPr>
                <w:rFonts w:ascii="Times New Roman" w:hAnsi="Times New Roman" w:eastAsia="宋体" w:cs="Times New Roman"/>
                <w:sz w:val="24"/>
              </w:rPr>
              <w:t>及草地的野生动物量将有所增加。</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根据现场调查，项目所在区域主要野生动物为昆虫、鸟类、两栖类及爬行类，均为小型野生动物。本次评价范围区域内无中国野生动物保护法列为重点保护动物或被列入云南省保护动物名单中的两栖类、爬行类和兽类等动物。因此项目建设对陆生动物的影响是有限的、局部的，是可以接受的。</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lang w:val="en-US"/>
              </w:rPr>
              <w:t>（</w:t>
            </w:r>
            <w:r>
              <w:rPr>
                <w:rFonts w:ascii="Times New Roman" w:hAnsi="Times New Roman" w:eastAsia="宋体" w:cs="Times New Roman"/>
                <w:b/>
                <w:sz w:val="24"/>
              </w:rPr>
              <w:t>3）水土流失影响</w:t>
            </w:r>
          </w:p>
          <w:p>
            <w:pPr>
              <w:pStyle w:val="49"/>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sz w:val="24"/>
              </w:rPr>
              <w:t>拟建场址区域内植被覆盖率一般，物种种类一般。</w:t>
            </w:r>
            <w:r>
              <w:rPr>
                <w:rFonts w:ascii="Times New Roman" w:hAnsi="Times New Roman" w:eastAsia="宋体" w:cs="Times New Roman"/>
                <w:sz w:val="24"/>
                <w:lang w:val="en-US"/>
              </w:rPr>
              <w:t>临时占地范围内的植被恢复一般在3年内才能逐步稳定，达到较好的水土保持效果。在水土保持工程和植物措施有效发挥作用后，项目区内的水土流失可得到完全控制，项目建设区的水土流失可达到轻度以下水平，工程建设造成的水土流失可得到基本治理，并使工程占地区域内水土流</w:t>
            </w:r>
            <w:r>
              <w:rPr>
                <w:rFonts w:ascii="Times New Roman" w:hAnsi="Times New Roman" w:eastAsia="宋体" w:cs="Times New Roman"/>
                <w:color w:val="auto"/>
                <w:sz w:val="24"/>
                <w:lang w:val="en-US"/>
              </w:rPr>
              <w:t>失状况得到明显改善。</w:t>
            </w:r>
          </w:p>
          <w:p>
            <w:pPr>
              <w:pStyle w:val="49"/>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val="en-US"/>
              </w:rPr>
              <w:t>（</w:t>
            </w:r>
            <w:r>
              <w:rPr>
                <w:rFonts w:ascii="Times New Roman" w:hAnsi="Times New Roman" w:eastAsia="宋体" w:cs="Times New Roman"/>
                <w:b/>
                <w:color w:val="auto"/>
                <w:sz w:val="24"/>
              </w:rPr>
              <w:t>4）对区域景观的影响分析</w:t>
            </w:r>
          </w:p>
          <w:p>
            <w:pPr>
              <w:pStyle w:val="49"/>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项目实施后，</w:t>
            </w:r>
            <w:r>
              <w:rPr>
                <w:rFonts w:hint="eastAsia" w:ascii="Times New Roman" w:hAnsi="Times New Roman" w:eastAsia="宋体" w:cs="Times New Roman"/>
                <w:color w:val="auto"/>
                <w:sz w:val="24"/>
                <w:lang w:val="en-US" w:eastAsia="zh-CN"/>
              </w:rPr>
              <w:t>升压站</w:t>
            </w:r>
            <w:r>
              <w:rPr>
                <w:rFonts w:ascii="Times New Roman" w:hAnsi="Times New Roman" w:eastAsia="宋体" w:cs="Times New Roman"/>
                <w:color w:val="auto"/>
                <w:sz w:val="24"/>
              </w:rPr>
              <w:t>占地面积较</w:t>
            </w:r>
            <w:r>
              <w:rPr>
                <w:rFonts w:hint="eastAsia" w:ascii="Times New Roman" w:hAnsi="Times New Roman" w:eastAsia="宋体" w:cs="Times New Roman"/>
                <w:color w:val="auto"/>
                <w:sz w:val="24"/>
                <w:lang w:val="en-US" w:eastAsia="zh-CN"/>
              </w:rPr>
              <w:t>小</w:t>
            </w:r>
            <w:r>
              <w:rPr>
                <w:rFonts w:ascii="Times New Roman" w:hAnsi="Times New Roman" w:eastAsia="宋体" w:cs="Times New Roman"/>
                <w:color w:val="auto"/>
                <w:sz w:val="24"/>
              </w:rPr>
              <w:t>，项目建设对小范围内的自然景观造成了</w:t>
            </w:r>
            <w:r>
              <w:rPr>
                <w:rFonts w:ascii="Times New Roman" w:hAnsi="Times New Roman" w:eastAsia="宋体" w:cs="Times New Roman"/>
                <w:color w:val="auto"/>
                <w:sz w:val="24"/>
                <w:lang w:val="en-US"/>
              </w:rPr>
              <w:t>一</w:t>
            </w:r>
            <w:r>
              <w:rPr>
                <w:rFonts w:ascii="Times New Roman" w:hAnsi="Times New Roman" w:eastAsia="宋体" w:cs="Times New Roman"/>
                <w:color w:val="auto"/>
                <w:sz w:val="24"/>
              </w:rPr>
              <w:t>定程度的破坏。由于本工程位于山区，远离城镇，处于山顶，低海拔处有较多林地，从山脚公路处不易看见，且项目区域无特殊景点，因此，</w:t>
            </w:r>
            <w:r>
              <w:rPr>
                <w:rFonts w:hint="eastAsia" w:ascii="Times New Roman" w:hAnsi="Times New Roman" w:eastAsia="宋体" w:cs="Times New Roman"/>
                <w:color w:val="auto"/>
                <w:sz w:val="24"/>
                <w:lang w:val="en-US" w:eastAsia="zh-CN"/>
              </w:rPr>
              <w:t>升压站</w:t>
            </w:r>
            <w:r>
              <w:rPr>
                <w:rFonts w:ascii="Times New Roman" w:hAnsi="Times New Roman" w:eastAsia="宋体" w:cs="Times New Roman"/>
                <w:color w:val="auto"/>
                <w:sz w:val="24"/>
              </w:rPr>
              <w:t>建设对区域景观影响较小。</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w:t>
            </w:r>
            <w:r>
              <w:rPr>
                <w:rFonts w:hint="eastAsia" w:ascii="Times New Roman" w:hAnsi="Times New Roman" w:eastAsia="宋体" w:cs="Times New Roman"/>
                <w:b/>
                <w:sz w:val="24"/>
                <w:lang w:val="en-US" w:eastAsia="zh-CN"/>
              </w:rPr>
              <w:t>5</w:t>
            </w:r>
            <w:r>
              <w:rPr>
                <w:rFonts w:ascii="Times New Roman" w:hAnsi="Times New Roman" w:eastAsia="宋体" w:cs="Times New Roman"/>
                <w:b/>
                <w:sz w:val="24"/>
              </w:rPr>
              <w:t>）生态修复</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整个生态修复过程由建设单位全权委托给有能力执行单位进行修复工作，建设方仅仅针对修复目标、种植种类、配置模式提出管理要求。具体</w:t>
            </w:r>
            <w:r>
              <w:rPr>
                <w:rFonts w:ascii="Times New Roman" w:hAnsi="Times New Roman" w:eastAsia="宋体" w:cs="Times New Roman"/>
                <w:sz w:val="24"/>
              </w:rPr>
              <w:t>生态修复</w:t>
            </w:r>
            <w:r>
              <w:rPr>
                <w:rFonts w:ascii="Times New Roman" w:hAnsi="Times New Roman" w:eastAsia="宋体" w:cs="Times New Roman"/>
                <w:sz w:val="24"/>
                <w:lang w:val="en-US"/>
              </w:rPr>
              <w:t>实施方案由委托机构进行制定实施。</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1）修复目标：</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选择人工种植小灌木、藤本植物、草本花卉、草坪和地被等生态植物，充分利用植物光合作用或土壤自养微生物将CO</w:t>
            </w:r>
            <w:r>
              <w:rPr>
                <w:rFonts w:ascii="Times New Roman" w:hAnsi="Times New Roman" w:eastAsia="宋体" w:cs="Times New Roman"/>
                <w:sz w:val="24"/>
                <w:vertAlign w:val="subscript"/>
                <w:lang w:val="en-US"/>
              </w:rPr>
              <w:t>2</w:t>
            </w:r>
            <w:r>
              <w:rPr>
                <w:rFonts w:ascii="Times New Roman" w:hAnsi="Times New Roman" w:eastAsia="宋体" w:cs="Times New Roman"/>
                <w:sz w:val="24"/>
                <w:lang w:val="en-US"/>
              </w:rPr>
              <w:t>转化成有机化合物的生物固碳过程，提高生态系统的碳固定和储存能力，减少大气CO</w:t>
            </w:r>
            <w:r>
              <w:rPr>
                <w:rFonts w:ascii="Times New Roman" w:hAnsi="Times New Roman" w:eastAsia="宋体" w:cs="Times New Roman"/>
                <w:sz w:val="24"/>
                <w:vertAlign w:val="subscript"/>
                <w:lang w:val="en-US"/>
              </w:rPr>
              <w:t>2</w:t>
            </w:r>
            <w:r>
              <w:rPr>
                <w:rFonts w:ascii="Times New Roman" w:hAnsi="Times New Roman" w:eastAsia="宋体" w:cs="Times New Roman"/>
                <w:sz w:val="24"/>
                <w:lang w:val="en-US"/>
              </w:rPr>
              <w:t>浓度。通过合理选配能够显著提升光伏发电厂固碳能力的本土植物，选用土著固碳生物激活和贫瘠土土改良活性肥料，激活乡土植物和功能微生物的固碳增汇潜能，起到改良贫瘠土壤，修复土壤肥力、水土保持方面的作用。</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2）植物选配原则：</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①</w:t>
            </w:r>
            <w:r>
              <w:rPr>
                <w:rFonts w:ascii="Times New Roman" w:hAnsi="Times New Roman" w:eastAsia="宋体" w:cs="Times New Roman"/>
                <w:sz w:val="24"/>
                <w:lang w:val="en-US"/>
              </w:rPr>
              <w:t>利用植被凋落物质量、根系分泌物和养分吸收的差异性，地上植被种类和多样性的变化能直接或间接影响碳在地下生态系统的分配，并调节影响参与上述过程的土壤微生物，土壤微生物群落利用各种碳源的数量及其比例会因植被类型而不同，从碳氮减排角度，选择能驱动土壤中细菌（特别是固碳氮的自养微生物）群落结构与功能多样性的植被类型进行栽植。</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②</w:t>
            </w:r>
            <w:r>
              <w:rPr>
                <w:rFonts w:ascii="Times New Roman" w:hAnsi="Times New Roman" w:eastAsia="宋体" w:cs="Times New Roman"/>
                <w:sz w:val="24"/>
                <w:lang w:val="en-US"/>
              </w:rPr>
              <w:t>遵循生态恢复原理，充分发挥固碳树种在改良贫瘠土壤，修复土壤肥力、水土保持方面的作用，促进干热河谷退化林地土壤的恢复和群落正向演替，因此，将优先选择固碳固氮植物；</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③</w:t>
            </w:r>
            <w:r>
              <w:rPr>
                <w:rFonts w:ascii="Times New Roman" w:hAnsi="Times New Roman" w:eastAsia="宋体" w:cs="Times New Roman"/>
                <w:sz w:val="24"/>
                <w:lang w:val="en-US"/>
              </w:rPr>
              <w:t>高寒高海拔地区物种多样性相对较差，人工培育种子资源有限，以牧草与经济型植物种子更为常见。植被选择遵循适应性强，抗逆性好的原则，主要包括抗旱、耐高温、抗污染、耐瘠薄、抗病虫害等；优先考虑根系发达、萌芽萌孽力强、耐干旱、耐贫瘠、生长速度快、能迅速形成植物层起到水土保持作用、改土效果明显的乡土植物，作为先锋植物。</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④</w:t>
            </w:r>
            <w:r>
              <w:rPr>
                <w:rFonts w:ascii="Times New Roman" w:hAnsi="Times New Roman" w:eastAsia="宋体" w:cs="Times New Roman"/>
                <w:sz w:val="24"/>
                <w:lang w:val="en-US"/>
              </w:rPr>
              <w:t>最小风险和最大效益原则。所选物种应栽培容易，管理、收获方便，初始投入及维护费用低。</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3）乡土植物种类选取：</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①</w:t>
            </w:r>
            <w:r>
              <w:rPr>
                <w:rFonts w:ascii="Times New Roman" w:hAnsi="Times New Roman" w:eastAsia="宋体" w:cs="Times New Roman"/>
                <w:sz w:val="24"/>
                <w:lang w:val="en-US"/>
              </w:rPr>
              <w:t>固氮、固碳植被</w:t>
            </w:r>
          </w:p>
          <w:p>
            <w:pPr>
              <w:spacing w:line="360" w:lineRule="auto"/>
              <w:ind w:firstLine="480" w:firstLineChars="200"/>
              <w:textAlignment w:val="center"/>
              <w:rPr>
                <w:position w:val="-12"/>
                <w:sz w:val="24"/>
              </w:rPr>
            </w:pPr>
            <w:r>
              <w:rPr>
                <w:position w:val="-12"/>
                <w:sz w:val="24"/>
              </w:rPr>
              <w:t>土壤固碳细菌占总细菌的0.1%~10%，土壤固碳细菌群落利用各种碳源的数量及其比例会因植被类型而不同，因此选择常绿植被类型为主；选择具有根瘤菌，提高绿化程度，又能起到生物改良土壤作用的多年生豆科植被，且豆科植物植株较高，光合作用不受禾本科植物的影响而可以共同生存，因此选择具有固氮功能的豆科植物。综上，将优先选择常绿的豆科植物。</w:t>
            </w:r>
          </w:p>
          <w:p>
            <w:pPr>
              <w:spacing w:line="360" w:lineRule="auto"/>
              <w:ind w:firstLine="480" w:firstLineChars="200"/>
              <w:textAlignment w:val="center"/>
              <w:rPr>
                <w:position w:val="-12"/>
                <w:sz w:val="24"/>
              </w:rPr>
            </w:pPr>
            <w:r>
              <w:rPr>
                <w:rFonts w:ascii="宋体" w:hAnsi="宋体" w:cs="宋体"/>
                <w:position w:val="-12"/>
                <w:sz w:val="24"/>
              </w:rPr>
              <w:t>②</w:t>
            </w:r>
            <w:r>
              <w:rPr>
                <w:position w:val="-12"/>
                <w:sz w:val="24"/>
              </w:rPr>
              <w:t>抗逆性强、生态位互补植被</w:t>
            </w:r>
          </w:p>
          <w:p>
            <w:pPr>
              <w:spacing w:line="360" w:lineRule="auto"/>
              <w:ind w:firstLine="480" w:firstLineChars="200"/>
              <w:textAlignment w:val="center"/>
              <w:rPr>
                <w:position w:val="-12"/>
                <w:sz w:val="24"/>
              </w:rPr>
            </w:pPr>
            <w:r>
              <w:rPr>
                <w:position w:val="-12"/>
                <w:sz w:val="24"/>
              </w:rPr>
              <w:t>a草本植物优先选择根系发达生长速度快适应性强、抗逆好的且不与小灌木树种争肥、争空间的草种，在升压站、生活区和景观区周围可适当配置少量的花卉草种。</w:t>
            </w:r>
          </w:p>
          <w:p>
            <w:pPr>
              <w:spacing w:line="360" w:lineRule="auto"/>
              <w:ind w:firstLine="480" w:firstLineChars="200"/>
              <w:textAlignment w:val="center"/>
              <w:rPr>
                <w:position w:val="-12"/>
                <w:sz w:val="24"/>
              </w:rPr>
            </w:pPr>
            <w:r>
              <w:rPr>
                <w:position w:val="-12"/>
                <w:sz w:val="24"/>
              </w:rPr>
              <w:t>b灌木植物应优先选择萌芽力强、适应性广的品种，特别要多选择具有根瘤菌，既可提高绿化程度，又能起到生物改良土壤作用的多年生豆科灌木品种，以多年生豆科灌木为主，选1~2种，每种2kg~3kg /667 m</w:t>
            </w:r>
            <w:r>
              <w:rPr>
                <w:position w:val="-12"/>
                <w:sz w:val="24"/>
                <w:vertAlign w:val="superscript"/>
              </w:rPr>
              <w:t>2</w:t>
            </w:r>
            <w:r>
              <w:rPr>
                <w:position w:val="-12"/>
                <w:sz w:val="24"/>
              </w:rPr>
              <w:t>；栽植密度按株冠幅大小确定，株行距以1m~1.5m为宜，将处理过混合种子均匀撒播在未播种草种的行距，覆土2cm ~3cm,.</w:t>
            </w:r>
          </w:p>
          <w:p>
            <w:pPr>
              <w:spacing w:line="360" w:lineRule="auto"/>
              <w:ind w:firstLine="480" w:firstLineChars="200"/>
              <w:textAlignment w:val="center"/>
              <w:rPr>
                <w:position w:val="-12"/>
                <w:sz w:val="24"/>
              </w:rPr>
            </w:pPr>
            <w:r>
              <w:rPr>
                <w:position w:val="-12"/>
                <w:sz w:val="24"/>
              </w:rPr>
              <w:t>c藤本植被应优先选择抗性强、生长速度快、攀附能力强的乡土多年生藤本，适用于高陡边坡。</w:t>
            </w:r>
          </w:p>
          <w:p>
            <w:pPr>
              <w:spacing w:line="360" w:lineRule="auto"/>
              <w:ind w:firstLine="480" w:firstLineChars="200"/>
              <w:textAlignment w:val="center"/>
              <w:rPr>
                <w:position w:val="-12"/>
                <w:sz w:val="24"/>
              </w:rPr>
            </w:pPr>
            <w:r>
              <w:rPr>
                <w:position w:val="-12"/>
                <w:sz w:val="24"/>
              </w:rPr>
              <w:t>因此，根据本项目生态环境特点及气候特征，遵循生态系统健康、稳定和价值提升、生态适应性、景观协调性、经济成本最小化与固碳减排效益最优、生态-经济效益最大化等五方面的原则，本项目共选用11种植物，其中草本9种，灌木2种。</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生态修复拟配置选用植物种类见下表：</w:t>
            </w:r>
          </w:p>
          <w:p>
            <w:pPr>
              <w:pStyle w:val="49"/>
              <w:spacing w:line="360" w:lineRule="auto"/>
              <w:jc w:val="center"/>
              <w:rPr>
                <w:rFonts w:ascii="Times New Roman" w:hAnsi="Times New Roman" w:eastAsia="宋体" w:cs="Times New Roman"/>
                <w:b/>
                <w:bCs/>
                <w:sz w:val="24"/>
                <w:lang w:val="en-US"/>
              </w:rPr>
            </w:pPr>
            <w:r>
              <w:rPr>
                <w:rFonts w:ascii="Times New Roman" w:hAnsi="Times New Roman" w:eastAsia="宋体" w:cs="Times New Roman"/>
                <w:b/>
                <w:bCs/>
                <w:sz w:val="24"/>
                <w:lang w:val="en-US"/>
              </w:rPr>
              <w:t>表4-4   植物配置一览表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7"/>
              <w:gridCol w:w="491"/>
              <w:gridCol w:w="489"/>
              <w:gridCol w:w="1312"/>
              <w:gridCol w:w="1188"/>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序号</w:t>
                  </w:r>
                </w:p>
              </w:tc>
              <w:tc>
                <w:tcPr>
                  <w:tcW w:w="491" w:type="dxa"/>
                  <w:vAlign w:val="center"/>
                </w:tcPr>
                <w:p>
                  <w:pPr>
                    <w:widowControl/>
                    <w:jc w:val="center"/>
                    <w:rPr>
                      <w:kern w:val="0"/>
                      <w:szCs w:val="21"/>
                    </w:rPr>
                  </w:pPr>
                  <w:r>
                    <w:rPr>
                      <w:kern w:val="0"/>
                      <w:szCs w:val="21"/>
                    </w:rPr>
                    <w:t>分类</w:t>
                  </w:r>
                </w:p>
              </w:tc>
              <w:tc>
                <w:tcPr>
                  <w:tcW w:w="489" w:type="dxa"/>
                  <w:vAlign w:val="center"/>
                </w:tcPr>
                <w:p>
                  <w:pPr>
                    <w:widowControl/>
                    <w:jc w:val="center"/>
                    <w:rPr>
                      <w:kern w:val="0"/>
                      <w:szCs w:val="21"/>
                    </w:rPr>
                  </w:pPr>
                  <w:r>
                    <w:rPr>
                      <w:kern w:val="0"/>
                      <w:szCs w:val="21"/>
                    </w:rPr>
                    <w:t>植物名称</w:t>
                  </w:r>
                </w:p>
              </w:tc>
              <w:tc>
                <w:tcPr>
                  <w:tcW w:w="1312" w:type="dxa"/>
                  <w:vAlign w:val="center"/>
                </w:tcPr>
                <w:p>
                  <w:pPr>
                    <w:widowControl/>
                    <w:jc w:val="center"/>
                    <w:rPr>
                      <w:kern w:val="0"/>
                      <w:szCs w:val="21"/>
                    </w:rPr>
                  </w:pPr>
                  <w:r>
                    <w:rPr>
                      <w:kern w:val="0"/>
                      <w:szCs w:val="21"/>
                    </w:rPr>
                    <w:t>科属名</w:t>
                  </w:r>
                </w:p>
              </w:tc>
              <w:tc>
                <w:tcPr>
                  <w:tcW w:w="1188" w:type="dxa"/>
                  <w:vAlign w:val="center"/>
                </w:tcPr>
                <w:p>
                  <w:pPr>
                    <w:widowControl/>
                    <w:jc w:val="center"/>
                    <w:rPr>
                      <w:kern w:val="0"/>
                      <w:szCs w:val="21"/>
                    </w:rPr>
                  </w:pPr>
                  <w:r>
                    <w:rPr>
                      <w:kern w:val="0"/>
                      <w:szCs w:val="21"/>
                    </w:rPr>
                    <w:t>拉丁名</w:t>
                  </w:r>
                </w:p>
              </w:tc>
              <w:tc>
                <w:tcPr>
                  <w:tcW w:w="5101" w:type="dxa"/>
                  <w:vAlign w:val="center"/>
                </w:tcPr>
                <w:p>
                  <w:pPr>
                    <w:widowControl/>
                    <w:jc w:val="center"/>
                    <w:rPr>
                      <w:kern w:val="0"/>
                      <w:szCs w:val="21"/>
                    </w:rPr>
                  </w:pPr>
                  <w:r>
                    <w:rPr>
                      <w:kern w:val="0"/>
                      <w:szCs w:val="21"/>
                    </w:rPr>
                    <w:t>适宜生境或特征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1</w:t>
                  </w:r>
                </w:p>
              </w:tc>
              <w:tc>
                <w:tcPr>
                  <w:tcW w:w="491" w:type="dxa"/>
                  <w:vAlign w:val="center"/>
                </w:tcPr>
                <w:p>
                  <w:pPr>
                    <w:widowControl/>
                    <w:jc w:val="center"/>
                    <w:rPr>
                      <w:kern w:val="0"/>
                      <w:szCs w:val="21"/>
                    </w:rPr>
                  </w:pPr>
                  <w:r>
                    <w:rPr>
                      <w:kern w:val="0"/>
                      <w:szCs w:val="21"/>
                    </w:rPr>
                    <w:t>草本</w:t>
                  </w:r>
                </w:p>
              </w:tc>
              <w:tc>
                <w:tcPr>
                  <w:tcW w:w="489" w:type="dxa"/>
                  <w:vAlign w:val="center"/>
                </w:tcPr>
                <w:p>
                  <w:pPr>
                    <w:widowControl/>
                    <w:jc w:val="center"/>
                    <w:rPr>
                      <w:kern w:val="0"/>
                      <w:szCs w:val="21"/>
                    </w:rPr>
                  </w:pPr>
                  <w:r>
                    <w:rPr>
                      <w:kern w:val="0"/>
                      <w:szCs w:val="21"/>
                    </w:rPr>
                    <w:t>重楼</w:t>
                  </w:r>
                </w:p>
              </w:tc>
              <w:tc>
                <w:tcPr>
                  <w:tcW w:w="1312" w:type="dxa"/>
                  <w:noWrap/>
                  <w:vAlign w:val="center"/>
                </w:tcPr>
                <w:p>
                  <w:pPr>
                    <w:widowControl/>
                    <w:jc w:val="center"/>
                    <w:rPr>
                      <w:kern w:val="0"/>
                      <w:szCs w:val="21"/>
                    </w:rPr>
                  </w:pPr>
                  <w:r>
                    <w:rPr>
                      <w:kern w:val="0"/>
                      <w:szCs w:val="21"/>
                    </w:rPr>
                    <w:t>百合科重楼属</w:t>
                  </w:r>
                </w:p>
              </w:tc>
              <w:tc>
                <w:tcPr>
                  <w:tcW w:w="1188" w:type="dxa"/>
                  <w:vAlign w:val="center"/>
                </w:tcPr>
                <w:p>
                  <w:pPr>
                    <w:widowControl/>
                    <w:jc w:val="center"/>
                    <w:rPr>
                      <w:i/>
                      <w:iCs/>
                      <w:kern w:val="0"/>
                      <w:szCs w:val="21"/>
                    </w:rPr>
                  </w:pPr>
                  <w:r>
                    <w:rPr>
                      <w:i/>
                      <w:iCs/>
                      <w:kern w:val="0"/>
                      <w:szCs w:val="21"/>
                    </w:rPr>
                    <w:t>Paridis rhizoma</w:t>
                  </w:r>
                </w:p>
              </w:tc>
              <w:tc>
                <w:tcPr>
                  <w:tcW w:w="5101" w:type="dxa"/>
                  <w:vAlign w:val="center"/>
                </w:tcPr>
                <w:p>
                  <w:pPr>
                    <w:widowControl/>
                    <w:jc w:val="center"/>
                    <w:rPr>
                      <w:kern w:val="0"/>
                      <w:szCs w:val="21"/>
                    </w:rPr>
                  </w:pPr>
                  <w:r>
                    <w:rPr>
                      <w:kern w:val="0"/>
                      <w:szCs w:val="21"/>
                    </w:rPr>
                    <w:t>多年生草本；根状茎肉质，圆柱状，细长或粗厚，生有环节。花期5-7月。果期8-10月。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2</w:t>
                  </w:r>
                </w:p>
              </w:tc>
              <w:tc>
                <w:tcPr>
                  <w:tcW w:w="491" w:type="dxa"/>
                  <w:vAlign w:val="center"/>
                </w:tcPr>
                <w:p>
                  <w:pPr>
                    <w:widowControl/>
                    <w:jc w:val="center"/>
                    <w:rPr>
                      <w:kern w:val="0"/>
                      <w:szCs w:val="21"/>
                    </w:rPr>
                  </w:pPr>
                  <w:r>
                    <w:rPr>
                      <w:kern w:val="0"/>
                      <w:szCs w:val="21"/>
                    </w:rPr>
                    <w:t>草本</w:t>
                  </w:r>
                </w:p>
              </w:tc>
              <w:tc>
                <w:tcPr>
                  <w:tcW w:w="489" w:type="dxa"/>
                  <w:vAlign w:val="center"/>
                </w:tcPr>
                <w:p>
                  <w:pPr>
                    <w:widowControl/>
                    <w:jc w:val="center"/>
                    <w:rPr>
                      <w:kern w:val="0"/>
                      <w:szCs w:val="21"/>
                    </w:rPr>
                  </w:pPr>
                  <w:r>
                    <w:rPr>
                      <w:kern w:val="0"/>
                      <w:szCs w:val="21"/>
                    </w:rPr>
                    <w:t>早熟禾</w:t>
                  </w:r>
                </w:p>
              </w:tc>
              <w:tc>
                <w:tcPr>
                  <w:tcW w:w="1312" w:type="dxa"/>
                  <w:vAlign w:val="center"/>
                </w:tcPr>
                <w:p>
                  <w:pPr>
                    <w:widowControl/>
                    <w:jc w:val="center"/>
                    <w:rPr>
                      <w:kern w:val="0"/>
                      <w:szCs w:val="21"/>
                    </w:rPr>
                  </w:pPr>
                  <w:r>
                    <w:rPr>
                      <w:kern w:val="0"/>
                      <w:szCs w:val="21"/>
                    </w:rPr>
                    <w:t>禾本科早熟禾属</w:t>
                  </w:r>
                </w:p>
              </w:tc>
              <w:tc>
                <w:tcPr>
                  <w:tcW w:w="1188" w:type="dxa"/>
                  <w:vAlign w:val="center"/>
                </w:tcPr>
                <w:p>
                  <w:pPr>
                    <w:widowControl/>
                    <w:jc w:val="center"/>
                    <w:rPr>
                      <w:i/>
                      <w:iCs/>
                      <w:kern w:val="0"/>
                      <w:szCs w:val="21"/>
                    </w:rPr>
                  </w:pPr>
                  <w:r>
                    <w:rPr>
                      <w:i/>
                      <w:iCs/>
                      <w:kern w:val="0"/>
                      <w:szCs w:val="21"/>
                    </w:rPr>
                    <w:t>Poa annua</w:t>
                  </w:r>
                </w:p>
              </w:tc>
              <w:tc>
                <w:tcPr>
                  <w:tcW w:w="5101" w:type="dxa"/>
                  <w:vAlign w:val="center"/>
                </w:tcPr>
                <w:p>
                  <w:pPr>
                    <w:widowControl/>
                    <w:jc w:val="center"/>
                    <w:rPr>
                      <w:kern w:val="0"/>
                      <w:szCs w:val="21"/>
                    </w:rPr>
                  </w:pPr>
                  <w:r>
                    <w:rPr>
                      <w:kern w:val="0"/>
                      <w:szCs w:val="21"/>
                    </w:rPr>
                    <w:t>多年生草本植物，匍匐根状茎。直立高可达90厘米，生于湿润草甸、沙地、草坡，从低海拔到高海拔500-4000米山地均有。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3</w:t>
                  </w:r>
                </w:p>
              </w:tc>
              <w:tc>
                <w:tcPr>
                  <w:tcW w:w="491" w:type="dxa"/>
                  <w:vAlign w:val="center"/>
                </w:tcPr>
                <w:p>
                  <w:pPr>
                    <w:widowControl/>
                    <w:jc w:val="center"/>
                    <w:rPr>
                      <w:kern w:val="0"/>
                      <w:szCs w:val="21"/>
                    </w:rPr>
                  </w:pPr>
                  <w:r>
                    <w:rPr>
                      <w:kern w:val="0"/>
                      <w:szCs w:val="21"/>
                    </w:rPr>
                    <w:t>草本</w:t>
                  </w:r>
                </w:p>
              </w:tc>
              <w:tc>
                <w:tcPr>
                  <w:tcW w:w="489" w:type="dxa"/>
                  <w:vAlign w:val="center"/>
                </w:tcPr>
                <w:p>
                  <w:pPr>
                    <w:widowControl/>
                    <w:jc w:val="center"/>
                    <w:rPr>
                      <w:kern w:val="0"/>
                      <w:szCs w:val="21"/>
                    </w:rPr>
                  </w:pPr>
                  <w:r>
                    <w:rPr>
                      <w:kern w:val="0"/>
                      <w:szCs w:val="21"/>
                    </w:rPr>
                    <w:t>鸭茅</w:t>
                  </w:r>
                </w:p>
              </w:tc>
              <w:tc>
                <w:tcPr>
                  <w:tcW w:w="1312" w:type="dxa"/>
                  <w:vAlign w:val="center"/>
                </w:tcPr>
                <w:p>
                  <w:pPr>
                    <w:widowControl/>
                    <w:jc w:val="center"/>
                    <w:rPr>
                      <w:kern w:val="0"/>
                      <w:szCs w:val="21"/>
                    </w:rPr>
                  </w:pPr>
                  <w:r>
                    <w:rPr>
                      <w:kern w:val="0"/>
                      <w:szCs w:val="21"/>
                    </w:rPr>
                    <w:t>禾本科鸭茅属</w:t>
                  </w:r>
                </w:p>
              </w:tc>
              <w:tc>
                <w:tcPr>
                  <w:tcW w:w="1188" w:type="dxa"/>
                  <w:vAlign w:val="center"/>
                </w:tcPr>
                <w:p>
                  <w:pPr>
                    <w:widowControl/>
                    <w:jc w:val="center"/>
                    <w:rPr>
                      <w:i/>
                      <w:iCs/>
                      <w:kern w:val="0"/>
                      <w:szCs w:val="21"/>
                    </w:rPr>
                  </w:pPr>
                  <w:r>
                    <w:rPr>
                      <w:i/>
                      <w:iCs/>
                      <w:kern w:val="0"/>
                      <w:szCs w:val="21"/>
                    </w:rPr>
                    <w:t>Dactylis glomerata</w:t>
                  </w:r>
                </w:p>
              </w:tc>
              <w:tc>
                <w:tcPr>
                  <w:tcW w:w="5101" w:type="dxa"/>
                  <w:vAlign w:val="center"/>
                </w:tcPr>
                <w:p>
                  <w:pPr>
                    <w:widowControl/>
                    <w:jc w:val="center"/>
                    <w:rPr>
                      <w:kern w:val="0"/>
                      <w:szCs w:val="21"/>
                    </w:rPr>
                  </w:pPr>
                  <w:r>
                    <w:rPr>
                      <w:kern w:val="0"/>
                      <w:szCs w:val="21"/>
                    </w:rPr>
                    <w:t>产西部地区，粗壮、多年生草本，单生或少数丛生，高40-120厘米。生长在海拔1500-3600米的山坡、草地、林下。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4</w:t>
                  </w:r>
                </w:p>
              </w:tc>
              <w:tc>
                <w:tcPr>
                  <w:tcW w:w="491" w:type="dxa"/>
                  <w:vAlign w:val="center"/>
                </w:tcPr>
                <w:p>
                  <w:pPr>
                    <w:widowControl/>
                    <w:jc w:val="center"/>
                    <w:rPr>
                      <w:kern w:val="0"/>
                      <w:szCs w:val="21"/>
                    </w:rPr>
                  </w:pPr>
                  <w:r>
                    <w:rPr>
                      <w:kern w:val="0"/>
                      <w:szCs w:val="21"/>
                    </w:rPr>
                    <w:t>草本</w:t>
                  </w:r>
                </w:p>
              </w:tc>
              <w:tc>
                <w:tcPr>
                  <w:tcW w:w="489" w:type="dxa"/>
                  <w:vAlign w:val="center"/>
                </w:tcPr>
                <w:p>
                  <w:pPr>
                    <w:widowControl/>
                    <w:jc w:val="center"/>
                    <w:rPr>
                      <w:kern w:val="0"/>
                      <w:szCs w:val="21"/>
                    </w:rPr>
                  </w:pPr>
                  <w:r>
                    <w:rPr>
                      <w:kern w:val="0"/>
                      <w:szCs w:val="21"/>
                    </w:rPr>
                    <w:t>三叶草</w:t>
                  </w:r>
                </w:p>
              </w:tc>
              <w:tc>
                <w:tcPr>
                  <w:tcW w:w="1312" w:type="dxa"/>
                  <w:vAlign w:val="center"/>
                </w:tcPr>
                <w:p>
                  <w:pPr>
                    <w:widowControl/>
                    <w:jc w:val="center"/>
                    <w:rPr>
                      <w:kern w:val="0"/>
                      <w:szCs w:val="21"/>
                    </w:rPr>
                  </w:pPr>
                  <w:r>
                    <w:rPr>
                      <w:kern w:val="0"/>
                      <w:szCs w:val="21"/>
                    </w:rPr>
                    <w:t>豆科</w:t>
                  </w:r>
                </w:p>
              </w:tc>
              <w:tc>
                <w:tcPr>
                  <w:tcW w:w="1188" w:type="dxa"/>
                  <w:vAlign w:val="center"/>
                </w:tcPr>
                <w:p>
                  <w:pPr>
                    <w:widowControl/>
                    <w:jc w:val="center"/>
                    <w:rPr>
                      <w:i/>
                      <w:iCs/>
                      <w:kern w:val="0"/>
                      <w:szCs w:val="21"/>
                    </w:rPr>
                  </w:pPr>
                  <w:r>
                    <w:rPr>
                      <w:i/>
                      <w:iCs/>
                      <w:kern w:val="0"/>
                      <w:szCs w:val="21"/>
                    </w:rPr>
                    <w:t>Trifolium hybridum</w:t>
                  </w:r>
                </w:p>
              </w:tc>
              <w:tc>
                <w:tcPr>
                  <w:tcW w:w="5101" w:type="dxa"/>
                  <w:vAlign w:val="center"/>
                </w:tcPr>
                <w:p>
                  <w:pPr>
                    <w:widowControl/>
                    <w:jc w:val="center"/>
                    <w:rPr>
                      <w:kern w:val="0"/>
                      <w:szCs w:val="21"/>
                    </w:rPr>
                  </w:pPr>
                  <w:r>
                    <w:rPr>
                      <w:kern w:val="0"/>
                      <w:szCs w:val="21"/>
                    </w:rPr>
                    <w:t>多年生草本。主根、侧根发达，根茎粗壮。茎多分枝，平卧或半匍匐，有毛或近无毛，高60—90(150)cm。较抗热，在我国南方越夏良好。较耐荫蔽，能在疏林下生长。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5</w:t>
                  </w:r>
                </w:p>
              </w:tc>
              <w:tc>
                <w:tcPr>
                  <w:tcW w:w="491" w:type="dxa"/>
                  <w:vAlign w:val="center"/>
                </w:tcPr>
                <w:p>
                  <w:pPr>
                    <w:widowControl/>
                    <w:jc w:val="center"/>
                    <w:rPr>
                      <w:kern w:val="0"/>
                      <w:szCs w:val="21"/>
                    </w:rPr>
                  </w:pPr>
                  <w:r>
                    <w:rPr>
                      <w:kern w:val="0"/>
                      <w:szCs w:val="21"/>
                    </w:rPr>
                    <w:t>草本</w:t>
                  </w:r>
                </w:p>
              </w:tc>
              <w:tc>
                <w:tcPr>
                  <w:tcW w:w="489" w:type="dxa"/>
                  <w:vAlign w:val="center"/>
                </w:tcPr>
                <w:p>
                  <w:pPr>
                    <w:widowControl/>
                    <w:jc w:val="center"/>
                    <w:rPr>
                      <w:kern w:val="0"/>
                      <w:szCs w:val="21"/>
                    </w:rPr>
                  </w:pPr>
                  <w:r>
                    <w:rPr>
                      <w:kern w:val="0"/>
                      <w:szCs w:val="21"/>
                    </w:rPr>
                    <w:t>荞麦</w:t>
                  </w:r>
                </w:p>
              </w:tc>
              <w:tc>
                <w:tcPr>
                  <w:tcW w:w="1312" w:type="dxa"/>
                  <w:vAlign w:val="center"/>
                </w:tcPr>
                <w:p>
                  <w:pPr>
                    <w:widowControl/>
                    <w:jc w:val="center"/>
                    <w:rPr>
                      <w:kern w:val="0"/>
                      <w:szCs w:val="21"/>
                    </w:rPr>
                  </w:pPr>
                  <w:r>
                    <w:rPr>
                      <w:kern w:val="0"/>
                      <w:szCs w:val="21"/>
                    </w:rPr>
                    <w:t>蓼科荞麦属</w:t>
                  </w:r>
                </w:p>
              </w:tc>
              <w:tc>
                <w:tcPr>
                  <w:tcW w:w="1188" w:type="dxa"/>
                  <w:vAlign w:val="center"/>
                </w:tcPr>
                <w:p>
                  <w:pPr>
                    <w:widowControl/>
                    <w:jc w:val="center"/>
                    <w:rPr>
                      <w:i/>
                      <w:iCs/>
                      <w:kern w:val="0"/>
                      <w:szCs w:val="21"/>
                    </w:rPr>
                  </w:pPr>
                  <w:r>
                    <w:rPr>
                      <w:i/>
                      <w:iCs/>
                      <w:kern w:val="0"/>
                      <w:szCs w:val="21"/>
                    </w:rPr>
                    <w:t>Fagopyrum esculentum</w:t>
                  </w:r>
                </w:p>
              </w:tc>
              <w:tc>
                <w:tcPr>
                  <w:tcW w:w="5101" w:type="dxa"/>
                  <w:vAlign w:val="center"/>
                </w:tcPr>
                <w:p>
                  <w:pPr>
                    <w:widowControl/>
                    <w:jc w:val="center"/>
                    <w:rPr>
                      <w:kern w:val="0"/>
                      <w:szCs w:val="21"/>
                    </w:rPr>
                  </w:pPr>
                  <w:r>
                    <w:rPr>
                      <w:kern w:val="0"/>
                      <w:szCs w:val="21"/>
                    </w:rPr>
                    <w:t>一年生草本。茎直立，高30-90厘米，喜凉爽湿润的气候，不耐高温、干旱、大风，畏霜冻，喜日照，需水较多。花期5-9月，果期6-10月。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6</w:t>
                  </w:r>
                </w:p>
              </w:tc>
              <w:tc>
                <w:tcPr>
                  <w:tcW w:w="491" w:type="dxa"/>
                  <w:vAlign w:val="center"/>
                </w:tcPr>
                <w:p>
                  <w:pPr>
                    <w:widowControl/>
                    <w:jc w:val="center"/>
                    <w:rPr>
                      <w:kern w:val="0"/>
                      <w:szCs w:val="21"/>
                    </w:rPr>
                  </w:pPr>
                  <w:r>
                    <w:rPr>
                      <w:kern w:val="0"/>
                      <w:szCs w:val="21"/>
                    </w:rPr>
                    <w:t>草本</w:t>
                  </w:r>
                </w:p>
              </w:tc>
              <w:tc>
                <w:tcPr>
                  <w:tcW w:w="489" w:type="dxa"/>
                  <w:vAlign w:val="center"/>
                </w:tcPr>
                <w:p>
                  <w:pPr>
                    <w:widowControl/>
                    <w:jc w:val="center"/>
                    <w:rPr>
                      <w:kern w:val="0"/>
                      <w:szCs w:val="21"/>
                    </w:rPr>
                  </w:pPr>
                  <w:r>
                    <w:rPr>
                      <w:kern w:val="0"/>
                      <w:szCs w:val="21"/>
                    </w:rPr>
                    <w:t>牛毛毡</w:t>
                  </w:r>
                </w:p>
              </w:tc>
              <w:tc>
                <w:tcPr>
                  <w:tcW w:w="1312" w:type="dxa"/>
                  <w:vAlign w:val="center"/>
                </w:tcPr>
                <w:p>
                  <w:pPr>
                    <w:widowControl/>
                    <w:jc w:val="center"/>
                    <w:rPr>
                      <w:kern w:val="0"/>
                      <w:szCs w:val="21"/>
                    </w:rPr>
                  </w:pPr>
                  <w:r>
                    <w:rPr>
                      <w:kern w:val="0"/>
                      <w:szCs w:val="21"/>
                    </w:rPr>
                    <w:t>莎草科荸荠属</w:t>
                  </w:r>
                </w:p>
              </w:tc>
              <w:tc>
                <w:tcPr>
                  <w:tcW w:w="1188" w:type="dxa"/>
                  <w:vAlign w:val="center"/>
                </w:tcPr>
                <w:p>
                  <w:pPr>
                    <w:widowControl/>
                    <w:jc w:val="center"/>
                    <w:rPr>
                      <w:i/>
                      <w:iCs/>
                      <w:kern w:val="0"/>
                      <w:szCs w:val="21"/>
                    </w:rPr>
                  </w:pPr>
                  <w:r>
                    <w:rPr>
                      <w:i/>
                      <w:iCs/>
                      <w:kern w:val="0"/>
                      <w:szCs w:val="21"/>
                    </w:rPr>
                    <w:t>Heleocharis yokoscensis</w:t>
                  </w:r>
                </w:p>
              </w:tc>
              <w:tc>
                <w:tcPr>
                  <w:tcW w:w="5101" w:type="dxa"/>
                  <w:vAlign w:val="center"/>
                </w:tcPr>
                <w:p>
                  <w:pPr>
                    <w:widowControl/>
                    <w:jc w:val="center"/>
                    <w:rPr>
                      <w:kern w:val="0"/>
                      <w:szCs w:val="21"/>
                    </w:rPr>
                  </w:pPr>
                  <w:r>
                    <w:rPr>
                      <w:kern w:val="0"/>
                      <w:szCs w:val="21"/>
                    </w:rPr>
                    <w:t>多年生草本，具极纤细的匍匐根状茎。多半生长在水田中、池塘边、或湿粘土中，海拔0-3000米，可药用。花果期4-11月。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7</w:t>
                  </w:r>
                </w:p>
              </w:tc>
              <w:tc>
                <w:tcPr>
                  <w:tcW w:w="491" w:type="dxa"/>
                  <w:vAlign w:val="center"/>
                </w:tcPr>
                <w:p>
                  <w:pPr>
                    <w:widowControl/>
                    <w:jc w:val="center"/>
                    <w:rPr>
                      <w:kern w:val="0"/>
                      <w:szCs w:val="21"/>
                    </w:rPr>
                  </w:pPr>
                  <w:r>
                    <w:rPr>
                      <w:kern w:val="0"/>
                      <w:szCs w:val="21"/>
                    </w:rPr>
                    <w:t>草本</w:t>
                  </w:r>
                </w:p>
              </w:tc>
              <w:tc>
                <w:tcPr>
                  <w:tcW w:w="489" w:type="dxa"/>
                  <w:vAlign w:val="center"/>
                </w:tcPr>
                <w:p>
                  <w:pPr>
                    <w:widowControl/>
                    <w:jc w:val="center"/>
                    <w:rPr>
                      <w:kern w:val="0"/>
                      <w:szCs w:val="21"/>
                    </w:rPr>
                  </w:pPr>
                  <w:r>
                    <w:rPr>
                      <w:kern w:val="0"/>
                      <w:szCs w:val="21"/>
                    </w:rPr>
                    <w:t>玛卡</w:t>
                  </w:r>
                </w:p>
              </w:tc>
              <w:tc>
                <w:tcPr>
                  <w:tcW w:w="1312" w:type="dxa"/>
                  <w:vAlign w:val="center"/>
                </w:tcPr>
                <w:p>
                  <w:pPr>
                    <w:widowControl/>
                    <w:jc w:val="center"/>
                    <w:rPr>
                      <w:kern w:val="0"/>
                      <w:szCs w:val="21"/>
                    </w:rPr>
                  </w:pPr>
                  <w:r>
                    <w:rPr>
                      <w:kern w:val="0"/>
                      <w:szCs w:val="21"/>
                    </w:rPr>
                    <w:t>十字花科独行菜属</w:t>
                  </w:r>
                </w:p>
              </w:tc>
              <w:tc>
                <w:tcPr>
                  <w:tcW w:w="1188" w:type="dxa"/>
                  <w:vAlign w:val="center"/>
                </w:tcPr>
                <w:p>
                  <w:pPr>
                    <w:widowControl/>
                    <w:jc w:val="center"/>
                    <w:rPr>
                      <w:i/>
                      <w:iCs/>
                      <w:kern w:val="0"/>
                      <w:szCs w:val="21"/>
                    </w:rPr>
                  </w:pPr>
                  <w:r>
                    <w:rPr>
                      <w:i/>
                      <w:iCs/>
                      <w:kern w:val="0"/>
                      <w:szCs w:val="21"/>
                    </w:rPr>
                    <w:t>Lepidium meyenii</w:t>
                  </w:r>
                </w:p>
              </w:tc>
              <w:tc>
                <w:tcPr>
                  <w:tcW w:w="5101" w:type="dxa"/>
                  <w:vAlign w:val="center"/>
                </w:tcPr>
                <w:p>
                  <w:pPr>
                    <w:widowControl/>
                    <w:jc w:val="center"/>
                    <w:rPr>
                      <w:kern w:val="0"/>
                      <w:szCs w:val="21"/>
                    </w:rPr>
                  </w:pPr>
                  <w:r>
                    <w:rPr>
                      <w:kern w:val="0"/>
                      <w:szCs w:val="21"/>
                    </w:rPr>
                    <w:t>一年生草本植物。喜冷凉而又湿润的气候，较耐寒，适应性较强，适宜在海拔2700-3200米的高寒冷凉山区种植。忌高温和涝洼积水，以多年未种过十字花科作物的地块为好，忌连作。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8</w:t>
                  </w:r>
                </w:p>
              </w:tc>
              <w:tc>
                <w:tcPr>
                  <w:tcW w:w="491" w:type="dxa"/>
                  <w:vAlign w:val="center"/>
                </w:tcPr>
                <w:p>
                  <w:pPr>
                    <w:widowControl/>
                    <w:jc w:val="center"/>
                    <w:rPr>
                      <w:kern w:val="0"/>
                      <w:szCs w:val="21"/>
                    </w:rPr>
                  </w:pPr>
                  <w:r>
                    <w:rPr>
                      <w:kern w:val="0"/>
                      <w:szCs w:val="21"/>
                    </w:rPr>
                    <w:t>草本</w:t>
                  </w:r>
                </w:p>
              </w:tc>
              <w:tc>
                <w:tcPr>
                  <w:tcW w:w="489" w:type="dxa"/>
                  <w:vAlign w:val="center"/>
                </w:tcPr>
                <w:p>
                  <w:pPr>
                    <w:widowControl/>
                    <w:jc w:val="center"/>
                    <w:rPr>
                      <w:kern w:val="0"/>
                      <w:szCs w:val="21"/>
                    </w:rPr>
                  </w:pPr>
                  <w:r>
                    <w:rPr>
                      <w:kern w:val="0"/>
                      <w:szCs w:val="21"/>
                    </w:rPr>
                    <w:t>画眉草</w:t>
                  </w:r>
                </w:p>
              </w:tc>
              <w:tc>
                <w:tcPr>
                  <w:tcW w:w="1312" w:type="dxa"/>
                  <w:vAlign w:val="center"/>
                </w:tcPr>
                <w:p>
                  <w:pPr>
                    <w:widowControl/>
                    <w:jc w:val="center"/>
                    <w:rPr>
                      <w:kern w:val="0"/>
                      <w:szCs w:val="21"/>
                    </w:rPr>
                  </w:pPr>
                  <w:r>
                    <w:rPr>
                      <w:kern w:val="0"/>
                      <w:szCs w:val="21"/>
                    </w:rPr>
                    <w:t>禾本科画眉草属</w:t>
                  </w:r>
                </w:p>
              </w:tc>
              <w:tc>
                <w:tcPr>
                  <w:tcW w:w="1188" w:type="dxa"/>
                  <w:vAlign w:val="center"/>
                </w:tcPr>
                <w:p>
                  <w:pPr>
                    <w:widowControl/>
                    <w:jc w:val="center"/>
                    <w:rPr>
                      <w:i/>
                      <w:iCs/>
                      <w:kern w:val="0"/>
                      <w:szCs w:val="21"/>
                    </w:rPr>
                  </w:pPr>
                  <w:r>
                    <w:rPr>
                      <w:i/>
                      <w:iCs/>
                      <w:kern w:val="0"/>
                      <w:szCs w:val="21"/>
                    </w:rPr>
                    <w:t>Eragrostis pilosa</w:t>
                  </w:r>
                </w:p>
              </w:tc>
              <w:tc>
                <w:tcPr>
                  <w:tcW w:w="5101" w:type="dxa"/>
                  <w:vAlign w:val="center"/>
                </w:tcPr>
                <w:p>
                  <w:pPr>
                    <w:widowControl/>
                    <w:jc w:val="center"/>
                    <w:rPr>
                      <w:kern w:val="0"/>
                      <w:szCs w:val="21"/>
                    </w:rPr>
                  </w:pPr>
                  <w:r>
                    <w:rPr>
                      <w:kern w:val="0"/>
                      <w:szCs w:val="21"/>
                    </w:rPr>
                    <w:t>一年生草本，高10～60厘米。生于海拔1200-3000米的坝区或山坡草地、田边地中、宅旁路边、墙头及干涸河床或流水旁。花果期8～11月。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9</w:t>
                  </w:r>
                </w:p>
              </w:tc>
              <w:tc>
                <w:tcPr>
                  <w:tcW w:w="491" w:type="dxa"/>
                  <w:vAlign w:val="center"/>
                </w:tcPr>
                <w:p>
                  <w:pPr>
                    <w:widowControl/>
                    <w:jc w:val="center"/>
                    <w:rPr>
                      <w:kern w:val="0"/>
                      <w:szCs w:val="21"/>
                    </w:rPr>
                  </w:pPr>
                  <w:r>
                    <w:rPr>
                      <w:kern w:val="0"/>
                      <w:szCs w:val="21"/>
                    </w:rPr>
                    <w:t>草本</w:t>
                  </w:r>
                </w:p>
              </w:tc>
              <w:tc>
                <w:tcPr>
                  <w:tcW w:w="489" w:type="dxa"/>
                  <w:vAlign w:val="center"/>
                </w:tcPr>
                <w:p>
                  <w:pPr>
                    <w:widowControl/>
                    <w:jc w:val="center"/>
                    <w:rPr>
                      <w:kern w:val="0"/>
                      <w:szCs w:val="21"/>
                    </w:rPr>
                  </w:pPr>
                  <w:r>
                    <w:rPr>
                      <w:kern w:val="0"/>
                      <w:szCs w:val="21"/>
                    </w:rPr>
                    <w:t>高羊茅</w:t>
                  </w:r>
                </w:p>
              </w:tc>
              <w:tc>
                <w:tcPr>
                  <w:tcW w:w="1312" w:type="dxa"/>
                  <w:vAlign w:val="center"/>
                </w:tcPr>
                <w:p>
                  <w:pPr>
                    <w:widowControl/>
                    <w:jc w:val="center"/>
                    <w:rPr>
                      <w:kern w:val="0"/>
                      <w:szCs w:val="21"/>
                    </w:rPr>
                  </w:pPr>
                  <w:r>
                    <w:rPr>
                      <w:kern w:val="0"/>
                      <w:szCs w:val="21"/>
                    </w:rPr>
                    <w:t>禾本科羊茅属</w:t>
                  </w:r>
                </w:p>
              </w:tc>
              <w:tc>
                <w:tcPr>
                  <w:tcW w:w="1188" w:type="dxa"/>
                  <w:vAlign w:val="center"/>
                </w:tcPr>
                <w:p>
                  <w:pPr>
                    <w:widowControl/>
                    <w:jc w:val="center"/>
                    <w:rPr>
                      <w:i/>
                      <w:iCs/>
                      <w:kern w:val="0"/>
                      <w:szCs w:val="21"/>
                    </w:rPr>
                  </w:pPr>
                  <w:r>
                    <w:rPr>
                      <w:i/>
                      <w:iCs/>
                      <w:kern w:val="0"/>
                      <w:szCs w:val="21"/>
                    </w:rPr>
                    <w:t>Festuca elata</w:t>
                  </w:r>
                </w:p>
              </w:tc>
              <w:tc>
                <w:tcPr>
                  <w:tcW w:w="5101" w:type="dxa"/>
                  <w:vAlign w:val="center"/>
                </w:tcPr>
                <w:p>
                  <w:pPr>
                    <w:widowControl/>
                    <w:jc w:val="center"/>
                    <w:rPr>
                      <w:kern w:val="0"/>
                      <w:szCs w:val="21"/>
                    </w:rPr>
                  </w:pPr>
                  <w:r>
                    <w:rPr>
                      <w:kern w:val="0"/>
                      <w:szCs w:val="21"/>
                    </w:rPr>
                    <w:t>多年生。秆成疏丛或单生，直立，高90-120厘米，性喜寒冷潮湿、温暖的气候，不耐高温；喜光，耐半阴，对肥料反应敏感，抗逆性强，耐酸、耐瘠薄，抗病性强。花果期4-8月。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10</w:t>
                  </w:r>
                </w:p>
              </w:tc>
              <w:tc>
                <w:tcPr>
                  <w:tcW w:w="491" w:type="dxa"/>
                  <w:vAlign w:val="center"/>
                </w:tcPr>
                <w:p>
                  <w:pPr>
                    <w:widowControl/>
                    <w:jc w:val="center"/>
                    <w:rPr>
                      <w:kern w:val="0"/>
                      <w:szCs w:val="21"/>
                    </w:rPr>
                  </w:pPr>
                  <w:r>
                    <w:rPr>
                      <w:kern w:val="0"/>
                      <w:szCs w:val="21"/>
                    </w:rPr>
                    <w:t>灌木</w:t>
                  </w:r>
                </w:p>
              </w:tc>
              <w:tc>
                <w:tcPr>
                  <w:tcW w:w="489" w:type="dxa"/>
                  <w:vAlign w:val="center"/>
                </w:tcPr>
                <w:p>
                  <w:pPr>
                    <w:widowControl/>
                    <w:jc w:val="center"/>
                    <w:rPr>
                      <w:kern w:val="0"/>
                      <w:szCs w:val="21"/>
                    </w:rPr>
                  </w:pPr>
                  <w:r>
                    <w:rPr>
                      <w:kern w:val="0"/>
                      <w:szCs w:val="21"/>
                    </w:rPr>
                    <w:t>栒子</w:t>
                  </w:r>
                </w:p>
              </w:tc>
              <w:tc>
                <w:tcPr>
                  <w:tcW w:w="1312" w:type="dxa"/>
                  <w:vAlign w:val="center"/>
                </w:tcPr>
                <w:p>
                  <w:pPr>
                    <w:widowControl/>
                    <w:jc w:val="center"/>
                    <w:rPr>
                      <w:kern w:val="0"/>
                      <w:szCs w:val="21"/>
                    </w:rPr>
                  </w:pPr>
                  <w:r>
                    <w:rPr>
                      <w:kern w:val="0"/>
                      <w:szCs w:val="21"/>
                    </w:rPr>
                    <w:t>蔷薇科栒子属</w:t>
                  </w:r>
                </w:p>
              </w:tc>
              <w:tc>
                <w:tcPr>
                  <w:tcW w:w="1188" w:type="dxa"/>
                  <w:vAlign w:val="center"/>
                </w:tcPr>
                <w:p>
                  <w:pPr>
                    <w:widowControl/>
                    <w:jc w:val="center"/>
                    <w:rPr>
                      <w:i/>
                      <w:iCs/>
                      <w:kern w:val="0"/>
                      <w:szCs w:val="21"/>
                    </w:rPr>
                  </w:pPr>
                  <w:r>
                    <w:rPr>
                      <w:i/>
                      <w:iCs/>
                      <w:kern w:val="0"/>
                      <w:szCs w:val="21"/>
                    </w:rPr>
                    <w:t>Cotoneaster subadpressus</w:t>
                  </w:r>
                </w:p>
              </w:tc>
              <w:tc>
                <w:tcPr>
                  <w:tcW w:w="5101" w:type="dxa"/>
                  <w:vAlign w:val="center"/>
                </w:tcPr>
                <w:p>
                  <w:pPr>
                    <w:widowControl/>
                    <w:jc w:val="center"/>
                    <w:rPr>
                      <w:kern w:val="0"/>
                      <w:szCs w:val="21"/>
                    </w:rPr>
                  </w:pPr>
                  <w:r>
                    <w:rPr>
                      <w:kern w:val="0"/>
                      <w:szCs w:val="21"/>
                    </w:rPr>
                    <w:t>主产地为西南部，大多数可作观赏植物。灌木，喜光，稍耐阴，耐寒，耐干旱瘠薄，不耐水湿。 花期5—6月，果期9—10月。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 w:type="dxa"/>
                  <w:vAlign w:val="center"/>
                </w:tcPr>
                <w:p>
                  <w:pPr>
                    <w:widowControl/>
                    <w:jc w:val="center"/>
                    <w:rPr>
                      <w:kern w:val="0"/>
                      <w:szCs w:val="21"/>
                    </w:rPr>
                  </w:pPr>
                  <w:r>
                    <w:rPr>
                      <w:kern w:val="0"/>
                      <w:szCs w:val="21"/>
                    </w:rPr>
                    <w:t>11</w:t>
                  </w:r>
                </w:p>
              </w:tc>
              <w:tc>
                <w:tcPr>
                  <w:tcW w:w="491" w:type="dxa"/>
                  <w:vAlign w:val="center"/>
                </w:tcPr>
                <w:p>
                  <w:pPr>
                    <w:widowControl/>
                    <w:jc w:val="center"/>
                    <w:rPr>
                      <w:kern w:val="0"/>
                      <w:szCs w:val="21"/>
                    </w:rPr>
                  </w:pPr>
                  <w:r>
                    <w:rPr>
                      <w:kern w:val="0"/>
                      <w:szCs w:val="21"/>
                    </w:rPr>
                    <w:t>灌木</w:t>
                  </w:r>
                </w:p>
              </w:tc>
              <w:tc>
                <w:tcPr>
                  <w:tcW w:w="489" w:type="dxa"/>
                  <w:vAlign w:val="center"/>
                </w:tcPr>
                <w:p>
                  <w:pPr>
                    <w:widowControl/>
                    <w:jc w:val="center"/>
                    <w:rPr>
                      <w:kern w:val="0"/>
                      <w:szCs w:val="21"/>
                    </w:rPr>
                  </w:pPr>
                  <w:r>
                    <w:rPr>
                      <w:kern w:val="0"/>
                      <w:szCs w:val="21"/>
                    </w:rPr>
                    <w:t>小檗</w:t>
                  </w:r>
                </w:p>
              </w:tc>
              <w:tc>
                <w:tcPr>
                  <w:tcW w:w="1312" w:type="dxa"/>
                  <w:vAlign w:val="center"/>
                </w:tcPr>
                <w:p>
                  <w:pPr>
                    <w:widowControl/>
                    <w:jc w:val="center"/>
                    <w:rPr>
                      <w:kern w:val="0"/>
                      <w:szCs w:val="21"/>
                    </w:rPr>
                  </w:pPr>
                  <w:r>
                    <w:rPr>
                      <w:kern w:val="0"/>
                      <w:szCs w:val="21"/>
                    </w:rPr>
                    <w:t>小檗科小檗属</w:t>
                  </w:r>
                </w:p>
              </w:tc>
              <w:tc>
                <w:tcPr>
                  <w:tcW w:w="1188" w:type="dxa"/>
                  <w:vAlign w:val="center"/>
                </w:tcPr>
                <w:p>
                  <w:pPr>
                    <w:widowControl/>
                    <w:jc w:val="center"/>
                    <w:rPr>
                      <w:i/>
                      <w:iCs/>
                      <w:kern w:val="0"/>
                      <w:szCs w:val="21"/>
                    </w:rPr>
                  </w:pPr>
                  <w:r>
                    <w:rPr>
                      <w:i/>
                      <w:iCs/>
                      <w:kern w:val="0"/>
                      <w:szCs w:val="21"/>
                    </w:rPr>
                    <w:t>Berberis thunbergii</w:t>
                  </w:r>
                </w:p>
              </w:tc>
              <w:tc>
                <w:tcPr>
                  <w:tcW w:w="5101" w:type="dxa"/>
                  <w:vAlign w:val="center"/>
                </w:tcPr>
                <w:p>
                  <w:pPr>
                    <w:widowControl/>
                    <w:jc w:val="center"/>
                    <w:rPr>
                      <w:kern w:val="0"/>
                      <w:szCs w:val="21"/>
                    </w:rPr>
                  </w:pPr>
                  <w:r>
                    <w:rPr>
                      <w:kern w:val="0"/>
                      <w:szCs w:val="21"/>
                    </w:rPr>
                    <w:t>灌木；木材和内皮黄色；适应性强，喜凉爽湿润环境，耐旱，耐寒，喜阳，能耐半阴，光线稍差或密度过大时部分叶片会返绿。</w:t>
                  </w:r>
                </w:p>
              </w:tc>
            </w:tr>
          </w:tbl>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③</w:t>
            </w:r>
            <w:r>
              <w:rPr>
                <w:rFonts w:ascii="Times New Roman" w:hAnsi="Times New Roman" w:eastAsia="宋体" w:cs="Times New Roman"/>
                <w:sz w:val="24"/>
                <w:lang w:val="en-US"/>
              </w:rPr>
              <w:t>植物配置模式</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a带状混交：适用于生态位较相近的灌灌型植物配置模式。主栽植物3～4行为1带，配栽植物1～2行为一带；主、配栽植株行距按植物种类本身常规造林密度要求确定株行距。</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b株间混交：适用于生态位差异显著的灌灌型树种配置模式。株行距一致，主、配栽树种按3：1比例交错混合种植。</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c不规则混交：适用灌草型及草本型配置模式。主栽灌木按植物本身常规造林密度确定株行距，配栽草本视空间不规则插空种植。</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配置以一、二年生草本植物和灌木、半灌木为主，多年生草本植物视灌溉条件而增减。边坡种植时，如果顶层土壤覆盖厚度超过15cm，（一或二年生草本）：（灌木和半灌木）：多年生草本三者的比例分别为40%：40%：20%。如果顶层土壤覆盖厚度少于15cm或用其他细土覆盖，三类植物的比例分别为30%、50%和20%。平盘种植时，三类植物的比例分别占30%、40%和30%，多年生草本植物中，禾本科植物占60%以上。</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sz w:val="24"/>
                <w:lang w:val="en-US"/>
              </w:rPr>
              <w:t>运营期</w:t>
            </w:r>
            <w:r>
              <w:rPr>
                <w:rFonts w:ascii="Times New Roman" w:hAnsi="Times New Roman" w:eastAsia="宋体" w:cs="Times New Roman"/>
                <w:b/>
                <w:sz w:val="24"/>
              </w:rPr>
              <w:t>大气环境影响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运营期间</w:t>
            </w:r>
            <w:r>
              <w:rPr>
                <w:rFonts w:hint="eastAsia" w:ascii="Times New Roman" w:hAnsi="Times New Roman" w:eastAsia="宋体" w:cs="Times New Roman"/>
                <w:sz w:val="24"/>
                <w:lang w:val="en-US" w:eastAsia="zh-CN"/>
              </w:rPr>
              <w:t>升压站</w:t>
            </w:r>
            <w:r>
              <w:rPr>
                <w:rFonts w:ascii="Times New Roman" w:hAnsi="Times New Roman" w:eastAsia="宋体" w:cs="Times New Roman"/>
                <w:sz w:val="24"/>
              </w:rPr>
              <w:t>不产生废气，仅升压站生活区内，员工生活食堂产生食堂油烟气，以及进出车辆产生尾气。</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①</w:t>
            </w:r>
            <w:r>
              <w:rPr>
                <w:rFonts w:ascii="Times New Roman" w:hAnsi="Times New Roman" w:eastAsia="宋体" w:cs="Times New Roman"/>
                <w:sz w:val="24"/>
              </w:rPr>
              <w:t>食堂油烟气</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项目升压站综合楼内设置有食堂，食堂使用能源为电，每三人一班</w:t>
            </w:r>
            <w:r>
              <w:rPr>
                <w:rFonts w:ascii="Times New Roman" w:hAnsi="Times New Roman" w:eastAsia="宋体" w:cs="Times New Roman"/>
                <w:sz w:val="24"/>
                <w:lang w:val="en-US"/>
              </w:rPr>
              <w:t>值守，</w:t>
            </w:r>
            <w:r>
              <w:rPr>
                <w:rFonts w:ascii="Times New Roman" w:hAnsi="Times New Roman" w:eastAsia="宋体" w:cs="Times New Roman"/>
                <w:sz w:val="24"/>
              </w:rPr>
              <w:t>设置1个灶头，食堂产生的少量油烟，经油烟净化器处理后，通过高于屋顶1.5m排气装置排放，且为间歇性排放。少量油烟废气经大气扩散之后对周围环境影响小。</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汽车尾气</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升压站内停车场车辆进出时排放少量的汽车尾气，主要成份是烯烃类、CO和NO</w:t>
            </w:r>
            <w:r>
              <w:rPr>
                <w:rFonts w:ascii="Times New Roman" w:hAnsi="Times New Roman" w:eastAsia="宋体" w:cs="Times New Roman"/>
                <w:sz w:val="24"/>
                <w:vertAlign w:val="subscript"/>
              </w:rPr>
              <w:t>X</w:t>
            </w:r>
            <w:r>
              <w:rPr>
                <w:rFonts w:ascii="Times New Roman" w:hAnsi="Times New Roman" w:eastAsia="宋体" w:cs="Times New Roman"/>
                <w:sz w:val="24"/>
              </w:rPr>
              <w:t>，属无组织排放，间隙性排放，其排放量少，可及时扩散，对环境的影响较小。</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w:t>
            </w:r>
            <w:r>
              <w:rPr>
                <w:rFonts w:ascii="Times New Roman" w:hAnsi="Times New Roman" w:eastAsia="宋体" w:cs="Times New Roman"/>
                <w:b/>
                <w:sz w:val="24"/>
                <w:lang w:val="en-US"/>
              </w:rPr>
              <w:t>运营期</w:t>
            </w:r>
            <w:r>
              <w:rPr>
                <w:rFonts w:ascii="Times New Roman" w:hAnsi="Times New Roman" w:eastAsia="宋体" w:cs="Times New Roman"/>
                <w:b/>
                <w:sz w:val="24"/>
              </w:rPr>
              <w:t>水环境影响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项目运营期主要产生的废水为生活污水。升压站地面主要由砂石路面铺设，不进行地面清洗，无地面清洗废水产生。</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①</w:t>
            </w:r>
            <w:r>
              <w:rPr>
                <w:rFonts w:ascii="Times New Roman" w:hAnsi="Times New Roman" w:eastAsia="宋体" w:cs="Times New Roman"/>
                <w:sz w:val="24"/>
              </w:rPr>
              <w:t>生活污水</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a、</w:t>
            </w:r>
            <w:r>
              <w:rPr>
                <w:rFonts w:ascii="Times New Roman" w:hAnsi="Times New Roman" w:eastAsia="宋体" w:cs="Times New Roman"/>
                <w:sz w:val="24"/>
              </w:rPr>
              <w:t>项目升压站内，工作人员为9人，采用罐车运输生活用水进行供给，根据《云南省用水定额》（2019年版 经云水发〔2019〕122号）。</w:t>
            </w:r>
            <w:r>
              <w:rPr>
                <w:rFonts w:ascii="Times New Roman" w:hAnsi="Times New Roman" w:eastAsia="宋体" w:cs="Times New Roman"/>
                <w:sz w:val="24"/>
                <w:lang w:val="en-US"/>
              </w:rPr>
              <w:t>生活用水量按</w:t>
            </w:r>
            <w:r>
              <w:rPr>
                <w:rFonts w:ascii="Times New Roman" w:hAnsi="Times New Roman" w:eastAsia="宋体" w:cs="Times New Roman"/>
                <w:sz w:val="24"/>
              </w:rPr>
              <w:t>100L/（人·d）计算，则生活用水量为</w:t>
            </w:r>
            <w:r>
              <w:rPr>
                <w:rFonts w:ascii="Times New Roman" w:hAnsi="Times New Roman" w:eastAsia="宋体" w:cs="Times New Roman"/>
                <w:sz w:val="24"/>
                <w:lang w:val="en-US"/>
              </w:rPr>
              <w:t>0.9m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/d，328.5m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/a。排水系数以0.8计，则升压站内的生活污水产生量为0.72m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/d，262.8m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/a。</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US"/>
              </w:rPr>
              <w:t>其中食堂用水按总用水量的</w:t>
            </w:r>
            <w:r>
              <w:rPr>
                <w:rFonts w:ascii="Times New Roman" w:hAnsi="Times New Roman" w:eastAsia="宋体" w:cs="Times New Roman"/>
                <w:sz w:val="24"/>
              </w:rPr>
              <w:t>20%计，则食堂用水量为0.18m</w:t>
            </w:r>
            <w:r>
              <w:rPr>
                <w:rFonts w:ascii="Times New Roman" w:hAnsi="Times New Roman" w:eastAsia="宋体" w:cs="Times New Roman"/>
                <w:sz w:val="24"/>
                <w:vertAlign w:val="superscript"/>
              </w:rPr>
              <w:t>3</w:t>
            </w:r>
            <w:r>
              <w:rPr>
                <w:rFonts w:ascii="Times New Roman" w:hAnsi="Times New Roman" w:eastAsia="宋体" w:cs="Times New Roman"/>
                <w:sz w:val="24"/>
              </w:rPr>
              <w:t>/d，65.7</w:t>
            </w:r>
            <w:r>
              <w:rPr>
                <w:rFonts w:ascii="Times New Roman" w:hAnsi="Times New Roman" w:eastAsia="宋体" w:cs="Times New Roman"/>
                <w:sz w:val="24"/>
                <w:lang w:val="en-US"/>
              </w:rPr>
              <w:t>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/a</w:t>
            </w:r>
            <w:r>
              <w:rPr>
                <w:rFonts w:ascii="Times New Roman" w:hAnsi="Times New Roman" w:eastAsia="宋体" w:cs="Times New Roman"/>
                <w:sz w:val="24"/>
              </w:rPr>
              <w:t>，污水量为0.144m</w:t>
            </w:r>
            <w:r>
              <w:rPr>
                <w:rFonts w:ascii="Times New Roman" w:hAnsi="Times New Roman" w:eastAsia="宋体" w:cs="Times New Roman"/>
                <w:sz w:val="24"/>
                <w:vertAlign w:val="superscript"/>
              </w:rPr>
              <w:t>3</w:t>
            </w:r>
            <w:r>
              <w:rPr>
                <w:rFonts w:ascii="Times New Roman" w:hAnsi="Times New Roman" w:eastAsia="宋体" w:cs="Times New Roman"/>
                <w:sz w:val="24"/>
              </w:rPr>
              <w:t>/d，52.56</w:t>
            </w:r>
            <w:r>
              <w:rPr>
                <w:rFonts w:ascii="Times New Roman" w:hAnsi="Times New Roman" w:eastAsia="宋体" w:cs="Times New Roman"/>
                <w:sz w:val="24"/>
                <w:lang w:val="en-US"/>
              </w:rPr>
              <w:t>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/a</w:t>
            </w:r>
            <w:r>
              <w:rPr>
                <w:rFonts w:ascii="Times New Roman" w:hAnsi="Times New Roman" w:eastAsia="宋体" w:cs="Times New Roman"/>
                <w:sz w:val="24"/>
              </w:rPr>
              <w:t>。</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食堂废水经隔油池进行预处理后汇入化粪池；其余生活污水主要为员工的清洁废水，经卫生间及洗手池汇入化粪池处理。化粪池出水经建设单位自建的</w:t>
            </w:r>
            <w:r>
              <w:rPr>
                <w:rFonts w:ascii="Times New Roman" w:hAnsi="Times New Roman" w:eastAsia="宋体" w:cs="Times New Roman"/>
                <w:sz w:val="24"/>
                <w:lang w:val="en-US"/>
              </w:rPr>
              <w:t>一体化污水处理措施处理之后，雨天</w:t>
            </w:r>
            <w:r>
              <w:rPr>
                <w:rFonts w:ascii="Times New Roman" w:hAnsi="Times New Roman" w:eastAsia="宋体" w:cs="Times New Roman"/>
                <w:sz w:val="24"/>
              </w:rPr>
              <w:t>暂存于污水收集池中，晴天用</w:t>
            </w:r>
            <w:r>
              <w:rPr>
                <w:rFonts w:ascii="Times New Roman" w:hAnsi="Times New Roman" w:eastAsia="宋体" w:cs="Times New Roman"/>
                <w:sz w:val="24"/>
                <w:lang w:val="en-US"/>
              </w:rPr>
              <w:t>于</w:t>
            </w:r>
            <w:r>
              <w:rPr>
                <w:rFonts w:ascii="Times New Roman" w:hAnsi="Times New Roman" w:eastAsia="宋体" w:cs="Times New Roman"/>
                <w:sz w:val="24"/>
              </w:rPr>
              <w:t>升压站内的绿化</w:t>
            </w:r>
            <w:r>
              <w:rPr>
                <w:rFonts w:ascii="Times New Roman" w:hAnsi="Times New Roman" w:eastAsia="宋体" w:cs="Times New Roman"/>
                <w:sz w:val="24"/>
                <w:lang w:val="en-US"/>
              </w:rPr>
              <w:t>使用，不外排。</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b、化粪池设计能力按24h停留时间确定，</w:t>
            </w:r>
            <w:r>
              <w:rPr>
                <w:rFonts w:ascii="Times New Roman" w:hAnsi="Times New Roman" w:eastAsia="宋体" w:cs="Times New Roman"/>
                <w:sz w:val="24"/>
              </w:rPr>
              <w:t>化粪池容积不应小于1m</w:t>
            </w:r>
            <w:r>
              <w:rPr>
                <w:rFonts w:ascii="Times New Roman" w:hAnsi="Times New Roman" w:eastAsia="宋体" w:cs="Times New Roman"/>
                <w:sz w:val="24"/>
                <w:vertAlign w:val="superscript"/>
              </w:rPr>
              <w:t>3</w:t>
            </w:r>
            <w:r>
              <w:rPr>
                <w:rFonts w:ascii="Times New Roman" w:hAnsi="Times New Roman" w:eastAsia="宋体" w:cs="Times New Roman"/>
                <w:sz w:val="24"/>
              </w:rPr>
              <w:t>，同时</w:t>
            </w:r>
            <w:r>
              <w:rPr>
                <w:rFonts w:ascii="Times New Roman" w:hAnsi="Times New Roman" w:eastAsia="宋体" w:cs="Times New Roman"/>
                <w:sz w:val="24"/>
                <w:lang w:val="en-US"/>
              </w:rPr>
              <w:t>考虑连续3天降水，污水收集池容积不应小于3m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。含食用油污水停留时间取10min，项目设置0.5m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的隔油池可以满足食用油污水停留时间的要求。一体化污水处理站按项目的生活污水量进行设计，处理能力需满足</w:t>
            </w:r>
            <w:r>
              <w:rPr>
                <w:rFonts w:ascii="Times New Roman" w:hAnsi="Times New Roman" w:eastAsia="宋体" w:cs="Times New Roman"/>
                <w:sz w:val="24"/>
              </w:rPr>
              <w:t>不小于1m</w:t>
            </w:r>
            <w:r>
              <w:rPr>
                <w:rFonts w:ascii="Times New Roman" w:hAnsi="Times New Roman" w:eastAsia="宋体" w:cs="Times New Roman"/>
                <w:sz w:val="24"/>
                <w:vertAlign w:val="superscript"/>
              </w:rPr>
              <w:t>3</w:t>
            </w:r>
            <w:r>
              <w:rPr>
                <w:rFonts w:ascii="Times New Roman" w:hAnsi="Times New Roman" w:eastAsia="宋体" w:cs="Times New Roman"/>
                <w:sz w:val="24"/>
                <w:lang w:val="en-US"/>
              </w:rPr>
              <w:t>/d。</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c、项目生活污水主要为员工日常盥洗、如厕等废水，水质较为简单。生活污水污染物含量较低，生活污水水质根据《给水排水常用数据手册（第二版）》，同时类比常见生活污水水质，</w:t>
            </w:r>
            <w:r>
              <w:rPr>
                <w:rFonts w:ascii="Times New Roman" w:hAnsi="Times New Roman" w:eastAsia="宋体" w:cs="Times New Roman"/>
                <w:sz w:val="24"/>
                <w:lang w:val="en-US" w:bidi="ar"/>
              </w:rPr>
              <w:t>一般情况下：生活污水中主要污染物产生浓度分别约为COD</w:t>
            </w:r>
            <w:r>
              <w:rPr>
                <w:rFonts w:ascii="Times New Roman" w:hAnsi="Times New Roman" w:eastAsia="宋体" w:cs="Times New Roman"/>
                <w:sz w:val="24"/>
                <w:vertAlign w:val="subscript"/>
                <w:lang w:val="en-US" w:bidi="ar"/>
              </w:rPr>
              <w:t>cr</w:t>
            </w:r>
            <w:r>
              <w:rPr>
                <w:rFonts w:ascii="Times New Roman" w:hAnsi="Times New Roman" w:eastAsia="宋体" w:cs="Times New Roman"/>
                <w:sz w:val="24"/>
                <w:lang w:val="en-US" w:bidi="ar"/>
              </w:rPr>
              <w:t>：300mg/L、BOD</w:t>
            </w:r>
            <w:r>
              <w:rPr>
                <w:rFonts w:ascii="Times New Roman" w:hAnsi="Times New Roman" w:eastAsia="宋体" w:cs="Times New Roman"/>
                <w:sz w:val="24"/>
                <w:vertAlign w:val="subscript"/>
                <w:lang w:val="en-US" w:bidi="ar"/>
              </w:rPr>
              <w:t>5</w:t>
            </w:r>
            <w:r>
              <w:rPr>
                <w:rFonts w:ascii="Times New Roman" w:hAnsi="Times New Roman" w:eastAsia="宋体" w:cs="Times New Roman"/>
                <w:sz w:val="24"/>
                <w:lang w:val="en-US" w:bidi="ar"/>
              </w:rPr>
              <w:t>：200mg/L、SS：250mg/L、NH</w:t>
            </w:r>
            <w:r>
              <w:rPr>
                <w:rFonts w:ascii="Times New Roman" w:hAnsi="Times New Roman" w:eastAsia="宋体" w:cs="Times New Roman"/>
                <w:sz w:val="24"/>
                <w:vertAlign w:val="subscript"/>
                <w:lang w:val="en-US" w:bidi="ar"/>
              </w:rPr>
              <w:t>3</w:t>
            </w:r>
            <w:r>
              <w:rPr>
                <w:rFonts w:ascii="Times New Roman" w:hAnsi="Times New Roman" w:eastAsia="宋体" w:cs="Times New Roman"/>
                <w:sz w:val="24"/>
                <w:lang w:val="en-US" w:bidi="ar"/>
              </w:rPr>
              <w:t>-N：25mg/L、总磷：3mg/L、总氮30mg/L、动植物油20mg/L、粪大肠菌群800个/L。</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建设单位拟建设的污水处理措施为地埋式，为了保证污水处理达到《城市污水再生利用城市杂用水水质》（GB/T</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-2020），本环评推荐采用MBR膜工艺进行污水处理。其处理工艺流程如下：</w:t>
            </w:r>
          </w:p>
          <w:p>
            <w:pPr>
              <w:pStyle w:val="49"/>
              <w:spacing w:line="360" w:lineRule="auto"/>
              <w:jc w:val="center"/>
              <w:rPr>
                <w:rFonts w:ascii="Times New Roman" w:hAnsi="Times New Roman" w:eastAsia="宋体" w:cs="Times New Roman"/>
                <w:b/>
                <w:bCs/>
                <w:sz w:val="24"/>
                <w:lang w:val="en-US"/>
              </w:rPr>
            </w:pPr>
            <w:r>
              <w:rPr>
                <w:rFonts w:ascii="Times New Roman" w:hAnsi="Times New Roman" w:eastAsia="宋体" w:cs="Times New Roman"/>
                <w:b/>
                <w:bCs/>
                <w:sz w:val="24"/>
                <w:lang w:val="en-US"/>
              </w:rPr>
              <w:object>
                <v:shape id="_x0000_i1028" o:spt="75" type="#_x0000_t75" style="height:54.35pt;width:385.15pt;" o:ole="t" filled="f" o:preferrelative="t" stroked="f" coordsize="21600,21600">
                  <v:path/>
                  <v:fill on="f" focussize="0,0"/>
                  <v:stroke on="f" joinstyle="miter"/>
                  <v:imagedata r:id="rId15" o:title=""/>
                  <o:lock v:ext="edit" aspectratio="f"/>
                  <w10:wrap type="none"/>
                  <w10:anchorlock/>
                </v:shape>
                <o:OLEObject Type="Embed" ProgID="Visio.Drawing.15" ShapeID="_x0000_i1028" DrawAspect="Content" ObjectID="_1468075728" r:id="rId14">
                  <o:LockedField>false</o:LockedField>
                </o:OLEObject>
              </w:object>
            </w:r>
          </w:p>
          <w:p>
            <w:pPr>
              <w:pStyle w:val="49"/>
              <w:spacing w:line="360" w:lineRule="auto"/>
              <w:jc w:val="center"/>
              <w:rPr>
                <w:rFonts w:ascii="Times New Roman" w:hAnsi="Times New Roman" w:eastAsia="宋体" w:cs="Times New Roman"/>
                <w:b/>
                <w:bCs/>
                <w:sz w:val="24"/>
                <w:lang w:val="en-US"/>
              </w:rPr>
            </w:pPr>
            <w:r>
              <w:rPr>
                <w:rFonts w:ascii="Times New Roman" w:hAnsi="Times New Roman" w:eastAsia="宋体" w:cs="Times New Roman"/>
                <w:b/>
                <w:bCs/>
                <w:sz w:val="24"/>
                <w:lang w:val="en-US"/>
              </w:rPr>
              <w:t>图4-3   项目污水处理工艺流程图</w:t>
            </w:r>
          </w:p>
          <w:p>
            <w:pPr>
              <w:pStyle w:val="49"/>
              <w:wordWrap w:val="0"/>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MBR膜工艺是可以有效的处理净化生活污水，属于市面上比较常见的生活污水处理措施，属于有效的低浓度的生活污水处理工艺，</w:t>
            </w:r>
            <w:r>
              <w:rPr>
                <w:rFonts w:ascii="Times New Roman" w:hAnsi="Times New Roman" w:eastAsia="宋体" w:cs="Times New Roman"/>
                <w:sz w:val="24"/>
                <w:shd w:val="clear" w:color="auto" w:fill="FFFFFF"/>
              </w:rPr>
              <w:t>MBR工艺通过将分离工程中的膜分离技术与传统废水生物处理技术有机结合，不仅省去了二沉池的建设，而且大大提高了固液分离效率，并且由于污泥中特效菌（特别是优势菌群）的出现，提高了生化反应速率。</w:t>
            </w:r>
            <w:r>
              <w:rPr>
                <w:rFonts w:ascii="Times New Roman" w:hAnsi="Times New Roman" w:eastAsia="宋体" w:cs="Times New Roman"/>
                <w:sz w:val="24"/>
                <w:lang w:val="en-US"/>
              </w:rPr>
              <w:t>可使得污水处理满足《城市污水再生利用城市杂用水水质》（GB/T</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-2020）。项目生活污水产生及排放情况统计如下：</w:t>
            </w:r>
          </w:p>
          <w:p>
            <w:pPr>
              <w:pStyle w:val="49"/>
              <w:wordWrap w:val="0"/>
              <w:spacing w:line="360" w:lineRule="auto"/>
              <w:jc w:val="center"/>
              <w:rPr>
                <w:rFonts w:ascii="Times New Roman" w:hAnsi="Times New Roman" w:eastAsia="宋体" w:cs="Times New Roman"/>
                <w:b/>
                <w:bCs/>
                <w:sz w:val="24"/>
                <w:lang w:val="en-US"/>
              </w:rPr>
            </w:pPr>
            <w:r>
              <w:rPr>
                <w:rFonts w:ascii="Times New Roman" w:hAnsi="Times New Roman" w:eastAsia="宋体" w:cs="Times New Roman"/>
                <w:b/>
                <w:bCs/>
                <w:sz w:val="24"/>
                <w:lang w:val="en-US"/>
              </w:rPr>
              <w:t>表4-5  项目生活污水处理情况统计表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63"/>
              <w:gridCol w:w="1262"/>
              <w:gridCol w:w="1263"/>
              <w:gridCol w:w="1263"/>
              <w:gridCol w:w="126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vMerge w:val="restart"/>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污水量</w:t>
                  </w:r>
                </w:p>
              </w:tc>
              <w:tc>
                <w:tcPr>
                  <w:tcW w:w="1263" w:type="dxa"/>
                  <w:vMerge w:val="restart"/>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污染物项目</w:t>
                  </w:r>
                </w:p>
              </w:tc>
              <w:tc>
                <w:tcPr>
                  <w:tcW w:w="2525" w:type="dxa"/>
                  <w:gridSpan w:val="2"/>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进水</w:t>
                  </w:r>
                </w:p>
              </w:tc>
              <w:tc>
                <w:tcPr>
                  <w:tcW w:w="2532" w:type="dxa"/>
                  <w:gridSpan w:val="2"/>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出水</w:t>
                  </w:r>
                </w:p>
              </w:tc>
              <w:tc>
                <w:tcPr>
                  <w:tcW w:w="1269" w:type="dxa"/>
                  <w:vMerge w:val="restart"/>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259" w:type="dxa"/>
                  <w:vMerge w:val="continue"/>
                  <w:vAlign w:val="center"/>
                </w:tcPr>
                <w:p>
                  <w:pPr>
                    <w:pStyle w:val="49"/>
                    <w:wordWrap w:val="0"/>
                    <w:jc w:val="center"/>
                    <w:rPr>
                      <w:rFonts w:ascii="Times New Roman" w:hAnsi="Times New Roman" w:eastAsia="宋体" w:cs="Times New Roman"/>
                      <w:szCs w:val="21"/>
                      <w:lang w:val="en-US"/>
                    </w:rPr>
                  </w:pPr>
                </w:p>
              </w:tc>
              <w:tc>
                <w:tcPr>
                  <w:tcW w:w="1263" w:type="dxa"/>
                  <w:vMerge w:val="continue"/>
                  <w:vAlign w:val="center"/>
                </w:tcPr>
                <w:p>
                  <w:pPr>
                    <w:pStyle w:val="49"/>
                    <w:wordWrap w:val="0"/>
                    <w:jc w:val="center"/>
                    <w:rPr>
                      <w:rFonts w:ascii="Times New Roman" w:hAnsi="Times New Roman" w:eastAsia="宋体" w:cs="Times New Roman"/>
                      <w:szCs w:val="21"/>
                      <w:lang w:val="en-US"/>
                    </w:rPr>
                  </w:pPr>
                </w:p>
              </w:tc>
              <w:tc>
                <w:tcPr>
                  <w:tcW w:w="1262"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产生浓度（mg/L）</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产生量</w:t>
                  </w:r>
                </w:p>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（t/a）</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出水浓度（mg/L）</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排放量（t/a）</w:t>
                  </w:r>
                </w:p>
              </w:tc>
              <w:tc>
                <w:tcPr>
                  <w:tcW w:w="1269" w:type="dxa"/>
                  <w:vMerge w:val="continue"/>
                  <w:vAlign w:val="center"/>
                </w:tcPr>
                <w:p>
                  <w:pPr>
                    <w:pStyle w:val="49"/>
                    <w:wordWrap w:val="0"/>
                    <w:jc w:val="center"/>
                    <w:rPr>
                      <w:rFonts w:ascii="Times New Roman" w:hAnsi="Times New Roman"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vMerge w:val="restart"/>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262.8m</w:t>
                  </w:r>
                  <w:r>
                    <w:rPr>
                      <w:rFonts w:ascii="Times New Roman" w:hAnsi="Times New Roman" w:eastAsia="宋体" w:cs="Times New Roman"/>
                      <w:szCs w:val="21"/>
                      <w:vertAlign w:val="superscript"/>
                      <w:lang w:val="en-US"/>
                    </w:rPr>
                    <w:t>3</w:t>
                  </w:r>
                  <w:r>
                    <w:rPr>
                      <w:rFonts w:ascii="Times New Roman" w:hAnsi="Times New Roman" w:eastAsia="宋体" w:cs="Times New Roman"/>
                      <w:szCs w:val="21"/>
                      <w:lang w:val="en-US"/>
                    </w:rPr>
                    <w:t>/a</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COD</w:t>
                  </w:r>
                  <w:r>
                    <w:rPr>
                      <w:rFonts w:ascii="Times New Roman" w:hAnsi="Times New Roman" w:eastAsia="宋体" w:cs="Times New Roman"/>
                      <w:szCs w:val="21"/>
                      <w:vertAlign w:val="subscript"/>
                      <w:lang w:val="en-US"/>
                    </w:rPr>
                    <w:t>cr</w:t>
                  </w:r>
                </w:p>
              </w:tc>
              <w:tc>
                <w:tcPr>
                  <w:tcW w:w="1262"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300</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0.079</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60</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0.016</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vMerge w:val="continue"/>
                  <w:vAlign w:val="center"/>
                </w:tcPr>
                <w:p>
                  <w:pPr>
                    <w:pStyle w:val="49"/>
                    <w:wordWrap w:val="0"/>
                    <w:jc w:val="center"/>
                    <w:rPr>
                      <w:rFonts w:ascii="Times New Roman" w:hAnsi="Times New Roman" w:eastAsia="宋体" w:cs="Times New Roman"/>
                      <w:szCs w:val="21"/>
                      <w:lang w:val="en-US"/>
                    </w:rPr>
                  </w:pP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BOD</w:t>
                  </w:r>
                  <w:r>
                    <w:rPr>
                      <w:rFonts w:ascii="Times New Roman" w:hAnsi="Times New Roman" w:eastAsia="宋体" w:cs="Times New Roman"/>
                      <w:szCs w:val="21"/>
                      <w:vertAlign w:val="subscript"/>
                      <w:lang w:val="en-US"/>
                    </w:rPr>
                    <w:t>5</w:t>
                  </w:r>
                </w:p>
              </w:tc>
              <w:tc>
                <w:tcPr>
                  <w:tcW w:w="1262"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200</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0.053</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10</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0.003</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vMerge w:val="continue"/>
                  <w:vAlign w:val="center"/>
                </w:tcPr>
                <w:p>
                  <w:pPr>
                    <w:pStyle w:val="49"/>
                    <w:wordWrap w:val="0"/>
                    <w:jc w:val="center"/>
                    <w:rPr>
                      <w:rFonts w:ascii="Times New Roman" w:hAnsi="Times New Roman" w:eastAsia="宋体" w:cs="Times New Roman"/>
                      <w:szCs w:val="21"/>
                      <w:lang w:val="en-US"/>
                    </w:rPr>
                  </w:pP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SS</w:t>
                  </w:r>
                </w:p>
              </w:tc>
              <w:tc>
                <w:tcPr>
                  <w:tcW w:w="1262"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250</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0.066</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50</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0.013</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vMerge w:val="continue"/>
                  <w:vAlign w:val="center"/>
                </w:tcPr>
                <w:p>
                  <w:pPr>
                    <w:pStyle w:val="49"/>
                    <w:wordWrap w:val="0"/>
                    <w:jc w:val="center"/>
                    <w:rPr>
                      <w:rFonts w:ascii="Times New Roman" w:hAnsi="Times New Roman" w:eastAsia="宋体" w:cs="Times New Roman"/>
                      <w:szCs w:val="21"/>
                      <w:lang w:val="en-US"/>
                    </w:rPr>
                  </w:pP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氨氮</w:t>
                  </w:r>
                </w:p>
              </w:tc>
              <w:tc>
                <w:tcPr>
                  <w:tcW w:w="1262"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25</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0.007</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8</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0.002</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vMerge w:val="continue"/>
                  <w:vAlign w:val="center"/>
                </w:tcPr>
                <w:p>
                  <w:pPr>
                    <w:pStyle w:val="49"/>
                    <w:wordWrap w:val="0"/>
                    <w:jc w:val="center"/>
                    <w:rPr>
                      <w:rFonts w:ascii="Times New Roman" w:hAnsi="Times New Roman" w:eastAsia="宋体" w:cs="Times New Roman"/>
                      <w:szCs w:val="21"/>
                      <w:lang w:val="en-US"/>
                    </w:rPr>
                  </w:pP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总磷</w:t>
                  </w:r>
                </w:p>
              </w:tc>
              <w:tc>
                <w:tcPr>
                  <w:tcW w:w="1262"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3</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0.001</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3</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0.001</w:t>
                  </w:r>
                </w:p>
              </w:tc>
              <w:tc>
                <w:tcPr>
                  <w:tcW w:w="1269" w:type="dxa"/>
                  <w:vAlign w:val="center"/>
                </w:tcPr>
                <w:p>
                  <w:pPr>
                    <w:pStyle w:val="49"/>
                    <w:wordWrap w:val="0"/>
                    <w:jc w:val="center"/>
                    <w:rPr>
                      <w:rFonts w:ascii="Times New Roman" w:hAnsi="Times New Roman"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vMerge w:val="continue"/>
                  <w:vAlign w:val="center"/>
                </w:tcPr>
                <w:p>
                  <w:pPr>
                    <w:pStyle w:val="49"/>
                    <w:wordWrap w:val="0"/>
                    <w:jc w:val="center"/>
                    <w:rPr>
                      <w:rFonts w:ascii="Times New Roman" w:hAnsi="Times New Roman" w:eastAsia="宋体" w:cs="Times New Roman"/>
                      <w:szCs w:val="21"/>
                      <w:lang w:val="en-US"/>
                    </w:rPr>
                  </w:pP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总氮</w:t>
                  </w:r>
                </w:p>
              </w:tc>
              <w:tc>
                <w:tcPr>
                  <w:tcW w:w="1262"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30</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0.008</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15</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0.004</w:t>
                  </w:r>
                </w:p>
              </w:tc>
              <w:tc>
                <w:tcPr>
                  <w:tcW w:w="1269" w:type="dxa"/>
                  <w:vAlign w:val="center"/>
                </w:tcPr>
                <w:p>
                  <w:pPr>
                    <w:pStyle w:val="49"/>
                    <w:wordWrap w:val="0"/>
                    <w:jc w:val="center"/>
                    <w:rPr>
                      <w:rFonts w:ascii="Times New Roman" w:hAnsi="Times New Roman"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vMerge w:val="continue"/>
                  <w:vAlign w:val="center"/>
                </w:tcPr>
                <w:p>
                  <w:pPr>
                    <w:pStyle w:val="49"/>
                    <w:wordWrap w:val="0"/>
                    <w:jc w:val="center"/>
                    <w:rPr>
                      <w:rFonts w:ascii="Times New Roman" w:hAnsi="Times New Roman" w:eastAsia="宋体" w:cs="Times New Roman"/>
                      <w:szCs w:val="21"/>
                      <w:lang w:val="en-US"/>
                    </w:rPr>
                  </w:pP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动植物油</w:t>
                  </w:r>
                </w:p>
              </w:tc>
              <w:tc>
                <w:tcPr>
                  <w:tcW w:w="1262"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20</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0.005</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2</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rPr>
                    <w:t>0.001</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vMerge w:val="continue"/>
                  <w:vAlign w:val="center"/>
                </w:tcPr>
                <w:p>
                  <w:pPr>
                    <w:pStyle w:val="49"/>
                    <w:wordWrap w:val="0"/>
                    <w:jc w:val="center"/>
                    <w:rPr>
                      <w:rFonts w:ascii="Times New Roman" w:hAnsi="Times New Roman" w:eastAsia="宋体" w:cs="Times New Roman"/>
                      <w:szCs w:val="21"/>
                      <w:lang w:val="en-US"/>
                    </w:rPr>
                  </w:pP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粪大肠菌群</w:t>
                  </w:r>
                </w:p>
              </w:tc>
              <w:tc>
                <w:tcPr>
                  <w:tcW w:w="1262"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800个/L</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w:t>
                  </w:r>
                </w:p>
              </w:tc>
              <w:tc>
                <w:tcPr>
                  <w:tcW w:w="1263"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100个/L</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w:t>
                  </w:r>
                </w:p>
              </w:tc>
              <w:tc>
                <w:tcPr>
                  <w:tcW w:w="1269" w:type="dxa"/>
                  <w:vAlign w:val="center"/>
                </w:tcPr>
                <w:p>
                  <w:pPr>
                    <w:pStyle w:val="49"/>
                    <w:wordWrap w:val="0"/>
                    <w:jc w:val="center"/>
                    <w:rPr>
                      <w:rFonts w:ascii="Times New Roman" w:hAnsi="Times New Roman" w:eastAsia="宋体" w:cs="Times New Roman"/>
                      <w:szCs w:val="21"/>
                      <w:lang w:val="en-US"/>
                    </w:rPr>
                  </w:pPr>
                  <w:r>
                    <w:rPr>
                      <w:rFonts w:ascii="Times New Roman" w:hAnsi="Times New Roman" w:eastAsia="宋体" w:cs="Times New Roman"/>
                      <w:szCs w:val="21"/>
                      <w:lang w:val="en-US"/>
                    </w:rPr>
                    <w:t>/</w:t>
                  </w:r>
                </w:p>
              </w:tc>
            </w:tr>
          </w:tbl>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绿化用水</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升压站内设置绿化面积500m</w:t>
            </w:r>
            <w:r>
              <w:rPr>
                <w:rFonts w:ascii="Times New Roman" w:hAnsi="Times New Roman" w:eastAsia="宋体" w:cs="Times New Roman"/>
                <w:sz w:val="24"/>
                <w:vertAlign w:val="superscript"/>
              </w:rPr>
              <w:t>2</w:t>
            </w:r>
            <w:r>
              <w:rPr>
                <w:rFonts w:ascii="Times New Roman" w:hAnsi="Times New Roman" w:eastAsia="宋体" w:cs="Times New Roman"/>
                <w:sz w:val="24"/>
              </w:rPr>
              <w:t>，晴天绿化用水按3L/（m</w:t>
            </w:r>
            <w:r>
              <w:rPr>
                <w:rFonts w:ascii="Times New Roman" w:hAnsi="Times New Roman" w:eastAsia="宋体" w:cs="Times New Roman"/>
                <w:sz w:val="24"/>
                <w:vertAlign w:val="superscript"/>
              </w:rPr>
              <w:t>3</w:t>
            </w:r>
            <w:r>
              <w:rPr>
                <w:rFonts w:ascii="Times New Roman" w:hAnsi="Times New Roman" w:eastAsia="宋体" w:cs="Times New Roman"/>
                <w:sz w:val="24"/>
              </w:rPr>
              <w:t>·次）计，则绿化用水为1.5m</w:t>
            </w:r>
            <w:r>
              <w:rPr>
                <w:rFonts w:ascii="Times New Roman" w:hAnsi="Times New Roman" w:eastAsia="宋体" w:cs="Times New Roman"/>
                <w:sz w:val="24"/>
                <w:vertAlign w:val="superscript"/>
              </w:rPr>
              <w:t>3</w:t>
            </w:r>
            <w:r>
              <w:rPr>
                <w:rFonts w:ascii="Times New Roman" w:hAnsi="Times New Roman" w:eastAsia="宋体" w:cs="Times New Roman"/>
                <w:sz w:val="24"/>
              </w:rPr>
              <w:t>/次，晴天天数以210天计，每天浇灌一次，则全年用水量为315m</w:t>
            </w:r>
            <w:r>
              <w:rPr>
                <w:rFonts w:ascii="Times New Roman" w:hAnsi="Times New Roman" w:eastAsia="宋体" w:cs="Times New Roman"/>
                <w:sz w:val="24"/>
                <w:vertAlign w:val="superscript"/>
              </w:rPr>
              <w:t>3</w:t>
            </w:r>
            <w:r>
              <w:rPr>
                <w:rFonts w:ascii="Times New Roman" w:hAnsi="Times New Roman" w:eastAsia="宋体" w:cs="Times New Roman"/>
                <w:sz w:val="24"/>
              </w:rPr>
              <w:t>，绿化用水全部随着环境蒸发损耗。</w:t>
            </w:r>
          </w:p>
          <w:p>
            <w:pPr>
              <w:pStyle w:val="49"/>
              <w:spacing w:line="360" w:lineRule="auto"/>
              <w:jc w:val="center"/>
              <w:rPr>
                <w:rFonts w:ascii="Times New Roman" w:hAnsi="Times New Roman" w:eastAsia="宋体" w:cs="Times New Roman"/>
                <w:sz w:val="24"/>
                <w:lang w:val="en-US"/>
              </w:rPr>
            </w:pPr>
            <w:r>
              <w:rPr>
                <w:rFonts w:ascii="Times New Roman" w:hAnsi="Times New Roman" w:eastAsia="宋体" w:cs="Times New Roman"/>
                <w:sz w:val="24"/>
                <w:lang w:val="en-US"/>
              </w:rPr>
              <w:object>
                <v:shape id="_x0000_i1029" o:spt="75" type="#_x0000_t75" style="height:205.65pt;width:442.75pt;" o:ole="t" filled="f" o:preferrelative="t" stroked="f" coordsize="21600,21600">
                  <v:path/>
                  <v:fill on="f" focussize="0,0"/>
                  <v:stroke on="f"/>
                  <v:imagedata r:id="rId17" o:title=""/>
                  <o:lock v:ext="edit" aspectratio="f"/>
                  <w10:wrap type="none"/>
                  <w10:anchorlock/>
                </v:shape>
                <o:OLEObject Type="Embed" ProgID="Visio.Drawing.15" ShapeID="_x0000_i1029" DrawAspect="Content" ObjectID="_1468075729" r:id="rId16">
                  <o:LockedField>false</o:LockedField>
                </o:OLEObject>
              </w:object>
            </w:r>
          </w:p>
          <w:p>
            <w:pPr>
              <w:pStyle w:val="49"/>
              <w:spacing w:line="360" w:lineRule="auto"/>
              <w:ind w:firstLine="482" w:firstLineChars="200"/>
              <w:jc w:val="center"/>
              <w:rPr>
                <w:rFonts w:ascii="Times New Roman" w:hAnsi="Times New Roman" w:eastAsia="宋体" w:cs="Times New Roman"/>
                <w:b/>
                <w:sz w:val="24"/>
                <w:lang w:val="en-US"/>
              </w:rPr>
            </w:pPr>
            <w:r>
              <w:rPr>
                <w:rFonts w:ascii="Times New Roman" w:hAnsi="Times New Roman" w:eastAsia="宋体" w:cs="Times New Roman"/>
                <w:b/>
                <w:sz w:val="24"/>
                <w:lang w:val="en-US"/>
              </w:rPr>
              <w:t>图4-4   运营期水量平衡图   单位m</w:t>
            </w:r>
            <w:r>
              <w:rPr>
                <w:rFonts w:ascii="Times New Roman" w:hAnsi="Times New Roman" w:eastAsia="宋体" w:cs="Times New Roman"/>
                <w:b/>
                <w:sz w:val="24"/>
                <w:vertAlign w:val="superscript"/>
                <w:lang w:val="en-US"/>
              </w:rPr>
              <w:t>3</w:t>
            </w:r>
            <w:r>
              <w:rPr>
                <w:rFonts w:ascii="Times New Roman" w:hAnsi="Times New Roman" w:eastAsia="宋体" w:cs="Times New Roman"/>
                <w:b/>
                <w:sz w:val="24"/>
                <w:lang w:val="en-US"/>
              </w:rPr>
              <w:t>/a</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根据以上分析，项目运营过程中产生的污废水均得到有效处置，无废水外排。</w:t>
            </w:r>
            <w:r>
              <w:rPr>
                <w:rFonts w:ascii="Times New Roman" w:hAnsi="Times New Roman" w:eastAsia="宋体" w:cs="Times New Roman"/>
                <w:sz w:val="24"/>
                <w:lang w:val="en-US"/>
              </w:rPr>
              <w:t>运营期污水不会对周围地表河流水质造成影响。</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4、</w:t>
            </w:r>
            <w:r>
              <w:rPr>
                <w:rFonts w:ascii="Times New Roman" w:hAnsi="Times New Roman" w:eastAsia="宋体" w:cs="Times New Roman"/>
                <w:b/>
                <w:sz w:val="24"/>
                <w:lang w:val="en-US"/>
              </w:rPr>
              <w:t>运营期</w:t>
            </w:r>
            <w:r>
              <w:rPr>
                <w:rFonts w:ascii="Times New Roman" w:hAnsi="Times New Roman" w:eastAsia="宋体" w:cs="Times New Roman"/>
                <w:b/>
                <w:sz w:val="24"/>
              </w:rPr>
              <w:t>声环境影响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项目噪声主要来自升压站的变压器运行时产生的设备噪声。</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拟建220kV升压站投产运营期的噪声源主要来自变压器运行噪声，本项目所用主变压器为</w:t>
            </w:r>
            <w:r>
              <w:rPr>
                <w:rFonts w:ascii="Times New Roman" w:hAnsi="Times New Roman" w:eastAsia="宋体" w:cs="Times New Roman"/>
                <w:sz w:val="24"/>
                <w:lang w:val="en-US"/>
              </w:rPr>
              <w:t>SZ20-220000/220</w:t>
            </w:r>
            <w:r>
              <w:rPr>
                <w:rFonts w:ascii="Times New Roman" w:hAnsi="Times New Roman" w:eastAsia="宋体" w:cs="Times New Roman"/>
                <w:sz w:val="24"/>
              </w:rPr>
              <w:t>，</w:t>
            </w:r>
            <w:r>
              <w:rPr>
                <w:rFonts w:ascii="Times New Roman" w:hAnsi="Times New Roman" w:eastAsia="宋体" w:cs="Times New Roman"/>
                <w:sz w:val="24"/>
                <w:lang w:val="en-US"/>
              </w:rPr>
              <w:t>箱式变电为油浸式双绕组箱式变电站，均</w:t>
            </w:r>
            <w:r>
              <w:rPr>
                <w:rFonts w:ascii="Times New Roman" w:hAnsi="Times New Roman" w:eastAsia="宋体" w:cs="Times New Roman"/>
                <w:sz w:val="24"/>
              </w:rPr>
              <w:t>属于低噪声变压器。噪声源在60~65dB（A）之间。</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预测模式采用《环境影响评价技术导则声环境》（HJ2.4－2021）工业噪声中室外点声源预测模式。</w:t>
            </w:r>
          </w:p>
          <w:p>
            <w:pPr>
              <w:pStyle w:val="38"/>
              <w:rPr>
                <w:rFonts w:ascii="Times New Roman" w:hAnsi="Times New Roman" w:cs="Times New Roman"/>
              </w:rPr>
            </w:pPr>
            <w:r>
              <w:rPr>
                <w:rFonts w:ascii="Times New Roman" w:hAnsi="Times New Roman" w:cs="Times New Roman"/>
              </w:rPr>
              <w:t>只考虑几何发散衰减时，基本公示为：</w:t>
            </w:r>
          </w:p>
          <w:p>
            <w:pPr>
              <w:pStyle w:val="38"/>
              <w:ind w:firstLine="0" w:firstLineChars="0"/>
              <w:jc w:val="center"/>
              <w:rPr>
                <w:rFonts w:ascii="Times New Roman" w:hAnsi="Times New Roman" w:cs="Times New Roman"/>
                <w:vertAlign w:val="subscript"/>
              </w:rPr>
            </w:pPr>
            <w:r>
              <w:rPr>
                <w:rFonts w:ascii="Times New Roman" w:hAnsi="Times New Roman" w:cs="Times New Roman"/>
                <w:i/>
                <w:iCs/>
              </w:rPr>
              <w:t>L</w:t>
            </w:r>
            <w:r>
              <w:rPr>
                <w:rFonts w:ascii="Times New Roman" w:hAnsi="Times New Roman" w:cs="Times New Roman"/>
                <w:vertAlign w:val="subscript"/>
              </w:rPr>
              <w:t>A</w:t>
            </w:r>
            <w:r>
              <w:rPr>
                <w:rFonts w:ascii="Times New Roman" w:hAnsi="Times New Roman" w:cs="Times New Roman"/>
              </w:rPr>
              <w:t>（r）=</w:t>
            </w:r>
            <w:r>
              <w:rPr>
                <w:rFonts w:ascii="Times New Roman" w:hAnsi="Times New Roman" w:cs="Times New Roman"/>
                <w:i/>
                <w:iCs/>
              </w:rPr>
              <w:t>L</w:t>
            </w:r>
            <w:r>
              <w:rPr>
                <w:rFonts w:ascii="Times New Roman" w:hAnsi="Times New Roman" w:cs="Times New Roman"/>
                <w:vertAlign w:val="subscript"/>
              </w:rPr>
              <w:t>A</w:t>
            </w:r>
            <w:r>
              <w:rPr>
                <w:rFonts w:ascii="Times New Roman" w:hAnsi="Times New Roman" w:cs="Times New Roman"/>
              </w:rPr>
              <w:t>（r</w:t>
            </w:r>
            <w:r>
              <w:rPr>
                <w:rFonts w:ascii="Times New Roman" w:hAnsi="Times New Roman" w:cs="Times New Roman"/>
                <w:vertAlign w:val="subscript"/>
              </w:rPr>
              <w:t>0</w:t>
            </w:r>
            <w:r>
              <w:rPr>
                <w:rFonts w:ascii="Times New Roman" w:hAnsi="Times New Roman" w:cs="Times New Roman"/>
              </w:rPr>
              <w:t>）-A</w:t>
            </w:r>
            <w:r>
              <w:rPr>
                <w:rFonts w:ascii="Times New Roman" w:hAnsi="Times New Roman" w:cs="Times New Roman"/>
                <w:vertAlign w:val="subscript"/>
              </w:rPr>
              <w:t>div</w:t>
            </w:r>
          </w:p>
          <w:p>
            <w:pPr>
              <w:jc w:val="center"/>
              <w:rPr>
                <w:sz w:val="24"/>
              </w:rPr>
            </w:pPr>
            <w:r>
              <w:rPr>
                <w:sz w:val="24"/>
              </w:rPr>
              <w:t>A</w:t>
            </w:r>
            <w:r>
              <w:rPr>
                <w:sz w:val="24"/>
                <w:vertAlign w:val="subscript"/>
              </w:rPr>
              <w:t>div</w:t>
            </w:r>
            <w:r>
              <w:rPr>
                <w:sz w:val="24"/>
              </w:rPr>
              <w:t>=20lg（r/r</w:t>
            </w:r>
            <w:r>
              <w:rPr>
                <w:sz w:val="24"/>
                <w:vertAlign w:val="subscript"/>
              </w:rPr>
              <w:t>0</w:t>
            </w:r>
            <w:r>
              <w:rPr>
                <w:sz w:val="24"/>
              </w:rPr>
              <w:t>）</w:t>
            </w:r>
          </w:p>
          <w:p>
            <w:pPr>
              <w:pStyle w:val="38"/>
              <w:rPr>
                <w:rFonts w:ascii="Times New Roman" w:hAnsi="Times New Roman" w:cs="Times New Roman"/>
              </w:rPr>
            </w:pPr>
            <w:bookmarkStart w:id="13" w:name="_Toc109650284"/>
            <w:r>
              <w:rPr>
                <w:rFonts w:ascii="Times New Roman" w:hAnsi="Times New Roman" w:cs="Times New Roman"/>
              </w:rPr>
              <w:t>式中：</w:t>
            </w:r>
            <w:r>
              <w:rPr>
                <w:rFonts w:ascii="Times New Roman" w:hAnsi="Times New Roman" w:cs="Times New Roman"/>
                <w:i/>
              </w:rPr>
              <w:t>L</w:t>
            </w:r>
            <w:r>
              <w:rPr>
                <w:rFonts w:ascii="Times New Roman" w:hAnsi="Times New Roman" w:cs="Times New Roman"/>
                <w:iCs/>
                <w:vertAlign w:val="subscript"/>
              </w:rPr>
              <w:t>A</w:t>
            </w:r>
            <w:r>
              <w:rPr>
                <w:rFonts w:ascii="Times New Roman" w:hAnsi="Times New Roman" w:cs="Times New Roman"/>
              </w:rPr>
              <w:t>（r）——距声源r处的A声级，dB；</w:t>
            </w:r>
            <w:bookmarkEnd w:id="13"/>
          </w:p>
          <w:p>
            <w:pPr>
              <w:pStyle w:val="38"/>
              <w:ind w:firstLine="1200" w:firstLineChars="500"/>
              <w:rPr>
                <w:rFonts w:ascii="Times New Roman" w:hAnsi="Times New Roman" w:cs="Times New Roman"/>
              </w:rPr>
            </w:pPr>
            <w:bookmarkStart w:id="14" w:name="_Toc109650285"/>
            <w:r>
              <w:rPr>
                <w:rFonts w:ascii="Times New Roman" w:hAnsi="Times New Roman" w:cs="Times New Roman"/>
                <w:i/>
              </w:rPr>
              <w:t>L</w:t>
            </w:r>
            <w:r>
              <w:rPr>
                <w:rFonts w:ascii="Times New Roman" w:hAnsi="Times New Roman" w:cs="Times New Roman"/>
                <w:vertAlign w:val="subscript"/>
              </w:rPr>
              <w:t>A</w:t>
            </w:r>
            <w:r>
              <w:rPr>
                <w:rFonts w:ascii="Times New Roman" w:hAnsi="Times New Roman" w:cs="Times New Roman"/>
              </w:rPr>
              <w:t>（r</w:t>
            </w:r>
            <w:r>
              <w:rPr>
                <w:rFonts w:ascii="Times New Roman" w:hAnsi="Times New Roman" w:cs="Times New Roman"/>
                <w:vertAlign w:val="subscript"/>
              </w:rPr>
              <w:t>0</w:t>
            </w:r>
            <w:r>
              <w:rPr>
                <w:rFonts w:ascii="Times New Roman" w:hAnsi="Times New Roman" w:cs="Times New Roman"/>
              </w:rPr>
              <w:t>）——参考位置r</w:t>
            </w:r>
            <w:r>
              <w:rPr>
                <w:rFonts w:ascii="Times New Roman" w:hAnsi="Times New Roman" w:cs="Times New Roman"/>
                <w:vertAlign w:val="subscript"/>
              </w:rPr>
              <w:t>0</w:t>
            </w:r>
            <w:r>
              <w:rPr>
                <w:rFonts w:ascii="Times New Roman" w:hAnsi="Times New Roman" w:cs="Times New Roman"/>
              </w:rPr>
              <w:t>处的A声级，dB；</w:t>
            </w:r>
            <w:bookmarkEnd w:id="14"/>
          </w:p>
          <w:p>
            <w:pPr>
              <w:pStyle w:val="38"/>
              <w:ind w:firstLine="1200" w:firstLineChars="500"/>
              <w:rPr>
                <w:rFonts w:ascii="Times New Roman" w:hAnsi="Times New Roman" w:cs="Times New Roman"/>
              </w:rPr>
            </w:pPr>
            <w:bookmarkStart w:id="15" w:name="_Toc109650286"/>
            <w:r>
              <w:rPr>
                <w:rFonts w:ascii="Times New Roman" w:hAnsi="Times New Roman" w:cs="Times New Roman"/>
              </w:rPr>
              <w:t>A</w:t>
            </w:r>
            <w:r>
              <w:rPr>
                <w:rFonts w:ascii="Times New Roman" w:hAnsi="Times New Roman" w:cs="Times New Roman"/>
                <w:vertAlign w:val="subscript"/>
              </w:rPr>
              <w:t>div</w:t>
            </w:r>
            <w:r>
              <w:rPr>
                <w:rFonts w:ascii="Times New Roman" w:hAnsi="Times New Roman" w:cs="Times New Roman"/>
              </w:rPr>
              <w:t>——几何发散引起的衰减，dB；</w:t>
            </w:r>
          </w:p>
          <w:p>
            <w:pPr>
              <w:pStyle w:val="38"/>
              <w:ind w:firstLine="1200" w:firstLineChars="500"/>
              <w:rPr>
                <w:rFonts w:ascii="Times New Roman" w:hAnsi="Times New Roman" w:cs="Times New Roman"/>
              </w:rPr>
            </w:pPr>
            <w:r>
              <w:rPr>
                <w:rFonts w:ascii="Times New Roman" w:hAnsi="Times New Roman" w:cs="Times New Roman"/>
              </w:rPr>
              <w:t>r——预测点距声源的距离；</w:t>
            </w:r>
            <w:bookmarkEnd w:id="15"/>
          </w:p>
          <w:p>
            <w:pPr>
              <w:pStyle w:val="38"/>
              <w:ind w:firstLine="1200" w:firstLineChars="500"/>
              <w:rPr>
                <w:rFonts w:ascii="Times New Roman" w:hAnsi="Times New Roman" w:cs="Times New Roman"/>
              </w:rPr>
            </w:pPr>
            <w:bookmarkStart w:id="16" w:name="_Toc109650287"/>
            <w:r>
              <w:rPr>
                <w:rFonts w:ascii="Times New Roman" w:hAnsi="Times New Roman" w:cs="Times New Roman"/>
              </w:rPr>
              <w:t>r</w:t>
            </w:r>
            <w:r>
              <w:rPr>
                <w:rFonts w:ascii="Times New Roman" w:hAnsi="Times New Roman" w:cs="Times New Roman"/>
                <w:vertAlign w:val="subscript"/>
              </w:rPr>
              <w:t>0</w:t>
            </w:r>
            <w:r>
              <w:rPr>
                <w:rFonts w:ascii="Times New Roman" w:hAnsi="Times New Roman" w:cs="Times New Roman"/>
              </w:rPr>
              <w:t>——参考位置距声源的距离。</w:t>
            </w:r>
            <w:bookmarkEnd w:id="16"/>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表4-</w:t>
            </w:r>
            <w:r>
              <w:rPr>
                <w:rFonts w:ascii="Times New Roman" w:hAnsi="Times New Roman" w:eastAsia="宋体" w:cs="Times New Roman"/>
                <w:b/>
                <w:sz w:val="24"/>
                <w:lang w:val="en-US"/>
              </w:rPr>
              <w:t xml:space="preserve">6 </w:t>
            </w:r>
            <w:r>
              <w:rPr>
                <w:rFonts w:ascii="Times New Roman" w:hAnsi="Times New Roman" w:eastAsia="宋体" w:cs="Times New Roman"/>
                <w:b/>
                <w:sz w:val="24"/>
              </w:rPr>
              <w:t xml:space="preserve">  变压器噪声贡献值预测   单位：dB（A）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655"/>
              <w:gridCol w:w="870"/>
              <w:gridCol w:w="880"/>
              <w:gridCol w:w="880"/>
              <w:gridCol w:w="880"/>
              <w:gridCol w:w="880"/>
              <w:gridCol w:w="880"/>
              <w:gridCol w:w="88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63" w:type="dxa"/>
                  <w:noWrap/>
                  <w:vAlign w:val="center"/>
                </w:tcPr>
                <w:p>
                  <w:pPr>
                    <w:widowControl/>
                    <w:jc w:val="center"/>
                    <w:rPr>
                      <w:kern w:val="0"/>
                      <w:szCs w:val="21"/>
                    </w:rPr>
                  </w:pPr>
                  <w:r>
                    <w:rPr>
                      <w:kern w:val="0"/>
                      <w:szCs w:val="21"/>
                    </w:rPr>
                    <w:t>距离</w:t>
                  </w:r>
                </w:p>
              </w:tc>
              <w:tc>
                <w:tcPr>
                  <w:tcW w:w="655" w:type="dxa"/>
                  <w:vAlign w:val="center"/>
                </w:tcPr>
                <w:p>
                  <w:pPr>
                    <w:widowControl/>
                    <w:jc w:val="center"/>
                    <w:rPr>
                      <w:kern w:val="0"/>
                      <w:szCs w:val="21"/>
                    </w:rPr>
                  </w:pPr>
                  <w:r>
                    <w:rPr>
                      <w:kern w:val="0"/>
                      <w:szCs w:val="21"/>
                    </w:rPr>
                    <w:t>1m</w:t>
                  </w:r>
                </w:p>
              </w:tc>
              <w:tc>
                <w:tcPr>
                  <w:tcW w:w="870" w:type="dxa"/>
                  <w:vAlign w:val="center"/>
                </w:tcPr>
                <w:p>
                  <w:pPr>
                    <w:widowControl/>
                    <w:jc w:val="center"/>
                    <w:rPr>
                      <w:kern w:val="0"/>
                      <w:szCs w:val="21"/>
                    </w:rPr>
                  </w:pPr>
                  <w:r>
                    <w:rPr>
                      <w:kern w:val="0"/>
                      <w:szCs w:val="21"/>
                    </w:rPr>
                    <w:t>5m</w:t>
                  </w:r>
                </w:p>
              </w:tc>
              <w:tc>
                <w:tcPr>
                  <w:tcW w:w="880" w:type="dxa"/>
                  <w:vAlign w:val="center"/>
                </w:tcPr>
                <w:p>
                  <w:pPr>
                    <w:widowControl/>
                    <w:jc w:val="center"/>
                    <w:rPr>
                      <w:kern w:val="0"/>
                      <w:szCs w:val="21"/>
                    </w:rPr>
                  </w:pPr>
                  <w:r>
                    <w:rPr>
                      <w:kern w:val="0"/>
                      <w:szCs w:val="21"/>
                    </w:rPr>
                    <w:t>10m</w:t>
                  </w:r>
                </w:p>
              </w:tc>
              <w:tc>
                <w:tcPr>
                  <w:tcW w:w="880" w:type="dxa"/>
                  <w:vAlign w:val="center"/>
                </w:tcPr>
                <w:p>
                  <w:pPr>
                    <w:widowControl/>
                    <w:jc w:val="center"/>
                    <w:rPr>
                      <w:kern w:val="0"/>
                      <w:szCs w:val="21"/>
                    </w:rPr>
                  </w:pPr>
                  <w:r>
                    <w:rPr>
                      <w:kern w:val="0"/>
                      <w:szCs w:val="21"/>
                    </w:rPr>
                    <w:t>15m</w:t>
                  </w:r>
                </w:p>
              </w:tc>
              <w:tc>
                <w:tcPr>
                  <w:tcW w:w="880" w:type="dxa"/>
                  <w:vAlign w:val="center"/>
                </w:tcPr>
                <w:p>
                  <w:pPr>
                    <w:widowControl/>
                    <w:jc w:val="center"/>
                    <w:rPr>
                      <w:kern w:val="0"/>
                      <w:szCs w:val="21"/>
                    </w:rPr>
                  </w:pPr>
                  <w:r>
                    <w:rPr>
                      <w:kern w:val="0"/>
                      <w:szCs w:val="21"/>
                    </w:rPr>
                    <w:t>20m</w:t>
                  </w:r>
                </w:p>
              </w:tc>
              <w:tc>
                <w:tcPr>
                  <w:tcW w:w="880" w:type="dxa"/>
                  <w:vAlign w:val="center"/>
                </w:tcPr>
                <w:p>
                  <w:pPr>
                    <w:widowControl/>
                    <w:jc w:val="center"/>
                    <w:rPr>
                      <w:kern w:val="0"/>
                      <w:szCs w:val="21"/>
                    </w:rPr>
                  </w:pPr>
                  <w:r>
                    <w:rPr>
                      <w:kern w:val="0"/>
                      <w:szCs w:val="21"/>
                    </w:rPr>
                    <w:t>25m</w:t>
                  </w:r>
                </w:p>
              </w:tc>
              <w:tc>
                <w:tcPr>
                  <w:tcW w:w="880" w:type="dxa"/>
                  <w:vAlign w:val="center"/>
                </w:tcPr>
                <w:p>
                  <w:pPr>
                    <w:widowControl/>
                    <w:jc w:val="center"/>
                    <w:rPr>
                      <w:kern w:val="0"/>
                      <w:szCs w:val="21"/>
                    </w:rPr>
                  </w:pPr>
                  <w:r>
                    <w:rPr>
                      <w:kern w:val="0"/>
                      <w:szCs w:val="21"/>
                    </w:rPr>
                    <w:t>30m</w:t>
                  </w:r>
                </w:p>
              </w:tc>
              <w:tc>
                <w:tcPr>
                  <w:tcW w:w="880" w:type="dxa"/>
                  <w:vAlign w:val="center"/>
                </w:tcPr>
                <w:p>
                  <w:pPr>
                    <w:widowControl/>
                    <w:jc w:val="center"/>
                    <w:rPr>
                      <w:kern w:val="0"/>
                      <w:szCs w:val="21"/>
                    </w:rPr>
                  </w:pPr>
                  <w:r>
                    <w:rPr>
                      <w:kern w:val="0"/>
                      <w:szCs w:val="21"/>
                    </w:rPr>
                    <w:t>35m</w:t>
                  </w:r>
                </w:p>
              </w:tc>
              <w:tc>
                <w:tcPr>
                  <w:tcW w:w="880" w:type="dxa"/>
                  <w:vAlign w:val="center"/>
                </w:tcPr>
                <w:p>
                  <w:pPr>
                    <w:widowControl/>
                    <w:jc w:val="center"/>
                    <w:rPr>
                      <w:kern w:val="0"/>
                      <w:szCs w:val="21"/>
                    </w:rPr>
                  </w:pPr>
                  <w:r>
                    <w:rPr>
                      <w:kern w:val="0"/>
                      <w:szCs w:val="21"/>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63" w:type="dxa"/>
                  <w:vAlign w:val="center"/>
                </w:tcPr>
                <w:p>
                  <w:pPr>
                    <w:widowControl/>
                    <w:jc w:val="center"/>
                    <w:rPr>
                      <w:kern w:val="0"/>
                      <w:szCs w:val="21"/>
                    </w:rPr>
                  </w:pPr>
                  <w:r>
                    <w:rPr>
                      <w:kern w:val="0"/>
                      <w:szCs w:val="21"/>
                    </w:rPr>
                    <w:t>主变电</w:t>
                  </w:r>
                </w:p>
              </w:tc>
              <w:tc>
                <w:tcPr>
                  <w:tcW w:w="655" w:type="dxa"/>
                  <w:noWrap/>
                  <w:vAlign w:val="center"/>
                </w:tcPr>
                <w:p>
                  <w:pPr>
                    <w:widowControl/>
                    <w:jc w:val="center"/>
                    <w:rPr>
                      <w:kern w:val="0"/>
                      <w:szCs w:val="21"/>
                    </w:rPr>
                  </w:pPr>
                  <w:r>
                    <w:rPr>
                      <w:kern w:val="0"/>
                      <w:szCs w:val="21"/>
                    </w:rPr>
                    <w:t>65.0</w:t>
                  </w:r>
                </w:p>
              </w:tc>
              <w:tc>
                <w:tcPr>
                  <w:tcW w:w="870" w:type="dxa"/>
                  <w:noWrap/>
                  <w:vAlign w:val="center"/>
                </w:tcPr>
                <w:p>
                  <w:pPr>
                    <w:widowControl/>
                    <w:jc w:val="center"/>
                    <w:rPr>
                      <w:kern w:val="0"/>
                      <w:szCs w:val="21"/>
                    </w:rPr>
                  </w:pPr>
                  <w:r>
                    <w:rPr>
                      <w:kern w:val="0"/>
                      <w:szCs w:val="21"/>
                    </w:rPr>
                    <w:t>51.0</w:t>
                  </w:r>
                </w:p>
              </w:tc>
              <w:tc>
                <w:tcPr>
                  <w:tcW w:w="880" w:type="dxa"/>
                  <w:noWrap/>
                  <w:vAlign w:val="center"/>
                </w:tcPr>
                <w:p>
                  <w:pPr>
                    <w:widowControl/>
                    <w:jc w:val="center"/>
                    <w:rPr>
                      <w:kern w:val="0"/>
                      <w:szCs w:val="21"/>
                    </w:rPr>
                  </w:pPr>
                  <w:r>
                    <w:rPr>
                      <w:kern w:val="0"/>
                      <w:szCs w:val="21"/>
                    </w:rPr>
                    <w:t>45.0</w:t>
                  </w:r>
                </w:p>
              </w:tc>
              <w:tc>
                <w:tcPr>
                  <w:tcW w:w="880" w:type="dxa"/>
                  <w:noWrap/>
                  <w:vAlign w:val="center"/>
                </w:tcPr>
                <w:p>
                  <w:pPr>
                    <w:widowControl/>
                    <w:jc w:val="center"/>
                    <w:rPr>
                      <w:kern w:val="0"/>
                      <w:szCs w:val="21"/>
                    </w:rPr>
                  </w:pPr>
                  <w:r>
                    <w:rPr>
                      <w:kern w:val="0"/>
                      <w:szCs w:val="21"/>
                    </w:rPr>
                    <w:t>41.5</w:t>
                  </w:r>
                </w:p>
              </w:tc>
              <w:tc>
                <w:tcPr>
                  <w:tcW w:w="880" w:type="dxa"/>
                  <w:noWrap/>
                  <w:vAlign w:val="center"/>
                </w:tcPr>
                <w:p>
                  <w:pPr>
                    <w:widowControl/>
                    <w:jc w:val="center"/>
                    <w:rPr>
                      <w:kern w:val="0"/>
                      <w:szCs w:val="21"/>
                    </w:rPr>
                  </w:pPr>
                  <w:r>
                    <w:rPr>
                      <w:kern w:val="0"/>
                      <w:szCs w:val="21"/>
                    </w:rPr>
                    <w:t>39.0</w:t>
                  </w:r>
                </w:p>
              </w:tc>
              <w:tc>
                <w:tcPr>
                  <w:tcW w:w="880" w:type="dxa"/>
                  <w:noWrap/>
                  <w:vAlign w:val="center"/>
                </w:tcPr>
                <w:p>
                  <w:pPr>
                    <w:widowControl/>
                    <w:jc w:val="center"/>
                    <w:rPr>
                      <w:kern w:val="0"/>
                      <w:szCs w:val="21"/>
                    </w:rPr>
                  </w:pPr>
                  <w:r>
                    <w:rPr>
                      <w:kern w:val="0"/>
                      <w:szCs w:val="21"/>
                    </w:rPr>
                    <w:t>37.0</w:t>
                  </w:r>
                </w:p>
              </w:tc>
              <w:tc>
                <w:tcPr>
                  <w:tcW w:w="880" w:type="dxa"/>
                  <w:noWrap/>
                  <w:vAlign w:val="center"/>
                </w:tcPr>
                <w:p>
                  <w:pPr>
                    <w:widowControl/>
                    <w:jc w:val="center"/>
                    <w:rPr>
                      <w:kern w:val="0"/>
                      <w:szCs w:val="21"/>
                    </w:rPr>
                  </w:pPr>
                  <w:r>
                    <w:rPr>
                      <w:kern w:val="0"/>
                      <w:szCs w:val="21"/>
                    </w:rPr>
                    <w:t>35.5</w:t>
                  </w:r>
                </w:p>
              </w:tc>
              <w:tc>
                <w:tcPr>
                  <w:tcW w:w="880" w:type="dxa"/>
                  <w:noWrap/>
                  <w:vAlign w:val="center"/>
                </w:tcPr>
                <w:p>
                  <w:pPr>
                    <w:widowControl/>
                    <w:jc w:val="center"/>
                    <w:rPr>
                      <w:kern w:val="0"/>
                      <w:szCs w:val="21"/>
                    </w:rPr>
                  </w:pPr>
                  <w:r>
                    <w:rPr>
                      <w:kern w:val="0"/>
                      <w:szCs w:val="21"/>
                    </w:rPr>
                    <w:t>34.1</w:t>
                  </w:r>
                </w:p>
              </w:tc>
              <w:tc>
                <w:tcPr>
                  <w:tcW w:w="880" w:type="dxa"/>
                  <w:noWrap/>
                  <w:vAlign w:val="center"/>
                </w:tcPr>
                <w:p>
                  <w:pPr>
                    <w:widowControl/>
                    <w:jc w:val="center"/>
                    <w:rPr>
                      <w:kern w:val="0"/>
                      <w:szCs w:val="21"/>
                    </w:rPr>
                  </w:pPr>
                  <w:r>
                    <w:rPr>
                      <w:kern w:val="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3" w:type="dxa"/>
                  <w:noWrap/>
                  <w:vAlign w:val="center"/>
                </w:tcPr>
                <w:p>
                  <w:pPr>
                    <w:widowControl/>
                    <w:jc w:val="center"/>
                    <w:rPr>
                      <w:kern w:val="0"/>
                      <w:szCs w:val="21"/>
                    </w:rPr>
                  </w:pPr>
                  <w:r>
                    <w:rPr>
                      <w:kern w:val="0"/>
                      <w:szCs w:val="21"/>
                    </w:rPr>
                    <w:t>箱式变电</w:t>
                  </w:r>
                </w:p>
              </w:tc>
              <w:tc>
                <w:tcPr>
                  <w:tcW w:w="655" w:type="dxa"/>
                  <w:noWrap/>
                  <w:vAlign w:val="center"/>
                </w:tcPr>
                <w:p>
                  <w:pPr>
                    <w:widowControl/>
                    <w:jc w:val="center"/>
                    <w:rPr>
                      <w:kern w:val="0"/>
                      <w:szCs w:val="21"/>
                    </w:rPr>
                  </w:pPr>
                  <w:r>
                    <w:rPr>
                      <w:kern w:val="0"/>
                      <w:szCs w:val="21"/>
                    </w:rPr>
                    <w:t>60.0</w:t>
                  </w:r>
                </w:p>
              </w:tc>
              <w:tc>
                <w:tcPr>
                  <w:tcW w:w="870" w:type="dxa"/>
                  <w:noWrap/>
                  <w:vAlign w:val="center"/>
                </w:tcPr>
                <w:p>
                  <w:pPr>
                    <w:widowControl/>
                    <w:jc w:val="center"/>
                    <w:rPr>
                      <w:kern w:val="0"/>
                      <w:szCs w:val="21"/>
                    </w:rPr>
                  </w:pPr>
                  <w:r>
                    <w:rPr>
                      <w:kern w:val="0"/>
                      <w:szCs w:val="21"/>
                    </w:rPr>
                    <w:t>46.0</w:t>
                  </w:r>
                </w:p>
              </w:tc>
              <w:tc>
                <w:tcPr>
                  <w:tcW w:w="880" w:type="dxa"/>
                  <w:noWrap/>
                  <w:vAlign w:val="center"/>
                </w:tcPr>
                <w:p>
                  <w:pPr>
                    <w:widowControl/>
                    <w:jc w:val="center"/>
                    <w:rPr>
                      <w:kern w:val="0"/>
                      <w:szCs w:val="21"/>
                    </w:rPr>
                  </w:pPr>
                  <w:r>
                    <w:rPr>
                      <w:kern w:val="0"/>
                      <w:szCs w:val="21"/>
                    </w:rPr>
                    <w:t>40.0</w:t>
                  </w:r>
                </w:p>
              </w:tc>
              <w:tc>
                <w:tcPr>
                  <w:tcW w:w="880" w:type="dxa"/>
                  <w:noWrap/>
                  <w:vAlign w:val="center"/>
                </w:tcPr>
                <w:p>
                  <w:pPr>
                    <w:widowControl/>
                    <w:jc w:val="center"/>
                    <w:rPr>
                      <w:kern w:val="0"/>
                      <w:szCs w:val="21"/>
                    </w:rPr>
                  </w:pPr>
                  <w:r>
                    <w:rPr>
                      <w:kern w:val="0"/>
                      <w:szCs w:val="21"/>
                    </w:rPr>
                    <w:t>36.5</w:t>
                  </w:r>
                </w:p>
              </w:tc>
              <w:tc>
                <w:tcPr>
                  <w:tcW w:w="880" w:type="dxa"/>
                  <w:noWrap/>
                  <w:vAlign w:val="center"/>
                </w:tcPr>
                <w:p>
                  <w:pPr>
                    <w:widowControl/>
                    <w:jc w:val="center"/>
                    <w:rPr>
                      <w:kern w:val="0"/>
                      <w:szCs w:val="21"/>
                    </w:rPr>
                  </w:pPr>
                  <w:r>
                    <w:rPr>
                      <w:kern w:val="0"/>
                      <w:szCs w:val="21"/>
                    </w:rPr>
                    <w:t>34.0</w:t>
                  </w:r>
                </w:p>
              </w:tc>
              <w:tc>
                <w:tcPr>
                  <w:tcW w:w="880" w:type="dxa"/>
                  <w:noWrap/>
                  <w:vAlign w:val="center"/>
                </w:tcPr>
                <w:p>
                  <w:pPr>
                    <w:widowControl/>
                    <w:jc w:val="center"/>
                    <w:rPr>
                      <w:kern w:val="0"/>
                      <w:szCs w:val="21"/>
                    </w:rPr>
                  </w:pPr>
                  <w:r>
                    <w:rPr>
                      <w:kern w:val="0"/>
                      <w:szCs w:val="21"/>
                    </w:rPr>
                    <w:t>32.0</w:t>
                  </w:r>
                </w:p>
              </w:tc>
              <w:tc>
                <w:tcPr>
                  <w:tcW w:w="880" w:type="dxa"/>
                  <w:noWrap/>
                  <w:vAlign w:val="center"/>
                </w:tcPr>
                <w:p>
                  <w:pPr>
                    <w:widowControl/>
                    <w:jc w:val="center"/>
                    <w:rPr>
                      <w:kern w:val="0"/>
                      <w:szCs w:val="21"/>
                    </w:rPr>
                  </w:pPr>
                  <w:r>
                    <w:rPr>
                      <w:kern w:val="0"/>
                      <w:szCs w:val="21"/>
                    </w:rPr>
                    <w:t>30.5</w:t>
                  </w:r>
                </w:p>
              </w:tc>
              <w:tc>
                <w:tcPr>
                  <w:tcW w:w="880" w:type="dxa"/>
                  <w:noWrap/>
                  <w:vAlign w:val="center"/>
                </w:tcPr>
                <w:p>
                  <w:pPr>
                    <w:widowControl/>
                    <w:jc w:val="center"/>
                    <w:rPr>
                      <w:kern w:val="0"/>
                      <w:szCs w:val="21"/>
                    </w:rPr>
                  </w:pPr>
                  <w:r>
                    <w:rPr>
                      <w:kern w:val="0"/>
                      <w:szCs w:val="21"/>
                    </w:rPr>
                    <w:t>29.1</w:t>
                  </w:r>
                </w:p>
              </w:tc>
              <w:tc>
                <w:tcPr>
                  <w:tcW w:w="880" w:type="dxa"/>
                  <w:noWrap/>
                  <w:vAlign w:val="center"/>
                </w:tcPr>
                <w:p>
                  <w:pPr>
                    <w:widowControl/>
                    <w:jc w:val="center"/>
                    <w:rPr>
                      <w:kern w:val="0"/>
                      <w:szCs w:val="21"/>
                    </w:rPr>
                  </w:pPr>
                  <w:r>
                    <w:rPr>
                      <w:kern w:val="0"/>
                      <w:szCs w:val="21"/>
                    </w:rPr>
                    <w:t>28.0</w:t>
                  </w:r>
                </w:p>
              </w:tc>
            </w:tr>
          </w:tbl>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由上表可知，项目</w:t>
            </w:r>
            <w:r>
              <w:rPr>
                <w:rFonts w:ascii="Times New Roman" w:hAnsi="Times New Roman" w:eastAsia="宋体" w:cs="Times New Roman"/>
                <w:sz w:val="24"/>
                <w:lang w:val="en-US"/>
              </w:rPr>
              <w:t>建成投运后，变压器噪声在5m之外能满足《工业企业厂界环境噪声排放标准》(GB</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-2008)2类标准（昼间：60dB(A)，夜间：50dB(A)）。</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根据项目的建设布置情况：主变电在升压站围墙内距离为东厂界72m，西厂界26m，南厂界39m，北厂界30m，可以满足噪声排放标准要求，同时升压站周围50m无声环境保护目标，噪声对周边声环境的影响可以接受。</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5、运营期固体废物影响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项目营运期固废包括生活垃圾、污水处理设施污泥、废矿物油。</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lang w:val="en-US" w:eastAsia="zh-CN"/>
              </w:rPr>
              <w:t>1</w:t>
            </w:r>
            <w:r>
              <w:rPr>
                <w:rFonts w:ascii="Times New Roman" w:hAnsi="Times New Roman" w:eastAsia="宋体" w:cs="Times New Roman"/>
                <w:sz w:val="24"/>
              </w:rPr>
              <w:t>）生活垃圾</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劳动定员为9人，均在项目内食宿，生活垃圾产生量以0.5kg/（人·d）计，则生活垃圾产生量约为4.5kg/d，年产生量为1.643t/a。项目产生的生活垃圾主要为平时工作人员用的生活废品，包括食堂菜叶、废纸、包装袋，项目内的生活垃圾分类收集，存放于办公生活区的垃圾桶内，定期清运至</w:t>
            </w:r>
            <w:r>
              <w:rPr>
                <w:rFonts w:ascii="Times New Roman" w:hAnsi="Times New Roman" w:eastAsia="宋体" w:cs="Times New Roman"/>
                <w:sz w:val="24"/>
                <w:lang w:val="en-US"/>
              </w:rPr>
              <w:t>当地生活垃圾收集点进行统一处理，不得随意丢弃、焚烧。</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lang w:val="en-US" w:eastAsia="zh-CN"/>
              </w:rPr>
              <w:t>2</w:t>
            </w:r>
            <w:r>
              <w:rPr>
                <w:rFonts w:ascii="Times New Roman" w:hAnsi="Times New Roman" w:eastAsia="宋体" w:cs="Times New Roman"/>
                <w:sz w:val="24"/>
              </w:rPr>
              <w:t>）污水处理设施污泥</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生活污水处理过程中会产生少量的污泥，类比同类项目，污泥年产生量约0.5t/a，污泥中主要成分为有机物及腐殖质，污泥委托周边农户进行清掏，堆肥处理之后，用于绿化地施肥使用。</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）废矿物油</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项目涉及的废弃矿物油分为3部分：主变压器维护、更换和拆解过程中产生的废变压器油；箱式变压器维护、更换和拆解过程中产生的废变压器油；传功轴等装置维修过程中产生的的废润滑油；</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对照《国家危险废物名录》（2021年版），废变压器油（废物代码为“900-220-08变压器维护、更换和拆解过程中产生的废变压器油”），废润滑油（废物代码为“900-249-08使用过程中产生的废矿物油及沾染矿物油的废弃包装物”）。二者均为矿物油，均为“HW08废矿物油与含矿物油废物的危险废物”。</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①</w:t>
            </w:r>
            <w:r>
              <w:rPr>
                <w:rFonts w:ascii="Times New Roman" w:hAnsi="Times New Roman" w:eastAsia="宋体" w:cs="Times New Roman"/>
                <w:sz w:val="24"/>
                <w:lang w:val="en-US"/>
              </w:rPr>
              <w:t>项目主变电压器中存有36t变压器油，正常情况下变压器油不外排，仅在检修及发生事故时会产生一定量的废变压器油，检修过程中产生的废变压器油，由油桶收集之后，存于危险废物暂存间，交由持有相应有危废处理资质的单位处理。</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US"/>
              </w:rPr>
              <w:t>发生环境事故时，</w:t>
            </w:r>
            <w:r>
              <w:rPr>
                <w:rFonts w:ascii="Times New Roman" w:hAnsi="Times New Roman" w:eastAsia="宋体" w:cs="Times New Roman"/>
                <w:sz w:val="24"/>
              </w:rPr>
              <w:t>在主变压器底部设有贮油坑，容积为主变压器油量的20﹪，，贮油坑的四周设挡油坎，高出地面100mm。坑内铺设厚度为250mm的卵石，卵石粒径为50--80mm，坑底设有排油管，能将事故情况下变压器油排至事故油池中。</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事故油池为地下箱型基础，采用C30钢筋混凝土浇筑，容积为50m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，可以满足废矿物油的收集要求。同时发生事故之后尽量快速的将废变压器油收集至油桶中存储，暂存于危险废物暂存间中，交由持有相应有危废处理资质的单位处理。</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②</w:t>
            </w:r>
            <w:r>
              <w:rPr>
                <w:rFonts w:ascii="Times New Roman" w:hAnsi="Times New Roman" w:eastAsia="宋体" w:cs="Times New Roman"/>
                <w:sz w:val="24"/>
                <w:lang w:val="en-US"/>
              </w:rPr>
              <w:t>箱式变压器在维修过程中产生的废变压油，在检修过程中经油桶收集之后，暂存于危废暂存间之内，交由持有相应有危废处理资质的单位处理。</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③</w:t>
            </w:r>
            <w:r>
              <w:rPr>
                <w:rFonts w:ascii="Times New Roman" w:hAnsi="Times New Roman" w:eastAsia="宋体" w:cs="Times New Roman"/>
                <w:sz w:val="24"/>
                <w:lang w:val="en-US"/>
              </w:rPr>
              <w:t>传动轴维护过程中使用的润滑油以及沾染矿物油的废弃包装物，维护过程中进行收集，暂存于危废暂存间之内，交由持有相应有危废处理资质的单位处理。</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根据建设单位提供的资料，废变压器油产生量约1t/a，废润滑油产生量约50kg/a，收集后交由持有相应危废资质的单位处理。</w:t>
            </w:r>
            <w:r>
              <w:rPr>
                <w:rFonts w:ascii="Times New Roman" w:hAnsi="Times New Roman" w:eastAsia="宋体" w:cs="Times New Roman"/>
                <w:sz w:val="24"/>
              </w:rPr>
              <w:t>建设单位需做好储存工作，避免乱扔乱弃，防治混入地表水及土壤环境。</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lang w:val="en-US" w:eastAsia="zh-CN"/>
              </w:rPr>
              <w:t>4</w:t>
            </w:r>
            <w:r>
              <w:rPr>
                <w:rFonts w:ascii="Times New Roman" w:hAnsi="Times New Roman" w:eastAsia="宋体" w:cs="Times New Roman"/>
                <w:sz w:val="24"/>
              </w:rPr>
              <w:t>）废弃</w:t>
            </w:r>
            <w:r>
              <w:rPr>
                <w:rFonts w:ascii="Times New Roman" w:hAnsi="Times New Roman" w:eastAsia="宋体" w:cs="Times New Roman"/>
                <w:sz w:val="24"/>
                <w:lang w:val="en-US"/>
              </w:rPr>
              <w:t>铅酸</w:t>
            </w:r>
            <w:r>
              <w:rPr>
                <w:rFonts w:ascii="Times New Roman" w:hAnsi="Times New Roman" w:eastAsia="宋体" w:cs="Times New Roman"/>
                <w:sz w:val="24"/>
              </w:rPr>
              <w:t>电池</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US"/>
              </w:rPr>
              <w:t>项目选用2组350Ah的铅酸蓄电池，长时间使用之后会损坏，对照《国家危险废物名录》（2021年版），废弃铅酸蓄电池属于HW31含铅废物，废物代码为900-052-31。废弃铅酸电池损坏更换基本都是全部进行更换，由提供厂家进行更换之后带走，不在厂区内进行储存。2组350Ah的铅酸蓄电池重量约为200kg，内部电解液主要成分为硫酸，重量约占10%，则硫酸量为20kg。</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）固体废物环境管理要求</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lang w:val="en-US"/>
              </w:rPr>
              <w:t>①</w:t>
            </w:r>
            <w:r>
              <w:rPr>
                <w:rFonts w:ascii="Times New Roman" w:hAnsi="Times New Roman" w:eastAsia="宋体" w:cs="Times New Roman"/>
                <w:sz w:val="24"/>
                <w:lang w:val="en-US"/>
              </w:rPr>
              <w:t>一般工业固废：</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a、生活垃圾、污泥存放应做到防雨、防流失、覆盖；</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US"/>
              </w:rPr>
              <w:t>b、不得露天堆放，防止雨水进入产生二次污染</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lang w:val="en-US"/>
              </w:rPr>
              <w:t>②</w:t>
            </w:r>
            <w:r>
              <w:rPr>
                <w:rFonts w:ascii="Times New Roman" w:hAnsi="Times New Roman" w:eastAsia="宋体" w:cs="Times New Roman"/>
                <w:sz w:val="24"/>
                <w:lang w:val="en-US"/>
              </w:rPr>
              <w:t>危险废物：</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设置危废暂存间一间，面积16m</w:t>
            </w:r>
            <w:r>
              <w:rPr>
                <w:rFonts w:ascii="Times New Roman" w:hAnsi="Times New Roman" w:eastAsia="宋体" w:cs="Times New Roman"/>
                <w:sz w:val="24"/>
                <w:vertAlign w:val="superscript"/>
                <w:lang w:val="en-US"/>
              </w:rPr>
              <w:t>2</w:t>
            </w:r>
            <w:r>
              <w:rPr>
                <w:rFonts w:ascii="Times New Roman" w:hAnsi="Times New Roman" w:eastAsia="宋体" w:cs="Times New Roman"/>
                <w:sz w:val="24"/>
                <w:lang w:val="en-US"/>
              </w:rPr>
              <w:t>，位于辅助用房一层，危废暂存间采用全封闭式，建设单位应根据危险废物特性设置符合《危险废物贮存污染控制标准》 （GB</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-2001）要求的危险废物暂存场所，具体包括：</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a、严格执行《危险废物转移联单管理办法》和</w:t>
            </w:r>
            <w:r>
              <w:rPr>
                <w:rFonts w:hint="eastAsia" w:ascii="Times New Roman" w:hAnsi="Times New Roman" w:eastAsia="宋体" w:cs="Times New Roman"/>
                <w:sz w:val="24"/>
                <w:lang w:val="en-US" w:eastAsia="zh-CN"/>
              </w:rPr>
              <w:t>《危险废物经营许可证管理办法》</w:t>
            </w:r>
            <w:r>
              <w:rPr>
                <w:rFonts w:ascii="Times New Roman" w:hAnsi="Times New Roman" w:eastAsia="宋体" w:cs="Times New Roman"/>
                <w:sz w:val="24"/>
                <w:lang w:val="en-US"/>
              </w:rPr>
              <w:t>，对进厂、使用、出厂的危险废物量进行统计，并定期向环境保护管理部门报送；</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b、危险废物临时贮存库地面与裙角要用坚固、防渗的材料建造，建筑材料必须与危险废物相容；</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c、危险废物临时贮存库必须有而腐蚀的硬化地面，且表面无裂隙；</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d、危险废物堆放基础防渗，防渗层为至少2毫米厚高密度聚乙烯，渗透系数≤10</w:t>
            </w:r>
            <w:r>
              <w:rPr>
                <w:rFonts w:ascii="Times New Roman" w:hAnsi="Times New Roman" w:eastAsia="宋体" w:cs="Times New Roman"/>
                <w:sz w:val="24"/>
                <w:vertAlign w:val="superscript"/>
                <w:lang w:val="en-US"/>
              </w:rPr>
              <w:t>-10</w:t>
            </w:r>
            <w:r>
              <w:rPr>
                <w:rFonts w:ascii="Times New Roman" w:hAnsi="Times New Roman" w:eastAsia="宋体" w:cs="Times New Roman"/>
                <w:sz w:val="24"/>
                <w:lang w:val="en-US"/>
              </w:rPr>
              <w:t>厘米/秒；</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e、危险废液贮存需设计堵截泄漏的裙脚，地面与裙脚所围建的容积不低于堵截最大窗口的最大储量或总储量的五分之一；</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f、设施内要有安全照明和观察窗口；</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US"/>
              </w:rPr>
              <w:t>g、危险废物临时贮存场要防风、防风、防晒；同时，建设单位应按《中华人民共和国固体废物污染环境防治法》的规定向上级固体废物管理中心如实申报本项目固体废物产生量、拟采取的处置措施及去向，并按该中心的要求对本项目产 生的固体废物特别是危险废物进行全过程严格管理和安全处置。</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6、运营期电磁环境影响</w:t>
            </w:r>
          </w:p>
          <w:p>
            <w:pPr>
              <w:pStyle w:val="49"/>
              <w:spacing w:line="360" w:lineRule="auto"/>
              <w:ind w:firstLine="480" w:firstLineChars="200"/>
              <w:rPr>
                <w:rFonts w:ascii="Times New Roman" w:hAnsi="Times New Roman" w:eastAsia="宋体" w:cs="Times New Roman"/>
                <w:color w:val="FF0000"/>
                <w:sz w:val="24"/>
              </w:rPr>
            </w:pPr>
            <w:r>
              <w:rPr>
                <w:rFonts w:hint="eastAsia" w:ascii="Times New Roman" w:hAnsi="Times New Roman" w:eastAsia="宋体" w:cs="Times New Roman"/>
                <w:color w:val="auto"/>
                <w:sz w:val="24"/>
                <w:lang w:val="en-US" w:eastAsia="zh-CN"/>
              </w:rPr>
              <w:t>根据《环境影响评价技术导则 输变电》（</w:t>
            </w:r>
            <w:r>
              <w:rPr>
                <w:rFonts w:hint="default" w:ascii="Times New Roman" w:hAnsi="Times New Roman" w:eastAsia="宋体" w:cs="Times New Roman"/>
                <w:color w:val="auto"/>
                <w:sz w:val="24"/>
                <w:lang w:val="en-US" w:eastAsia="zh-CN"/>
              </w:rPr>
              <w:t>HJ24-2020</w:t>
            </w:r>
            <w:r>
              <w:rPr>
                <w:rFonts w:hint="eastAsia" w:ascii="Times New Roman" w:hAnsi="Times New Roman" w:eastAsia="宋体" w:cs="Times New Roman"/>
                <w:color w:val="auto"/>
                <w:sz w:val="24"/>
                <w:lang w:val="en-US" w:eastAsia="zh-CN"/>
              </w:rPr>
              <w:t>）中</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，项目属于</w:t>
            </w:r>
            <w:r>
              <w:rPr>
                <w:rFonts w:hint="default" w:ascii="Times New Roman" w:hAnsi="Times New Roman" w:eastAsia="宋体" w:cs="Times New Roman"/>
                <w:color w:val="auto"/>
                <w:sz w:val="24"/>
                <w:lang w:val="en-US" w:eastAsia="zh-CN"/>
              </w:rPr>
              <w:t>220kV</w:t>
            </w:r>
            <w:r>
              <w:rPr>
                <w:rFonts w:hint="eastAsia" w:ascii="Times New Roman" w:hAnsi="Times New Roman" w:eastAsia="宋体" w:cs="Times New Roman"/>
                <w:color w:val="auto"/>
                <w:sz w:val="24"/>
                <w:lang w:val="en-US" w:eastAsia="zh-CN"/>
              </w:rPr>
              <w:t>户外式变电站，电磁环境评价工作等级为二级；根据《环境影响评价技术导则 输变电》（</w:t>
            </w:r>
            <w:r>
              <w:rPr>
                <w:rFonts w:hint="default" w:ascii="Times New Roman" w:hAnsi="Times New Roman" w:eastAsia="宋体" w:cs="Times New Roman"/>
                <w:color w:val="auto"/>
                <w:sz w:val="24"/>
                <w:lang w:val="en-US" w:eastAsia="zh-CN"/>
              </w:rPr>
              <w:t>HJ24-2020</w:t>
            </w:r>
            <w:r>
              <w:rPr>
                <w:rFonts w:hint="eastAsia" w:ascii="Times New Roman" w:hAnsi="Times New Roman" w:eastAsia="宋体" w:cs="Times New Roman"/>
                <w:color w:val="auto"/>
                <w:sz w:val="24"/>
                <w:lang w:val="en-US" w:eastAsia="zh-CN"/>
              </w:rPr>
              <w:t>）中</w:t>
            </w:r>
            <w:r>
              <w:rPr>
                <w:rFonts w:hint="default" w:ascii="Times New Roman" w:hAnsi="Times New Roman" w:eastAsia="宋体" w:cs="Times New Roman"/>
                <w:color w:val="auto"/>
                <w:sz w:val="24"/>
                <w:lang w:val="en-US" w:eastAsia="zh-CN"/>
              </w:rPr>
              <w:t>4.10.2</w:t>
            </w:r>
            <w:r>
              <w:rPr>
                <w:rFonts w:hint="eastAsia" w:ascii="Times New Roman" w:hAnsi="Times New Roman" w:eastAsia="宋体" w:cs="Times New Roman"/>
                <w:color w:val="auto"/>
                <w:sz w:val="24"/>
                <w:lang w:val="en-US" w:eastAsia="zh-CN"/>
              </w:rPr>
              <w:t>要求，变电站等电磁环境影响预测采用类比监测的方式进行预测、评价。</w:t>
            </w:r>
          </w:p>
          <w:p>
            <w:pPr>
              <w:pStyle w:val="49"/>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根据《东川区生态治理及修复光伏电站220kv升压站项目电磁环境影响专题评价》结论，本项目运行后，其对站区周界工频电场强度在</w:t>
            </w:r>
            <w:r>
              <w:rPr>
                <w:rFonts w:hint="default" w:ascii="Times New Roman" w:hAnsi="Times New Roman" w:eastAsia="宋体" w:cs="Times New Roman"/>
                <w:color w:val="auto"/>
                <w:sz w:val="24"/>
                <w:lang w:val="en-US" w:eastAsia="zh-CN"/>
              </w:rPr>
              <w:t>0.3371kV/m~0.3404kV/m</w:t>
            </w:r>
            <w:r>
              <w:rPr>
                <w:rFonts w:hint="eastAsia" w:ascii="Times New Roman" w:hAnsi="Times New Roman" w:eastAsia="宋体" w:cs="Times New Roman"/>
                <w:color w:val="auto"/>
                <w:sz w:val="24"/>
                <w:lang w:val="en-US" w:eastAsia="zh-CN"/>
              </w:rPr>
              <w:t>之间，工频磁感应强度在</w:t>
            </w:r>
            <w:r>
              <w:rPr>
                <w:rFonts w:hint="default" w:ascii="Times New Roman" w:hAnsi="Times New Roman" w:eastAsia="宋体" w:cs="Times New Roman"/>
                <w:color w:val="auto"/>
                <w:sz w:val="24"/>
                <w:lang w:val="en-US" w:eastAsia="zh-CN"/>
              </w:rPr>
              <w:t>0.7154μT~0.7224μT</w:t>
            </w:r>
            <w:r>
              <w:rPr>
                <w:rFonts w:hint="eastAsia" w:ascii="Times New Roman" w:hAnsi="Times New Roman" w:eastAsia="宋体" w:cs="Times New Roman"/>
                <w:color w:val="auto"/>
                <w:sz w:val="24"/>
                <w:lang w:val="en-US" w:eastAsia="zh-CN"/>
              </w:rPr>
              <w:t>之间，满足《电磁环境控制限值》（</w:t>
            </w:r>
            <w:r>
              <w:rPr>
                <w:rFonts w:hint="default" w:ascii="Times New Roman" w:hAnsi="Times New Roman" w:eastAsia="宋体" w:cs="Times New Roman"/>
                <w:color w:val="auto"/>
                <w:sz w:val="24"/>
                <w:lang w:val="en-US" w:eastAsia="zh-CN"/>
              </w:rPr>
              <w:t>GB</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-2014</w:t>
            </w:r>
            <w:r>
              <w:rPr>
                <w:rFonts w:hint="eastAsia" w:ascii="Times New Roman" w:hAnsi="Times New Roman" w:eastAsia="宋体" w:cs="Times New Roman"/>
                <w:color w:val="auto"/>
                <w:sz w:val="24"/>
                <w:lang w:val="en-US" w:eastAsia="zh-CN"/>
              </w:rPr>
              <w:t>）中相关要求。具体内容详见专题评价。</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7、运营期环境风险影响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环境风险评价的目的是分析和预测建设项目存在的潜在危险、有害因素，建设项目建设和运营期间可能发生的突发性事件或事故，引起有毒有害和易燃易爆等物质的泄漏，所造成的人身安全与环境影响和损害程度，提出合理可行的防范、应急与减缓措施，以使建设项目事故率、损失和环境影响达到可接受的水平。本次评价根据《建设项目环境风险评价技术导则》（HJ </w:t>
            </w:r>
            <w:r>
              <w:rPr>
                <w:rFonts w:hint="eastAsia" w:ascii="Times New Roman" w:hAnsi="Times New Roman" w:eastAsia="宋体" w:cs="Times New Roman"/>
                <w:sz w:val="24"/>
                <w:lang w:eastAsia="zh-CN"/>
              </w:rPr>
              <w:t>***</w:t>
            </w:r>
            <w:r>
              <w:rPr>
                <w:rFonts w:ascii="Times New Roman" w:hAnsi="Times New Roman" w:eastAsia="宋体" w:cs="Times New Roman"/>
                <w:sz w:val="24"/>
              </w:rPr>
              <w:t>-2018）要求进行评价。</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（1）风险调查</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本项目涉及的风险物质主要为变压器油，另外项目运营维护过程中产生的少量废</w:t>
            </w:r>
            <w:r>
              <w:rPr>
                <w:rFonts w:ascii="Times New Roman" w:hAnsi="Times New Roman" w:eastAsia="宋体" w:cs="Times New Roman"/>
                <w:sz w:val="24"/>
                <w:lang w:val="en-US"/>
              </w:rPr>
              <w:t>润滑油</w:t>
            </w:r>
            <w:r>
              <w:rPr>
                <w:rFonts w:ascii="Times New Roman" w:hAnsi="Times New Roman" w:eastAsia="宋体" w:cs="Times New Roman"/>
                <w:sz w:val="24"/>
              </w:rPr>
              <w:t>也属于环境风险物质。项目涉及的风险物质储存量具体详见下表。</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表4-</w:t>
            </w:r>
            <w:r>
              <w:rPr>
                <w:rFonts w:ascii="Times New Roman" w:hAnsi="Times New Roman" w:eastAsia="宋体" w:cs="Times New Roman"/>
                <w:b/>
                <w:sz w:val="24"/>
                <w:lang w:val="en-US"/>
              </w:rPr>
              <w:t>11</w:t>
            </w:r>
            <w:r>
              <w:rPr>
                <w:rFonts w:ascii="Times New Roman" w:hAnsi="Times New Roman" w:eastAsia="宋体" w:cs="Times New Roman"/>
                <w:b/>
                <w:sz w:val="24"/>
              </w:rPr>
              <w:t xml:space="preserve">   项目涉及危险物质储存量一览表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078"/>
              <w:gridCol w:w="1014"/>
              <w:gridCol w:w="1567"/>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1889" w:type="dxa"/>
                  <w:gridSpan w:val="2"/>
                  <w:vAlign w:val="center"/>
                </w:tcPr>
                <w:p>
                  <w:pPr>
                    <w:jc w:val="center"/>
                    <w:rPr>
                      <w:b/>
                    </w:rPr>
                  </w:pPr>
                  <w:r>
                    <w:rPr>
                      <w:b/>
                    </w:rPr>
                    <w:t>名称</w:t>
                  </w:r>
                </w:p>
              </w:tc>
              <w:tc>
                <w:tcPr>
                  <w:tcW w:w="1014" w:type="dxa"/>
                  <w:vAlign w:val="center"/>
                </w:tcPr>
                <w:p>
                  <w:pPr>
                    <w:jc w:val="center"/>
                    <w:rPr>
                      <w:b/>
                    </w:rPr>
                  </w:pPr>
                  <w:r>
                    <w:rPr>
                      <w:b/>
                    </w:rPr>
                    <w:t>形态</w:t>
                  </w:r>
                </w:p>
              </w:tc>
              <w:tc>
                <w:tcPr>
                  <w:tcW w:w="1567" w:type="dxa"/>
                  <w:vAlign w:val="center"/>
                </w:tcPr>
                <w:p>
                  <w:pPr>
                    <w:jc w:val="center"/>
                    <w:rPr>
                      <w:b/>
                    </w:rPr>
                  </w:pPr>
                  <w:r>
                    <w:rPr>
                      <w:b/>
                    </w:rPr>
                    <w:t>最大贮存量</w:t>
                  </w:r>
                </w:p>
              </w:tc>
              <w:tc>
                <w:tcPr>
                  <w:tcW w:w="4378" w:type="dxa"/>
                  <w:vAlign w:val="center"/>
                </w:tcPr>
                <w:p>
                  <w:pPr>
                    <w:jc w:val="center"/>
                    <w:rPr>
                      <w:b/>
                    </w:rPr>
                  </w:pPr>
                  <w:r>
                    <w:rPr>
                      <w:b/>
                    </w:rPr>
                    <w:t>贮存位置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11" w:type="dxa"/>
                  <w:vMerge w:val="restart"/>
                  <w:vAlign w:val="center"/>
                </w:tcPr>
                <w:p>
                  <w:pPr>
                    <w:jc w:val="center"/>
                    <w:rPr>
                      <w:sz w:val="24"/>
                    </w:rPr>
                  </w:pPr>
                  <w:r>
                    <w:t>变压器油</w:t>
                  </w:r>
                </w:p>
              </w:tc>
              <w:tc>
                <w:tcPr>
                  <w:tcW w:w="1078" w:type="dxa"/>
                  <w:vAlign w:val="center"/>
                </w:tcPr>
                <w:p>
                  <w:pPr>
                    <w:jc w:val="center"/>
                  </w:pPr>
                  <w:r>
                    <w:t>主变压器油</w:t>
                  </w:r>
                </w:p>
              </w:tc>
              <w:tc>
                <w:tcPr>
                  <w:tcW w:w="1014" w:type="dxa"/>
                  <w:vMerge w:val="restart"/>
                  <w:vAlign w:val="center"/>
                </w:tcPr>
                <w:p>
                  <w:pPr>
                    <w:jc w:val="center"/>
                  </w:pPr>
                  <w:r>
                    <w:t>液态</w:t>
                  </w:r>
                </w:p>
              </w:tc>
              <w:tc>
                <w:tcPr>
                  <w:tcW w:w="1567" w:type="dxa"/>
                  <w:vAlign w:val="center"/>
                </w:tcPr>
                <w:p>
                  <w:pPr>
                    <w:jc w:val="center"/>
                  </w:pPr>
                  <w:r>
                    <w:t>36t</w:t>
                  </w:r>
                </w:p>
              </w:tc>
              <w:tc>
                <w:tcPr>
                  <w:tcW w:w="4378" w:type="dxa"/>
                  <w:vAlign w:val="center"/>
                </w:tcPr>
                <w:p>
                  <w:pPr>
                    <w:jc w:val="center"/>
                  </w:pPr>
                  <w:r>
                    <w:t>主变压器内、事故油池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1" w:type="dxa"/>
                  <w:vMerge w:val="continue"/>
                  <w:vAlign w:val="center"/>
                </w:tcPr>
                <w:p>
                  <w:pPr>
                    <w:jc w:val="center"/>
                    <w:rPr>
                      <w:sz w:val="24"/>
                    </w:rPr>
                  </w:pPr>
                </w:p>
              </w:tc>
              <w:tc>
                <w:tcPr>
                  <w:tcW w:w="1078" w:type="dxa"/>
                  <w:vAlign w:val="center"/>
                </w:tcPr>
                <w:p>
                  <w:pPr>
                    <w:jc w:val="center"/>
                  </w:pPr>
                  <w:r>
                    <w:t>新变压器油</w:t>
                  </w:r>
                </w:p>
              </w:tc>
              <w:tc>
                <w:tcPr>
                  <w:tcW w:w="1014" w:type="dxa"/>
                  <w:vMerge w:val="continue"/>
                  <w:vAlign w:val="center"/>
                </w:tcPr>
                <w:p>
                  <w:pPr>
                    <w:jc w:val="center"/>
                    <w:rPr>
                      <w:sz w:val="24"/>
                    </w:rPr>
                  </w:pPr>
                </w:p>
              </w:tc>
              <w:tc>
                <w:tcPr>
                  <w:tcW w:w="1567" w:type="dxa"/>
                  <w:vAlign w:val="center"/>
                </w:tcPr>
                <w:p>
                  <w:pPr>
                    <w:jc w:val="center"/>
                  </w:pPr>
                  <w:r>
                    <w:t>170kg×10（桶装）</w:t>
                  </w:r>
                </w:p>
              </w:tc>
              <w:tc>
                <w:tcPr>
                  <w:tcW w:w="4378" w:type="dxa"/>
                  <w:vAlign w:val="center"/>
                </w:tcPr>
                <w:p>
                  <w:pPr>
                    <w:jc w:val="center"/>
                  </w:pPr>
                  <w:r>
                    <w:t>存于仓库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889" w:type="dxa"/>
                  <w:gridSpan w:val="2"/>
                  <w:vAlign w:val="center"/>
                </w:tcPr>
                <w:p>
                  <w:pPr>
                    <w:jc w:val="center"/>
                  </w:pPr>
                  <w:r>
                    <w:t>废润滑油</w:t>
                  </w:r>
                </w:p>
              </w:tc>
              <w:tc>
                <w:tcPr>
                  <w:tcW w:w="1014" w:type="dxa"/>
                  <w:vAlign w:val="center"/>
                </w:tcPr>
                <w:p>
                  <w:pPr>
                    <w:jc w:val="center"/>
                    <w:rPr>
                      <w:sz w:val="24"/>
                    </w:rPr>
                  </w:pPr>
                  <w:r>
                    <w:t>液态</w:t>
                  </w:r>
                </w:p>
              </w:tc>
              <w:tc>
                <w:tcPr>
                  <w:tcW w:w="1567" w:type="dxa"/>
                  <w:vAlign w:val="center"/>
                </w:tcPr>
                <w:p>
                  <w:pPr>
                    <w:jc w:val="center"/>
                  </w:pPr>
                  <w:r>
                    <w:t>0.1t（桶装）</w:t>
                  </w:r>
                </w:p>
              </w:tc>
              <w:tc>
                <w:tcPr>
                  <w:tcW w:w="4378" w:type="dxa"/>
                  <w:vAlign w:val="center"/>
                </w:tcPr>
                <w:p>
                  <w:pPr>
                    <w:jc w:val="center"/>
                  </w:pPr>
                  <w: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trPr>
              <w:tc>
                <w:tcPr>
                  <w:tcW w:w="1889" w:type="dxa"/>
                  <w:gridSpan w:val="2"/>
                  <w:vAlign w:val="center"/>
                </w:tcPr>
                <w:p>
                  <w:pPr>
                    <w:jc w:val="center"/>
                    <w:rPr>
                      <w:color w:val="auto"/>
                    </w:rPr>
                  </w:pPr>
                  <w:r>
                    <w:rPr>
                      <w:color w:val="auto"/>
                    </w:rPr>
                    <w:t>废弃铅酸电池</w:t>
                  </w:r>
                </w:p>
              </w:tc>
              <w:tc>
                <w:tcPr>
                  <w:tcW w:w="1014" w:type="dxa"/>
                  <w:vAlign w:val="center"/>
                </w:tcPr>
                <w:p>
                  <w:pPr>
                    <w:jc w:val="center"/>
                    <w:rPr>
                      <w:color w:val="auto"/>
                    </w:rPr>
                  </w:pPr>
                  <w:r>
                    <w:rPr>
                      <w:color w:val="auto"/>
                    </w:rPr>
                    <w:t>固体、液体</w:t>
                  </w:r>
                </w:p>
              </w:tc>
              <w:tc>
                <w:tcPr>
                  <w:tcW w:w="1567" w:type="dxa"/>
                  <w:vAlign w:val="center"/>
                </w:tcPr>
                <w:p>
                  <w:pPr>
                    <w:jc w:val="center"/>
                    <w:rPr>
                      <w:color w:val="auto"/>
                    </w:rPr>
                  </w:pPr>
                  <w:r>
                    <w:rPr>
                      <w:color w:val="auto"/>
                    </w:rPr>
                    <w:t>200kg</w:t>
                  </w:r>
                </w:p>
              </w:tc>
              <w:tc>
                <w:tcPr>
                  <w:tcW w:w="4378" w:type="dxa"/>
                  <w:vAlign w:val="center"/>
                </w:tcPr>
                <w:p>
                  <w:pPr>
                    <w:jc w:val="center"/>
                  </w:pPr>
                  <w:r>
                    <w:t>铅酸蓄电池室（仅使用过程中储存，使用废弃之后不在厂区内存储）</w:t>
                  </w:r>
                </w:p>
              </w:tc>
            </w:tr>
          </w:tbl>
          <w:p>
            <w:pPr>
              <w:spacing w:line="360" w:lineRule="auto"/>
              <w:ind w:firstLine="480" w:firstLineChars="200"/>
              <w:jc w:val="left"/>
              <w:rPr>
                <w:sz w:val="24"/>
              </w:rPr>
            </w:pPr>
            <w:r>
              <w:rPr>
                <w:sz w:val="24"/>
              </w:rPr>
              <w:t>本项目所涉及的环境风险物质的危险特性及理化性质如下：</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表4-</w:t>
            </w:r>
            <w:r>
              <w:rPr>
                <w:rFonts w:ascii="Times New Roman" w:hAnsi="Times New Roman" w:eastAsia="宋体" w:cs="Times New Roman"/>
                <w:b/>
                <w:sz w:val="24"/>
                <w:lang w:val="en-US"/>
              </w:rPr>
              <w:t>12</w:t>
            </w:r>
            <w:r>
              <w:rPr>
                <w:rFonts w:ascii="Times New Roman" w:hAnsi="Times New Roman" w:eastAsia="宋体" w:cs="Times New Roman"/>
                <w:b/>
                <w:sz w:val="24"/>
              </w:rPr>
              <w:t xml:space="preserve">   项目涉及危险物质特性表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133"/>
              <w:gridCol w:w="1558"/>
              <w:gridCol w:w="4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871" w:type="dxa"/>
                  <w:vAlign w:val="center"/>
                </w:tcPr>
                <w:p>
                  <w:pPr>
                    <w:jc w:val="center"/>
                    <w:rPr>
                      <w:b/>
                    </w:rPr>
                  </w:pPr>
                  <w:r>
                    <w:rPr>
                      <w:b/>
                    </w:rPr>
                    <w:t>名称</w:t>
                  </w:r>
                </w:p>
              </w:tc>
              <w:tc>
                <w:tcPr>
                  <w:tcW w:w="1133" w:type="dxa"/>
                  <w:vAlign w:val="center"/>
                </w:tcPr>
                <w:p>
                  <w:pPr>
                    <w:jc w:val="center"/>
                    <w:rPr>
                      <w:b/>
                    </w:rPr>
                  </w:pPr>
                  <w:r>
                    <w:rPr>
                      <w:b/>
                    </w:rPr>
                    <w:t>风险特性</w:t>
                  </w:r>
                </w:p>
              </w:tc>
              <w:tc>
                <w:tcPr>
                  <w:tcW w:w="1558" w:type="dxa"/>
                  <w:vAlign w:val="center"/>
                </w:tcPr>
                <w:p>
                  <w:pPr>
                    <w:jc w:val="center"/>
                    <w:rPr>
                      <w:b/>
                    </w:rPr>
                  </w:pPr>
                  <w:r>
                    <w:rPr>
                      <w:b/>
                    </w:rPr>
                    <w:t>危险物质类别</w:t>
                  </w:r>
                </w:p>
              </w:tc>
              <w:tc>
                <w:tcPr>
                  <w:tcW w:w="4286" w:type="dxa"/>
                  <w:vAlign w:val="center"/>
                </w:tcPr>
                <w:p>
                  <w:pPr>
                    <w:jc w:val="center"/>
                    <w:rPr>
                      <w:b/>
                    </w:rPr>
                  </w:pPr>
                  <w:r>
                    <w:rPr>
                      <w:b/>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71" w:type="dxa"/>
                  <w:vAlign w:val="center"/>
                </w:tcPr>
                <w:p>
                  <w:pPr>
                    <w:jc w:val="center"/>
                  </w:pPr>
                  <w:r>
                    <w:t>变压器油/废矿物油/废润滑油</w:t>
                  </w:r>
                </w:p>
              </w:tc>
              <w:tc>
                <w:tcPr>
                  <w:tcW w:w="1133" w:type="dxa"/>
                  <w:vAlign w:val="center"/>
                </w:tcPr>
                <w:p>
                  <w:pPr>
                    <w:jc w:val="center"/>
                  </w:pPr>
                  <w:r>
                    <w:t>易燃、爆炸</w:t>
                  </w:r>
                </w:p>
              </w:tc>
              <w:tc>
                <w:tcPr>
                  <w:tcW w:w="1558" w:type="dxa"/>
                  <w:vAlign w:val="center"/>
                </w:tcPr>
                <w:p>
                  <w:pPr>
                    <w:jc w:val="center"/>
                  </w:pPr>
                  <w:r>
                    <w:t>可燃物质</w:t>
                  </w:r>
                </w:p>
              </w:tc>
              <w:tc>
                <w:tcPr>
                  <w:tcW w:w="4286" w:type="dxa"/>
                  <w:vAlign w:val="center"/>
                </w:tcPr>
                <w:p>
                  <w:pPr>
                    <w:jc w:val="center"/>
                  </w:pPr>
                  <w:r>
                    <w:t>外观与性状：稍有粘稠半透明液体；</w:t>
                  </w:r>
                </w:p>
                <w:p>
                  <w:pPr>
                    <w:jc w:val="center"/>
                  </w:pPr>
                  <w:r>
                    <w:t>相对密度（水=1）：0.86~0.895；</w:t>
                  </w:r>
                </w:p>
                <w:p>
                  <w:pPr>
                    <w:jc w:val="center"/>
                  </w:pPr>
                  <w:r>
                    <w:t>相对蒸气密度（空气=1）：1.4；</w:t>
                  </w:r>
                </w:p>
                <w:p>
                  <w:pPr>
                    <w:jc w:val="center"/>
                  </w:pPr>
                  <w:r>
                    <w:t>闪点（℃）：≥135；</w:t>
                  </w:r>
                </w:p>
                <w:p>
                  <w:pPr>
                    <w:jc w:val="center"/>
                  </w:pPr>
                  <w:r>
                    <w:t>溶解性：不溶于水。</w:t>
                  </w:r>
                </w:p>
                <w:p>
                  <w:pPr>
                    <w:jc w:val="center"/>
                  </w:pPr>
                  <w:r>
                    <w:t>火灾类别：丙类，可燃液体。</w:t>
                  </w:r>
                </w:p>
                <w:p>
                  <w:pPr>
                    <w:jc w:val="center"/>
                  </w:pPr>
                  <w:r>
                    <w:t>急性毒性：大鼠吸入LC</w:t>
                  </w:r>
                  <w:r>
                    <w:rPr>
                      <w:sz w:val="14"/>
                    </w:rPr>
                    <w:t>50</w:t>
                  </w:r>
                  <w:r>
                    <w:t>：300000mg/ml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71" w:type="dxa"/>
                  <w:vAlign w:val="center"/>
                </w:tcPr>
                <w:p>
                  <w:pPr>
                    <w:jc w:val="center"/>
                    <w:rPr>
                      <w:color w:val="auto"/>
                    </w:rPr>
                  </w:pPr>
                  <w:r>
                    <w:rPr>
                      <w:color w:val="auto"/>
                    </w:rPr>
                    <w:t>废弃铅酸电池</w:t>
                  </w:r>
                </w:p>
              </w:tc>
              <w:tc>
                <w:tcPr>
                  <w:tcW w:w="2691" w:type="dxa"/>
                  <w:gridSpan w:val="2"/>
                  <w:vAlign w:val="center"/>
                </w:tcPr>
                <w:p>
                  <w:pPr>
                    <w:jc w:val="center"/>
                    <w:rPr>
                      <w:color w:val="auto"/>
                    </w:rPr>
                  </w:pPr>
                  <w:r>
                    <w:rPr>
                      <w:color w:val="auto"/>
                    </w:rPr>
                    <w:t>酸性介质、腐蚀性</w:t>
                  </w:r>
                </w:p>
              </w:tc>
              <w:tc>
                <w:tcPr>
                  <w:tcW w:w="4286" w:type="dxa"/>
                  <w:vAlign w:val="center"/>
                </w:tcPr>
                <w:p>
                  <w:pPr>
                    <w:jc w:val="center"/>
                    <w:rPr>
                      <w:color w:val="auto"/>
                    </w:rPr>
                  </w:pPr>
                  <w:r>
                    <w:rPr>
                      <w:color w:val="auto"/>
                    </w:rPr>
                    <w:t>内部酸性介质外溢造成腐蚀，主要成分为硫酸，</w:t>
                  </w:r>
                </w:p>
                <w:p>
                  <w:pPr>
                    <w:jc w:val="center"/>
                    <w:rPr>
                      <w:color w:val="auto"/>
                    </w:rPr>
                  </w:pPr>
                  <w:r>
                    <w:rPr>
                      <w:color w:val="auto"/>
                    </w:rPr>
                    <w:t>外观：纯品为无色透明油状液体，无臭；</w:t>
                  </w:r>
                </w:p>
                <w:p>
                  <w:pPr>
                    <w:jc w:val="center"/>
                    <w:rPr>
                      <w:color w:val="auto"/>
                    </w:rPr>
                  </w:pPr>
                  <w:r>
                    <w:rPr>
                      <w:color w:val="auto"/>
                    </w:rPr>
                    <w:t>相对密度（水=1）：1.83；</w:t>
                  </w:r>
                </w:p>
                <w:p>
                  <w:pPr>
                    <w:jc w:val="center"/>
                    <w:rPr>
                      <w:color w:val="auto"/>
                    </w:rPr>
                  </w:pPr>
                  <w:r>
                    <w:rPr>
                      <w:color w:val="auto"/>
                    </w:rPr>
                    <w:t>相对蒸气密度（空气=1）：3.4；</w:t>
                  </w:r>
                </w:p>
                <w:p>
                  <w:pPr>
                    <w:jc w:val="center"/>
                    <w:rPr>
                      <w:color w:val="auto"/>
                    </w:rPr>
                  </w:pPr>
                  <w:r>
                    <w:rPr>
                      <w:color w:val="auto"/>
                    </w:rPr>
                    <w:t>溶解性：于水混溶。</w:t>
                  </w:r>
                </w:p>
                <w:p>
                  <w:pPr>
                    <w:jc w:val="center"/>
                    <w:rPr>
                      <w:color w:val="auto"/>
                    </w:rPr>
                  </w:pPr>
                  <w:r>
                    <w:rPr>
                      <w:color w:val="auto"/>
                    </w:rPr>
                    <w:t>急性毒性：大叔吸入LC</w:t>
                  </w:r>
                  <w:r>
                    <w:rPr>
                      <w:color w:val="auto"/>
                      <w:sz w:val="14"/>
                    </w:rPr>
                    <w:t>50</w:t>
                  </w:r>
                  <w:r>
                    <w:rPr>
                      <w:color w:val="auto"/>
                    </w:rPr>
                    <w:t>：2140mg/kg</w:t>
                  </w:r>
                </w:p>
              </w:tc>
            </w:tr>
          </w:tbl>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（2）环境敏感目标概况</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存在的风险物质发生泄漏或泄漏事故发生后燃烧、爆炸产生的次生污染物，可能对区域大气环境、地表水环境及地下水环境产生影响，项目环境风险敏感目详见“项目环境保护目标一览表”，同时为防止地下水污染，增加项目区浅层地下水作为保护目标。</w:t>
            </w:r>
          </w:p>
          <w:p>
            <w:pPr>
              <w:pStyle w:val="49"/>
              <w:wordWrap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（3）风险潜势初判及评价等级</w:t>
            </w:r>
          </w:p>
          <w:p>
            <w:pPr>
              <w:pStyle w:val="49"/>
              <w:wordWrap w:val="0"/>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根据《建设项目环境风险评价技术导则》（HJ</w:t>
            </w:r>
            <w:r>
              <w:rPr>
                <w:rFonts w:hint="eastAsia" w:ascii="Times New Roman" w:hAnsi="Times New Roman" w:eastAsia="宋体" w:cs="Times New Roman"/>
                <w:sz w:val="24"/>
                <w:lang w:eastAsia="zh-CN"/>
              </w:rPr>
              <w:t>***</w:t>
            </w:r>
            <w:r>
              <w:rPr>
                <w:rFonts w:ascii="Times New Roman" w:hAnsi="Times New Roman" w:eastAsia="宋体" w:cs="Times New Roman"/>
                <w:sz w:val="24"/>
              </w:rPr>
              <w:t>－2018），环境风险评价工作等级见下表：</w:t>
            </w:r>
          </w:p>
          <w:p>
            <w:pPr>
              <w:pStyle w:val="49"/>
              <w:wordWrap w:val="0"/>
              <w:spacing w:line="360" w:lineRule="auto"/>
              <w:jc w:val="center"/>
              <w:rPr>
                <w:rFonts w:ascii="Times New Roman" w:hAnsi="Times New Roman" w:eastAsia="宋体" w:cs="Times New Roman"/>
                <w:b/>
                <w:sz w:val="24"/>
                <w:lang w:val="en-US"/>
              </w:rPr>
            </w:pPr>
            <w:r>
              <w:rPr>
                <w:rFonts w:ascii="Times New Roman" w:hAnsi="Times New Roman" w:eastAsia="宋体" w:cs="Times New Roman"/>
                <w:b/>
                <w:sz w:val="24"/>
              </w:rPr>
              <w:t>表4-</w:t>
            </w:r>
            <w:r>
              <w:rPr>
                <w:rFonts w:ascii="Times New Roman" w:hAnsi="Times New Roman" w:eastAsia="宋体" w:cs="Times New Roman"/>
                <w:b/>
                <w:sz w:val="24"/>
                <w:lang w:val="en-US"/>
              </w:rPr>
              <w:t xml:space="preserve">13 </w:t>
            </w:r>
            <w:r>
              <w:rPr>
                <w:rFonts w:ascii="Times New Roman" w:hAnsi="Times New Roman" w:eastAsia="宋体" w:cs="Times New Roman"/>
                <w:b/>
                <w:sz w:val="24"/>
              </w:rPr>
              <w:t xml:space="preserve">  评价工作等级划分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1952"/>
              <w:gridCol w:w="938"/>
              <w:gridCol w:w="93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775" w:type="dxa"/>
                  <w:vAlign w:val="center"/>
                </w:tcPr>
                <w:p>
                  <w:pPr>
                    <w:jc w:val="center"/>
                    <w:rPr>
                      <w:b/>
                    </w:rPr>
                  </w:pPr>
                  <w:r>
                    <w:rPr>
                      <w:b/>
                    </w:rPr>
                    <w:t>环境风险潜势</w:t>
                  </w:r>
                </w:p>
              </w:tc>
              <w:tc>
                <w:tcPr>
                  <w:tcW w:w="1952" w:type="dxa"/>
                  <w:vAlign w:val="center"/>
                </w:tcPr>
                <w:p>
                  <w:pPr>
                    <w:jc w:val="center"/>
                    <w:rPr>
                      <w:b/>
                    </w:rPr>
                  </w:pPr>
                  <w:r>
                    <w:rPr>
                      <w:b/>
                    </w:rPr>
                    <w:t>Ⅳ、Ⅳ+</w:t>
                  </w:r>
                </w:p>
              </w:tc>
              <w:tc>
                <w:tcPr>
                  <w:tcW w:w="938" w:type="dxa"/>
                  <w:vAlign w:val="center"/>
                </w:tcPr>
                <w:p>
                  <w:pPr>
                    <w:jc w:val="center"/>
                    <w:rPr>
                      <w:b/>
                    </w:rPr>
                  </w:pPr>
                  <w:r>
                    <w:rPr>
                      <w:b/>
                    </w:rPr>
                    <w:t>Ⅲ</w:t>
                  </w:r>
                </w:p>
              </w:tc>
              <w:tc>
                <w:tcPr>
                  <w:tcW w:w="938" w:type="dxa"/>
                  <w:vAlign w:val="center"/>
                </w:tcPr>
                <w:p>
                  <w:pPr>
                    <w:jc w:val="center"/>
                    <w:rPr>
                      <w:b/>
                    </w:rPr>
                  </w:pPr>
                  <w:r>
                    <w:rPr>
                      <w:b/>
                    </w:rPr>
                    <w:t>Ⅱ</w:t>
                  </w:r>
                </w:p>
              </w:tc>
              <w:tc>
                <w:tcPr>
                  <w:tcW w:w="2245" w:type="dxa"/>
                  <w:vAlign w:val="center"/>
                </w:tcPr>
                <w:p>
                  <w:pPr>
                    <w:jc w:val="center"/>
                    <w:rPr>
                      <w:b/>
                    </w:rPr>
                  </w:pPr>
                  <w:r>
                    <w:rPr>
                      <w:b/>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775" w:type="dxa"/>
                  <w:vAlign w:val="center"/>
                </w:tcPr>
                <w:p>
                  <w:pPr>
                    <w:jc w:val="center"/>
                  </w:pPr>
                  <w:r>
                    <w:t>评价工作等级</w:t>
                  </w:r>
                </w:p>
              </w:tc>
              <w:tc>
                <w:tcPr>
                  <w:tcW w:w="1952" w:type="dxa"/>
                  <w:vAlign w:val="center"/>
                </w:tcPr>
                <w:p>
                  <w:pPr>
                    <w:jc w:val="center"/>
                  </w:pPr>
                  <w:r>
                    <w:t>一</w:t>
                  </w:r>
                </w:p>
              </w:tc>
              <w:tc>
                <w:tcPr>
                  <w:tcW w:w="938" w:type="dxa"/>
                  <w:vAlign w:val="center"/>
                </w:tcPr>
                <w:p>
                  <w:pPr>
                    <w:jc w:val="center"/>
                  </w:pPr>
                  <w:r>
                    <w:t>二</w:t>
                  </w:r>
                </w:p>
              </w:tc>
              <w:tc>
                <w:tcPr>
                  <w:tcW w:w="938" w:type="dxa"/>
                  <w:vAlign w:val="center"/>
                </w:tcPr>
                <w:p>
                  <w:pPr>
                    <w:jc w:val="center"/>
                  </w:pPr>
                  <w:r>
                    <w:t>三</w:t>
                  </w:r>
                </w:p>
              </w:tc>
              <w:tc>
                <w:tcPr>
                  <w:tcW w:w="2245" w:type="dxa"/>
                  <w:vAlign w:val="center"/>
                </w:tcPr>
                <w:p>
                  <w:pPr>
                    <w:jc w:val="center"/>
                    <w:rPr>
                      <w:sz w:val="14"/>
                    </w:rPr>
                  </w:pPr>
                  <w:r>
                    <w:t>简单分析</w:t>
                  </w:r>
                  <w:r>
                    <w:rPr>
                      <w:sz w:val="1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848" w:type="dxa"/>
                  <w:gridSpan w:val="5"/>
                  <w:vAlign w:val="center"/>
                </w:tcPr>
                <w:p>
                  <w:pPr>
                    <w:jc w:val="center"/>
                  </w:pPr>
                  <w:r>
                    <w:t>a是相对于详细评价工作内容而言，在描述危险物质、环境影响途径、环境危害后果、风险防范措施等方面给出定性的说明</w:t>
                  </w:r>
                </w:p>
              </w:tc>
            </w:tr>
          </w:tbl>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项目所涉及的每种危险物质在厂界内的最大存在总量与对应临界量的比值为Q，当只涉及一种危险物质时，计算该物质的总量与其临界量比值，当存在多种危险物质时，按下列公式计算Q：</w:t>
            </w:r>
          </w:p>
          <w:p>
            <w:pPr>
              <w:pStyle w:val="49"/>
              <w:spacing w:line="360" w:lineRule="auto"/>
              <w:ind w:firstLine="420" w:firstLineChars="200"/>
              <w:jc w:val="center"/>
              <w:rPr>
                <w:rFonts w:ascii="Times New Roman" w:hAnsi="Times New Roman" w:eastAsia="宋体" w:cs="Times New Roman"/>
                <w:sz w:val="23"/>
                <w:lang w:val="en-US"/>
              </w:rPr>
            </w:pPr>
            <w:r>
              <w:rPr>
                <w:rFonts w:ascii="Times New Roman" w:hAnsi="Times New Roman" w:eastAsia="宋体" w:cs="Times New Roman"/>
                <w:lang w:val="en-US" w:bidi="ar-SA"/>
              </w:rPr>
              <w:drawing>
                <wp:inline distT="0" distB="0" distL="0" distR="0">
                  <wp:extent cx="1752600" cy="55245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52600" cy="552450"/>
                          </a:xfrm>
                          <a:prstGeom prst="rect">
                            <a:avLst/>
                          </a:prstGeom>
                          <a:noFill/>
                          <a:ln>
                            <a:noFill/>
                          </a:ln>
                        </pic:spPr>
                      </pic:pic>
                    </a:graphicData>
                  </a:graphic>
                </wp:inline>
              </w:drawing>
            </w:r>
          </w:p>
          <w:p>
            <w:pPr>
              <w:pStyle w:val="49"/>
              <w:spacing w:line="360" w:lineRule="auto"/>
              <w:ind w:firstLine="480" w:firstLineChars="200"/>
              <w:jc w:val="left"/>
              <w:rPr>
                <w:rFonts w:ascii="Times New Roman" w:hAnsi="Times New Roman" w:eastAsia="宋体" w:cs="Times New Roman"/>
                <w:sz w:val="24"/>
                <w:lang w:val="en-US"/>
              </w:rPr>
            </w:pPr>
            <w:r>
              <w:rPr>
                <w:rFonts w:ascii="Times New Roman" w:hAnsi="Times New Roman" w:eastAsia="宋体" w:cs="Times New Roman"/>
                <w:sz w:val="24"/>
                <w:lang w:val="en-US"/>
              </w:rPr>
              <w:t>式中：q</w:t>
            </w:r>
            <w:r>
              <w:rPr>
                <w:rFonts w:ascii="Times New Roman" w:hAnsi="Times New Roman" w:eastAsia="宋体" w:cs="Times New Roman"/>
                <w:sz w:val="24"/>
                <w:vertAlign w:val="subscript"/>
                <w:lang w:val="en-US"/>
              </w:rPr>
              <w:t>1</w:t>
            </w:r>
            <w:r>
              <w:rPr>
                <w:rFonts w:ascii="Times New Roman" w:hAnsi="Times New Roman" w:eastAsia="宋体" w:cs="Times New Roman"/>
                <w:sz w:val="24"/>
                <w:lang w:val="en-US"/>
              </w:rPr>
              <w:t>、q</w:t>
            </w:r>
            <w:r>
              <w:rPr>
                <w:rFonts w:ascii="Times New Roman" w:hAnsi="Times New Roman" w:eastAsia="宋体" w:cs="Times New Roman"/>
                <w:sz w:val="24"/>
                <w:vertAlign w:val="subscript"/>
                <w:lang w:val="en-US"/>
              </w:rPr>
              <w:t>2</w:t>
            </w:r>
            <w:r>
              <w:rPr>
                <w:rFonts w:ascii="Times New Roman" w:hAnsi="Times New Roman" w:eastAsia="宋体" w:cs="Times New Roman"/>
                <w:sz w:val="24"/>
                <w:lang w:val="en-US"/>
              </w:rPr>
              <w:t>...q</w:t>
            </w:r>
            <w:r>
              <w:rPr>
                <w:rFonts w:ascii="Times New Roman" w:hAnsi="Times New Roman" w:eastAsia="宋体" w:cs="Times New Roman"/>
                <w:sz w:val="24"/>
                <w:vertAlign w:val="subscript"/>
                <w:lang w:val="en-US"/>
              </w:rPr>
              <w:t>n</w:t>
            </w:r>
            <w:r>
              <w:rPr>
                <w:rFonts w:ascii="Times New Roman" w:hAnsi="Times New Roman" w:eastAsia="宋体" w:cs="Times New Roman"/>
                <w:sz w:val="24"/>
                <w:lang w:val="en-US"/>
              </w:rPr>
              <w:t>—每种危险物质的最大存在量，t。</w:t>
            </w:r>
          </w:p>
          <w:p>
            <w:pPr>
              <w:pStyle w:val="49"/>
              <w:spacing w:line="360" w:lineRule="auto"/>
              <w:ind w:firstLine="1200" w:firstLineChars="500"/>
              <w:jc w:val="left"/>
              <w:rPr>
                <w:rFonts w:ascii="Times New Roman" w:hAnsi="Times New Roman" w:eastAsia="宋体" w:cs="Times New Roman"/>
                <w:sz w:val="24"/>
                <w:lang w:val="en-US"/>
              </w:rPr>
            </w:pPr>
            <w:r>
              <w:rPr>
                <w:rFonts w:ascii="Times New Roman" w:hAnsi="Times New Roman" w:eastAsia="宋体" w:cs="Times New Roman"/>
                <w:sz w:val="24"/>
                <w:lang w:val="en-US"/>
              </w:rPr>
              <w:t>Q</w:t>
            </w:r>
            <w:r>
              <w:rPr>
                <w:rFonts w:ascii="Times New Roman" w:hAnsi="Times New Roman" w:eastAsia="宋体" w:cs="Times New Roman"/>
                <w:sz w:val="24"/>
                <w:vertAlign w:val="subscript"/>
                <w:lang w:val="en-US"/>
              </w:rPr>
              <w:t>1</w:t>
            </w:r>
            <w:r>
              <w:rPr>
                <w:rFonts w:ascii="Times New Roman" w:hAnsi="Times New Roman" w:eastAsia="宋体" w:cs="Times New Roman"/>
                <w:sz w:val="24"/>
                <w:lang w:val="en-US"/>
              </w:rPr>
              <w:t>、Q</w:t>
            </w:r>
            <w:r>
              <w:rPr>
                <w:rFonts w:ascii="Times New Roman" w:hAnsi="Times New Roman" w:eastAsia="宋体" w:cs="Times New Roman"/>
                <w:sz w:val="24"/>
                <w:vertAlign w:val="subscript"/>
                <w:lang w:val="en-US"/>
              </w:rPr>
              <w:t>2</w:t>
            </w:r>
            <w:r>
              <w:rPr>
                <w:rFonts w:ascii="Times New Roman" w:hAnsi="Times New Roman" w:eastAsia="宋体" w:cs="Times New Roman"/>
                <w:sz w:val="24"/>
                <w:lang w:val="en-US"/>
              </w:rPr>
              <w:t>…Q</w:t>
            </w:r>
            <w:r>
              <w:rPr>
                <w:rFonts w:ascii="Times New Roman" w:hAnsi="Times New Roman" w:eastAsia="宋体" w:cs="Times New Roman"/>
                <w:sz w:val="24"/>
                <w:vertAlign w:val="subscript"/>
                <w:lang w:val="en-US"/>
              </w:rPr>
              <w:t>n</w:t>
            </w:r>
            <w:r>
              <w:rPr>
                <w:rFonts w:ascii="Times New Roman" w:hAnsi="Times New Roman" w:eastAsia="宋体" w:cs="Times New Roman"/>
                <w:sz w:val="24"/>
                <w:lang w:val="en-US"/>
              </w:rPr>
              <w:t>—每种危险物质的临界量，t。</w:t>
            </w:r>
          </w:p>
          <w:p>
            <w:pPr>
              <w:pStyle w:val="49"/>
              <w:spacing w:line="360" w:lineRule="auto"/>
              <w:ind w:firstLine="480" w:firstLineChars="200"/>
              <w:jc w:val="left"/>
              <w:rPr>
                <w:rFonts w:ascii="Times New Roman" w:hAnsi="Times New Roman" w:eastAsia="宋体" w:cs="Times New Roman"/>
                <w:sz w:val="24"/>
                <w:lang w:val="en-US"/>
              </w:rPr>
            </w:pPr>
            <w:r>
              <w:rPr>
                <w:rFonts w:ascii="Times New Roman" w:hAnsi="Times New Roman" w:eastAsia="宋体" w:cs="Times New Roman"/>
                <w:sz w:val="24"/>
                <w:lang w:val="en-US"/>
              </w:rPr>
              <w:t>当Q&lt;1时，该项目环境风险潜势为Ⅰ。</w:t>
            </w:r>
          </w:p>
          <w:p>
            <w:pPr>
              <w:pStyle w:val="49"/>
              <w:spacing w:line="360" w:lineRule="auto"/>
              <w:ind w:firstLine="480" w:firstLineChars="200"/>
              <w:jc w:val="left"/>
              <w:rPr>
                <w:rFonts w:ascii="Times New Roman" w:hAnsi="Times New Roman" w:eastAsia="宋体" w:cs="Times New Roman"/>
                <w:sz w:val="24"/>
                <w:lang w:val="en-US"/>
              </w:rPr>
            </w:pPr>
            <w:r>
              <w:rPr>
                <w:rFonts w:ascii="Times New Roman" w:hAnsi="Times New Roman" w:eastAsia="宋体" w:cs="Times New Roman"/>
                <w:sz w:val="24"/>
                <w:lang w:val="en-US"/>
              </w:rPr>
              <w:t>当Q≥1时，将Q值划分为：（1）1≤Q＜10；（2）10≤Q＜100；（3）Q≥100，Q的确定见下表。</w:t>
            </w:r>
          </w:p>
          <w:p>
            <w:pPr>
              <w:pStyle w:val="49"/>
              <w:spacing w:line="360" w:lineRule="auto"/>
              <w:ind w:firstLine="462" w:firstLineChars="200"/>
              <w:jc w:val="center"/>
              <w:rPr>
                <w:rFonts w:ascii="Times New Roman" w:hAnsi="Times New Roman" w:eastAsia="宋体" w:cs="Times New Roman"/>
                <w:b/>
                <w:sz w:val="23"/>
              </w:rPr>
            </w:pPr>
            <w:r>
              <w:rPr>
                <w:rFonts w:ascii="Times New Roman" w:hAnsi="Times New Roman" w:eastAsia="宋体" w:cs="Times New Roman"/>
                <w:b/>
                <w:sz w:val="23"/>
              </w:rPr>
              <w:t>表4-</w:t>
            </w:r>
            <w:r>
              <w:rPr>
                <w:rFonts w:ascii="Times New Roman" w:hAnsi="Times New Roman" w:eastAsia="宋体" w:cs="Times New Roman"/>
                <w:b/>
                <w:sz w:val="23"/>
                <w:lang w:val="en-US"/>
              </w:rPr>
              <w:t>14</w:t>
            </w:r>
            <w:r>
              <w:rPr>
                <w:rFonts w:ascii="Times New Roman" w:hAnsi="Times New Roman" w:eastAsia="宋体" w:cs="Times New Roman"/>
                <w:b/>
                <w:sz w:val="23"/>
              </w:rPr>
              <w:t xml:space="preserve">   项目危险物质储量及临界量一览表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091"/>
              <w:gridCol w:w="2926"/>
              <w:gridCol w:w="144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8" w:type="dxa"/>
                  <w:vAlign w:val="center"/>
                </w:tcPr>
                <w:p>
                  <w:pPr>
                    <w:jc w:val="center"/>
                    <w:rPr>
                      <w:b/>
                    </w:rPr>
                  </w:pPr>
                  <w:r>
                    <w:rPr>
                      <w:b/>
                    </w:rPr>
                    <w:t>物质名称</w:t>
                  </w:r>
                </w:p>
              </w:tc>
              <w:tc>
                <w:tcPr>
                  <w:tcW w:w="1091" w:type="dxa"/>
                  <w:vAlign w:val="center"/>
                </w:tcPr>
                <w:p>
                  <w:pPr>
                    <w:jc w:val="center"/>
                    <w:rPr>
                      <w:b/>
                    </w:rPr>
                  </w:pPr>
                  <w:r>
                    <w:rPr>
                      <w:b/>
                    </w:rPr>
                    <w:t>CAS号</w:t>
                  </w:r>
                </w:p>
              </w:tc>
              <w:tc>
                <w:tcPr>
                  <w:tcW w:w="2926" w:type="dxa"/>
                  <w:vAlign w:val="center"/>
                </w:tcPr>
                <w:p>
                  <w:pPr>
                    <w:jc w:val="center"/>
                    <w:rPr>
                      <w:b/>
                    </w:rPr>
                  </w:pPr>
                  <w:r>
                    <w:rPr>
                      <w:b/>
                    </w:rPr>
                    <w:t>储存量</w:t>
                  </w:r>
                </w:p>
                <w:p>
                  <w:pPr>
                    <w:jc w:val="center"/>
                    <w:rPr>
                      <w:b/>
                    </w:rPr>
                  </w:pPr>
                  <w:r>
                    <w:rPr>
                      <w:b/>
                    </w:rPr>
                    <w:t>（最大存在总量）t</w:t>
                  </w:r>
                </w:p>
              </w:tc>
              <w:tc>
                <w:tcPr>
                  <w:tcW w:w="1449" w:type="dxa"/>
                  <w:vAlign w:val="center"/>
                </w:tcPr>
                <w:p>
                  <w:pPr>
                    <w:jc w:val="center"/>
                    <w:rPr>
                      <w:b/>
                    </w:rPr>
                  </w:pPr>
                  <w:r>
                    <w:rPr>
                      <w:b/>
                    </w:rPr>
                    <w:t>临界量t</w:t>
                  </w:r>
                </w:p>
              </w:tc>
              <w:tc>
                <w:tcPr>
                  <w:tcW w:w="1414" w:type="dxa"/>
                  <w:vAlign w:val="center"/>
                </w:tcPr>
                <w:p>
                  <w:pPr>
                    <w:jc w:val="center"/>
                    <w:rPr>
                      <w:b/>
                    </w:rPr>
                  </w:pPr>
                  <w:r>
                    <w:rPr>
                      <w:b/>
                    </w:rPr>
                    <w:t>比值(Q)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8" w:type="dxa"/>
                  <w:vAlign w:val="center"/>
                </w:tcPr>
                <w:p>
                  <w:pPr>
                    <w:jc w:val="center"/>
                  </w:pPr>
                  <w:r>
                    <w:t>变压器油</w:t>
                  </w:r>
                </w:p>
              </w:tc>
              <w:tc>
                <w:tcPr>
                  <w:tcW w:w="1091" w:type="dxa"/>
                  <w:vAlign w:val="center"/>
                </w:tcPr>
                <w:p>
                  <w:pPr>
                    <w:jc w:val="center"/>
                  </w:pPr>
                  <w:r>
                    <w:t>/</w:t>
                  </w:r>
                </w:p>
              </w:tc>
              <w:tc>
                <w:tcPr>
                  <w:tcW w:w="2926" w:type="dxa"/>
                  <w:vAlign w:val="center"/>
                </w:tcPr>
                <w:p>
                  <w:pPr>
                    <w:jc w:val="center"/>
                  </w:pPr>
                  <w:r>
                    <w:t>106.1</w:t>
                  </w:r>
                </w:p>
              </w:tc>
              <w:tc>
                <w:tcPr>
                  <w:tcW w:w="1449" w:type="dxa"/>
                  <w:vAlign w:val="center"/>
                </w:tcPr>
                <w:p>
                  <w:pPr>
                    <w:jc w:val="center"/>
                  </w:pPr>
                  <w:r>
                    <w:t>2500</w:t>
                  </w:r>
                </w:p>
              </w:tc>
              <w:tc>
                <w:tcPr>
                  <w:tcW w:w="1414" w:type="dxa"/>
                  <w:vAlign w:val="center"/>
                </w:tcPr>
                <w:p>
                  <w:pPr>
                    <w:jc w:val="center"/>
                  </w:pPr>
                  <w:r>
                    <w:t>0.04244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8" w:type="dxa"/>
                  <w:vAlign w:val="center"/>
                </w:tcPr>
                <w:p>
                  <w:pPr>
                    <w:jc w:val="center"/>
                  </w:pPr>
                  <w:r>
                    <w:t>润滑油</w:t>
                  </w:r>
                </w:p>
              </w:tc>
              <w:tc>
                <w:tcPr>
                  <w:tcW w:w="1091" w:type="dxa"/>
                  <w:vAlign w:val="center"/>
                </w:tcPr>
                <w:p>
                  <w:pPr>
                    <w:jc w:val="center"/>
                  </w:pPr>
                  <w:r>
                    <w:t>/</w:t>
                  </w:r>
                </w:p>
              </w:tc>
              <w:tc>
                <w:tcPr>
                  <w:tcW w:w="2926" w:type="dxa"/>
                  <w:vAlign w:val="center"/>
                </w:tcPr>
                <w:p>
                  <w:pPr>
                    <w:jc w:val="center"/>
                  </w:pPr>
                  <w:r>
                    <w:t>0.1</w:t>
                  </w:r>
                </w:p>
              </w:tc>
              <w:tc>
                <w:tcPr>
                  <w:tcW w:w="1449" w:type="dxa"/>
                  <w:vAlign w:val="center"/>
                </w:tcPr>
                <w:p>
                  <w:pPr>
                    <w:jc w:val="center"/>
                  </w:pPr>
                  <w:r>
                    <w:t>2500</w:t>
                  </w:r>
                </w:p>
              </w:tc>
              <w:tc>
                <w:tcPr>
                  <w:tcW w:w="1414" w:type="dxa"/>
                  <w:vAlign w:val="center"/>
                </w:tcPr>
                <w:p>
                  <w:pPr>
                    <w:jc w:val="center"/>
                  </w:pPr>
                  <w: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 w:hRule="atLeast"/>
              </w:trPr>
              <w:tc>
                <w:tcPr>
                  <w:tcW w:w="1968" w:type="dxa"/>
                  <w:vAlign w:val="center"/>
                </w:tcPr>
                <w:p>
                  <w:pPr>
                    <w:jc w:val="center"/>
                  </w:pPr>
                  <w:r>
                    <w:t>铅酸电池内部硫酸</w:t>
                  </w:r>
                </w:p>
              </w:tc>
              <w:tc>
                <w:tcPr>
                  <w:tcW w:w="1091" w:type="dxa"/>
                  <w:vAlign w:val="center"/>
                </w:tcPr>
                <w:p>
                  <w:pPr>
                    <w:jc w:val="center"/>
                  </w:pPr>
                  <w:r>
                    <w:t>7664-93-9</w:t>
                  </w:r>
                </w:p>
              </w:tc>
              <w:tc>
                <w:tcPr>
                  <w:tcW w:w="2926" w:type="dxa"/>
                  <w:vAlign w:val="center"/>
                </w:tcPr>
                <w:p>
                  <w:pPr>
                    <w:jc w:val="center"/>
                  </w:pPr>
                  <w:r>
                    <w:t>0.02</w:t>
                  </w:r>
                </w:p>
              </w:tc>
              <w:tc>
                <w:tcPr>
                  <w:tcW w:w="1449" w:type="dxa"/>
                  <w:vAlign w:val="center"/>
                </w:tcPr>
                <w:p>
                  <w:pPr>
                    <w:jc w:val="center"/>
                  </w:pPr>
                  <w:r>
                    <w:t>10</w:t>
                  </w:r>
                </w:p>
              </w:tc>
              <w:tc>
                <w:tcPr>
                  <w:tcW w:w="1414" w:type="dxa"/>
                  <w:vAlign w:val="center"/>
                </w:tcPr>
                <w:p>
                  <w:pPr>
                    <w:jc w:val="center"/>
                  </w:pPr>
                  <w: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85" w:type="dxa"/>
                  <w:gridSpan w:val="3"/>
                  <w:vAlign w:val="center"/>
                </w:tcPr>
                <w:p>
                  <w:pPr>
                    <w:jc w:val="center"/>
                  </w:pPr>
                  <w:r>
                    <w:t>项目Q值Σ</w:t>
                  </w:r>
                </w:p>
              </w:tc>
              <w:tc>
                <w:tcPr>
                  <w:tcW w:w="2863" w:type="dxa"/>
                  <w:gridSpan w:val="2"/>
                  <w:vAlign w:val="center"/>
                </w:tcPr>
                <w:p>
                  <w:pPr>
                    <w:jc w:val="center"/>
                  </w:pPr>
                  <w:r>
                    <w:t>0.02822</w:t>
                  </w:r>
                </w:p>
              </w:tc>
            </w:tr>
          </w:tbl>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由上表可知，本项目危险物质与临界量的比值Q为0.04448，Q＜1，确定本项目环境风险潜势为Ⅰ，为一般环境风险项目，环境风险评价工作等级为简单分析。</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（4）环境风险识别</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项目涉及的主要危险物质的识别，可能产生的环境风险类型有变压器油、废矿物油在使用、储运过程中若操作不当造成物质泄漏，泄漏后遇火源或在高温（高于闪点）等特殊情况下，将引发火灾爆炸风险。项目发生上述环境风险事故后危险物质可能向环境转移的途径、可能影响的环境敏感目标情况详见下表。</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表4-</w:t>
            </w:r>
            <w:r>
              <w:rPr>
                <w:rFonts w:ascii="Times New Roman" w:hAnsi="Times New Roman" w:eastAsia="宋体" w:cs="Times New Roman"/>
                <w:b/>
                <w:sz w:val="24"/>
                <w:lang w:val="en-US"/>
              </w:rPr>
              <w:t xml:space="preserve">15 </w:t>
            </w:r>
            <w:r>
              <w:rPr>
                <w:rFonts w:ascii="Times New Roman" w:hAnsi="Times New Roman" w:eastAsia="宋体" w:cs="Times New Roman"/>
                <w:b/>
                <w:sz w:val="24"/>
              </w:rPr>
              <w:t xml:space="preserve">  项目危险物质向环境转移途径识别表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62"/>
              <w:gridCol w:w="1071"/>
              <w:gridCol w:w="417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71" w:type="dxa"/>
                  <w:vAlign w:val="center"/>
                </w:tcPr>
                <w:p>
                  <w:pPr>
                    <w:jc w:val="center"/>
                    <w:rPr>
                      <w:b/>
                    </w:rPr>
                  </w:pPr>
                  <w:r>
                    <w:rPr>
                      <w:b/>
                    </w:rPr>
                    <w:t>序号</w:t>
                  </w:r>
                </w:p>
              </w:tc>
              <w:tc>
                <w:tcPr>
                  <w:tcW w:w="862" w:type="dxa"/>
                  <w:vAlign w:val="center"/>
                </w:tcPr>
                <w:p>
                  <w:pPr>
                    <w:jc w:val="center"/>
                    <w:rPr>
                      <w:b/>
                    </w:rPr>
                  </w:pPr>
                  <w:r>
                    <w:rPr>
                      <w:b/>
                    </w:rPr>
                    <w:t>危险物质</w:t>
                  </w:r>
                </w:p>
              </w:tc>
              <w:tc>
                <w:tcPr>
                  <w:tcW w:w="1071" w:type="dxa"/>
                  <w:vAlign w:val="center"/>
                </w:tcPr>
                <w:p>
                  <w:pPr>
                    <w:jc w:val="center"/>
                    <w:rPr>
                      <w:b/>
                    </w:rPr>
                  </w:pPr>
                  <w:r>
                    <w:rPr>
                      <w:b/>
                    </w:rPr>
                    <w:t>环境风险类型</w:t>
                  </w:r>
                </w:p>
              </w:tc>
              <w:tc>
                <w:tcPr>
                  <w:tcW w:w="4174" w:type="dxa"/>
                  <w:vAlign w:val="center"/>
                </w:tcPr>
                <w:p>
                  <w:pPr>
                    <w:jc w:val="center"/>
                    <w:rPr>
                      <w:b/>
                    </w:rPr>
                  </w:pPr>
                  <w:r>
                    <w:rPr>
                      <w:b/>
                    </w:rPr>
                    <w:t>影响环境的途径</w:t>
                  </w:r>
                </w:p>
              </w:tc>
              <w:tc>
                <w:tcPr>
                  <w:tcW w:w="1970" w:type="dxa"/>
                  <w:vAlign w:val="center"/>
                </w:tcPr>
                <w:p>
                  <w:pPr>
                    <w:jc w:val="center"/>
                    <w:rPr>
                      <w:b/>
                    </w:rPr>
                  </w:pPr>
                  <w:r>
                    <w:rPr>
                      <w:b/>
                    </w:rPr>
                    <w:t>可能影响的环境敏感目标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71" w:type="dxa"/>
                  <w:vAlign w:val="center"/>
                </w:tcPr>
                <w:p>
                  <w:pPr>
                    <w:jc w:val="center"/>
                  </w:pPr>
                  <w:r>
                    <w:t>1</w:t>
                  </w:r>
                </w:p>
              </w:tc>
              <w:tc>
                <w:tcPr>
                  <w:tcW w:w="862" w:type="dxa"/>
                  <w:vAlign w:val="center"/>
                </w:tcPr>
                <w:p>
                  <w:pPr>
                    <w:jc w:val="center"/>
                  </w:pPr>
                  <w:r>
                    <w:t>矿物油</w:t>
                  </w:r>
                </w:p>
              </w:tc>
              <w:tc>
                <w:tcPr>
                  <w:tcW w:w="1071" w:type="dxa"/>
                  <w:vAlign w:val="center"/>
                </w:tcPr>
                <w:p>
                  <w:pPr>
                    <w:jc w:val="center"/>
                  </w:pPr>
                  <w:r>
                    <w:t>泄漏</w:t>
                  </w:r>
                </w:p>
              </w:tc>
              <w:tc>
                <w:tcPr>
                  <w:tcW w:w="4174" w:type="dxa"/>
                  <w:vAlign w:val="center"/>
                </w:tcPr>
                <w:p>
                  <w:pPr>
                    <w:jc w:val="center"/>
                  </w:pPr>
                  <w:r>
                    <w:rPr>
                      <w:rFonts w:ascii="宋体" w:hAnsi="宋体" w:cs="宋体"/>
                    </w:rPr>
                    <w:t>①</w:t>
                  </w:r>
                  <w:r>
                    <w:t>泄漏后可能通过雨水管网进入附近水体，造成严重的水环境污染事故。</w:t>
                  </w:r>
                </w:p>
                <w:p>
                  <w:pPr>
                    <w:jc w:val="center"/>
                  </w:pPr>
                  <w:r>
                    <w:rPr>
                      <w:rFonts w:ascii="宋体" w:hAnsi="宋体" w:cs="宋体"/>
                    </w:rPr>
                    <w:t>②</w:t>
                  </w:r>
                  <w:r>
                    <w:t>泄漏后可能通过下渗进入地下水，造成地下水污染事故。</w:t>
                  </w:r>
                </w:p>
                <w:p>
                  <w:pPr>
                    <w:jc w:val="center"/>
                  </w:pPr>
                  <w:r>
                    <w:rPr>
                      <w:rFonts w:ascii="宋体" w:hAnsi="宋体" w:cs="宋体"/>
                    </w:rPr>
                    <w:t>③</w:t>
                  </w:r>
                  <w:r>
                    <w:t>泄漏后，发生火灾、爆炸所产生的大量液体挥发形成的蒸汽，以及次生污染物，将对周边大气产生较为严重的环境污染。</w:t>
                  </w:r>
                </w:p>
              </w:tc>
              <w:tc>
                <w:tcPr>
                  <w:tcW w:w="1970" w:type="dxa"/>
                  <w:vAlign w:val="center"/>
                </w:tcPr>
                <w:p>
                  <w:pPr>
                    <w:jc w:val="center"/>
                  </w:pPr>
                  <w:r>
                    <w:t>大气、地表水、土壤、地下水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71" w:type="dxa"/>
                  <w:vAlign w:val="center"/>
                </w:tcPr>
                <w:p>
                  <w:pPr>
                    <w:jc w:val="center"/>
                  </w:pPr>
                  <w:r>
                    <w:t>2</w:t>
                  </w:r>
                </w:p>
              </w:tc>
              <w:tc>
                <w:tcPr>
                  <w:tcW w:w="862" w:type="dxa"/>
                  <w:vAlign w:val="center"/>
                </w:tcPr>
                <w:p>
                  <w:pPr>
                    <w:jc w:val="center"/>
                  </w:pPr>
                  <w:r>
                    <w:t>废弃铅酸电池</w:t>
                  </w:r>
                </w:p>
              </w:tc>
              <w:tc>
                <w:tcPr>
                  <w:tcW w:w="1071" w:type="dxa"/>
                  <w:vAlign w:val="center"/>
                </w:tcPr>
                <w:p>
                  <w:pPr>
                    <w:jc w:val="center"/>
                  </w:pPr>
                  <w:r>
                    <w:t>内部酸液泄露</w:t>
                  </w:r>
                </w:p>
              </w:tc>
              <w:tc>
                <w:tcPr>
                  <w:tcW w:w="4174" w:type="dxa"/>
                  <w:vAlign w:val="center"/>
                </w:tcPr>
                <w:p>
                  <w:pPr>
                    <w:jc w:val="center"/>
                  </w:pPr>
                  <w:r>
                    <w:t>泄露对周边的环境有一定的腐蚀性</w:t>
                  </w:r>
                </w:p>
              </w:tc>
              <w:tc>
                <w:tcPr>
                  <w:tcW w:w="1970" w:type="dxa"/>
                  <w:vAlign w:val="center"/>
                </w:tcPr>
                <w:p>
                  <w:pPr>
                    <w:jc w:val="center"/>
                  </w:pPr>
                  <w:r>
                    <w:t>土壤</w:t>
                  </w:r>
                </w:p>
              </w:tc>
            </w:tr>
          </w:tbl>
          <w:p>
            <w:pPr>
              <w:spacing w:line="360" w:lineRule="auto"/>
              <w:ind w:firstLine="480" w:firstLineChars="200"/>
              <w:jc w:val="left"/>
              <w:rPr>
                <w:sz w:val="24"/>
              </w:rPr>
            </w:pPr>
            <w:r>
              <w:rPr>
                <w:sz w:val="24"/>
              </w:rPr>
              <w:t>（5）环境风险分析</w:t>
            </w:r>
          </w:p>
          <w:p>
            <w:pPr>
              <w:spacing w:line="360" w:lineRule="auto"/>
              <w:ind w:firstLine="480" w:firstLineChars="200"/>
              <w:jc w:val="left"/>
              <w:rPr>
                <w:sz w:val="24"/>
              </w:rPr>
            </w:pPr>
            <w:r>
              <w:rPr>
                <w:rFonts w:ascii="宋体" w:hAnsi="宋体" w:cs="宋体"/>
                <w:sz w:val="24"/>
              </w:rPr>
              <w:t>①</w:t>
            </w:r>
            <w:r>
              <w:rPr>
                <w:sz w:val="24"/>
              </w:rPr>
              <w:t>大气环境风险分析</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矿物油在使用、储运过程中若操作不当或设备损坏造成物质泄漏，泄漏后遇火源或在高温（高于闪点）等特殊情况下，将引发火灾爆炸风险，</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将对周边大气产生较为严重的环境污染。由于主变中变压器油泄漏后直接进入事故油池存放，暴露在空气中的量较小。废矿物油贮存在容器中，放置在室内，通过加强巡检等措施后，可以及时发生泄漏，切断泄漏源，并采用合适的材料收容泄漏物，在采取以上应急措施后，引起火灾爆炸的可能性较小。建设单位需强化禁火区域安全管理，严禁烟火，将生产、储存装置区域列为禁火区，区内加强火源管理，严禁吸烟。宿舍、办公室、休息室内严禁存放易燃易爆物品。在变压器、危险废物暂存间附近，配置推车式泡沫灭火器及砂箱等灭火器材，设置室外消火栓。建设单位应认真落实风险防范措施，大气环境风险可控，对周边环境影响较小。</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地表水环境风险分析</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若因管理不当或设备损坏导致矿物油发生泄漏，在雨天时可能随地表径流一起进入地表水，对地表水造成污染。由于项目主变压器附近设有事故油池，若变压器发生泄漏后，变压油将全部进入事故油池，事故油池已按要求采取了重点防渗措施，经事故油池收集的变压油最终交有资质的单位处理。危废暂存间设置有导流沟和收集池，若确实发生了泄漏事故，及时切断泄漏源，封闭现场，采用合适的材料收容泄漏物。通过及时采取应急措施处理后，变压器油、废矿物油不会随地表径流一起进入地表水，对地表水影响不大，地表水环境风险可控。</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③</w:t>
            </w:r>
            <w:r>
              <w:rPr>
                <w:rFonts w:ascii="Times New Roman" w:hAnsi="Times New Roman" w:eastAsia="宋体" w:cs="Times New Roman"/>
                <w:sz w:val="24"/>
              </w:rPr>
              <w:t>地下水环境风险分析</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若事故油池及危废暂存间设置的防渗层破裂或失效，变压器油、废矿物油下渗后可能对地下水造成污染，导致泄漏主要原因为：衬垫材料不良或施工不当引起衬垫失效；基础不均匀沉降引起的衬垫破裂；人为破坏引起衬垫失效。项目在基建期根据环评要求及设计规范的要求严格做好分区防渗工程，且提高工程质量，运营期加强监管的基础上，则地下水环境风险可控。</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④</w:t>
            </w:r>
            <w:r>
              <w:rPr>
                <w:rFonts w:ascii="Times New Roman" w:hAnsi="Times New Roman" w:eastAsia="宋体" w:cs="Times New Roman"/>
                <w:sz w:val="24"/>
              </w:rPr>
              <w:t>土壤</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主要为事故油池、危废暂存间的的泄露下渗对土壤环境造成污染，与地下水风险一致，项目在基建期需要根据</w:t>
            </w:r>
            <w:r>
              <w:rPr>
                <w:rFonts w:ascii="Times New Roman" w:hAnsi="Times New Roman" w:eastAsia="宋体" w:cs="Times New Roman"/>
                <w:sz w:val="24"/>
                <w:lang w:val="en-US"/>
              </w:rPr>
              <w:t>环评要求及设计规范的要求严格做好事故油池及危废暂存间的防渗工作，同时</w:t>
            </w:r>
            <w:r>
              <w:rPr>
                <w:rFonts w:ascii="Times New Roman" w:hAnsi="Times New Roman" w:eastAsia="宋体" w:cs="Times New Roman"/>
                <w:sz w:val="24"/>
              </w:rPr>
              <w:t>提高工程质量，运营期加强监管的基础上，则土壤环境风险可控。</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铅酸蓄电池内部含有硫酸作为电解液，含量不高，同时由于储存在铅酸电池内部，基本上不会发生泄露现象，且硫酸分别存于电池块的内部，若由于产品质量不佳或操作不当等发生泄露现象，需采用砂土、碱性材料吸收，或采用大量水冲洗，稀释后水排入废水处理系统，</w:t>
            </w:r>
            <w:r>
              <w:rPr>
                <w:rFonts w:ascii="Times New Roman" w:hAnsi="Times New Roman" w:eastAsia="宋体" w:cs="Times New Roman"/>
                <w:sz w:val="24"/>
                <w:lang w:val="en-US"/>
              </w:rPr>
              <w:t>则土壤环境风险可控。</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（6）环境风险防范措施及应急要求</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①</w:t>
            </w:r>
            <w:r>
              <w:rPr>
                <w:rFonts w:ascii="Times New Roman" w:hAnsi="Times New Roman" w:eastAsia="宋体" w:cs="Times New Roman"/>
                <w:sz w:val="24"/>
              </w:rPr>
              <w:t>环境风险防范措施</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a升压站内主变压器处设置1个集油坑和1个事故油池，事故油池设置为地埋式，容积为50m</w:t>
            </w:r>
            <w:r>
              <w:rPr>
                <w:rFonts w:ascii="Times New Roman" w:hAnsi="Times New Roman" w:eastAsia="宋体" w:cs="Times New Roman"/>
                <w:sz w:val="24"/>
                <w:vertAlign w:val="superscript"/>
              </w:rPr>
              <w:t>3</w:t>
            </w:r>
            <w:r>
              <w:rPr>
                <w:rFonts w:ascii="Times New Roman" w:hAnsi="Times New Roman" w:eastAsia="宋体" w:cs="Times New Roman"/>
                <w:sz w:val="24"/>
              </w:rPr>
              <w:t>。主变压器在维修和事故情况下，产生的废油由</w:t>
            </w:r>
            <w:r>
              <w:rPr>
                <w:rFonts w:ascii="Times New Roman" w:hAnsi="Times New Roman" w:eastAsia="宋体" w:cs="Times New Roman"/>
                <w:sz w:val="24"/>
                <w:lang w:val="en-US"/>
              </w:rPr>
              <w:t>集油坑收集后，经管道引至事故油池进行存放</w:t>
            </w:r>
            <w:r>
              <w:rPr>
                <w:rFonts w:ascii="Times New Roman" w:hAnsi="Times New Roman" w:eastAsia="宋体" w:cs="Times New Roman"/>
                <w:sz w:val="24"/>
              </w:rPr>
              <w:t>。</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b严格做好分区防渗工程，施工期加强工程监理和环境监理，提高防渗工程</w:t>
            </w:r>
            <w:r>
              <w:rPr>
                <w:rFonts w:ascii="Times New Roman" w:hAnsi="Times New Roman" w:eastAsia="宋体" w:cs="Times New Roman"/>
                <w:sz w:val="24"/>
                <w:lang w:val="en-US"/>
              </w:rPr>
              <w:t>，做好照片、录像以及相关文字说明等存档资料。</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c定期检查各储存设施，避免出现泄漏等不良情况。</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突发环境风险事件应急预案</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针对本项目可能发生的突发事故，为了将风险事故率降低到最小，建设单位应编制突发环境事件应急预案并报昆明市生态环境局</w:t>
            </w:r>
            <w:r>
              <w:rPr>
                <w:rFonts w:ascii="Times New Roman" w:hAnsi="Times New Roman" w:eastAsia="宋体" w:cs="Times New Roman"/>
                <w:sz w:val="24"/>
                <w:lang w:val="en-US"/>
              </w:rPr>
              <w:t>东川</w:t>
            </w:r>
            <w:r>
              <w:rPr>
                <w:rFonts w:ascii="Times New Roman" w:hAnsi="Times New Roman" w:eastAsia="宋体" w:cs="Times New Roman"/>
                <w:sz w:val="24"/>
              </w:rPr>
              <w:t>分局备案。建设单位应严格按照《企业突发环境事件风险分级方法》(HJ</w:t>
            </w:r>
            <w:r>
              <w:rPr>
                <w:rFonts w:hint="eastAsia" w:ascii="Times New Roman" w:hAnsi="Times New Roman" w:eastAsia="宋体" w:cs="Times New Roman"/>
                <w:sz w:val="24"/>
                <w:lang w:eastAsia="zh-CN"/>
              </w:rPr>
              <w:t>***</w:t>
            </w:r>
            <w:r>
              <w:rPr>
                <w:rFonts w:ascii="Times New Roman" w:hAnsi="Times New Roman" w:eastAsia="宋体" w:cs="Times New Roman"/>
                <w:sz w:val="24"/>
              </w:rPr>
              <w:t>-2018)、《企业突发环境事件应急预案编制指南》和《企业突发环境事件风险评估指南（试行）》开展应急预案的编制工作，包括环境风险评估报告、环境应急资源调查报告和突发环境事件应急预案三个报告。</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（7）环境风险分析结论</w:t>
            </w:r>
          </w:p>
          <w:p>
            <w:pPr>
              <w:pStyle w:val="49"/>
              <w:spacing w:line="360" w:lineRule="auto"/>
              <w:ind w:firstLine="480" w:firstLineChars="200"/>
              <w:rPr>
                <w:rFonts w:ascii="Times New Roman" w:hAnsi="Times New Roman" w:eastAsia="宋体" w:cs="Times New Roman"/>
                <w:sz w:val="23"/>
                <w:lang w:val="en-US"/>
              </w:rPr>
            </w:pPr>
            <w:r>
              <w:rPr>
                <w:rFonts w:ascii="Times New Roman" w:hAnsi="Times New Roman" w:eastAsia="宋体" w:cs="Times New Roman"/>
                <w:sz w:val="24"/>
              </w:rPr>
              <w:t>项目环境风险主要为</w:t>
            </w:r>
            <w:r>
              <w:rPr>
                <w:rFonts w:ascii="Times New Roman" w:hAnsi="Times New Roman" w:eastAsia="宋体" w:cs="Times New Roman"/>
                <w:sz w:val="24"/>
                <w:lang w:val="en-US"/>
              </w:rPr>
              <w:t>矿物油</w:t>
            </w:r>
            <w:r>
              <w:rPr>
                <w:rFonts w:ascii="Times New Roman" w:hAnsi="Times New Roman" w:eastAsia="宋体" w:cs="Times New Roman"/>
                <w:sz w:val="24"/>
              </w:rPr>
              <w:t>的泄漏和燃烧爆炸产生的次生污染物对环境的影响，只要建设单位按照本报告提出的环境管理措施实施，项目环境风险影响范围较小。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Mar>
              <w:left w:w="28" w:type="dxa"/>
              <w:right w:w="28" w:type="dxa"/>
            </w:tcMar>
            <w:vAlign w:val="center"/>
          </w:tcPr>
          <w:p>
            <w:pPr>
              <w:pStyle w:val="17"/>
              <w:adjustRightInd w:val="0"/>
              <w:snapToGrid w:val="0"/>
              <w:spacing w:before="0" w:beforeAutospacing="0" w:after="0" w:afterAutospacing="0"/>
              <w:jc w:val="center"/>
              <w:rPr>
                <w:rFonts w:ascii="Times New Roman" w:hAnsi="Times New Roman"/>
                <w:bCs/>
              </w:rPr>
            </w:pPr>
            <w:r>
              <w:rPr>
                <w:rFonts w:ascii="Times New Roman" w:hAnsi="Times New Roman"/>
                <w:bCs/>
              </w:rPr>
              <w:t>选址选线环境合理性分析</w:t>
            </w:r>
          </w:p>
        </w:tc>
        <w:tc>
          <w:tcPr>
            <w:tcW w:w="9074" w:type="dxa"/>
          </w:tcPr>
          <w:p>
            <w:pPr>
              <w:pStyle w:val="49"/>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rPr>
              <w:t>1、工程选址合理性分析</w:t>
            </w:r>
          </w:p>
          <w:p>
            <w:pPr>
              <w:pStyle w:val="49"/>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val="en-US" w:eastAsia="zh-CN"/>
              </w:rPr>
              <w:t>本</w:t>
            </w:r>
            <w:r>
              <w:rPr>
                <w:rFonts w:ascii="Times New Roman" w:hAnsi="Times New Roman" w:eastAsia="宋体" w:cs="Times New Roman"/>
                <w:sz w:val="24"/>
              </w:rPr>
              <w:t>项目</w:t>
            </w:r>
            <w:r>
              <w:rPr>
                <w:rFonts w:hint="eastAsia" w:ascii="Times New Roman" w:hAnsi="Times New Roman" w:eastAsia="宋体" w:cs="Times New Roman"/>
                <w:sz w:val="24"/>
                <w:lang w:val="en-US" w:eastAsia="zh-CN"/>
              </w:rPr>
              <w:t>为变电站工程，站址位于云南省昆明市东川区舍块乡云坪村、因民镇红山村境内</w:t>
            </w:r>
            <w:r>
              <w:rPr>
                <w:rFonts w:ascii="Times New Roman" w:hAnsi="Times New Roman" w:eastAsia="宋体" w:cs="Times New Roman"/>
                <w:sz w:val="24"/>
              </w:rPr>
              <w:t>；项目区地质稳定，无活动性断裂通过，地基承载力满足设计要求，适合于拟建项目</w:t>
            </w:r>
            <w:r>
              <w:rPr>
                <w:rFonts w:hint="eastAsia" w:ascii="Times New Roman" w:hAnsi="Times New Roman" w:eastAsia="宋体" w:cs="Times New Roman"/>
                <w:sz w:val="24"/>
                <w:lang w:val="en-US" w:eastAsia="zh-CN"/>
              </w:rPr>
              <w:t>升压站</w:t>
            </w:r>
            <w:r>
              <w:rPr>
                <w:rFonts w:ascii="Times New Roman" w:hAnsi="Times New Roman" w:eastAsia="宋体" w:cs="Times New Roman"/>
                <w:sz w:val="24"/>
              </w:rPr>
              <w:t>的布设。</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2、环境合理性分析</w:t>
            </w:r>
          </w:p>
          <w:p>
            <w:pPr>
              <w:pStyle w:val="49"/>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rPr>
              <w:t>（1）政府主管部门意见</w:t>
            </w:r>
          </w:p>
          <w:p>
            <w:pPr>
              <w:pStyle w:val="49"/>
              <w:spacing w:line="360" w:lineRule="auto"/>
              <w:ind w:firstLine="480" w:firstLineChars="200"/>
              <w:rPr>
                <w:rFonts w:ascii="Times New Roman" w:hAnsi="Times New Roman" w:eastAsia="宋体" w:cs="Times New Roman"/>
                <w:color w:val="auto"/>
                <w:sz w:val="24"/>
                <w:lang w:val="en-US"/>
              </w:rPr>
            </w:pPr>
            <w:r>
              <w:rPr>
                <w:rFonts w:hint="eastAsia" w:ascii="Times New Roman" w:hAnsi="Times New Roman" w:eastAsia="宋体" w:cs="Times New Roman"/>
                <w:color w:val="auto"/>
                <w:sz w:val="24"/>
                <w:lang w:val="en-US" w:eastAsia="zh-CN"/>
              </w:rPr>
              <w:t>云南滇能云坪光伏发电有限公司在云南省昆明市东川区舍块乡云坪村、因民镇红山村境内投资了“东川区生态治理及修复光伏电站”，升压站为光伏站区的配套工程，选址包含在光伏站区内，光伏站区</w:t>
            </w:r>
            <w:r>
              <w:rPr>
                <w:rFonts w:ascii="Times New Roman" w:hAnsi="Times New Roman" w:eastAsia="宋体" w:cs="Times New Roman"/>
                <w:color w:val="auto"/>
                <w:sz w:val="24"/>
              </w:rPr>
              <w:t>已经取得</w:t>
            </w:r>
            <w:r>
              <w:rPr>
                <w:rFonts w:ascii="Times New Roman" w:hAnsi="Times New Roman" w:eastAsia="宋体" w:cs="Times New Roman"/>
                <w:color w:val="auto"/>
                <w:sz w:val="24"/>
                <w:lang w:val="en-US"/>
              </w:rPr>
              <w:t>昆明市东川区自然资源局</w:t>
            </w:r>
            <w:r>
              <w:rPr>
                <w:rFonts w:ascii="Times New Roman" w:hAnsi="Times New Roman" w:eastAsia="宋体" w:cs="Times New Roman"/>
                <w:color w:val="auto"/>
                <w:sz w:val="24"/>
              </w:rPr>
              <w:t>、</w:t>
            </w:r>
            <w:r>
              <w:rPr>
                <w:rFonts w:ascii="Times New Roman" w:hAnsi="Times New Roman" w:eastAsia="宋体" w:cs="Times New Roman"/>
                <w:color w:val="auto"/>
                <w:sz w:val="24"/>
                <w:lang w:val="en-US"/>
              </w:rPr>
              <w:t>昆明市东川区林业和草原局</w:t>
            </w:r>
            <w:r>
              <w:rPr>
                <w:rFonts w:ascii="Times New Roman" w:hAnsi="Times New Roman" w:eastAsia="宋体" w:cs="Times New Roman"/>
                <w:color w:val="auto"/>
                <w:sz w:val="24"/>
              </w:rPr>
              <w:t>、</w:t>
            </w:r>
            <w:r>
              <w:rPr>
                <w:rFonts w:ascii="Times New Roman" w:hAnsi="Times New Roman" w:eastAsia="宋体" w:cs="Times New Roman"/>
                <w:color w:val="auto"/>
                <w:sz w:val="24"/>
                <w:lang w:val="en-US"/>
              </w:rPr>
              <w:t>昆明市东川区文化和旅游局</w:t>
            </w:r>
            <w:r>
              <w:rPr>
                <w:rFonts w:ascii="Times New Roman" w:hAnsi="Times New Roman" w:eastAsia="宋体" w:cs="Times New Roman"/>
                <w:color w:val="auto"/>
                <w:sz w:val="24"/>
              </w:rPr>
              <w:t>、昆明市</w:t>
            </w:r>
            <w:r>
              <w:rPr>
                <w:rFonts w:ascii="Times New Roman" w:hAnsi="Times New Roman" w:eastAsia="宋体" w:cs="Times New Roman"/>
                <w:color w:val="auto"/>
                <w:sz w:val="24"/>
                <w:lang w:val="en-US"/>
              </w:rPr>
              <w:t>东川区人民武装部、昆明市东川区水务局等选址意见同意选址。各个政府主管部门意见详情见附件。</w:t>
            </w:r>
          </w:p>
          <w:p>
            <w:pPr>
              <w:pStyle w:val="49"/>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表4-16  各职能部门选址意见对照表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376"/>
              <w:gridCol w:w="309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职能部门</w:t>
                  </w:r>
                </w:p>
              </w:tc>
              <w:tc>
                <w:tcPr>
                  <w:tcW w:w="437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部门意见</w:t>
                  </w:r>
                </w:p>
              </w:tc>
              <w:tc>
                <w:tcPr>
                  <w:tcW w:w="3090"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本项目情况</w:t>
                  </w:r>
                </w:p>
              </w:tc>
              <w:tc>
                <w:tcPr>
                  <w:tcW w:w="719"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昆明市</w:t>
                  </w:r>
                  <w:r>
                    <w:rPr>
                      <w:rFonts w:ascii="Times New Roman" w:hAnsi="Times New Roman" w:eastAsia="宋体" w:cs="Times New Roman"/>
                      <w:szCs w:val="21"/>
                      <w:lang w:val="en-US"/>
                    </w:rPr>
                    <w:t>东川区人民武装部</w:t>
                  </w:r>
                </w:p>
              </w:tc>
              <w:tc>
                <w:tcPr>
                  <w:tcW w:w="437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经查询了解和坐标方位核对,该项目用地目前不涉及东川辖区军事保护设施和军事管理区。</w:t>
                  </w:r>
                </w:p>
              </w:tc>
              <w:tc>
                <w:tcPr>
                  <w:tcW w:w="3090"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本项目在施工过程中，将严格施工管理，严禁超过规定施工边界进行施工。</w:t>
                  </w:r>
                </w:p>
              </w:tc>
              <w:tc>
                <w:tcPr>
                  <w:tcW w:w="719"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昆明市东川区文化和旅游局</w:t>
                  </w:r>
                </w:p>
              </w:tc>
              <w:tc>
                <w:tcPr>
                  <w:tcW w:w="437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经问询了解和坐标方位核对，该项目用地不涉及古墓葬、古遗址，不涉及旅游风景名胜区，不在旅游规划范围内，我局对该项目用地无意见。但由于地下文物埋存情况的不可预见性，按照属地管理的原则,项目实施前请积极对接当地人民政府，施工单位在工程施工过程中如发现地下文物，应立即停止施工，同时向东川区文化和旅游局报告，如发现未报告造成损失的，将按国家法律追究相关责任。</w:t>
                  </w:r>
                </w:p>
              </w:tc>
              <w:tc>
                <w:tcPr>
                  <w:tcW w:w="3090"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本项目在施工过程中，将严格施工管理，严禁超过规定施工边工。</w:t>
                  </w:r>
                </w:p>
              </w:tc>
              <w:tc>
                <w:tcPr>
                  <w:tcW w:w="719"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昆明市东川区水务局</w:t>
                  </w:r>
                </w:p>
              </w:tc>
              <w:tc>
                <w:tcPr>
                  <w:tcW w:w="437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经区水务局复核，项目用地未占河道管理保护范围线、未占水利工程管理范围线，未占1000人以上水源地保护范围线，未占1000人以下水源地保护范围线，区水务局对项目建设选址无意见。</w:t>
                  </w:r>
                </w:p>
              </w:tc>
              <w:tc>
                <w:tcPr>
                  <w:tcW w:w="3090"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本项目在施工过程中，将严格施工管理，严禁超过规定施工边界进行施工。</w:t>
                  </w:r>
                </w:p>
              </w:tc>
              <w:tc>
                <w:tcPr>
                  <w:tcW w:w="719"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Merge w:val="restar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昆明市东川区林业和草原局</w:t>
                  </w:r>
                </w:p>
              </w:tc>
              <w:tc>
                <w:tcPr>
                  <w:tcW w:w="437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一、该项目选址涉及林地，涉及林地地类为宜林荒山荒地、无立木林地、灌木林地、乔木林地。请该项目建设单位严格按照《建设项自使用林地审核审批管理办法》、《云南省林业和草原局云南省能源局关于进一步规范光伏复合项目使用林草地有关事项的通知》(云林规〔2021]5号）要求，科学编制项目建设使用林地可行性研究报告，以现地调查为准，对不符合文件要求的地类进行避让(乔木林地、年降雨量400毫米以上区域覆盖度高于50%的灌木林地)，遵守林业法律法规，依法办理使用林地手续。</w:t>
                  </w:r>
                </w:p>
              </w:tc>
              <w:tc>
                <w:tcPr>
                  <w:tcW w:w="3090"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建设单位委托有资质单位进行《林地勘验及使用林地可行性报告》的编制，同时对规划占用的乔木林地及覆盖度50%的灌木林地进行了避让，避让面积1311.732亩。</w:t>
                  </w:r>
                </w:p>
              </w:tc>
              <w:tc>
                <w:tcPr>
                  <w:tcW w:w="719"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Merge w:val="continue"/>
                  <w:vAlign w:val="center"/>
                </w:tcPr>
                <w:p>
                  <w:pPr>
                    <w:pStyle w:val="49"/>
                    <w:jc w:val="center"/>
                    <w:rPr>
                      <w:rFonts w:ascii="Times New Roman" w:hAnsi="Times New Roman" w:eastAsia="宋体" w:cs="Times New Roman"/>
                      <w:szCs w:val="21"/>
                    </w:rPr>
                  </w:pPr>
                </w:p>
              </w:tc>
              <w:tc>
                <w:tcPr>
                  <w:tcW w:w="437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二、</w:t>
                  </w:r>
                  <w:r>
                    <w:rPr>
                      <w:rFonts w:ascii="Times New Roman" w:hAnsi="Times New Roman" w:eastAsia="宋体" w:cs="Times New Roman"/>
                      <w:szCs w:val="21"/>
                      <w:lang w:val="en-US"/>
                    </w:rPr>
                    <w:t>该项目选址涉及牧草地，根据《中华人民共和国草原局》、《国家林业和草原局关于印发草原征占用审核审批管理规范的通知》(林草规〔2020〕2号)、《云南省林业和草原局关于贯彻执行草原征占用审核审批管理规范的实施意见》(云林规〔202232号)要求，编制项目建设使用草原可行性研究报告，对不符合要求的草原进行避让，遵守草原法律法规，依法办理使用草原手续。</w:t>
                  </w:r>
                </w:p>
              </w:tc>
              <w:tc>
                <w:tcPr>
                  <w:tcW w:w="3090"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按照要求，建设项目涉及使用牧草地，将在规定的设计阶段依法办理使用草原审核审批手续，并在取得草原使用手续后方可投入建设。</w:t>
                  </w:r>
                </w:p>
              </w:tc>
              <w:tc>
                <w:tcPr>
                  <w:tcW w:w="719"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Merge w:val="continue"/>
                  <w:vAlign w:val="center"/>
                </w:tcPr>
                <w:p>
                  <w:pPr>
                    <w:pStyle w:val="49"/>
                    <w:jc w:val="center"/>
                    <w:rPr>
                      <w:rFonts w:ascii="Times New Roman" w:hAnsi="Times New Roman" w:eastAsia="宋体" w:cs="Times New Roman"/>
                      <w:szCs w:val="21"/>
                    </w:rPr>
                  </w:pPr>
                </w:p>
              </w:tc>
              <w:tc>
                <w:tcPr>
                  <w:tcW w:w="437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三、</w:t>
                  </w:r>
                  <w:r>
                    <w:rPr>
                      <w:rFonts w:ascii="Times New Roman" w:hAnsi="Times New Roman" w:eastAsia="宋体" w:cs="Times New Roman"/>
                      <w:szCs w:val="21"/>
                      <w:lang w:val="en-US"/>
                    </w:rPr>
                    <w:t>2021年省林草局组织开展了林草湿数据与国土“三调”数据对接融合和国家级公益林优化工作，形成与“三调”无缝衔接的林草湿资源图，建议该项目建设按照用地时的数据及相关政策办理用地手续。</w:t>
                  </w:r>
                </w:p>
              </w:tc>
              <w:tc>
                <w:tcPr>
                  <w:tcW w:w="3090" w:type="dxa"/>
                  <w:vAlign w:val="center"/>
                </w:tcPr>
                <w:p>
                  <w:pPr>
                    <w:pStyle w:val="49"/>
                    <w:jc w:val="center"/>
                    <w:rPr>
                      <w:rFonts w:ascii="Times New Roman" w:hAnsi="Times New Roman" w:eastAsia="宋体" w:cs="Times New Roman"/>
                      <w:szCs w:val="21"/>
                      <w:lang w:val="en-US"/>
                    </w:rPr>
                  </w:pPr>
                  <w:r>
                    <w:rPr>
                      <w:rFonts w:ascii="Times New Roman" w:hAnsi="Times New Roman" w:eastAsia="宋体" w:cs="Times New Roman"/>
                      <w:szCs w:val="21"/>
                      <w:lang w:val="en-US"/>
                    </w:rPr>
                    <w:t>建设单位在设计阶段对公益林进行了避让工作，同时委托有资质单位进行《林地勘验及使用林地可行性报告》的编制，对不符合使用要求的林草湿资源进行了避让工作，避让面积</w:t>
                  </w:r>
                  <w:r>
                    <w:rPr>
                      <w:rFonts w:ascii="Times New Roman" w:hAnsi="Times New Roman" w:eastAsia="宋体" w:cs="Times New Roman"/>
                      <w:szCs w:val="21"/>
                    </w:rPr>
                    <w:t>1311.732</w:t>
                  </w:r>
                  <w:r>
                    <w:rPr>
                      <w:rFonts w:ascii="Times New Roman" w:hAnsi="Times New Roman" w:eastAsia="宋体" w:cs="Times New Roman"/>
                      <w:szCs w:val="21"/>
                      <w:lang w:val="en-US"/>
                    </w:rPr>
                    <w:t>亩。避让了乔木林地及覆盖度50%的灌木林</w:t>
                  </w:r>
                </w:p>
              </w:tc>
              <w:tc>
                <w:tcPr>
                  <w:tcW w:w="719"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Merge w:val="restart"/>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昆明市东川区自然资源局</w:t>
                  </w:r>
                </w:p>
              </w:tc>
              <w:tc>
                <w:tcPr>
                  <w:tcW w:w="4376" w:type="dxa"/>
                  <w:vAlign w:val="center"/>
                </w:tcPr>
                <w:p>
                  <w:pPr>
                    <w:pStyle w:val="49"/>
                    <w:jc w:val="center"/>
                    <w:rPr>
                      <w:rFonts w:ascii="Times New Roman" w:hAnsi="Times New Roman" w:eastAsia="宋体" w:cs="Times New Roman"/>
                      <w:szCs w:val="21"/>
                    </w:rPr>
                  </w:pPr>
                  <w:r>
                    <w:rPr>
                      <w:rFonts w:hint="eastAsia" w:ascii="Times New Roman" w:hAnsi="Times New Roman" w:eastAsia="宋体" w:cs="Times New Roman"/>
                      <w:szCs w:val="21"/>
                    </w:rPr>
                    <w:t>该项目选址通过多方案比选，坚持保护生态、保护耕地和永久基本农田以及节约集约用地的原则，综合考虑地理位置、工程，地质等自然因素和项目建设工程技术、项目投资规模、与相关规，划符合性等要求的基础上，完全避让了耕地、永久基本农田和生态保护红线，选址合理。</w:t>
                  </w:r>
                </w:p>
              </w:tc>
              <w:tc>
                <w:tcPr>
                  <w:tcW w:w="3090" w:type="dxa"/>
                  <w:vAlign w:val="center"/>
                </w:tcPr>
                <w:p>
                  <w:pPr>
                    <w:pStyle w:val="49"/>
                    <w:jc w:val="center"/>
                    <w:rPr>
                      <w:rFonts w:ascii="Times New Roman" w:hAnsi="Times New Roman" w:eastAsia="宋体" w:cs="Times New Roman"/>
                      <w:szCs w:val="21"/>
                      <w:lang w:val="en-US"/>
                    </w:rPr>
                  </w:pPr>
                  <w:r>
                    <w:rPr>
                      <w:rFonts w:hint="eastAsia" w:ascii="Times New Roman" w:hAnsi="Times New Roman" w:eastAsia="宋体" w:cs="Times New Roman"/>
                      <w:szCs w:val="21"/>
                      <w:lang w:val="en-US"/>
                    </w:rPr>
                    <w:t>项目避开了耕地、永久基本农田和生态保护红线进行设计施工，同时施工过程中将严格施工管理工作，严禁超出本项目占地进行施工作业。</w:t>
                  </w:r>
                </w:p>
              </w:tc>
              <w:tc>
                <w:tcPr>
                  <w:tcW w:w="719"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Merge w:val="continue"/>
                  <w:vAlign w:val="center"/>
                </w:tcPr>
                <w:p>
                  <w:pPr>
                    <w:pStyle w:val="49"/>
                    <w:jc w:val="center"/>
                    <w:rPr>
                      <w:rFonts w:ascii="Times New Roman" w:hAnsi="Times New Roman" w:eastAsia="宋体" w:cs="Times New Roman"/>
                      <w:szCs w:val="21"/>
                    </w:rPr>
                  </w:pPr>
                </w:p>
              </w:tc>
              <w:tc>
                <w:tcPr>
                  <w:tcW w:w="4376" w:type="dxa"/>
                  <w:vAlign w:val="center"/>
                </w:tcPr>
                <w:p>
                  <w:pPr>
                    <w:pStyle w:val="49"/>
                    <w:jc w:val="center"/>
                    <w:rPr>
                      <w:rFonts w:ascii="Times New Roman" w:hAnsi="Times New Roman" w:eastAsia="宋体" w:cs="Times New Roman"/>
                      <w:szCs w:val="21"/>
                    </w:rPr>
                  </w:pPr>
                  <w:r>
                    <w:rPr>
                      <w:rFonts w:hint="eastAsia" w:ascii="Times New Roman" w:hAnsi="Times New Roman" w:eastAsia="宋体" w:cs="Times New Roman"/>
                      <w:szCs w:val="21"/>
                    </w:rPr>
                    <w:t>经东川区水务局核实，地块不涉及河道保护管理范围；经东川区林业和草原局核实，该项目用地不涉及国家公园、自然保护区、自然公园；同时，项目选址周边无军事、防震减灾及其他涉及国家和人民安全的设施。</w:t>
                  </w:r>
                </w:p>
              </w:tc>
              <w:tc>
                <w:tcPr>
                  <w:tcW w:w="3090" w:type="dxa"/>
                  <w:vAlign w:val="center"/>
                </w:tcPr>
                <w:p>
                  <w:pPr>
                    <w:pStyle w:val="49"/>
                    <w:jc w:val="center"/>
                    <w:rPr>
                      <w:rFonts w:ascii="Times New Roman" w:hAnsi="Times New Roman" w:eastAsia="宋体" w:cs="Times New Roman"/>
                      <w:szCs w:val="21"/>
                      <w:lang w:val="en-US"/>
                    </w:rPr>
                  </w:pPr>
                  <w:r>
                    <w:rPr>
                      <w:rFonts w:hint="eastAsia" w:ascii="Times New Roman" w:hAnsi="Times New Roman" w:eastAsia="宋体" w:cs="Times New Roman"/>
                      <w:szCs w:val="21"/>
                      <w:lang w:val="en-US"/>
                    </w:rPr>
                    <w:t>项目地块不涉及河道保护，不涉及国家公园、自然保护区、自然公园；同时，项目选址周边无军事、防震减灾及其他涉及国家和人民安全的设施；</w:t>
                  </w:r>
                </w:p>
                <w:p>
                  <w:pPr>
                    <w:pStyle w:val="49"/>
                    <w:jc w:val="center"/>
                    <w:rPr>
                      <w:rFonts w:ascii="Times New Roman" w:hAnsi="Times New Roman" w:eastAsia="宋体" w:cs="Times New Roman"/>
                      <w:szCs w:val="21"/>
                      <w:lang w:val="en-US"/>
                    </w:rPr>
                  </w:pPr>
                  <w:r>
                    <w:rPr>
                      <w:rFonts w:hint="eastAsia" w:ascii="Times New Roman" w:hAnsi="Times New Roman" w:eastAsia="宋体" w:cs="Times New Roman"/>
                      <w:szCs w:val="21"/>
                      <w:lang w:val="en-US"/>
                    </w:rPr>
                    <w:t>施工过程中将严格施工管理工作，严禁超出本项目占地进行施工作业。</w:t>
                  </w:r>
                </w:p>
              </w:tc>
              <w:tc>
                <w:tcPr>
                  <w:tcW w:w="719"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符合</w:t>
                  </w:r>
                </w:p>
              </w:tc>
            </w:tr>
          </w:tbl>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（2）环境敏感性分析</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rPr>
              <w:t>项目选址充分考虑了国家相关用地政策、环保要求，经调整后的选址避让了公益林、基本农田、天然林，避让了自然保护区、水源保护区、生态红线、风景名胜区等环境敏感区。项目避让了滇中城市群主城范围，避让了旅游地区，远离长江经济带规划</w:t>
            </w:r>
            <w:r>
              <w:rPr>
                <w:rFonts w:ascii="Times New Roman" w:hAnsi="Times New Roman" w:eastAsia="宋体" w:cs="Times New Roman"/>
                <w:sz w:val="24"/>
                <w:lang w:val="en-US"/>
              </w:rPr>
              <w:t>发展区，没有布局在城市面山区域，对滇中城市群及长江经济带未来发展无明显直接影响。</w:t>
            </w:r>
            <w:r>
              <w:rPr>
                <w:rFonts w:ascii="Times New Roman" w:hAnsi="Times New Roman" w:eastAsia="宋体" w:cs="Times New Roman"/>
                <w:sz w:val="24"/>
              </w:rPr>
              <w:t>项目建设符合《云南省在适宜地区适度开发利用新能源规划》的相关要求。项目占地区域无珍稀濒危动植物，用地区植被覆盖率较低，大多为</w:t>
            </w:r>
            <w:r>
              <w:rPr>
                <w:rFonts w:ascii="Times New Roman" w:hAnsi="Times New Roman" w:eastAsia="宋体" w:cs="Times New Roman"/>
                <w:sz w:val="24"/>
                <w:lang w:val="en-US"/>
              </w:rPr>
              <w:t>草地</w:t>
            </w:r>
            <w:r>
              <w:rPr>
                <w:rFonts w:ascii="Times New Roman" w:hAnsi="Times New Roman" w:eastAsia="宋体" w:cs="Times New Roman"/>
                <w:sz w:val="24"/>
              </w:rPr>
              <w:t>，生态环境不敏感，</w:t>
            </w:r>
            <w:r>
              <w:rPr>
                <w:rFonts w:ascii="Times New Roman" w:hAnsi="Times New Roman" w:eastAsia="宋体" w:cs="Times New Roman"/>
                <w:sz w:val="24"/>
                <w:lang w:val="en-US"/>
              </w:rPr>
              <w:t>因此项目选址合理。</w:t>
            </w:r>
          </w:p>
        </w:tc>
      </w:tr>
    </w:tbl>
    <w:p>
      <w:pPr>
        <w:sectPr>
          <w:footerReference r:id="rId6" w:type="default"/>
          <w:pgSz w:w="11906" w:h="16838"/>
          <w:pgMar w:top="1440" w:right="1800" w:bottom="1440" w:left="1800" w:header="851" w:footer="1077" w:gutter="0"/>
          <w:cols w:space="720" w:num="1"/>
          <w:docGrid w:linePitch="312" w:charSpace="0"/>
        </w:sectPr>
      </w:pPr>
    </w:p>
    <w:p>
      <w:pPr>
        <w:pStyle w:val="17"/>
        <w:ind w:firstLine="301" w:firstLineChars="100"/>
        <w:jc w:val="center"/>
        <w:outlineLvl w:val="0"/>
        <w:rPr>
          <w:rFonts w:ascii="Times New Roman" w:hAnsi="Times New Roman"/>
          <w:b/>
          <w:bCs/>
          <w:snapToGrid w:val="0"/>
          <w:sz w:val="30"/>
          <w:szCs w:val="30"/>
        </w:rPr>
      </w:pPr>
      <w:bookmarkStart w:id="17" w:name="_Toc26497"/>
      <w:r>
        <w:rPr>
          <w:rFonts w:ascii="Times New Roman" w:hAnsi="Times New Roman"/>
          <w:b/>
          <w:bCs/>
          <w:snapToGrid w:val="0"/>
          <w:sz w:val="30"/>
          <w:szCs w:val="30"/>
        </w:rPr>
        <w:t>五、主要生态环境保护措施</w:t>
      </w:r>
      <w:bookmarkEnd w:id="17"/>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743" w:type="dxa"/>
            <w:tcMar>
              <w:left w:w="28" w:type="dxa"/>
              <w:right w:w="28" w:type="dxa"/>
            </w:tcMar>
            <w:vAlign w:val="center"/>
          </w:tcPr>
          <w:p>
            <w:pPr>
              <w:adjustRightInd w:val="0"/>
              <w:snapToGrid w:val="0"/>
              <w:jc w:val="center"/>
              <w:rPr>
                <w:bCs/>
                <w:sz w:val="24"/>
                <w:szCs w:val="21"/>
              </w:rPr>
            </w:pPr>
            <w:r>
              <w:rPr>
                <w:bCs/>
                <w:spacing w:val="10"/>
                <w:sz w:val="24"/>
                <w:szCs w:val="21"/>
              </w:rPr>
              <w:t>施工期生态环境保护措施</w:t>
            </w:r>
          </w:p>
        </w:tc>
        <w:tc>
          <w:tcPr>
            <w:tcW w:w="9111" w:type="dxa"/>
          </w:tcPr>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（一）施工期生态环境防治措施</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1、土壤保护措施</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①</w:t>
            </w:r>
            <w:r>
              <w:rPr>
                <w:rFonts w:ascii="Times New Roman" w:hAnsi="Times New Roman" w:eastAsia="宋体" w:cs="Times New Roman"/>
                <w:sz w:val="24"/>
                <w:lang w:val="en-US"/>
              </w:rPr>
              <w:t>施工中应加强施工管理，划定施工区域界限，在保证施工顺利进行的前提下，尽量缩小施工范围，明确临时作业区，尽量减少扰动面积。合理安排施工时间及工序，施工避开大风天气及雨季，开挖后土石方应及时回填。</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lang w:val="en-US"/>
              </w:rPr>
              <w:t>②</w:t>
            </w:r>
            <w:r>
              <w:rPr>
                <w:rFonts w:ascii="Times New Roman" w:hAnsi="Times New Roman" w:eastAsia="宋体" w:cs="Times New Roman"/>
                <w:sz w:val="24"/>
                <w:lang w:val="en-US"/>
              </w:rPr>
              <w:t>施工单位尽可能利用现有道路施工，施工车辆应严格按规定行车路线通行，禁止随意碾压，践踏道路外土地，破坏原有地表植被。</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2、植物保护措施</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①</w:t>
            </w:r>
            <w:r>
              <w:rPr>
                <w:rFonts w:ascii="Times New Roman" w:hAnsi="Times New Roman" w:eastAsia="宋体" w:cs="Times New Roman"/>
                <w:sz w:val="24"/>
                <w:lang w:val="en-US"/>
              </w:rPr>
              <w:t>场地平整以及电缆挖设的过程中会造成暂时的植被破坏，破坏的植被在施工完毕之后，进行一系列的剥离表土回填，同时播撒草种。</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②</w:t>
            </w:r>
            <w:r>
              <w:rPr>
                <w:rFonts w:ascii="Times New Roman" w:hAnsi="Times New Roman" w:eastAsia="宋体" w:cs="Times New Roman"/>
                <w:sz w:val="24"/>
                <w:lang w:val="en-US"/>
              </w:rPr>
              <w:t>在升压站内种植绿化等生态治理措施之后，可以提高评价区内的生物多样性，保证原生植被的存活率。</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3、动物保护措施</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在施工期间，加强对施工人员和管理人员的教育，禁止对各类野生动物乱捕乱杀</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4、水土流失保护措施</w:t>
            </w:r>
          </w:p>
          <w:p>
            <w:pPr>
              <w:pStyle w:val="38"/>
              <w:rPr>
                <w:rFonts w:ascii="Times New Roman" w:hAnsi="Times New Roman" w:cs="Times New Roman"/>
              </w:rPr>
            </w:pPr>
            <w:r>
              <w:rPr>
                <w:rFonts w:ascii="Times New Roman" w:hAnsi="Times New Roman" w:cs="Times New Roman"/>
              </w:rPr>
              <w:t>项目建设过程水土流失主要表现在前期的场地平整，地基开挖、回填过程造成的土壤扰动的过程中所产生的水土流失。</w:t>
            </w:r>
            <w:r>
              <w:rPr>
                <w:rFonts w:hint="eastAsia" w:ascii="Times New Roman" w:hAnsi="Times New Roman" w:cs="Times New Roman"/>
                <w:lang w:val="en-US" w:eastAsia="zh-CN"/>
              </w:rPr>
              <w:t>建设单位</w:t>
            </w:r>
            <w:r>
              <w:rPr>
                <w:rFonts w:ascii="Times New Roman" w:hAnsi="Times New Roman" w:cs="Times New Roman"/>
              </w:rPr>
              <w:t>委托有资质单位编制《</w:t>
            </w:r>
            <w:r>
              <w:rPr>
                <w:rFonts w:ascii="Times New Roman" w:hAnsi="Times New Roman" w:cs="Times New Roman"/>
                <w:szCs w:val="21"/>
              </w:rPr>
              <w:t>水土保持方案</w:t>
            </w:r>
            <w:r>
              <w:rPr>
                <w:rFonts w:ascii="Times New Roman" w:hAnsi="Times New Roman" w:cs="Times New Roman"/>
              </w:rPr>
              <w:t>》，并</w:t>
            </w:r>
            <w:r>
              <w:rPr>
                <w:rFonts w:ascii="Times New Roman" w:hAnsi="Times New Roman" w:cs="Times New Roman"/>
                <w:szCs w:val="21"/>
              </w:rPr>
              <w:t>按《水土保持方案》的相关措施要求进行土工布遮盖、行道树种植、撒草绿化、植被恢复以及截排水沟布设。</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5、生态减缓措施</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①</w:t>
            </w:r>
            <w:r>
              <w:rPr>
                <w:rFonts w:ascii="Times New Roman" w:hAnsi="Times New Roman" w:eastAsia="宋体" w:cs="Times New Roman"/>
                <w:sz w:val="24"/>
                <w:lang w:val="en-US"/>
              </w:rPr>
              <w:t>施工活动集中在一定范围内进行，防止肆意扩大施工范围，减少施工对动植物的影响范围，施工过程中尽量保护好原有的自然植被。</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②</w:t>
            </w:r>
            <w:r>
              <w:rPr>
                <w:rFonts w:ascii="Times New Roman" w:hAnsi="Times New Roman" w:eastAsia="宋体" w:cs="Times New Roman"/>
                <w:sz w:val="24"/>
                <w:lang w:val="en-US"/>
              </w:rPr>
              <w:t>施工时序应避开植物生长期和动物繁殖期，减少对动植物的影响。</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③</w:t>
            </w:r>
            <w:r>
              <w:rPr>
                <w:rFonts w:ascii="Times New Roman" w:hAnsi="Times New Roman" w:eastAsia="宋体" w:cs="Times New Roman"/>
                <w:sz w:val="24"/>
                <w:lang w:val="en-US"/>
              </w:rPr>
              <w:t>施工期禁止施工人员猎取当地野生动物，如鸟类、蛇、蛙等。</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④</w:t>
            </w:r>
            <w:r>
              <w:rPr>
                <w:rFonts w:ascii="Times New Roman" w:hAnsi="Times New Roman" w:eastAsia="宋体" w:cs="Times New Roman"/>
                <w:sz w:val="24"/>
                <w:lang w:val="en-US"/>
              </w:rPr>
              <w:t>施工期不得在征地范围以外区域进行取土、采石等破坏生态环境的施工活动。</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⑤</w:t>
            </w:r>
            <w:r>
              <w:rPr>
                <w:rFonts w:ascii="Times New Roman" w:hAnsi="Times New Roman" w:eastAsia="宋体" w:cs="Times New Roman"/>
                <w:sz w:val="24"/>
                <w:lang w:val="en-US"/>
              </w:rPr>
              <w:t>合理布置施工场地，选用先进的施工工艺，尽量减少占地面积，减少植被破坏；减少建筑垃圾和生活垃圾的产生，及时清除多余的土石方，运走生活垃圾，以减轻对植被的占压、干扰和破坏。</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⑥</w:t>
            </w:r>
            <w:r>
              <w:rPr>
                <w:rFonts w:ascii="Times New Roman" w:hAnsi="Times New Roman" w:eastAsia="宋体" w:cs="Times New Roman"/>
                <w:sz w:val="24"/>
                <w:lang w:val="en-US"/>
              </w:rPr>
              <w:t>施工单位在施工前，应当制定植被保护和恢复方案。施工完成后，对搭建的临时设施予以清除，恢复原有的地表状态。</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⑦</w:t>
            </w:r>
            <w:r>
              <w:rPr>
                <w:rFonts w:ascii="Times New Roman" w:hAnsi="Times New Roman" w:eastAsia="宋体" w:cs="Times New Roman"/>
                <w:sz w:val="24"/>
                <w:lang w:val="en-US"/>
              </w:rPr>
              <w:t>施工结束后，应及时对临时占地进行植被恢复或复耕，若进行植被恢复尽量选用灌-草相结合的方式进行绿化，绿化树种选择应在“适地适树”的原则下，尽量以当地的优良乡土树种为主，适当引进新的优良树种、草种，保证绿化栽植的成活率。复耕则因地制宜种植一些经济作物，严禁抛荒土地。</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6、施工管理</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①</w:t>
            </w:r>
            <w:r>
              <w:rPr>
                <w:rFonts w:ascii="Times New Roman" w:hAnsi="Times New Roman" w:eastAsia="宋体" w:cs="Times New Roman"/>
                <w:sz w:val="24"/>
                <w:lang w:val="en-US"/>
              </w:rPr>
              <w:t>在施工人员进入施工现场前，建设单位应组织进行生态环境保护相关法规方面的宣传、教育，使所有参与施工人员认识到保护项目区天然植被的重要性，并落实到自身的实际行动中。</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②</w:t>
            </w:r>
            <w:r>
              <w:rPr>
                <w:rFonts w:ascii="Times New Roman" w:hAnsi="Times New Roman" w:eastAsia="宋体" w:cs="Times New Roman"/>
                <w:sz w:val="24"/>
                <w:lang w:val="en-US"/>
              </w:rPr>
              <w:t>施工单位在施工前应加强对施工人员进行野生动物保护法律法规的宣传和教育，提高环境保护意识。施工过程中，禁止施工人员随时使用明火，防止发生火灾。</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③</w:t>
            </w:r>
            <w:r>
              <w:rPr>
                <w:rFonts w:ascii="Times New Roman" w:hAnsi="Times New Roman" w:eastAsia="宋体" w:cs="Times New Roman"/>
                <w:sz w:val="24"/>
                <w:lang w:val="en-US"/>
              </w:rPr>
              <w:t>尽量避免在雨天和大风天施工，减少水土流失量，防治尘土到处飞扬。</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④</w:t>
            </w:r>
            <w:r>
              <w:rPr>
                <w:rFonts w:ascii="Times New Roman" w:hAnsi="Times New Roman" w:eastAsia="宋体" w:cs="Times New Roman"/>
                <w:sz w:val="24"/>
                <w:lang w:val="en-US"/>
              </w:rPr>
              <w:t>严禁施工废水、生活污水、生活垃圾、弃土弃渣排入附近地表水体，影响水体水质：施工结束后应及时全面清理废弃物，避免留下难以降解的物质，形成面源污染。</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（二）</w:t>
            </w:r>
            <w:r>
              <w:rPr>
                <w:rFonts w:ascii="Times New Roman" w:hAnsi="Times New Roman" w:eastAsia="宋体" w:cs="Times New Roman"/>
                <w:b/>
                <w:sz w:val="24"/>
                <w:lang w:val="en-US"/>
              </w:rPr>
              <w:t>施工期大气环境污染防治措施</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由于清理土地、挖土和填土操作过程中产生的尘埃排放物，会在短期内影响当地的空气质量。颗粒物排放量随施工作业的活动水平、特定操作和天气而每天变化，而且很大一部分是由于在施工现场临时修筑的道路上，设备车辆往来行驶所引起的。</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US"/>
              </w:rPr>
              <w:t>施工扬尘尽管是短期行为，但也会对附近区域环境带来不利影响，所以在施工期间要采取积极有效的措施减轻扬尘的产生，防止扬尘扩散，具体环保要求如下：</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①</w:t>
            </w:r>
            <w:r>
              <w:rPr>
                <w:rFonts w:ascii="Times New Roman" w:hAnsi="Times New Roman" w:eastAsia="宋体" w:cs="Times New Roman"/>
                <w:sz w:val="24"/>
                <w:lang w:val="en-US"/>
              </w:rPr>
              <w:t>禁止在大风天施工作业，尤其是引起地面扰动的作业。对于建设施工阶段的车辆和机械扬尘，建议采取洒水湿法抑尘。利用洒水车对施工现场和进出道路洒水，同时在施工场地出口设置浅水池，以利于减少扬尘的产量。</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②</w:t>
            </w:r>
            <w:r>
              <w:rPr>
                <w:rFonts w:ascii="Times New Roman" w:hAnsi="Times New Roman" w:eastAsia="宋体" w:cs="Times New Roman"/>
                <w:sz w:val="24"/>
                <w:lang w:val="en-US"/>
              </w:rPr>
              <w:t>施工车辆进出道路要全覆盖，同时限制运输车辆的行驶速度，防止物料撒落和产生扬尘；卸车时应尽量减少落差，以减少扬尘的产生量。对施工区附近的道路进行清扫，减少粉尘和二次扬尘产生。限制施工区内运输车辆的速度。</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③</w:t>
            </w:r>
            <w:r>
              <w:rPr>
                <w:rFonts w:ascii="Times New Roman" w:hAnsi="Times New Roman" w:eastAsia="宋体" w:cs="Times New Roman"/>
                <w:sz w:val="24"/>
                <w:lang w:val="en-US"/>
              </w:rPr>
              <w:t>运输砂、石等材料的车辆应覆盖蓬布，以减少撒落和飞灰。对于装运含尘物料的运输车辆必须进行密封运输，严格控制和规范车辆运输量和方式，容易产生粉尘的物料不能够装得高过车辆两边和尾部的挡板，严格控制物料的洒落。</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④</w:t>
            </w:r>
            <w:r>
              <w:rPr>
                <w:rFonts w:ascii="Times New Roman" w:hAnsi="Times New Roman" w:eastAsia="宋体" w:cs="Times New Roman"/>
                <w:sz w:val="24"/>
                <w:lang w:val="en-US"/>
              </w:rPr>
              <w:t>对不能及时回填，临时堆弃场地的土堆、料堆的堆放应定点定位，对堆场用苫布覆盖并定期洒水抑尘。</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⑤</w:t>
            </w:r>
            <w:r>
              <w:rPr>
                <w:rFonts w:ascii="Times New Roman" w:hAnsi="Times New Roman" w:eastAsia="宋体" w:cs="Times New Roman"/>
                <w:sz w:val="24"/>
                <w:lang w:val="en-US"/>
              </w:rPr>
              <w:t>升压站施工现场设置围栏或部分围栏，缩小施工扬尘扩散范围。</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（三）施工期水环境污染防治措施</w:t>
            </w:r>
          </w:p>
          <w:p>
            <w:pPr>
              <w:pStyle w:val="49"/>
              <w:spacing w:line="360" w:lineRule="auto"/>
              <w:ind w:firstLine="480" w:firstLineChars="200"/>
              <w:rPr>
                <w:rFonts w:hint="default" w:ascii="Times New Roman" w:hAnsi="Times New Roman" w:eastAsia="宋体" w:cs="Times New Roman"/>
                <w:sz w:val="24"/>
                <w:lang w:val="en-US" w:eastAsia="zh-CN"/>
              </w:rPr>
            </w:pPr>
            <w:r>
              <w:rPr>
                <w:rFonts w:ascii="宋体" w:hAnsi="宋体" w:eastAsia="宋体" w:cs="宋体"/>
                <w:sz w:val="24"/>
              </w:rPr>
              <w:t>①</w:t>
            </w:r>
            <w:r>
              <w:rPr>
                <w:rFonts w:hint="eastAsia" w:ascii="Times New Roman" w:hAnsi="Times New Roman" w:eastAsia="宋体" w:cs="Times New Roman"/>
                <w:sz w:val="24"/>
                <w:lang w:val="en-US" w:eastAsia="zh-CN"/>
              </w:rPr>
              <w:t>施工人员生活设施依托光伏区施工营地</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施工营地施工人员生活污水设置旱厕，定期清掏用于周边农田施肥，施工现场产生的洗手、洗脸等废水经沉淀池收集后用于混凝土搅拌、施工场地降尘洒水；项目生活污水不外排，不对水环境产生影响。</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在施工场地内设置临时导流沟和临时沉淀池对施工废水进行沉淀处理，处理后的废水回用于洒水抑尘、工程养护和其它施工环节，严禁外排。</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rPr>
              <w:t>③</w:t>
            </w:r>
            <w:r>
              <w:rPr>
                <w:rFonts w:hint="eastAsia" w:ascii="Times New Roman" w:hAnsi="Times New Roman" w:eastAsia="宋体" w:cs="Times New Roman"/>
                <w:sz w:val="24"/>
                <w:lang w:val="en-US" w:eastAsia="zh-CN"/>
              </w:rPr>
              <w:t>为降低施工期降雨时造成水土流失，环评提出，在施工前期，施工单位应围绕施工区设置雨水截流沟渠和雨水沉淀池，对施工期施工场地产生的地表径流进行拦截，并将其引导进入雨水沉淀池，经沉淀去除雨水中夹杂的泥沙后，上层清澈雨水外排，泥沙与土石方一同用于站区回填。施工期混凝土搅拌区域截流边沟、废水收集池、施工场地雨水截流沟渠、雨水沉淀池必须先于动工之前完成。</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④</w:t>
            </w:r>
            <w:r>
              <w:rPr>
                <w:rFonts w:ascii="Times New Roman" w:hAnsi="Times New Roman" w:eastAsia="宋体" w:cs="Times New Roman"/>
                <w:sz w:val="24"/>
              </w:rPr>
              <w:t>加强管理，做好机械的日常维修保养，杜绝跑、冒、滴、漏现象。另外，雨天应对各类机械、粉状物料进行遮盖防雨。</w:t>
            </w:r>
          </w:p>
          <w:p>
            <w:pPr>
              <w:pStyle w:val="49"/>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（四）施工期声环境污染防治措施</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①</w:t>
            </w:r>
            <w:r>
              <w:rPr>
                <w:rFonts w:ascii="Times New Roman" w:hAnsi="Times New Roman" w:eastAsia="宋体" w:cs="Times New Roman"/>
                <w:sz w:val="24"/>
                <w:lang w:val="en-US"/>
              </w:rPr>
              <w:t>合理安排施工计划和时间</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合理安排施工计划和施工机械设备组合以及施工时间，避免在同一时间集中使用大量的动力机械设备。施工单位严格执行《建筑施工场界环境噪声排放标准》(GB</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-2011）的要求，在施工过程中，尽量减少运行动力机械设备的数量，尽可能使动力机械设备均匀地使用。</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②</w:t>
            </w:r>
            <w:r>
              <w:rPr>
                <w:rFonts w:ascii="Times New Roman" w:hAnsi="Times New Roman" w:eastAsia="宋体" w:cs="Times New Roman"/>
                <w:sz w:val="24"/>
                <w:lang w:val="en-US"/>
              </w:rPr>
              <w:t>降低声源的噪声强度</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尽量选用低噪声设备，同时加强设备的日常维修保养，使施工机械保持良好的运行状态，避免在噪声非正常状态下运转。选择低噪声的机械设备；</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③</w:t>
            </w:r>
            <w:r>
              <w:rPr>
                <w:rFonts w:ascii="Times New Roman" w:hAnsi="Times New Roman" w:eastAsia="宋体" w:cs="Times New Roman"/>
                <w:sz w:val="24"/>
                <w:lang w:val="en-US"/>
              </w:rPr>
              <w:t>加强施工噪声监督管理，由于施工车辆的增加将增大道路交通噪声，应对运输车辆行驶时间、行驶路线进行严格控制和管理，应避开噪声敏感区域和噪声敏感时段。运输车辆在通过居民点时，应减速行驶和禁止鸣笛，以免影响沿途居民的正常生活。</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lang w:val="en-US"/>
              </w:rPr>
              <w:t>④</w:t>
            </w:r>
            <w:r>
              <w:rPr>
                <w:rFonts w:ascii="Times New Roman" w:hAnsi="Times New Roman" w:eastAsia="宋体" w:cs="Times New Roman"/>
                <w:sz w:val="24"/>
                <w:lang w:val="en-US"/>
              </w:rPr>
              <w:t>加强施工队伍的教育，提高职工的环保意识施工现场的许多噪声只要操作人员合理操作就可降低，如卸货时轻拿轻放，禁止野蛮作业；</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（五）施工期固体废物污染防治措施</w:t>
            </w:r>
          </w:p>
          <w:p>
            <w:pPr>
              <w:pStyle w:val="49"/>
              <w:spacing w:line="360" w:lineRule="auto"/>
              <w:ind w:firstLine="480" w:firstLineChars="200"/>
              <w:rPr>
                <w:rFonts w:ascii="宋体" w:hAnsi="宋体" w:eastAsia="宋体" w:cs="宋体"/>
                <w:sz w:val="24"/>
                <w:lang w:val="en-US"/>
              </w:rPr>
            </w:pPr>
            <w:r>
              <w:rPr>
                <w:rFonts w:hint="eastAsia" w:ascii="宋体" w:hAnsi="宋体" w:eastAsia="宋体" w:cs="宋体"/>
                <w:sz w:val="24"/>
                <w:lang w:val="en-US" w:eastAsia="zh-CN"/>
              </w:rPr>
              <w:t>针对项目施工期固体废物产生情况，环评提出，表土剥离后妥善暂存，堆存时设置围挡、密网覆盖等措施，后期用于厂区覆土绿化；开挖土石方全部回填，不外排。施工过程中产生少量的建筑垃圾，分类回收再利用，不能回收利用的，由建设单位运送到指定的建筑垃圾处理点进行处理，不外排。生活垃圾分类收集后委托环卫部门转运处理。</w:t>
            </w:r>
          </w:p>
          <w:p>
            <w:pPr>
              <w:pStyle w:val="49"/>
              <w:spacing w:line="360" w:lineRule="auto"/>
              <w:ind w:firstLine="480" w:firstLineChars="200"/>
              <w:rPr>
                <w:rFonts w:ascii="Times New Roman" w:hAnsi="Times New Roman" w:eastAsia="宋体" w:cs="Times New Roman"/>
                <w:sz w:val="24"/>
              </w:rPr>
            </w:pPr>
            <w:r>
              <w:rPr>
                <w:rFonts w:hint="eastAsia" w:ascii="宋体" w:hAnsi="宋体" w:eastAsia="宋体" w:cs="宋体"/>
                <w:sz w:val="24"/>
                <w:lang w:val="en-US" w:eastAsia="zh-CN"/>
              </w:rPr>
              <w:t>综上所述，在认真落实环评提出的施工期污染防治措施后，施工期固体废物均得到妥善处置，环评提出的施工期固体废物污染防治措施可行</w:t>
            </w:r>
            <w:r>
              <w:rPr>
                <w:rFonts w:ascii="Times New Roman" w:hAnsi="Times New Roman" w:eastAsia="宋体" w:cs="Times New Roman"/>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43" w:type="dxa"/>
            <w:tcMar>
              <w:left w:w="28" w:type="dxa"/>
              <w:right w:w="28" w:type="dxa"/>
            </w:tcMar>
            <w:vAlign w:val="center"/>
          </w:tcPr>
          <w:p>
            <w:pPr>
              <w:adjustRightInd w:val="0"/>
              <w:snapToGrid w:val="0"/>
              <w:jc w:val="center"/>
              <w:rPr>
                <w:bCs/>
                <w:spacing w:val="10"/>
                <w:sz w:val="24"/>
                <w:szCs w:val="21"/>
              </w:rPr>
            </w:pPr>
            <w:r>
              <w:rPr>
                <w:bCs/>
                <w:spacing w:val="10"/>
                <w:sz w:val="24"/>
                <w:szCs w:val="21"/>
              </w:rPr>
              <w:t>运营期生态环境保护措施</w:t>
            </w:r>
          </w:p>
        </w:tc>
        <w:tc>
          <w:tcPr>
            <w:tcW w:w="9111" w:type="dxa"/>
          </w:tcPr>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（一）运营期生态环境防治措施</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①</w:t>
            </w:r>
            <w:r>
              <w:rPr>
                <w:rFonts w:hint="eastAsia" w:ascii="Times New Roman" w:hAnsi="Times New Roman" w:eastAsia="宋体" w:cs="Times New Roman"/>
                <w:sz w:val="24"/>
                <w:lang w:val="en-US" w:eastAsia="zh-CN"/>
              </w:rPr>
              <w:t>项目营运期对生态环境的影响主要表现在站区电气设备放电噪声、电磁辐射对外环境的影响，通过构筑围墙及站区绿化等措施降低噪声及电磁辐射的影响，对生态环境影响小。</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升压站设置500m</w:t>
            </w:r>
            <w:r>
              <w:rPr>
                <w:rFonts w:ascii="Times New Roman" w:hAnsi="Times New Roman" w:eastAsia="宋体" w:cs="Times New Roman"/>
                <w:sz w:val="24"/>
                <w:vertAlign w:val="superscript"/>
              </w:rPr>
              <w:t>2</w:t>
            </w:r>
            <w:r>
              <w:rPr>
                <w:rFonts w:ascii="Times New Roman" w:hAnsi="Times New Roman" w:eastAsia="宋体" w:cs="Times New Roman"/>
                <w:sz w:val="24"/>
              </w:rPr>
              <w:t>的绿化面积，考虑选取乡土树种为主，易于存活。</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③</w:t>
            </w:r>
            <w:r>
              <w:rPr>
                <w:rFonts w:ascii="Times New Roman" w:hAnsi="Times New Roman" w:eastAsia="宋体" w:cs="Times New Roman"/>
                <w:sz w:val="24"/>
              </w:rPr>
              <w:t>做好员工宣传工作，保护当地的野生动物，禁止人为捕杀；禁止引入外来有害生物。</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④</w:t>
            </w:r>
            <w:r>
              <w:rPr>
                <w:rFonts w:ascii="Times New Roman" w:hAnsi="Times New Roman" w:eastAsia="宋体" w:cs="Times New Roman"/>
                <w:sz w:val="24"/>
                <w:lang w:val="en-US"/>
              </w:rPr>
              <w:t>加强管理，巡检车辆只在巡检道路内行驶，避免对植被造成损害；加强对各项生态保护措施的日常维护；现场维护和检修应选择在昼间进行，避免影响周边动物夜间的正常活动</w:t>
            </w:r>
            <w:r>
              <w:rPr>
                <w:rFonts w:ascii="Times New Roman" w:hAnsi="Times New Roman" w:eastAsia="宋体" w:cs="Times New Roman"/>
                <w:sz w:val="24"/>
              </w:rPr>
              <w:t>。</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（二）运营期大气环境防治措施</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①</w:t>
            </w:r>
            <w:r>
              <w:rPr>
                <w:rFonts w:ascii="Times New Roman" w:hAnsi="Times New Roman" w:eastAsia="宋体" w:cs="Times New Roman"/>
                <w:sz w:val="24"/>
              </w:rPr>
              <w:t>升压站内使用清洁能源，厨房油烟采用1套油烟净化设备处理后，通高于屋顶1.5m的排气装置排放。</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保持项目区内环境卫生，减少运营期地面扬尘和飘散物对环境空气质量的影响；项目区生活垃圾及时清运并对垃圾收集点经常进行清扫。</w:t>
            </w:r>
          </w:p>
          <w:p>
            <w:pPr>
              <w:pStyle w:val="49"/>
              <w:spacing w:line="360" w:lineRule="auto"/>
              <w:ind w:firstLine="482" w:firstLineChars="200"/>
              <w:rPr>
                <w:rFonts w:ascii="Times New Roman" w:hAnsi="Times New Roman" w:eastAsia="宋体" w:cs="Times New Roman"/>
                <w:b/>
                <w:sz w:val="24"/>
                <w:lang w:val="en-US" w:bidi="ar-SA"/>
              </w:rPr>
            </w:pPr>
            <w:r>
              <w:rPr>
                <w:rFonts w:ascii="Times New Roman" w:hAnsi="Times New Roman" w:eastAsia="宋体" w:cs="Times New Roman"/>
                <w:b/>
                <w:sz w:val="24"/>
                <w:lang w:val="en-US" w:bidi="ar-SA"/>
              </w:rPr>
              <w:t>（三）运营期水环境防治措施</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①</w:t>
            </w:r>
            <w:r>
              <w:rPr>
                <w:rFonts w:ascii="Times New Roman" w:hAnsi="Times New Roman" w:eastAsia="宋体" w:cs="Times New Roman"/>
                <w:sz w:val="24"/>
              </w:rPr>
              <w:t>食堂废水经隔油池处理，之后与其余生活污水经化粪池处理，</w:t>
            </w:r>
            <w:r>
              <w:rPr>
                <w:rFonts w:ascii="Times New Roman" w:hAnsi="Times New Roman" w:eastAsia="宋体" w:cs="Times New Roman"/>
                <w:sz w:val="24"/>
                <w:lang w:val="en-US"/>
              </w:rPr>
              <w:t>之后汇入一体化污水处理站进行处理，处理达标废水</w:t>
            </w:r>
            <w:r>
              <w:rPr>
                <w:rFonts w:ascii="Times New Roman" w:hAnsi="Times New Roman" w:eastAsia="宋体" w:cs="Times New Roman"/>
                <w:sz w:val="24"/>
              </w:rPr>
              <w:t>暂存于污水收集池中，晴天用水升压站内的绿化使用，不进行外排。</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应定期对化粪池、隔油池进行清掏；定期检修污水处理设施，建立污水处理设施管理制度，以保障污水处理设施的处理效果。</w:t>
            </w:r>
          </w:p>
          <w:p>
            <w:pPr>
              <w:pStyle w:val="49"/>
              <w:spacing w:line="360" w:lineRule="auto"/>
              <w:ind w:firstLine="482" w:firstLineChars="200"/>
              <w:rPr>
                <w:rFonts w:ascii="Times New Roman" w:hAnsi="Times New Roman" w:eastAsia="宋体" w:cs="Times New Roman"/>
                <w:b/>
                <w:sz w:val="24"/>
                <w:lang w:val="en-US"/>
              </w:rPr>
            </w:pPr>
            <w:r>
              <w:rPr>
                <w:rFonts w:ascii="Times New Roman" w:hAnsi="Times New Roman" w:eastAsia="宋体" w:cs="Times New Roman"/>
                <w:b/>
                <w:sz w:val="24"/>
                <w:lang w:val="en-US"/>
              </w:rPr>
              <w:t>（四）运营期声环境防治措施</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选用低噪设备、合理布置、升压站布置于围墙之内，同时种植绿化，经围墙隔声、绿化降噪之后对声环境影响可以接受。</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（五）运营期固体废物防治措施</w:t>
            </w:r>
          </w:p>
          <w:p>
            <w:pPr>
              <w:pStyle w:val="49"/>
              <w:spacing w:line="360" w:lineRule="auto"/>
              <w:ind w:firstLine="480" w:firstLineChars="200"/>
              <w:rPr>
                <w:rFonts w:hint="eastAsia" w:ascii="Times New Roman" w:hAnsi="Times New Roman" w:eastAsia="宋体" w:cs="Times New Roman"/>
                <w:sz w:val="24"/>
                <w:lang w:eastAsia="zh-CN"/>
              </w:rPr>
            </w:pPr>
            <w:r>
              <w:rPr>
                <w:rFonts w:ascii="宋体" w:hAnsi="宋体" w:eastAsia="宋体" w:cs="宋体"/>
                <w:sz w:val="24"/>
                <w:lang w:val="en-US"/>
              </w:rPr>
              <w:t>①</w:t>
            </w:r>
            <w:r>
              <w:rPr>
                <w:rFonts w:ascii="Times New Roman" w:hAnsi="Times New Roman" w:eastAsia="宋体" w:cs="Times New Roman"/>
                <w:sz w:val="24"/>
                <w:lang w:val="en-US"/>
              </w:rPr>
              <w:t>项目内的生活垃圾分类收集，存放于办公生活区的垃圾桶内，定期清运至当地生活垃圾收集点进行统一处理，不得随意丢弃、焚烧</w:t>
            </w:r>
            <w:r>
              <w:rPr>
                <w:rFonts w:hint="eastAsia" w:ascii="Times New Roman" w:hAnsi="Times New Roman" w:eastAsia="宋体" w:cs="Times New Roman"/>
                <w:sz w:val="24"/>
                <w:lang w:val="en-US" w:eastAsia="zh-CN"/>
              </w:rPr>
              <w:t>。</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②</w:t>
            </w:r>
            <w:r>
              <w:rPr>
                <w:rFonts w:ascii="Times New Roman" w:hAnsi="Times New Roman" w:eastAsia="宋体" w:cs="Times New Roman"/>
                <w:sz w:val="24"/>
                <w:lang w:val="en-US"/>
              </w:rPr>
              <w:t>污水处理设施污泥委托周边农户进行清掏，堆肥处理之后，用于绿化地施肥使用</w:t>
            </w:r>
            <w:r>
              <w:rPr>
                <w:rFonts w:ascii="Times New Roman" w:hAnsi="Times New Roman" w:eastAsia="宋体" w:cs="Times New Roman"/>
                <w:sz w:val="24"/>
              </w:rPr>
              <w:t>。</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③在主变压器底部设有贮油坑，容积为主变压器油量的20﹪，贮油坑的四周设挡油坎，高出地面100mm。坑内铺设厚度为250mm的卵石，卵石粒径为50--80mm，坑底设有排油管，能将事故油及废水排至事故油池中。事故油池为地下箱型基础，采用C30钢筋混凝土浇筑，容积为50m</w:t>
            </w:r>
            <w:r>
              <w:rPr>
                <w:rFonts w:ascii="Times New Roman" w:hAnsi="Times New Roman" w:eastAsia="宋体" w:cs="Times New Roman"/>
                <w:sz w:val="24"/>
                <w:vertAlign w:val="superscript"/>
                <w:lang w:val="en-US"/>
              </w:rPr>
              <w:t>3</w:t>
            </w:r>
            <w:r>
              <w:rPr>
                <w:rFonts w:ascii="Times New Roman" w:hAnsi="Times New Roman" w:eastAsia="宋体" w:cs="Times New Roman"/>
                <w:sz w:val="24"/>
                <w:lang w:val="en-US"/>
              </w:rPr>
              <w:t>。</w:t>
            </w:r>
          </w:p>
          <w:p>
            <w:pPr>
              <w:pStyle w:val="49"/>
              <w:spacing w:line="360" w:lineRule="auto"/>
              <w:ind w:firstLine="480" w:firstLineChars="200"/>
              <w:rPr>
                <w:rFonts w:ascii="Times New Roman" w:hAnsi="Times New Roman" w:eastAsia="宋体" w:cs="Times New Roman"/>
                <w:sz w:val="24"/>
                <w:lang w:val="en-US"/>
              </w:rPr>
            </w:pPr>
            <w:r>
              <w:rPr>
                <w:rFonts w:ascii="Times New Roman" w:hAnsi="Times New Roman" w:eastAsia="宋体" w:cs="Times New Roman"/>
                <w:sz w:val="24"/>
                <w:lang w:val="en-US"/>
              </w:rPr>
              <w:t>④废弃变压器油由油桶收集之后，存于危险废物暂存间，交由持有相应有危废处理资质的单位处理。</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⑤</w:t>
            </w:r>
            <w:r>
              <w:rPr>
                <w:rFonts w:ascii="Times New Roman" w:hAnsi="Times New Roman" w:eastAsia="宋体" w:cs="Times New Roman"/>
                <w:sz w:val="24"/>
                <w:lang w:val="en-US"/>
              </w:rPr>
              <w:t>功轴等装置维修过程中产生的的废润滑油以及沾染矿物油的废弃包装物存于危废暂存间之内，委托有危险废物回收资质的单位妥善处理。</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rPr>
              <w:t>⑥</w:t>
            </w:r>
            <w:r>
              <w:rPr>
                <w:rFonts w:ascii="Times New Roman" w:hAnsi="Times New Roman" w:eastAsia="宋体" w:cs="Times New Roman"/>
                <w:sz w:val="24"/>
              </w:rPr>
              <w:t>设置1间面积为16m</w:t>
            </w:r>
            <w:r>
              <w:rPr>
                <w:rFonts w:ascii="Times New Roman" w:hAnsi="Times New Roman" w:eastAsia="宋体" w:cs="Times New Roman"/>
                <w:sz w:val="24"/>
                <w:vertAlign w:val="superscript"/>
              </w:rPr>
              <w:t>2</w:t>
            </w:r>
            <w:r>
              <w:rPr>
                <w:rFonts w:ascii="Times New Roman" w:hAnsi="Times New Roman" w:eastAsia="宋体" w:cs="Times New Roman"/>
                <w:sz w:val="24"/>
              </w:rPr>
              <w:t>的危险废物暂存间，危废暂存间采用全封闭式，严格按照《危险废物贮存污染控制标准》（GB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-2001）有关要求进行设计，基础必须进行防渗，能防风、防雨、防流失，并配设醒目的警示标识</w:t>
            </w:r>
            <w:r>
              <w:rPr>
                <w:rFonts w:ascii="Times New Roman" w:hAnsi="Times New Roman" w:eastAsia="宋体" w:cs="Times New Roman"/>
                <w:sz w:val="24"/>
                <w:lang w:val="en-US"/>
              </w:rPr>
              <w:t>。</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rPr>
              <w:t>⑦</w:t>
            </w:r>
            <w:r>
              <w:rPr>
                <w:rFonts w:ascii="Times New Roman" w:hAnsi="Times New Roman" w:eastAsia="宋体" w:cs="Times New Roman"/>
                <w:sz w:val="24"/>
              </w:rPr>
              <w:t>危险废物定期委托具备相应危废处置资质的单位进行处置，其转移严格按照《危险废物转移联单管理办法》要求执行。配置人员对危险废物进行收集、暂存和保管。建立危险废物产生记录台账，定期检查自行贮存和处置的危险废物记录及相关证明材料，妥善保存危废转移联单及危废处置协议等相关资料</w:t>
            </w:r>
            <w:r>
              <w:rPr>
                <w:rFonts w:ascii="Times New Roman" w:hAnsi="Times New Roman" w:eastAsia="宋体" w:cs="Times New Roman"/>
                <w:sz w:val="24"/>
                <w:lang w:val="en-US"/>
              </w:rPr>
              <w:t>。</w:t>
            </w:r>
          </w:p>
          <w:p>
            <w:pPr>
              <w:pStyle w:val="49"/>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w:t>
            </w:r>
            <w:r>
              <w:rPr>
                <w:rFonts w:ascii="Times New Roman" w:hAnsi="Times New Roman" w:eastAsia="宋体" w:cs="Times New Roman"/>
                <w:b/>
                <w:bCs/>
                <w:sz w:val="24"/>
                <w:lang w:val="en-US"/>
              </w:rPr>
              <w:t>六</w:t>
            </w:r>
            <w:r>
              <w:rPr>
                <w:rFonts w:ascii="Times New Roman" w:hAnsi="Times New Roman" w:eastAsia="宋体" w:cs="Times New Roman"/>
                <w:b/>
                <w:bCs/>
                <w:sz w:val="24"/>
              </w:rPr>
              <w:t>）</w:t>
            </w:r>
            <w:r>
              <w:rPr>
                <w:rFonts w:ascii="Times New Roman" w:hAnsi="Times New Roman" w:eastAsia="宋体" w:cs="Times New Roman"/>
                <w:b/>
                <w:bCs/>
                <w:sz w:val="24"/>
                <w:lang w:val="en-US"/>
              </w:rPr>
              <w:t>运营期电磁环境防治</w:t>
            </w:r>
            <w:r>
              <w:rPr>
                <w:rFonts w:ascii="Times New Roman" w:hAnsi="Times New Roman" w:eastAsia="宋体" w:cs="Times New Roman"/>
                <w:b/>
                <w:bCs/>
                <w:sz w:val="24"/>
              </w:rPr>
              <w:t>措施</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①</w:t>
            </w:r>
            <w:r>
              <w:rPr>
                <w:rFonts w:ascii="Times New Roman" w:hAnsi="Times New Roman" w:eastAsia="宋体" w:cs="Times New Roman"/>
                <w:sz w:val="24"/>
              </w:rPr>
              <w:t>在设备的高压导电部件上设置不同形状的数量和均序环(或罩)，以控制导体、瓷件表面的电场分布和强弱，避免或减少电晕放电。</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在满足经济技术的条件下选用低辐射设备，对于变电站设备的金属附件，如吊夹、保护环、保护角、垫片和接头等，确定合理的外形和尺寸，以避免出现高电位梯度点，所有的边、角都应挫圆，螺栓头也打圆或屏蔽,避免存在尖角和凸出物;使用设计合理的绝缘子，尽量使用能改善绝缘子表面或沿绝缘子串电压分布的保护装置。在安装高压设备时，保证所有的固定螺栓都可靠拧紧，导电元件尽可能接地或连接导线电位。</w:t>
            </w:r>
          </w:p>
          <w:p>
            <w:pPr>
              <w:pStyle w:val="49"/>
              <w:spacing w:line="360" w:lineRule="auto"/>
              <w:ind w:firstLine="480" w:firstLineChars="200"/>
              <w:rPr>
                <w:rFonts w:ascii="Times New Roman" w:hAnsi="Times New Roman" w:eastAsia="宋体" w:cs="Times New Roman"/>
                <w:sz w:val="24"/>
                <w:lang w:val="en-US"/>
              </w:rPr>
            </w:pPr>
            <w:r>
              <w:rPr>
                <w:rFonts w:ascii="宋体" w:hAnsi="宋体" w:eastAsia="宋体" w:cs="宋体"/>
                <w:sz w:val="24"/>
                <w:lang w:val="en-US"/>
              </w:rPr>
              <w:t>③</w:t>
            </w:r>
            <w:r>
              <w:rPr>
                <w:rFonts w:ascii="Times New Roman" w:hAnsi="Times New Roman" w:eastAsia="宋体" w:cs="Times New Roman"/>
                <w:sz w:val="24"/>
                <w:lang w:val="en-US"/>
              </w:rPr>
              <w:t>合理设计并保证设备及配件加工精良，做好绝缘工作，避免因接触不良或表面锈蚀而产生的火花放电，升压站附近高压危险区域应设置相应的警告牌。</w:t>
            </w:r>
          </w:p>
          <w:p>
            <w:pPr>
              <w:pStyle w:val="49"/>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w:t>
            </w:r>
            <w:r>
              <w:rPr>
                <w:rFonts w:ascii="Times New Roman" w:hAnsi="Times New Roman" w:eastAsia="宋体" w:cs="Times New Roman"/>
                <w:b/>
                <w:sz w:val="24"/>
                <w:lang w:val="en-US"/>
              </w:rPr>
              <w:t>七</w:t>
            </w:r>
            <w:r>
              <w:rPr>
                <w:rFonts w:ascii="Times New Roman" w:hAnsi="Times New Roman" w:eastAsia="宋体" w:cs="Times New Roman"/>
                <w:b/>
                <w:sz w:val="24"/>
              </w:rPr>
              <w:t>）运营期环境风险防治措施</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①</w:t>
            </w:r>
            <w:r>
              <w:rPr>
                <w:rFonts w:ascii="Times New Roman" w:hAnsi="Times New Roman" w:eastAsia="宋体" w:cs="Times New Roman"/>
                <w:sz w:val="24"/>
              </w:rPr>
              <w:t>升压站内主变压器处设置1个集油坑和1个事故油池，事故油池设置为地埋式，容积为50m</w:t>
            </w:r>
            <w:r>
              <w:rPr>
                <w:rFonts w:ascii="Times New Roman" w:hAnsi="Times New Roman" w:eastAsia="宋体" w:cs="Times New Roman"/>
                <w:sz w:val="24"/>
                <w:vertAlign w:val="superscript"/>
              </w:rPr>
              <w:t>3</w:t>
            </w:r>
            <w:r>
              <w:rPr>
                <w:rFonts w:ascii="Times New Roman" w:hAnsi="Times New Roman" w:eastAsia="宋体" w:cs="Times New Roman"/>
                <w:sz w:val="24"/>
              </w:rPr>
              <w:t>。主变压器在维修和事故情况下，产生的废油由集油坑收集后，经球墨铸铁管至事故油池存放。</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②</w:t>
            </w:r>
            <w:r>
              <w:rPr>
                <w:rFonts w:ascii="Times New Roman" w:hAnsi="Times New Roman" w:eastAsia="宋体" w:cs="Times New Roman"/>
                <w:sz w:val="24"/>
              </w:rPr>
              <w:t>严格做好分区防渗工程，施工期加强工程监理和环境监理，提高防渗工程质量，做好照片、录像以及相关文字说明等存档资料。</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③</w:t>
            </w:r>
            <w:r>
              <w:rPr>
                <w:rFonts w:ascii="Times New Roman" w:hAnsi="Times New Roman" w:eastAsia="宋体" w:cs="Times New Roman"/>
                <w:sz w:val="24"/>
              </w:rPr>
              <w:t>运营期定期检查各储存设施，避免出现泄漏等不良情况。</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lang w:val="en-US"/>
              </w:rPr>
              <w:t>④</w:t>
            </w:r>
            <w:r>
              <w:rPr>
                <w:rFonts w:ascii="Times New Roman" w:hAnsi="Times New Roman" w:eastAsia="宋体" w:cs="Times New Roman"/>
                <w:sz w:val="24"/>
                <w:lang w:val="en-US"/>
              </w:rPr>
              <w:t>开展应急预案的编制工作，包括环境风险评估报告、环境应急资源调查报告和突发环境事件应急预案三个报告</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⑤</w:t>
            </w:r>
            <w:r>
              <w:rPr>
                <w:rFonts w:ascii="Times New Roman" w:hAnsi="Times New Roman" w:eastAsia="宋体" w:cs="Times New Roman"/>
                <w:sz w:val="24"/>
              </w:rPr>
              <w:t>危险废物的贮存严格按照《危险废物贮存污染控制标准》（GB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-2001）及其2013修改单和《危险废物收集、贮存、运输技术规范》（HJ2025-2012）的相关要求执行。</w:t>
            </w:r>
          </w:p>
          <w:p>
            <w:pPr>
              <w:pStyle w:val="49"/>
              <w:spacing w:line="360" w:lineRule="auto"/>
              <w:ind w:firstLine="480" w:firstLineChars="200"/>
              <w:rPr>
                <w:rFonts w:ascii="Times New Roman" w:hAnsi="Times New Roman" w:eastAsia="宋体" w:cs="Times New Roman"/>
                <w:sz w:val="24"/>
              </w:rPr>
            </w:pPr>
            <w:r>
              <w:rPr>
                <w:rFonts w:ascii="宋体" w:hAnsi="宋体" w:eastAsia="宋体" w:cs="宋体"/>
                <w:sz w:val="24"/>
              </w:rPr>
              <w:t>⑥</w:t>
            </w:r>
            <w:r>
              <w:rPr>
                <w:rFonts w:ascii="Times New Roman" w:hAnsi="Times New Roman" w:eastAsia="宋体" w:cs="Times New Roman"/>
                <w:sz w:val="24"/>
              </w:rPr>
              <w:t>加强对操作人员的岗位培训，建立健全的环保管理机制和各项环保规章制度，落实岗位环保责任制，加强环境风险防范工作，防止事故排放导致环境问题。</w:t>
            </w:r>
          </w:p>
          <w:p>
            <w:pPr>
              <w:pStyle w:val="49"/>
              <w:spacing w:line="360" w:lineRule="auto"/>
              <w:ind w:firstLine="482" w:firstLineChars="200"/>
              <w:rPr>
                <w:rFonts w:ascii="Times New Roman" w:hAnsi="Times New Roman" w:eastAsia="宋体" w:cs="Times New Roman"/>
                <w:b/>
                <w:sz w:val="24"/>
                <w:lang w:val="en-US"/>
              </w:rPr>
            </w:pPr>
            <w:r>
              <w:rPr>
                <w:rFonts w:ascii="Times New Roman" w:hAnsi="Times New Roman" w:eastAsia="宋体" w:cs="Times New Roman"/>
                <w:b/>
                <w:sz w:val="24"/>
              </w:rPr>
              <w:t>（</w:t>
            </w:r>
            <w:r>
              <w:rPr>
                <w:rFonts w:ascii="Times New Roman" w:hAnsi="Times New Roman" w:eastAsia="宋体" w:cs="Times New Roman"/>
                <w:b/>
                <w:sz w:val="24"/>
                <w:lang w:val="en-US"/>
              </w:rPr>
              <w:t>八</w:t>
            </w:r>
            <w:r>
              <w:rPr>
                <w:rFonts w:ascii="Times New Roman" w:hAnsi="Times New Roman" w:eastAsia="宋体" w:cs="Times New Roman"/>
                <w:b/>
                <w:sz w:val="24"/>
              </w:rPr>
              <w:t>）</w:t>
            </w:r>
            <w:r>
              <w:rPr>
                <w:rFonts w:ascii="Times New Roman" w:hAnsi="Times New Roman" w:eastAsia="宋体" w:cs="Times New Roman"/>
                <w:b/>
                <w:sz w:val="24"/>
                <w:lang w:val="en-US"/>
              </w:rPr>
              <w:t>环境管理和环境监测</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工程建设单位应组建工程环境保护管理机构，建立环境管理制度，保障环保资金的投入，全面领导整个工程施工过程的环境保护工作，认真落实本工程的各项环境保护措施、环境监测计划，保障工程建设和运营符合环保要求。</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建设单位应组织开展施工期的环境监理工作，将环境监理纳入工程监理一并实施，环境监理内容不限于环评报告和环评批复要求的内容，还包括可研和初设环保篇章等中的环保措施内容，以减少施工期对周围生态环境的影响。</w:t>
            </w:r>
          </w:p>
          <w:p>
            <w:pPr>
              <w:pStyle w:val="49"/>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项目施工期和运营期环境监测计划，详见下表。</w:t>
            </w:r>
          </w:p>
          <w:p>
            <w:pPr>
              <w:pStyle w:val="49"/>
              <w:spacing w:line="360" w:lineRule="auto"/>
              <w:jc w:val="center"/>
              <w:rPr>
                <w:rFonts w:ascii="Times New Roman" w:hAnsi="Times New Roman" w:eastAsia="宋体" w:cs="Times New Roman"/>
                <w:sz w:val="24"/>
              </w:rPr>
            </w:pPr>
            <w:r>
              <w:rPr>
                <w:rFonts w:ascii="Times New Roman" w:hAnsi="Times New Roman" w:eastAsia="宋体" w:cs="Times New Roman"/>
                <w:b/>
                <w:sz w:val="24"/>
              </w:rPr>
              <w:t>表5-2   环境监测计划表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503"/>
              <w:gridCol w:w="1841"/>
              <w:gridCol w:w="2006"/>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类别</w:t>
                  </w:r>
                </w:p>
              </w:tc>
              <w:tc>
                <w:tcPr>
                  <w:tcW w:w="1503"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监测位置</w:t>
                  </w:r>
                </w:p>
              </w:tc>
              <w:tc>
                <w:tcPr>
                  <w:tcW w:w="1841"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监测项目</w:t>
                  </w:r>
                </w:p>
              </w:tc>
              <w:tc>
                <w:tcPr>
                  <w:tcW w:w="2006"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监测频率</w:t>
                  </w:r>
                </w:p>
              </w:tc>
              <w:tc>
                <w:tcPr>
                  <w:tcW w:w="2561" w:type="dxa"/>
                  <w:vAlign w:val="center"/>
                </w:tcPr>
                <w:p>
                  <w:pPr>
                    <w:pStyle w:val="49"/>
                    <w:jc w:val="center"/>
                    <w:rPr>
                      <w:rFonts w:ascii="Times New Roman" w:hAnsi="Times New Roman" w:eastAsia="宋体" w:cs="Times New Roman"/>
                      <w:b/>
                      <w:szCs w:val="21"/>
                    </w:rPr>
                  </w:pPr>
                  <w:r>
                    <w:rPr>
                      <w:rFonts w:ascii="Times New Roman" w:hAnsi="Times New Roman" w:eastAsia="宋体" w:cs="Times New Roman"/>
                      <w:b/>
                      <w:szCs w:val="21"/>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噪声</w:t>
                  </w:r>
                </w:p>
              </w:tc>
              <w:tc>
                <w:tcPr>
                  <w:tcW w:w="1503"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升压站四周厂界外1m处</w:t>
                  </w:r>
                </w:p>
              </w:tc>
              <w:tc>
                <w:tcPr>
                  <w:tcW w:w="1841"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等效声级（</w:t>
                  </w:r>
                  <w:r>
                    <w:rPr>
                      <w:rFonts w:ascii="Times New Roman" w:hAnsi="Times New Roman" w:eastAsia="宋体" w:cs="Times New Roman"/>
                      <w:szCs w:val="21"/>
                      <w:lang w:val="en-US"/>
                    </w:rPr>
                    <w:t>Leq</w:t>
                  </w:r>
                  <w:r>
                    <w:rPr>
                      <w:rFonts w:ascii="Times New Roman" w:hAnsi="Times New Roman" w:eastAsia="宋体" w:cs="Times New Roman"/>
                      <w:szCs w:val="21"/>
                    </w:rPr>
                    <w:t>）</w:t>
                  </w:r>
                </w:p>
              </w:tc>
              <w:tc>
                <w:tcPr>
                  <w:tcW w:w="200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环保竣工验收时监测一次</w:t>
                  </w:r>
                  <w:r>
                    <w:rPr>
                      <w:rFonts w:ascii="Times New Roman" w:hAnsi="Times New Roman" w:eastAsia="宋体" w:cs="Times New Roman"/>
                      <w:szCs w:val="21"/>
                    </w:rPr>
                    <w:t>、其余每年监测一次，昼间夜间各一次</w:t>
                  </w:r>
                </w:p>
              </w:tc>
              <w:tc>
                <w:tcPr>
                  <w:tcW w:w="2561"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《工业企业厂界环境噪声排放标准》（GB</w:t>
                  </w:r>
                  <w:r>
                    <w:rPr>
                      <w:rFonts w:hint="eastAsia" w:ascii="Times New Roman" w:hAnsi="Times New Roman" w:eastAsia="宋体" w:cs="Times New Roman"/>
                      <w:szCs w:val="21"/>
                      <w:lang w:eastAsia="zh-CN"/>
                    </w:rPr>
                    <w:t>*****</w:t>
                  </w:r>
                  <w:r>
                    <w:rPr>
                      <w:rFonts w:ascii="Times New Roman" w:hAnsi="Times New Roman" w:eastAsia="宋体" w:cs="Times New Roman"/>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74"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电磁环境</w:t>
                  </w:r>
                </w:p>
              </w:tc>
              <w:tc>
                <w:tcPr>
                  <w:tcW w:w="1503"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升压站四周厂界外5m</w:t>
                  </w:r>
                </w:p>
              </w:tc>
              <w:tc>
                <w:tcPr>
                  <w:tcW w:w="1841"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工频电场强度（V/m）、工频磁感应强度（μT）</w:t>
                  </w:r>
                </w:p>
              </w:tc>
              <w:tc>
                <w:tcPr>
                  <w:tcW w:w="200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环保竣工验收时监测一次、其余每年监测一次</w:t>
                  </w:r>
                </w:p>
              </w:tc>
              <w:tc>
                <w:tcPr>
                  <w:tcW w:w="2561"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lang w:val="en-US"/>
                    </w:rPr>
                    <w:t>《电磁环境控制限值》(GB</w:t>
                  </w:r>
                  <w:r>
                    <w:rPr>
                      <w:rFonts w:hint="eastAsia" w:ascii="Times New Roman" w:hAnsi="Times New Roman" w:eastAsia="宋体" w:cs="Times New Roman"/>
                      <w:szCs w:val="21"/>
                      <w:lang w:val="en-US" w:eastAsia="zh-CN"/>
                    </w:rPr>
                    <w:t>****</w:t>
                  </w:r>
                  <w:r>
                    <w:rPr>
                      <w:rFonts w:ascii="Times New Roman" w:hAnsi="Times New Roman" w:eastAsia="宋体" w:cs="Times New Roman"/>
                      <w:szCs w:val="21"/>
                      <w:lang w:val="en-US"/>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974"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污水</w:t>
                  </w:r>
                </w:p>
              </w:tc>
              <w:tc>
                <w:tcPr>
                  <w:tcW w:w="1503" w:type="dxa"/>
                  <w:vAlign w:val="center"/>
                </w:tcPr>
                <w:p>
                  <w:pPr>
                    <w:pStyle w:val="49"/>
                    <w:jc w:val="center"/>
                    <w:rPr>
                      <w:rFonts w:ascii="Times New Roman" w:hAnsi="Times New Roman" w:eastAsia="宋体" w:cs="Times New Roman"/>
                      <w:szCs w:val="21"/>
                      <w:lang w:val="en-US"/>
                    </w:rPr>
                  </w:pPr>
                  <w:r>
                    <w:rPr>
                      <w:rFonts w:ascii="Times New Roman" w:hAnsi="Times New Roman" w:eastAsia="宋体" w:cs="Times New Roman"/>
                      <w:szCs w:val="21"/>
                      <w:lang w:val="en-US"/>
                    </w:rPr>
                    <w:t>污水收集池</w:t>
                  </w:r>
                </w:p>
              </w:tc>
              <w:tc>
                <w:tcPr>
                  <w:tcW w:w="1841"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rPr>
                    <w:t>PH、</w:t>
                  </w:r>
                  <w:r>
                    <w:rPr>
                      <w:rFonts w:ascii="Times New Roman" w:hAnsi="Times New Roman" w:eastAsia="宋体" w:cs="Times New Roman"/>
                      <w:szCs w:val="21"/>
                    </w:rPr>
                    <w:t>CODcr、BOD</w:t>
                  </w:r>
                  <w:r>
                    <w:rPr>
                      <w:rFonts w:ascii="Times New Roman" w:hAnsi="Times New Roman" w:eastAsia="宋体" w:cs="Times New Roman"/>
                      <w:szCs w:val="21"/>
                      <w:vertAlign w:val="subscript"/>
                    </w:rPr>
                    <w:t>5</w:t>
                  </w:r>
                  <w:r>
                    <w:rPr>
                      <w:rFonts w:ascii="Times New Roman" w:hAnsi="Times New Roman" w:eastAsia="宋体" w:cs="Times New Roman"/>
                      <w:szCs w:val="21"/>
                    </w:rPr>
                    <w:t>、SS、NH</w:t>
                  </w:r>
                  <w:r>
                    <w:rPr>
                      <w:rFonts w:ascii="Times New Roman" w:hAnsi="Times New Roman" w:eastAsia="宋体" w:cs="Times New Roman"/>
                      <w:szCs w:val="21"/>
                      <w:vertAlign w:val="subscript"/>
                    </w:rPr>
                    <w:t>3</w:t>
                  </w:r>
                  <w:r>
                    <w:rPr>
                      <w:rFonts w:ascii="Times New Roman" w:hAnsi="Times New Roman" w:eastAsia="宋体" w:cs="Times New Roman"/>
                      <w:szCs w:val="21"/>
                    </w:rPr>
                    <w:t>-N、总磷、总氮、动植物油、粪大肠菌群、</w:t>
                  </w:r>
                  <w:r>
                    <w:rPr>
                      <w:rFonts w:ascii="Times New Roman" w:hAnsi="Times New Roman" w:eastAsia="宋体" w:cs="Times New Roman"/>
                    </w:rPr>
                    <w:t>阴离子表面活性剂</w:t>
                  </w:r>
                </w:p>
              </w:tc>
              <w:tc>
                <w:tcPr>
                  <w:tcW w:w="2006" w:type="dxa"/>
                  <w:vAlign w:val="center"/>
                </w:tcPr>
                <w:p>
                  <w:pPr>
                    <w:pStyle w:val="49"/>
                    <w:jc w:val="center"/>
                    <w:rPr>
                      <w:rFonts w:ascii="Times New Roman" w:hAnsi="Times New Roman" w:eastAsia="宋体" w:cs="Times New Roman"/>
                      <w:szCs w:val="21"/>
                    </w:rPr>
                  </w:pPr>
                  <w:r>
                    <w:rPr>
                      <w:rFonts w:ascii="Times New Roman" w:hAnsi="Times New Roman" w:eastAsia="宋体" w:cs="Times New Roman"/>
                      <w:szCs w:val="21"/>
                    </w:rPr>
                    <w:t>环保竣工验收时监测一次、其余每年监测一次</w:t>
                  </w:r>
                </w:p>
              </w:tc>
              <w:tc>
                <w:tcPr>
                  <w:tcW w:w="2561" w:type="dxa"/>
                  <w:vAlign w:val="center"/>
                </w:tcPr>
                <w:p>
                  <w:pPr>
                    <w:pStyle w:val="49"/>
                    <w:jc w:val="center"/>
                    <w:rPr>
                      <w:rFonts w:ascii="Times New Roman" w:hAnsi="Times New Roman" w:eastAsia="宋体" w:cs="Times New Roman"/>
                      <w:szCs w:val="21"/>
                      <w:lang w:val="en-US"/>
                    </w:rPr>
                  </w:pPr>
                  <w:r>
                    <w:rPr>
                      <w:rFonts w:ascii="Times New Roman" w:hAnsi="Times New Roman" w:eastAsia="宋体" w:cs="Times New Roman"/>
                      <w:szCs w:val="21"/>
                      <w:lang w:val="en-US"/>
                    </w:rPr>
                    <w:t>《城市污水再生利用城市杂用水水质》（GB/T</w:t>
                  </w:r>
                  <w:r>
                    <w:rPr>
                      <w:rFonts w:hint="eastAsia" w:ascii="Times New Roman" w:hAnsi="Times New Roman" w:eastAsia="宋体" w:cs="Times New Roman"/>
                      <w:szCs w:val="21"/>
                      <w:lang w:val="en-US" w:eastAsia="zh-CN"/>
                    </w:rPr>
                    <w:t>*****</w:t>
                  </w:r>
                  <w:r>
                    <w:rPr>
                      <w:rFonts w:ascii="Times New Roman" w:hAnsi="Times New Roman" w:eastAsia="宋体" w:cs="Times New Roman"/>
                      <w:szCs w:val="21"/>
                      <w:lang w:val="en-US"/>
                    </w:rPr>
                    <w:t>-2020）</w:t>
                  </w:r>
                </w:p>
              </w:tc>
            </w:tr>
          </w:tbl>
          <w:p>
            <w:pPr>
              <w:pStyle w:val="49"/>
              <w:spacing w:line="360" w:lineRule="auto"/>
              <w:jc w:val="center"/>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43" w:type="dxa"/>
            <w:vAlign w:val="center"/>
          </w:tcPr>
          <w:p>
            <w:pPr>
              <w:adjustRightInd w:val="0"/>
              <w:snapToGrid w:val="0"/>
              <w:jc w:val="center"/>
              <w:rPr>
                <w:bCs/>
                <w:spacing w:val="10"/>
                <w:sz w:val="24"/>
                <w:szCs w:val="21"/>
              </w:rPr>
            </w:pPr>
            <w:r>
              <w:rPr>
                <w:bCs/>
                <w:sz w:val="24"/>
                <w:szCs w:val="21"/>
              </w:rPr>
              <w:t>其他</w:t>
            </w:r>
          </w:p>
        </w:tc>
        <w:tc>
          <w:tcPr>
            <w:tcW w:w="9111" w:type="dxa"/>
            <w:vAlign w:val="center"/>
          </w:tcPr>
          <w:p>
            <w:pPr>
              <w:adjustRightInd w:val="0"/>
              <w:snapToGrid w:val="0"/>
              <w:jc w:val="center"/>
              <w:rPr>
                <w:bCs/>
                <w:spacing w:val="10"/>
                <w:szCs w:val="21"/>
              </w:rPr>
            </w:pPr>
            <w:r>
              <w:rPr>
                <w:bCs/>
                <w:spacing w:val="1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43" w:type="dxa"/>
            <w:vAlign w:val="center"/>
          </w:tcPr>
          <w:p>
            <w:pPr>
              <w:adjustRightInd w:val="0"/>
              <w:snapToGrid w:val="0"/>
              <w:jc w:val="center"/>
              <w:rPr>
                <w:bCs/>
                <w:spacing w:val="10"/>
                <w:sz w:val="24"/>
                <w:szCs w:val="21"/>
              </w:rPr>
            </w:pPr>
            <w:r>
              <w:rPr>
                <w:bCs/>
                <w:sz w:val="24"/>
                <w:szCs w:val="21"/>
              </w:rPr>
              <w:t>环保投资</w:t>
            </w:r>
          </w:p>
        </w:tc>
        <w:tc>
          <w:tcPr>
            <w:tcW w:w="9111" w:type="dxa"/>
          </w:tcPr>
          <w:p>
            <w:pPr>
              <w:adjustRightInd w:val="0"/>
              <w:snapToGrid w:val="0"/>
              <w:spacing w:line="360" w:lineRule="auto"/>
              <w:ind w:firstLine="520" w:firstLineChars="200"/>
              <w:rPr>
                <w:bCs/>
                <w:spacing w:val="10"/>
                <w:sz w:val="24"/>
              </w:rPr>
            </w:pPr>
            <w:r>
              <w:rPr>
                <w:bCs/>
                <w:spacing w:val="10"/>
                <w:sz w:val="24"/>
              </w:rPr>
              <w:t>建设项目总投资</w:t>
            </w:r>
            <w:r>
              <w:rPr>
                <w:sz w:val="24"/>
              </w:rPr>
              <w:t>5304.97</w:t>
            </w:r>
            <w:r>
              <w:rPr>
                <w:bCs/>
                <w:spacing w:val="10"/>
                <w:sz w:val="24"/>
              </w:rPr>
              <w:t>万元，其中环保投资</w:t>
            </w:r>
            <w:r>
              <w:rPr>
                <w:rFonts w:hint="eastAsia"/>
                <w:bCs/>
                <w:spacing w:val="10"/>
                <w:sz w:val="24"/>
                <w:lang w:val="en-US" w:eastAsia="zh-CN"/>
              </w:rPr>
              <w:t>135</w:t>
            </w:r>
            <w:r>
              <w:rPr>
                <w:bCs/>
                <w:spacing w:val="10"/>
                <w:sz w:val="24"/>
              </w:rPr>
              <w:t>万元，占总投资的</w:t>
            </w:r>
            <w:r>
              <w:rPr>
                <w:rFonts w:hint="eastAsia"/>
                <w:bCs/>
                <w:spacing w:val="10"/>
                <w:sz w:val="24"/>
                <w:lang w:val="en-US" w:eastAsia="zh-CN"/>
              </w:rPr>
              <w:t>2.54</w:t>
            </w:r>
            <w:r>
              <w:rPr>
                <w:bCs/>
                <w:spacing w:val="10"/>
                <w:sz w:val="24"/>
              </w:rPr>
              <w:t>%，保投资统计详见如下：</w:t>
            </w:r>
          </w:p>
          <w:p>
            <w:pPr>
              <w:pStyle w:val="38"/>
              <w:ind w:firstLine="0" w:firstLineChars="0"/>
              <w:jc w:val="center"/>
              <w:rPr>
                <w:rFonts w:ascii="Times New Roman" w:hAnsi="Times New Roman" w:cs="Times New Roman"/>
                <w:b/>
                <w:bCs/>
              </w:rPr>
            </w:pPr>
            <w:r>
              <w:rPr>
                <w:rFonts w:ascii="Times New Roman" w:hAnsi="Times New Roman" w:cs="Times New Roman"/>
                <w:b/>
                <w:bCs/>
              </w:rPr>
              <w:t>表5-3   项目环保投资一览表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80"/>
              <w:gridCol w:w="1312"/>
              <w:gridCol w:w="2940"/>
              <w:gridCol w:w="207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Align w:val="center"/>
                </w:tcPr>
                <w:p>
                  <w:pPr>
                    <w:adjustRightInd w:val="0"/>
                    <w:snapToGrid w:val="0"/>
                    <w:jc w:val="center"/>
                    <w:rPr>
                      <w:b/>
                      <w:spacing w:val="10"/>
                      <w:szCs w:val="21"/>
                    </w:rPr>
                  </w:pPr>
                  <w:bookmarkStart w:id="18" w:name="_Hlk106136303"/>
                  <w:r>
                    <w:rPr>
                      <w:b/>
                      <w:spacing w:val="10"/>
                      <w:szCs w:val="21"/>
                    </w:rPr>
                    <w:t>时段</w:t>
                  </w:r>
                </w:p>
              </w:tc>
              <w:tc>
                <w:tcPr>
                  <w:tcW w:w="680" w:type="dxa"/>
                  <w:vAlign w:val="center"/>
                </w:tcPr>
                <w:p>
                  <w:pPr>
                    <w:adjustRightInd w:val="0"/>
                    <w:snapToGrid w:val="0"/>
                    <w:jc w:val="center"/>
                    <w:rPr>
                      <w:b/>
                      <w:spacing w:val="10"/>
                      <w:szCs w:val="21"/>
                    </w:rPr>
                  </w:pPr>
                  <w:r>
                    <w:rPr>
                      <w:b/>
                      <w:spacing w:val="10"/>
                      <w:szCs w:val="21"/>
                    </w:rPr>
                    <w:t>污染源</w:t>
                  </w:r>
                </w:p>
              </w:tc>
              <w:tc>
                <w:tcPr>
                  <w:tcW w:w="1312" w:type="dxa"/>
                  <w:vAlign w:val="center"/>
                </w:tcPr>
                <w:p>
                  <w:pPr>
                    <w:adjustRightInd w:val="0"/>
                    <w:snapToGrid w:val="0"/>
                    <w:jc w:val="center"/>
                    <w:rPr>
                      <w:b/>
                      <w:spacing w:val="10"/>
                      <w:szCs w:val="21"/>
                    </w:rPr>
                  </w:pPr>
                  <w:r>
                    <w:rPr>
                      <w:b/>
                      <w:spacing w:val="10"/>
                      <w:szCs w:val="21"/>
                    </w:rPr>
                    <w:t>污染物</w:t>
                  </w:r>
                </w:p>
              </w:tc>
              <w:tc>
                <w:tcPr>
                  <w:tcW w:w="2940" w:type="dxa"/>
                  <w:vAlign w:val="center"/>
                </w:tcPr>
                <w:p>
                  <w:pPr>
                    <w:adjustRightInd w:val="0"/>
                    <w:snapToGrid w:val="0"/>
                    <w:jc w:val="center"/>
                    <w:rPr>
                      <w:b/>
                      <w:spacing w:val="10"/>
                      <w:szCs w:val="21"/>
                    </w:rPr>
                  </w:pPr>
                  <w:r>
                    <w:rPr>
                      <w:b/>
                      <w:spacing w:val="10"/>
                      <w:szCs w:val="21"/>
                    </w:rPr>
                    <w:t>环保措施</w:t>
                  </w:r>
                </w:p>
              </w:tc>
              <w:tc>
                <w:tcPr>
                  <w:tcW w:w="2077" w:type="dxa"/>
                  <w:vAlign w:val="center"/>
                </w:tcPr>
                <w:p>
                  <w:pPr>
                    <w:adjustRightInd w:val="0"/>
                    <w:snapToGrid w:val="0"/>
                    <w:jc w:val="center"/>
                    <w:rPr>
                      <w:b/>
                      <w:spacing w:val="10"/>
                      <w:szCs w:val="21"/>
                    </w:rPr>
                  </w:pPr>
                  <w:r>
                    <w:rPr>
                      <w:b/>
                      <w:spacing w:val="10"/>
                      <w:szCs w:val="21"/>
                    </w:rPr>
                    <w:t>数量</w:t>
                  </w:r>
                </w:p>
              </w:tc>
              <w:tc>
                <w:tcPr>
                  <w:tcW w:w="1210" w:type="dxa"/>
                  <w:vAlign w:val="center"/>
                </w:tcPr>
                <w:p>
                  <w:pPr>
                    <w:adjustRightInd w:val="0"/>
                    <w:snapToGrid w:val="0"/>
                    <w:jc w:val="center"/>
                    <w:rPr>
                      <w:b/>
                      <w:spacing w:val="10"/>
                      <w:szCs w:val="21"/>
                    </w:rPr>
                  </w:pPr>
                  <w:r>
                    <w:rPr>
                      <w:b/>
                      <w:spacing w:val="10"/>
                      <w:szCs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66" w:type="dxa"/>
                  <w:vMerge w:val="restart"/>
                  <w:vAlign w:val="center"/>
                </w:tcPr>
                <w:p>
                  <w:pPr>
                    <w:adjustRightInd w:val="0"/>
                    <w:snapToGrid w:val="0"/>
                    <w:jc w:val="center"/>
                    <w:rPr>
                      <w:rFonts w:hint="eastAsia" w:eastAsia="宋体"/>
                      <w:bCs/>
                      <w:spacing w:val="10"/>
                      <w:szCs w:val="21"/>
                      <w:lang w:val="en-US" w:eastAsia="zh-CN"/>
                    </w:rPr>
                  </w:pPr>
                  <w:r>
                    <w:rPr>
                      <w:rFonts w:hint="eastAsia"/>
                      <w:bCs/>
                      <w:spacing w:val="10"/>
                      <w:szCs w:val="21"/>
                      <w:lang w:val="en-US" w:eastAsia="zh-CN"/>
                    </w:rPr>
                    <w:t>施工期</w:t>
                  </w:r>
                </w:p>
              </w:tc>
              <w:tc>
                <w:tcPr>
                  <w:tcW w:w="680" w:type="dxa"/>
                  <w:vAlign w:val="center"/>
                </w:tcPr>
                <w:p>
                  <w:pPr>
                    <w:adjustRightInd w:val="0"/>
                    <w:snapToGrid w:val="0"/>
                    <w:jc w:val="center"/>
                    <w:rPr>
                      <w:bCs/>
                      <w:spacing w:val="10"/>
                      <w:szCs w:val="21"/>
                    </w:rPr>
                  </w:pPr>
                  <w:r>
                    <w:rPr>
                      <w:bCs/>
                      <w:spacing w:val="10"/>
                      <w:szCs w:val="21"/>
                    </w:rPr>
                    <w:t>废气</w:t>
                  </w:r>
                </w:p>
              </w:tc>
              <w:tc>
                <w:tcPr>
                  <w:tcW w:w="1312" w:type="dxa"/>
                  <w:vAlign w:val="center"/>
                </w:tcPr>
                <w:p>
                  <w:pPr>
                    <w:adjustRightInd w:val="0"/>
                    <w:snapToGrid w:val="0"/>
                    <w:jc w:val="center"/>
                    <w:rPr>
                      <w:bCs/>
                      <w:spacing w:val="10"/>
                      <w:szCs w:val="21"/>
                    </w:rPr>
                  </w:pPr>
                  <w:r>
                    <w:rPr>
                      <w:rFonts w:hint="eastAsia"/>
                      <w:bCs/>
                      <w:spacing w:val="10"/>
                      <w:szCs w:val="21"/>
                      <w:lang w:val="en-US" w:eastAsia="zh-CN"/>
                    </w:rPr>
                    <w:t>施工</w:t>
                  </w:r>
                  <w:r>
                    <w:rPr>
                      <w:bCs/>
                      <w:spacing w:val="10"/>
                      <w:szCs w:val="21"/>
                    </w:rPr>
                    <w:t>扬尘</w:t>
                  </w:r>
                </w:p>
              </w:tc>
              <w:tc>
                <w:tcPr>
                  <w:tcW w:w="2940" w:type="dxa"/>
                  <w:vAlign w:val="center"/>
                </w:tcPr>
                <w:p>
                  <w:pPr>
                    <w:adjustRightInd w:val="0"/>
                    <w:snapToGrid w:val="0"/>
                    <w:jc w:val="center"/>
                    <w:rPr>
                      <w:bCs/>
                      <w:spacing w:val="10"/>
                      <w:szCs w:val="21"/>
                    </w:rPr>
                  </w:pPr>
                  <w:r>
                    <w:rPr>
                      <w:bCs/>
                      <w:spacing w:val="10"/>
                      <w:szCs w:val="21"/>
                    </w:rPr>
                    <w:t>车辆进出覆盖、苫布覆盖、洒水降尘</w:t>
                  </w:r>
                </w:p>
              </w:tc>
              <w:tc>
                <w:tcPr>
                  <w:tcW w:w="2077" w:type="dxa"/>
                  <w:vAlign w:val="center"/>
                </w:tcPr>
                <w:p>
                  <w:pPr>
                    <w:adjustRightInd w:val="0"/>
                    <w:snapToGrid w:val="0"/>
                    <w:jc w:val="center"/>
                    <w:rPr>
                      <w:bCs/>
                      <w:spacing w:val="10"/>
                      <w:szCs w:val="21"/>
                    </w:rPr>
                  </w:pPr>
                  <w:r>
                    <w:rPr>
                      <w:bCs/>
                      <w:spacing w:val="10"/>
                      <w:szCs w:val="21"/>
                    </w:rPr>
                    <w:t>/</w:t>
                  </w:r>
                </w:p>
              </w:tc>
              <w:tc>
                <w:tcPr>
                  <w:tcW w:w="1210" w:type="dxa"/>
                  <w:vAlign w:val="center"/>
                </w:tcPr>
                <w:p>
                  <w:pPr>
                    <w:adjustRightInd w:val="0"/>
                    <w:snapToGrid w:val="0"/>
                    <w:jc w:val="center"/>
                    <w:rPr>
                      <w:rFonts w:hint="eastAsia" w:eastAsia="宋体"/>
                      <w:bCs/>
                      <w:spacing w:val="10"/>
                      <w:szCs w:val="21"/>
                      <w:lang w:eastAsia="zh-CN"/>
                    </w:rPr>
                  </w:pPr>
                  <w:r>
                    <w:rPr>
                      <w:rFonts w:hint="eastAsia"/>
                      <w:bCs/>
                      <w:spacing w:val="1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adjustRightInd w:val="0"/>
                    <w:snapToGrid w:val="0"/>
                    <w:jc w:val="center"/>
                    <w:rPr>
                      <w:bCs/>
                      <w:spacing w:val="10"/>
                      <w:szCs w:val="21"/>
                    </w:rPr>
                  </w:pPr>
                </w:p>
              </w:tc>
              <w:tc>
                <w:tcPr>
                  <w:tcW w:w="680" w:type="dxa"/>
                  <w:vMerge w:val="restart"/>
                  <w:vAlign w:val="center"/>
                </w:tcPr>
                <w:p>
                  <w:pPr>
                    <w:adjustRightInd w:val="0"/>
                    <w:snapToGrid w:val="0"/>
                    <w:jc w:val="center"/>
                    <w:rPr>
                      <w:bCs/>
                      <w:spacing w:val="10"/>
                      <w:szCs w:val="21"/>
                    </w:rPr>
                  </w:pPr>
                  <w:r>
                    <w:rPr>
                      <w:bCs/>
                      <w:spacing w:val="10"/>
                      <w:szCs w:val="21"/>
                    </w:rPr>
                    <w:t>废水</w:t>
                  </w:r>
                </w:p>
              </w:tc>
              <w:tc>
                <w:tcPr>
                  <w:tcW w:w="1312" w:type="dxa"/>
                  <w:vAlign w:val="center"/>
                </w:tcPr>
                <w:p>
                  <w:pPr>
                    <w:adjustRightInd w:val="0"/>
                    <w:snapToGrid w:val="0"/>
                    <w:jc w:val="center"/>
                    <w:rPr>
                      <w:bCs/>
                      <w:spacing w:val="10"/>
                      <w:szCs w:val="21"/>
                    </w:rPr>
                  </w:pPr>
                  <w:r>
                    <w:rPr>
                      <w:bCs/>
                      <w:spacing w:val="10"/>
                      <w:szCs w:val="21"/>
                    </w:rPr>
                    <w:t>施工废水</w:t>
                  </w:r>
                </w:p>
              </w:tc>
              <w:tc>
                <w:tcPr>
                  <w:tcW w:w="2940" w:type="dxa"/>
                  <w:vAlign w:val="center"/>
                </w:tcPr>
                <w:p>
                  <w:pPr>
                    <w:adjustRightInd w:val="0"/>
                    <w:snapToGrid w:val="0"/>
                    <w:jc w:val="center"/>
                    <w:rPr>
                      <w:bCs/>
                      <w:spacing w:val="10"/>
                      <w:szCs w:val="21"/>
                    </w:rPr>
                  </w:pPr>
                  <w:r>
                    <w:rPr>
                      <w:bCs/>
                      <w:spacing w:val="10"/>
                      <w:szCs w:val="21"/>
                    </w:rPr>
                    <w:t>临时沉淀池</w:t>
                  </w:r>
                </w:p>
              </w:tc>
              <w:tc>
                <w:tcPr>
                  <w:tcW w:w="2077" w:type="dxa"/>
                  <w:vAlign w:val="center"/>
                </w:tcPr>
                <w:p>
                  <w:pPr>
                    <w:adjustRightInd w:val="0"/>
                    <w:snapToGrid w:val="0"/>
                    <w:jc w:val="center"/>
                    <w:rPr>
                      <w:bCs/>
                      <w:spacing w:val="10"/>
                      <w:szCs w:val="21"/>
                    </w:rPr>
                  </w:pPr>
                  <w:r>
                    <w:rPr>
                      <w:bCs/>
                      <w:spacing w:val="10"/>
                      <w:szCs w:val="21"/>
                    </w:rPr>
                    <w:t>1个</w:t>
                  </w:r>
                </w:p>
              </w:tc>
              <w:tc>
                <w:tcPr>
                  <w:tcW w:w="1210" w:type="dxa"/>
                  <w:vAlign w:val="center"/>
                </w:tcPr>
                <w:p>
                  <w:pPr>
                    <w:adjustRightInd w:val="0"/>
                    <w:snapToGrid w:val="0"/>
                    <w:jc w:val="center"/>
                    <w:rPr>
                      <w:rFonts w:hint="eastAsia" w:eastAsia="宋体"/>
                      <w:bCs/>
                      <w:spacing w:val="10"/>
                      <w:szCs w:val="21"/>
                      <w:lang w:eastAsia="zh-CN"/>
                    </w:rPr>
                  </w:pPr>
                  <w:r>
                    <w:rPr>
                      <w:rFonts w:hint="eastAsia"/>
                      <w:bCs/>
                      <w:spacing w:val="1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adjustRightInd w:val="0"/>
                    <w:snapToGrid w:val="0"/>
                    <w:jc w:val="center"/>
                    <w:rPr>
                      <w:bCs/>
                      <w:spacing w:val="10"/>
                      <w:szCs w:val="21"/>
                    </w:rPr>
                  </w:pPr>
                </w:p>
              </w:tc>
              <w:tc>
                <w:tcPr>
                  <w:tcW w:w="680" w:type="dxa"/>
                  <w:vMerge w:val="continue"/>
                  <w:vAlign w:val="center"/>
                </w:tcPr>
                <w:p>
                  <w:pPr>
                    <w:adjustRightInd w:val="0"/>
                    <w:snapToGrid w:val="0"/>
                    <w:jc w:val="center"/>
                    <w:rPr>
                      <w:bCs/>
                      <w:spacing w:val="10"/>
                      <w:szCs w:val="21"/>
                    </w:rPr>
                  </w:pPr>
                </w:p>
              </w:tc>
              <w:tc>
                <w:tcPr>
                  <w:tcW w:w="1312" w:type="dxa"/>
                  <w:vAlign w:val="center"/>
                </w:tcPr>
                <w:p>
                  <w:pPr>
                    <w:adjustRightInd w:val="0"/>
                    <w:snapToGrid w:val="0"/>
                    <w:jc w:val="center"/>
                    <w:rPr>
                      <w:bCs/>
                      <w:spacing w:val="10"/>
                      <w:szCs w:val="21"/>
                    </w:rPr>
                  </w:pPr>
                  <w:r>
                    <w:rPr>
                      <w:bCs/>
                      <w:spacing w:val="10"/>
                      <w:szCs w:val="21"/>
                    </w:rPr>
                    <w:t>雨天淋滤水</w:t>
                  </w:r>
                </w:p>
              </w:tc>
              <w:tc>
                <w:tcPr>
                  <w:tcW w:w="2940" w:type="dxa"/>
                  <w:vAlign w:val="center"/>
                </w:tcPr>
                <w:p>
                  <w:pPr>
                    <w:adjustRightInd w:val="0"/>
                    <w:snapToGrid w:val="0"/>
                    <w:jc w:val="center"/>
                    <w:rPr>
                      <w:bCs/>
                      <w:spacing w:val="10"/>
                      <w:szCs w:val="21"/>
                    </w:rPr>
                  </w:pPr>
                  <w:r>
                    <w:rPr>
                      <w:bCs/>
                      <w:spacing w:val="10"/>
                      <w:szCs w:val="21"/>
                    </w:rPr>
                    <w:t>排水沟、临时雨水收集池</w:t>
                  </w:r>
                </w:p>
              </w:tc>
              <w:tc>
                <w:tcPr>
                  <w:tcW w:w="2077" w:type="dxa"/>
                  <w:vAlign w:val="center"/>
                </w:tcPr>
                <w:p>
                  <w:pPr>
                    <w:adjustRightInd w:val="0"/>
                    <w:snapToGrid w:val="0"/>
                    <w:jc w:val="center"/>
                    <w:rPr>
                      <w:bCs/>
                      <w:spacing w:val="10"/>
                      <w:szCs w:val="21"/>
                    </w:rPr>
                  </w:pPr>
                  <w:r>
                    <w:rPr>
                      <w:bCs/>
                      <w:spacing w:val="10"/>
                      <w:szCs w:val="21"/>
                    </w:rPr>
                    <w:t>1套</w:t>
                  </w:r>
                </w:p>
              </w:tc>
              <w:tc>
                <w:tcPr>
                  <w:tcW w:w="1210" w:type="dxa"/>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adjustRightInd w:val="0"/>
                    <w:snapToGrid w:val="0"/>
                    <w:jc w:val="center"/>
                    <w:rPr>
                      <w:bCs/>
                      <w:spacing w:val="10"/>
                      <w:szCs w:val="21"/>
                    </w:rPr>
                  </w:pPr>
                </w:p>
              </w:tc>
              <w:tc>
                <w:tcPr>
                  <w:tcW w:w="680" w:type="dxa"/>
                  <w:vAlign w:val="center"/>
                </w:tcPr>
                <w:p>
                  <w:pPr>
                    <w:adjustRightInd w:val="0"/>
                    <w:snapToGrid w:val="0"/>
                    <w:jc w:val="center"/>
                    <w:rPr>
                      <w:bCs/>
                      <w:spacing w:val="10"/>
                      <w:szCs w:val="21"/>
                    </w:rPr>
                  </w:pPr>
                  <w:r>
                    <w:rPr>
                      <w:bCs/>
                      <w:spacing w:val="10"/>
                      <w:szCs w:val="21"/>
                    </w:rPr>
                    <w:t>噪声</w:t>
                  </w:r>
                </w:p>
              </w:tc>
              <w:tc>
                <w:tcPr>
                  <w:tcW w:w="1312" w:type="dxa"/>
                  <w:vAlign w:val="center"/>
                </w:tcPr>
                <w:p>
                  <w:pPr>
                    <w:adjustRightInd w:val="0"/>
                    <w:snapToGrid w:val="0"/>
                    <w:jc w:val="center"/>
                    <w:rPr>
                      <w:bCs/>
                      <w:spacing w:val="10"/>
                      <w:szCs w:val="21"/>
                    </w:rPr>
                  </w:pPr>
                  <w:r>
                    <w:rPr>
                      <w:bCs/>
                      <w:spacing w:val="10"/>
                      <w:szCs w:val="21"/>
                    </w:rPr>
                    <w:t>施工机械噪声</w:t>
                  </w:r>
                </w:p>
              </w:tc>
              <w:tc>
                <w:tcPr>
                  <w:tcW w:w="2940" w:type="dxa"/>
                  <w:vAlign w:val="center"/>
                </w:tcPr>
                <w:p>
                  <w:pPr>
                    <w:adjustRightInd w:val="0"/>
                    <w:snapToGrid w:val="0"/>
                    <w:jc w:val="center"/>
                    <w:rPr>
                      <w:bCs/>
                      <w:spacing w:val="10"/>
                      <w:szCs w:val="21"/>
                    </w:rPr>
                  </w:pPr>
                  <w:r>
                    <w:rPr>
                      <w:bCs/>
                      <w:spacing w:val="10"/>
                      <w:szCs w:val="21"/>
                    </w:rPr>
                    <w:t>低噪声设备、加强维护</w:t>
                  </w:r>
                </w:p>
              </w:tc>
              <w:tc>
                <w:tcPr>
                  <w:tcW w:w="2077" w:type="dxa"/>
                  <w:vAlign w:val="center"/>
                </w:tcPr>
                <w:p>
                  <w:pPr>
                    <w:adjustRightInd w:val="0"/>
                    <w:snapToGrid w:val="0"/>
                    <w:jc w:val="center"/>
                    <w:rPr>
                      <w:bCs/>
                      <w:spacing w:val="10"/>
                      <w:szCs w:val="21"/>
                    </w:rPr>
                  </w:pPr>
                  <w:r>
                    <w:rPr>
                      <w:bCs/>
                      <w:spacing w:val="10"/>
                      <w:szCs w:val="21"/>
                    </w:rPr>
                    <w:t>/</w:t>
                  </w:r>
                </w:p>
              </w:tc>
              <w:tc>
                <w:tcPr>
                  <w:tcW w:w="1210" w:type="dxa"/>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adjustRightInd w:val="0"/>
                    <w:snapToGrid w:val="0"/>
                    <w:jc w:val="center"/>
                    <w:rPr>
                      <w:bCs/>
                      <w:spacing w:val="10"/>
                      <w:szCs w:val="21"/>
                    </w:rPr>
                  </w:pPr>
                </w:p>
              </w:tc>
              <w:tc>
                <w:tcPr>
                  <w:tcW w:w="680" w:type="dxa"/>
                  <w:vAlign w:val="center"/>
                </w:tcPr>
                <w:p>
                  <w:pPr>
                    <w:adjustRightInd w:val="0"/>
                    <w:snapToGrid w:val="0"/>
                    <w:jc w:val="center"/>
                    <w:rPr>
                      <w:bCs/>
                      <w:spacing w:val="10"/>
                      <w:szCs w:val="21"/>
                    </w:rPr>
                  </w:pPr>
                  <w:r>
                    <w:rPr>
                      <w:bCs/>
                      <w:spacing w:val="10"/>
                      <w:szCs w:val="21"/>
                    </w:rPr>
                    <w:t>固体废物</w:t>
                  </w:r>
                </w:p>
              </w:tc>
              <w:tc>
                <w:tcPr>
                  <w:tcW w:w="1312" w:type="dxa"/>
                  <w:vAlign w:val="center"/>
                </w:tcPr>
                <w:p>
                  <w:pPr>
                    <w:adjustRightInd w:val="0"/>
                    <w:snapToGrid w:val="0"/>
                    <w:jc w:val="center"/>
                    <w:rPr>
                      <w:bCs/>
                      <w:spacing w:val="10"/>
                      <w:szCs w:val="21"/>
                    </w:rPr>
                  </w:pPr>
                  <w:r>
                    <w:rPr>
                      <w:bCs/>
                      <w:spacing w:val="10"/>
                      <w:szCs w:val="21"/>
                    </w:rPr>
                    <w:t>施工人员生活垃圾</w:t>
                  </w:r>
                </w:p>
              </w:tc>
              <w:tc>
                <w:tcPr>
                  <w:tcW w:w="2940" w:type="dxa"/>
                  <w:vAlign w:val="center"/>
                </w:tcPr>
                <w:p>
                  <w:pPr>
                    <w:adjustRightInd w:val="0"/>
                    <w:snapToGrid w:val="0"/>
                    <w:jc w:val="center"/>
                    <w:rPr>
                      <w:bCs/>
                      <w:spacing w:val="10"/>
                      <w:szCs w:val="21"/>
                    </w:rPr>
                  </w:pPr>
                  <w:r>
                    <w:rPr>
                      <w:bCs/>
                      <w:spacing w:val="10"/>
                      <w:szCs w:val="21"/>
                    </w:rPr>
                    <w:t>垃圾桶、垃圾清运</w:t>
                  </w:r>
                </w:p>
              </w:tc>
              <w:tc>
                <w:tcPr>
                  <w:tcW w:w="2077" w:type="dxa"/>
                  <w:vAlign w:val="center"/>
                </w:tcPr>
                <w:p>
                  <w:pPr>
                    <w:adjustRightInd w:val="0"/>
                    <w:snapToGrid w:val="0"/>
                    <w:jc w:val="center"/>
                    <w:rPr>
                      <w:bCs/>
                      <w:spacing w:val="10"/>
                      <w:szCs w:val="21"/>
                    </w:rPr>
                  </w:pPr>
                  <w:r>
                    <w:rPr>
                      <w:bCs/>
                      <w:spacing w:val="10"/>
                      <w:szCs w:val="21"/>
                    </w:rPr>
                    <w:t>若干</w:t>
                  </w:r>
                </w:p>
              </w:tc>
              <w:tc>
                <w:tcPr>
                  <w:tcW w:w="1210" w:type="dxa"/>
                  <w:vAlign w:val="center"/>
                </w:tcPr>
                <w:p>
                  <w:pPr>
                    <w:adjustRightInd w:val="0"/>
                    <w:snapToGrid w:val="0"/>
                    <w:jc w:val="center"/>
                    <w:rPr>
                      <w:rFonts w:hint="eastAsia" w:eastAsia="宋体"/>
                      <w:bCs/>
                      <w:spacing w:val="10"/>
                      <w:szCs w:val="21"/>
                      <w:lang w:eastAsia="zh-CN"/>
                    </w:rPr>
                  </w:pPr>
                  <w:r>
                    <w:rPr>
                      <w:rFonts w:hint="eastAsia"/>
                      <w:bCs/>
                      <w:spacing w:val="1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vAlign w:val="center"/>
                </w:tcPr>
                <w:p>
                  <w:pPr>
                    <w:adjustRightInd w:val="0"/>
                    <w:snapToGrid w:val="0"/>
                    <w:jc w:val="center"/>
                    <w:rPr>
                      <w:bCs/>
                      <w:spacing w:val="10"/>
                      <w:szCs w:val="21"/>
                    </w:rPr>
                  </w:pPr>
                  <w:r>
                    <w:rPr>
                      <w:bCs/>
                      <w:spacing w:val="10"/>
                      <w:szCs w:val="21"/>
                    </w:rPr>
                    <w:t>运营期</w:t>
                  </w:r>
                </w:p>
              </w:tc>
              <w:tc>
                <w:tcPr>
                  <w:tcW w:w="1992" w:type="dxa"/>
                  <w:gridSpan w:val="2"/>
                  <w:vAlign w:val="center"/>
                </w:tcPr>
                <w:p>
                  <w:pPr>
                    <w:adjustRightInd w:val="0"/>
                    <w:snapToGrid w:val="0"/>
                    <w:jc w:val="center"/>
                    <w:rPr>
                      <w:bCs/>
                      <w:spacing w:val="10"/>
                      <w:szCs w:val="21"/>
                    </w:rPr>
                  </w:pPr>
                  <w:r>
                    <w:rPr>
                      <w:bCs/>
                      <w:spacing w:val="10"/>
                      <w:szCs w:val="21"/>
                    </w:rPr>
                    <w:t>绿化</w:t>
                  </w:r>
                </w:p>
              </w:tc>
              <w:tc>
                <w:tcPr>
                  <w:tcW w:w="2940" w:type="dxa"/>
                  <w:vAlign w:val="center"/>
                </w:tcPr>
                <w:p>
                  <w:pPr>
                    <w:adjustRightInd w:val="0"/>
                    <w:snapToGrid w:val="0"/>
                    <w:jc w:val="center"/>
                    <w:rPr>
                      <w:bCs/>
                      <w:spacing w:val="10"/>
                      <w:szCs w:val="21"/>
                    </w:rPr>
                  </w:pPr>
                  <w:r>
                    <w:rPr>
                      <w:bCs/>
                      <w:spacing w:val="10"/>
                      <w:szCs w:val="21"/>
                    </w:rPr>
                    <w:t>升压站绿化</w:t>
                  </w:r>
                </w:p>
              </w:tc>
              <w:tc>
                <w:tcPr>
                  <w:tcW w:w="2077" w:type="dxa"/>
                  <w:vAlign w:val="center"/>
                </w:tcPr>
                <w:p>
                  <w:pPr>
                    <w:adjustRightInd w:val="0"/>
                    <w:snapToGrid w:val="0"/>
                    <w:jc w:val="center"/>
                    <w:rPr>
                      <w:bCs/>
                      <w:spacing w:val="10"/>
                      <w:szCs w:val="21"/>
                    </w:rPr>
                  </w:pPr>
                  <w:r>
                    <w:rPr>
                      <w:bCs/>
                      <w:spacing w:val="10"/>
                      <w:szCs w:val="21"/>
                    </w:rPr>
                    <w:t>500m</w:t>
                  </w:r>
                  <w:r>
                    <w:rPr>
                      <w:bCs/>
                      <w:spacing w:val="10"/>
                      <w:szCs w:val="21"/>
                      <w:vertAlign w:val="superscript"/>
                    </w:rPr>
                    <w:t>2</w:t>
                  </w:r>
                </w:p>
              </w:tc>
              <w:tc>
                <w:tcPr>
                  <w:tcW w:w="1210" w:type="dxa"/>
                  <w:vAlign w:val="center"/>
                </w:tcPr>
                <w:p>
                  <w:pPr>
                    <w:adjustRightInd w:val="0"/>
                    <w:snapToGrid w:val="0"/>
                    <w:jc w:val="center"/>
                    <w:rPr>
                      <w:bCs/>
                      <w:spacing w:val="10"/>
                      <w:szCs w:val="21"/>
                    </w:rPr>
                  </w:pPr>
                  <w:r>
                    <w:rPr>
                      <w:bCs/>
                      <w:spacing w:val="1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adjustRightInd w:val="0"/>
                    <w:snapToGrid w:val="0"/>
                    <w:jc w:val="center"/>
                    <w:rPr>
                      <w:bCs/>
                      <w:spacing w:val="10"/>
                      <w:szCs w:val="21"/>
                    </w:rPr>
                  </w:pPr>
                </w:p>
              </w:tc>
              <w:tc>
                <w:tcPr>
                  <w:tcW w:w="680" w:type="dxa"/>
                  <w:vAlign w:val="center"/>
                </w:tcPr>
                <w:p>
                  <w:pPr>
                    <w:adjustRightInd w:val="0"/>
                    <w:snapToGrid w:val="0"/>
                    <w:jc w:val="center"/>
                    <w:rPr>
                      <w:bCs/>
                      <w:spacing w:val="10"/>
                      <w:szCs w:val="21"/>
                    </w:rPr>
                  </w:pPr>
                  <w:r>
                    <w:rPr>
                      <w:bCs/>
                      <w:spacing w:val="10"/>
                      <w:szCs w:val="21"/>
                    </w:rPr>
                    <w:t>废气</w:t>
                  </w:r>
                </w:p>
              </w:tc>
              <w:tc>
                <w:tcPr>
                  <w:tcW w:w="1312" w:type="dxa"/>
                  <w:vAlign w:val="center"/>
                </w:tcPr>
                <w:p>
                  <w:pPr>
                    <w:adjustRightInd w:val="0"/>
                    <w:snapToGrid w:val="0"/>
                    <w:jc w:val="center"/>
                    <w:rPr>
                      <w:bCs/>
                      <w:spacing w:val="10"/>
                      <w:szCs w:val="21"/>
                    </w:rPr>
                  </w:pPr>
                  <w:r>
                    <w:rPr>
                      <w:bCs/>
                      <w:spacing w:val="10"/>
                      <w:szCs w:val="21"/>
                    </w:rPr>
                    <w:t>食堂油烟</w:t>
                  </w:r>
                </w:p>
              </w:tc>
              <w:tc>
                <w:tcPr>
                  <w:tcW w:w="2940" w:type="dxa"/>
                  <w:vAlign w:val="center"/>
                </w:tcPr>
                <w:p>
                  <w:pPr>
                    <w:adjustRightInd w:val="0"/>
                    <w:snapToGrid w:val="0"/>
                    <w:jc w:val="center"/>
                    <w:rPr>
                      <w:bCs/>
                      <w:spacing w:val="10"/>
                      <w:szCs w:val="21"/>
                    </w:rPr>
                  </w:pPr>
                  <w:r>
                    <w:rPr>
                      <w:bCs/>
                      <w:spacing w:val="10"/>
                      <w:szCs w:val="21"/>
                    </w:rPr>
                    <w:t>油烟净化器</w:t>
                  </w:r>
                </w:p>
              </w:tc>
              <w:tc>
                <w:tcPr>
                  <w:tcW w:w="2077" w:type="dxa"/>
                  <w:vAlign w:val="center"/>
                </w:tcPr>
                <w:p>
                  <w:pPr>
                    <w:adjustRightInd w:val="0"/>
                    <w:snapToGrid w:val="0"/>
                    <w:jc w:val="center"/>
                    <w:rPr>
                      <w:bCs/>
                      <w:spacing w:val="10"/>
                      <w:szCs w:val="21"/>
                    </w:rPr>
                  </w:pPr>
                  <w:r>
                    <w:rPr>
                      <w:bCs/>
                      <w:spacing w:val="10"/>
                      <w:szCs w:val="21"/>
                    </w:rPr>
                    <w:t>1套</w:t>
                  </w:r>
                </w:p>
              </w:tc>
              <w:tc>
                <w:tcPr>
                  <w:tcW w:w="1210" w:type="dxa"/>
                  <w:vAlign w:val="center"/>
                </w:tcPr>
                <w:p>
                  <w:pPr>
                    <w:adjustRightInd w:val="0"/>
                    <w:snapToGrid w:val="0"/>
                    <w:jc w:val="center"/>
                    <w:rPr>
                      <w:bCs/>
                      <w:spacing w:val="10"/>
                      <w:szCs w:val="21"/>
                    </w:rPr>
                  </w:pPr>
                  <w:r>
                    <w:rPr>
                      <w:bCs/>
                      <w:spacing w:val="1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adjustRightInd w:val="0"/>
                    <w:snapToGrid w:val="0"/>
                    <w:jc w:val="center"/>
                    <w:rPr>
                      <w:bCs/>
                      <w:spacing w:val="10"/>
                      <w:szCs w:val="21"/>
                    </w:rPr>
                  </w:pPr>
                </w:p>
              </w:tc>
              <w:tc>
                <w:tcPr>
                  <w:tcW w:w="680" w:type="dxa"/>
                  <w:vMerge w:val="restart"/>
                  <w:vAlign w:val="center"/>
                </w:tcPr>
                <w:p>
                  <w:pPr>
                    <w:adjustRightInd w:val="0"/>
                    <w:snapToGrid w:val="0"/>
                    <w:jc w:val="center"/>
                    <w:rPr>
                      <w:bCs/>
                      <w:spacing w:val="10"/>
                      <w:szCs w:val="21"/>
                    </w:rPr>
                  </w:pPr>
                  <w:r>
                    <w:rPr>
                      <w:bCs/>
                      <w:spacing w:val="10"/>
                      <w:szCs w:val="21"/>
                    </w:rPr>
                    <w:t>废水</w:t>
                  </w:r>
                </w:p>
              </w:tc>
              <w:tc>
                <w:tcPr>
                  <w:tcW w:w="1312" w:type="dxa"/>
                  <w:vAlign w:val="center"/>
                </w:tcPr>
                <w:p>
                  <w:pPr>
                    <w:adjustRightInd w:val="0"/>
                    <w:snapToGrid w:val="0"/>
                    <w:jc w:val="center"/>
                    <w:rPr>
                      <w:bCs/>
                      <w:spacing w:val="10"/>
                      <w:szCs w:val="21"/>
                    </w:rPr>
                  </w:pPr>
                  <w:r>
                    <w:rPr>
                      <w:bCs/>
                      <w:spacing w:val="10"/>
                      <w:szCs w:val="21"/>
                    </w:rPr>
                    <w:t>食堂废水</w:t>
                  </w:r>
                </w:p>
              </w:tc>
              <w:tc>
                <w:tcPr>
                  <w:tcW w:w="2940" w:type="dxa"/>
                  <w:vAlign w:val="center"/>
                </w:tcPr>
                <w:p>
                  <w:pPr>
                    <w:adjustRightInd w:val="0"/>
                    <w:snapToGrid w:val="0"/>
                    <w:jc w:val="center"/>
                    <w:rPr>
                      <w:bCs/>
                      <w:spacing w:val="10"/>
                      <w:szCs w:val="21"/>
                    </w:rPr>
                  </w:pPr>
                  <w:r>
                    <w:rPr>
                      <w:bCs/>
                      <w:spacing w:val="10"/>
                      <w:szCs w:val="21"/>
                    </w:rPr>
                    <w:t>隔油池</w:t>
                  </w:r>
                </w:p>
              </w:tc>
              <w:tc>
                <w:tcPr>
                  <w:tcW w:w="2077" w:type="dxa"/>
                  <w:vAlign w:val="center"/>
                </w:tcPr>
                <w:p>
                  <w:pPr>
                    <w:adjustRightInd w:val="0"/>
                    <w:snapToGrid w:val="0"/>
                    <w:jc w:val="center"/>
                    <w:rPr>
                      <w:bCs/>
                      <w:spacing w:val="10"/>
                      <w:szCs w:val="21"/>
                    </w:rPr>
                  </w:pPr>
                  <w:r>
                    <w:rPr>
                      <w:bCs/>
                      <w:spacing w:val="10"/>
                      <w:szCs w:val="21"/>
                    </w:rPr>
                    <w:t>1个，0.5m</w:t>
                  </w:r>
                  <w:r>
                    <w:rPr>
                      <w:bCs/>
                      <w:spacing w:val="10"/>
                      <w:szCs w:val="21"/>
                      <w:vertAlign w:val="superscript"/>
                    </w:rPr>
                    <w:t>3</w:t>
                  </w:r>
                </w:p>
              </w:tc>
              <w:tc>
                <w:tcPr>
                  <w:tcW w:w="1210" w:type="dxa"/>
                  <w:vAlign w:val="center"/>
                </w:tcPr>
                <w:p>
                  <w:pPr>
                    <w:adjustRightInd w:val="0"/>
                    <w:snapToGrid w:val="0"/>
                    <w:jc w:val="center"/>
                    <w:rPr>
                      <w:bCs/>
                      <w:spacing w:val="10"/>
                      <w:szCs w:val="21"/>
                    </w:rPr>
                  </w:pPr>
                  <w:r>
                    <w:rPr>
                      <w:bCs/>
                      <w:spacing w:val="1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adjustRightInd w:val="0"/>
                    <w:snapToGrid w:val="0"/>
                    <w:jc w:val="center"/>
                    <w:rPr>
                      <w:bCs/>
                      <w:spacing w:val="10"/>
                      <w:szCs w:val="21"/>
                    </w:rPr>
                  </w:pPr>
                </w:p>
              </w:tc>
              <w:tc>
                <w:tcPr>
                  <w:tcW w:w="680" w:type="dxa"/>
                  <w:vMerge w:val="continue"/>
                  <w:vAlign w:val="center"/>
                </w:tcPr>
                <w:p>
                  <w:pPr>
                    <w:adjustRightInd w:val="0"/>
                    <w:snapToGrid w:val="0"/>
                    <w:jc w:val="center"/>
                    <w:rPr>
                      <w:bCs/>
                      <w:spacing w:val="10"/>
                      <w:szCs w:val="21"/>
                    </w:rPr>
                  </w:pPr>
                </w:p>
              </w:tc>
              <w:tc>
                <w:tcPr>
                  <w:tcW w:w="1312" w:type="dxa"/>
                  <w:vMerge w:val="restart"/>
                  <w:vAlign w:val="center"/>
                </w:tcPr>
                <w:p>
                  <w:pPr>
                    <w:adjustRightInd w:val="0"/>
                    <w:snapToGrid w:val="0"/>
                    <w:jc w:val="center"/>
                    <w:rPr>
                      <w:bCs/>
                      <w:spacing w:val="10"/>
                      <w:szCs w:val="21"/>
                    </w:rPr>
                  </w:pPr>
                  <w:r>
                    <w:rPr>
                      <w:bCs/>
                      <w:spacing w:val="10"/>
                      <w:szCs w:val="21"/>
                    </w:rPr>
                    <w:t>生活污水</w:t>
                  </w:r>
                </w:p>
              </w:tc>
              <w:tc>
                <w:tcPr>
                  <w:tcW w:w="2940" w:type="dxa"/>
                  <w:vAlign w:val="center"/>
                </w:tcPr>
                <w:p>
                  <w:pPr>
                    <w:adjustRightInd w:val="0"/>
                    <w:snapToGrid w:val="0"/>
                    <w:jc w:val="center"/>
                    <w:rPr>
                      <w:bCs/>
                      <w:spacing w:val="10"/>
                      <w:szCs w:val="21"/>
                    </w:rPr>
                  </w:pPr>
                  <w:r>
                    <w:rPr>
                      <w:bCs/>
                      <w:spacing w:val="10"/>
                      <w:szCs w:val="21"/>
                    </w:rPr>
                    <w:t>化粪池</w:t>
                  </w:r>
                </w:p>
              </w:tc>
              <w:tc>
                <w:tcPr>
                  <w:tcW w:w="2077" w:type="dxa"/>
                  <w:vAlign w:val="center"/>
                </w:tcPr>
                <w:p>
                  <w:pPr>
                    <w:adjustRightInd w:val="0"/>
                    <w:snapToGrid w:val="0"/>
                    <w:jc w:val="center"/>
                    <w:rPr>
                      <w:bCs/>
                      <w:spacing w:val="10"/>
                      <w:szCs w:val="21"/>
                    </w:rPr>
                  </w:pPr>
                  <w:r>
                    <w:rPr>
                      <w:bCs/>
                      <w:spacing w:val="10"/>
                      <w:szCs w:val="21"/>
                    </w:rPr>
                    <w:t>1个，大于1m</w:t>
                  </w:r>
                  <w:r>
                    <w:rPr>
                      <w:bCs/>
                      <w:spacing w:val="10"/>
                      <w:szCs w:val="21"/>
                      <w:vertAlign w:val="superscript"/>
                    </w:rPr>
                    <w:t>3</w:t>
                  </w:r>
                </w:p>
              </w:tc>
              <w:tc>
                <w:tcPr>
                  <w:tcW w:w="1210" w:type="dxa"/>
                  <w:vAlign w:val="center"/>
                </w:tcPr>
                <w:p>
                  <w:pPr>
                    <w:adjustRightInd w:val="0"/>
                    <w:snapToGrid w:val="0"/>
                    <w:jc w:val="center"/>
                    <w:rPr>
                      <w:bCs/>
                      <w:spacing w:val="10"/>
                      <w:szCs w:val="21"/>
                    </w:rPr>
                  </w:pPr>
                  <w:r>
                    <w:rPr>
                      <w:bCs/>
                      <w:spacing w:val="1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adjustRightInd w:val="0"/>
                    <w:snapToGrid w:val="0"/>
                    <w:jc w:val="center"/>
                    <w:rPr>
                      <w:bCs/>
                      <w:spacing w:val="10"/>
                      <w:szCs w:val="21"/>
                    </w:rPr>
                  </w:pPr>
                </w:p>
              </w:tc>
              <w:tc>
                <w:tcPr>
                  <w:tcW w:w="680" w:type="dxa"/>
                  <w:vMerge w:val="continue"/>
                  <w:vAlign w:val="center"/>
                </w:tcPr>
                <w:p>
                  <w:pPr>
                    <w:adjustRightInd w:val="0"/>
                    <w:snapToGrid w:val="0"/>
                    <w:jc w:val="center"/>
                    <w:rPr>
                      <w:bCs/>
                      <w:spacing w:val="10"/>
                      <w:szCs w:val="21"/>
                    </w:rPr>
                  </w:pPr>
                </w:p>
              </w:tc>
              <w:tc>
                <w:tcPr>
                  <w:tcW w:w="1312" w:type="dxa"/>
                  <w:vMerge w:val="continue"/>
                  <w:vAlign w:val="center"/>
                </w:tcPr>
                <w:p>
                  <w:pPr>
                    <w:adjustRightInd w:val="0"/>
                    <w:snapToGrid w:val="0"/>
                    <w:jc w:val="center"/>
                    <w:rPr>
                      <w:bCs/>
                      <w:spacing w:val="10"/>
                      <w:szCs w:val="21"/>
                    </w:rPr>
                  </w:pPr>
                </w:p>
              </w:tc>
              <w:tc>
                <w:tcPr>
                  <w:tcW w:w="2940" w:type="dxa"/>
                  <w:vAlign w:val="center"/>
                </w:tcPr>
                <w:p>
                  <w:pPr>
                    <w:adjustRightInd w:val="0"/>
                    <w:snapToGrid w:val="0"/>
                    <w:jc w:val="center"/>
                    <w:rPr>
                      <w:bCs/>
                      <w:spacing w:val="10"/>
                      <w:szCs w:val="21"/>
                    </w:rPr>
                  </w:pPr>
                  <w:r>
                    <w:rPr>
                      <w:bCs/>
                      <w:spacing w:val="10"/>
                      <w:szCs w:val="21"/>
                    </w:rPr>
                    <w:t>废水收集池</w:t>
                  </w:r>
                </w:p>
              </w:tc>
              <w:tc>
                <w:tcPr>
                  <w:tcW w:w="2077" w:type="dxa"/>
                  <w:vAlign w:val="center"/>
                </w:tcPr>
                <w:p>
                  <w:pPr>
                    <w:adjustRightInd w:val="0"/>
                    <w:snapToGrid w:val="0"/>
                    <w:jc w:val="center"/>
                    <w:rPr>
                      <w:bCs/>
                      <w:spacing w:val="10"/>
                      <w:szCs w:val="21"/>
                    </w:rPr>
                  </w:pPr>
                  <w:r>
                    <w:rPr>
                      <w:bCs/>
                      <w:spacing w:val="10"/>
                      <w:szCs w:val="21"/>
                    </w:rPr>
                    <w:t>1个，大于3m</w:t>
                  </w:r>
                  <w:r>
                    <w:rPr>
                      <w:bCs/>
                      <w:spacing w:val="10"/>
                      <w:szCs w:val="21"/>
                      <w:vertAlign w:val="superscript"/>
                    </w:rPr>
                    <w:t>3</w:t>
                  </w:r>
                </w:p>
              </w:tc>
              <w:tc>
                <w:tcPr>
                  <w:tcW w:w="1210" w:type="dxa"/>
                  <w:vAlign w:val="center"/>
                </w:tcPr>
                <w:p>
                  <w:pPr>
                    <w:adjustRightInd w:val="0"/>
                    <w:snapToGrid w:val="0"/>
                    <w:jc w:val="center"/>
                    <w:rPr>
                      <w:bCs/>
                      <w:spacing w:val="10"/>
                      <w:szCs w:val="21"/>
                    </w:rPr>
                  </w:pPr>
                  <w:r>
                    <w:rPr>
                      <w:bCs/>
                      <w:spacing w:val="1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adjustRightInd w:val="0"/>
                    <w:snapToGrid w:val="0"/>
                    <w:jc w:val="center"/>
                    <w:rPr>
                      <w:bCs/>
                      <w:spacing w:val="10"/>
                      <w:szCs w:val="21"/>
                    </w:rPr>
                  </w:pPr>
                </w:p>
              </w:tc>
              <w:tc>
                <w:tcPr>
                  <w:tcW w:w="680" w:type="dxa"/>
                  <w:vMerge w:val="continue"/>
                  <w:vAlign w:val="center"/>
                </w:tcPr>
                <w:p>
                  <w:pPr>
                    <w:adjustRightInd w:val="0"/>
                    <w:snapToGrid w:val="0"/>
                    <w:jc w:val="center"/>
                    <w:rPr>
                      <w:bCs/>
                      <w:spacing w:val="10"/>
                      <w:szCs w:val="21"/>
                    </w:rPr>
                  </w:pPr>
                </w:p>
              </w:tc>
              <w:tc>
                <w:tcPr>
                  <w:tcW w:w="1312" w:type="dxa"/>
                  <w:vMerge w:val="continue"/>
                  <w:vAlign w:val="center"/>
                </w:tcPr>
                <w:p>
                  <w:pPr>
                    <w:adjustRightInd w:val="0"/>
                    <w:snapToGrid w:val="0"/>
                    <w:jc w:val="center"/>
                    <w:rPr>
                      <w:bCs/>
                      <w:spacing w:val="10"/>
                      <w:szCs w:val="21"/>
                    </w:rPr>
                  </w:pPr>
                </w:p>
              </w:tc>
              <w:tc>
                <w:tcPr>
                  <w:tcW w:w="2940" w:type="dxa"/>
                  <w:vAlign w:val="center"/>
                </w:tcPr>
                <w:p>
                  <w:pPr>
                    <w:adjustRightInd w:val="0"/>
                    <w:snapToGrid w:val="0"/>
                    <w:jc w:val="center"/>
                    <w:rPr>
                      <w:bCs/>
                      <w:spacing w:val="10"/>
                      <w:szCs w:val="21"/>
                    </w:rPr>
                  </w:pPr>
                  <w:r>
                    <w:rPr>
                      <w:bCs/>
                      <w:spacing w:val="10"/>
                      <w:szCs w:val="21"/>
                    </w:rPr>
                    <w:t>一体化污水处理站</w:t>
                  </w:r>
                </w:p>
              </w:tc>
              <w:tc>
                <w:tcPr>
                  <w:tcW w:w="2077" w:type="dxa"/>
                  <w:vAlign w:val="center"/>
                </w:tcPr>
                <w:p>
                  <w:pPr>
                    <w:adjustRightInd w:val="0"/>
                    <w:snapToGrid w:val="0"/>
                    <w:jc w:val="center"/>
                    <w:rPr>
                      <w:bCs/>
                      <w:spacing w:val="10"/>
                      <w:szCs w:val="21"/>
                    </w:rPr>
                  </w:pPr>
                  <w:r>
                    <w:rPr>
                      <w:bCs/>
                      <w:spacing w:val="10"/>
                      <w:szCs w:val="21"/>
                    </w:rPr>
                    <w:t>1个，大于1m</w:t>
                  </w:r>
                  <w:r>
                    <w:rPr>
                      <w:bCs/>
                      <w:spacing w:val="10"/>
                      <w:szCs w:val="21"/>
                      <w:vertAlign w:val="superscript"/>
                    </w:rPr>
                    <w:t>3</w:t>
                  </w:r>
                  <w:r>
                    <w:rPr>
                      <w:bCs/>
                      <w:spacing w:val="10"/>
                      <w:szCs w:val="21"/>
                    </w:rPr>
                    <w:t>/d，MBR工艺</w:t>
                  </w:r>
                </w:p>
              </w:tc>
              <w:tc>
                <w:tcPr>
                  <w:tcW w:w="1210" w:type="dxa"/>
                  <w:vAlign w:val="center"/>
                </w:tcPr>
                <w:p>
                  <w:pPr>
                    <w:adjustRightInd w:val="0"/>
                    <w:snapToGrid w:val="0"/>
                    <w:jc w:val="center"/>
                    <w:rPr>
                      <w:bCs/>
                      <w:spacing w:val="10"/>
                      <w:szCs w:val="21"/>
                    </w:rPr>
                  </w:pPr>
                  <w:r>
                    <w:rPr>
                      <w:bCs/>
                      <w:spacing w:val="1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adjustRightInd w:val="0"/>
                    <w:snapToGrid w:val="0"/>
                    <w:jc w:val="center"/>
                    <w:rPr>
                      <w:bCs/>
                      <w:spacing w:val="10"/>
                      <w:szCs w:val="21"/>
                    </w:rPr>
                  </w:pPr>
                </w:p>
              </w:tc>
              <w:tc>
                <w:tcPr>
                  <w:tcW w:w="680" w:type="dxa"/>
                  <w:vMerge w:val="restart"/>
                  <w:vAlign w:val="center"/>
                </w:tcPr>
                <w:p>
                  <w:pPr>
                    <w:adjustRightInd w:val="0"/>
                    <w:snapToGrid w:val="0"/>
                    <w:jc w:val="center"/>
                    <w:rPr>
                      <w:bCs/>
                      <w:spacing w:val="10"/>
                      <w:szCs w:val="21"/>
                    </w:rPr>
                  </w:pPr>
                  <w:r>
                    <w:rPr>
                      <w:bCs/>
                      <w:spacing w:val="10"/>
                      <w:szCs w:val="21"/>
                    </w:rPr>
                    <w:t>固体废物</w:t>
                  </w:r>
                </w:p>
              </w:tc>
              <w:tc>
                <w:tcPr>
                  <w:tcW w:w="1312" w:type="dxa"/>
                  <w:vAlign w:val="center"/>
                </w:tcPr>
                <w:p>
                  <w:pPr>
                    <w:adjustRightInd w:val="0"/>
                    <w:snapToGrid w:val="0"/>
                    <w:jc w:val="center"/>
                    <w:rPr>
                      <w:bCs/>
                      <w:spacing w:val="10"/>
                      <w:szCs w:val="21"/>
                    </w:rPr>
                  </w:pPr>
                  <w:r>
                    <w:rPr>
                      <w:bCs/>
                      <w:spacing w:val="10"/>
                      <w:szCs w:val="21"/>
                    </w:rPr>
                    <w:t>生活垃圾</w:t>
                  </w:r>
                </w:p>
              </w:tc>
              <w:tc>
                <w:tcPr>
                  <w:tcW w:w="2940" w:type="dxa"/>
                  <w:vAlign w:val="center"/>
                </w:tcPr>
                <w:p>
                  <w:pPr>
                    <w:adjustRightInd w:val="0"/>
                    <w:snapToGrid w:val="0"/>
                    <w:jc w:val="center"/>
                    <w:rPr>
                      <w:bCs/>
                      <w:spacing w:val="10"/>
                      <w:szCs w:val="21"/>
                    </w:rPr>
                  </w:pPr>
                  <w:r>
                    <w:rPr>
                      <w:bCs/>
                      <w:spacing w:val="10"/>
                      <w:szCs w:val="21"/>
                    </w:rPr>
                    <w:t>垃圾桶</w:t>
                  </w:r>
                </w:p>
              </w:tc>
              <w:tc>
                <w:tcPr>
                  <w:tcW w:w="2077" w:type="dxa"/>
                  <w:vAlign w:val="center"/>
                </w:tcPr>
                <w:p>
                  <w:pPr>
                    <w:adjustRightInd w:val="0"/>
                    <w:snapToGrid w:val="0"/>
                    <w:jc w:val="center"/>
                    <w:rPr>
                      <w:bCs/>
                      <w:spacing w:val="10"/>
                      <w:szCs w:val="21"/>
                    </w:rPr>
                  </w:pPr>
                  <w:r>
                    <w:rPr>
                      <w:bCs/>
                      <w:spacing w:val="10"/>
                      <w:szCs w:val="21"/>
                    </w:rPr>
                    <w:t>若干</w:t>
                  </w:r>
                </w:p>
              </w:tc>
              <w:tc>
                <w:tcPr>
                  <w:tcW w:w="1210" w:type="dxa"/>
                  <w:vAlign w:val="center"/>
                </w:tcPr>
                <w:p>
                  <w:pPr>
                    <w:adjustRightInd w:val="0"/>
                    <w:snapToGrid w:val="0"/>
                    <w:jc w:val="center"/>
                    <w:rPr>
                      <w:bCs/>
                      <w:spacing w:val="10"/>
                      <w:szCs w:val="21"/>
                    </w:rPr>
                  </w:pPr>
                  <w:r>
                    <w:rPr>
                      <w:bCs/>
                      <w:spacing w:val="1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6" w:type="dxa"/>
                  <w:vMerge w:val="continue"/>
                  <w:vAlign w:val="center"/>
                </w:tcPr>
                <w:p>
                  <w:pPr>
                    <w:adjustRightInd w:val="0"/>
                    <w:snapToGrid w:val="0"/>
                    <w:jc w:val="center"/>
                    <w:rPr>
                      <w:bCs/>
                      <w:spacing w:val="10"/>
                      <w:szCs w:val="21"/>
                    </w:rPr>
                  </w:pPr>
                </w:p>
              </w:tc>
              <w:tc>
                <w:tcPr>
                  <w:tcW w:w="680" w:type="dxa"/>
                  <w:vMerge w:val="continue"/>
                  <w:vAlign w:val="center"/>
                </w:tcPr>
                <w:p>
                  <w:pPr>
                    <w:adjustRightInd w:val="0"/>
                    <w:snapToGrid w:val="0"/>
                    <w:jc w:val="center"/>
                    <w:rPr>
                      <w:bCs/>
                      <w:spacing w:val="10"/>
                      <w:szCs w:val="21"/>
                    </w:rPr>
                  </w:pPr>
                </w:p>
              </w:tc>
              <w:tc>
                <w:tcPr>
                  <w:tcW w:w="1312" w:type="dxa"/>
                  <w:vAlign w:val="center"/>
                </w:tcPr>
                <w:p>
                  <w:pPr>
                    <w:adjustRightInd w:val="0"/>
                    <w:snapToGrid w:val="0"/>
                    <w:jc w:val="center"/>
                    <w:rPr>
                      <w:bCs/>
                      <w:spacing w:val="10"/>
                      <w:szCs w:val="21"/>
                    </w:rPr>
                  </w:pPr>
                  <w:r>
                    <w:rPr>
                      <w:bCs/>
                      <w:spacing w:val="10"/>
                      <w:szCs w:val="21"/>
                    </w:rPr>
                    <w:t>废弃润滑油</w:t>
                  </w:r>
                </w:p>
              </w:tc>
              <w:tc>
                <w:tcPr>
                  <w:tcW w:w="2940" w:type="dxa"/>
                  <w:vAlign w:val="center"/>
                </w:tcPr>
                <w:p>
                  <w:pPr>
                    <w:adjustRightInd w:val="0"/>
                    <w:snapToGrid w:val="0"/>
                    <w:jc w:val="center"/>
                    <w:rPr>
                      <w:bCs/>
                      <w:spacing w:val="10"/>
                      <w:szCs w:val="21"/>
                    </w:rPr>
                  </w:pPr>
                  <w:r>
                    <w:rPr>
                      <w:bCs/>
                      <w:spacing w:val="10"/>
                      <w:szCs w:val="21"/>
                    </w:rPr>
                    <w:t>危废暂存间</w:t>
                  </w:r>
                </w:p>
              </w:tc>
              <w:tc>
                <w:tcPr>
                  <w:tcW w:w="2077" w:type="dxa"/>
                  <w:vAlign w:val="center"/>
                </w:tcPr>
                <w:p>
                  <w:pPr>
                    <w:adjustRightInd w:val="0"/>
                    <w:snapToGrid w:val="0"/>
                    <w:jc w:val="center"/>
                    <w:rPr>
                      <w:bCs/>
                      <w:spacing w:val="10"/>
                      <w:szCs w:val="21"/>
                    </w:rPr>
                  </w:pPr>
                  <w:r>
                    <w:rPr>
                      <w:bCs/>
                      <w:spacing w:val="10"/>
                      <w:szCs w:val="21"/>
                    </w:rPr>
                    <w:t>1个，16m</w:t>
                  </w:r>
                  <w:r>
                    <w:rPr>
                      <w:bCs/>
                      <w:spacing w:val="10"/>
                      <w:szCs w:val="21"/>
                      <w:vertAlign w:val="superscript"/>
                    </w:rPr>
                    <w:t>2</w:t>
                  </w:r>
                </w:p>
              </w:tc>
              <w:tc>
                <w:tcPr>
                  <w:tcW w:w="1210" w:type="dxa"/>
                  <w:vAlign w:val="center"/>
                </w:tcPr>
                <w:p>
                  <w:pPr>
                    <w:adjustRightInd w:val="0"/>
                    <w:snapToGrid w:val="0"/>
                    <w:jc w:val="center"/>
                    <w:rPr>
                      <w:bCs/>
                      <w:spacing w:val="10"/>
                      <w:szCs w:val="21"/>
                    </w:rPr>
                  </w:pPr>
                  <w:r>
                    <w:rPr>
                      <w:bCs/>
                      <w:spacing w:val="1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adjustRightInd w:val="0"/>
                    <w:snapToGrid w:val="0"/>
                    <w:jc w:val="center"/>
                    <w:rPr>
                      <w:bCs/>
                      <w:spacing w:val="10"/>
                      <w:szCs w:val="21"/>
                    </w:rPr>
                  </w:pPr>
                </w:p>
              </w:tc>
              <w:tc>
                <w:tcPr>
                  <w:tcW w:w="680" w:type="dxa"/>
                  <w:vMerge w:val="continue"/>
                  <w:vAlign w:val="center"/>
                </w:tcPr>
                <w:p>
                  <w:pPr>
                    <w:adjustRightInd w:val="0"/>
                    <w:snapToGrid w:val="0"/>
                    <w:jc w:val="center"/>
                    <w:rPr>
                      <w:bCs/>
                      <w:spacing w:val="10"/>
                      <w:szCs w:val="21"/>
                    </w:rPr>
                  </w:pPr>
                </w:p>
              </w:tc>
              <w:tc>
                <w:tcPr>
                  <w:tcW w:w="1312" w:type="dxa"/>
                  <w:vAlign w:val="center"/>
                </w:tcPr>
                <w:p>
                  <w:pPr>
                    <w:adjustRightInd w:val="0"/>
                    <w:snapToGrid w:val="0"/>
                    <w:jc w:val="center"/>
                    <w:rPr>
                      <w:bCs/>
                      <w:spacing w:val="10"/>
                      <w:szCs w:val="21"/>
                    </w:rPr>
                  </w:pPr>
                  <w:r>
                    <w:rPr>
                      <w:bCs/>
                      <w:spacing w:val="10"/>
                      <w:szCs w:val="21"/>
                    </w:rPr>
                    <w:t>废弃变压器油</w:t>
                  </w:r>
                </w:p>
              </w:tc>
              <w:tc>
                <w:tcPr>
                  <w:tcW w:w="2940" w:type="dxa"/>
                  <w:vAlign w:val="center"/>
                </w:tcPr>
                <w:p>
                  <w:pPr>
                    <w:adjustRightInd w:val="0"/>
                    <w:snapToGrid w:val="0"/>
                    <w:jc w:val="center"/>
                    <w:rPr>
                      <w:bCs/>
                      <w:spacing w:val="10"/>
                      <w:szCs w:val="21"/>
                    </w:rPr>
                  </w:pPr>
                  <w:r>
                    <w:rPr>
                      <w:bCs/>
                      <w:spacing w:val="10"/>
                      <w:szCs w:val="21"/>
                    </w:rPr>
                    <w:t>贮油坑、事故油池</w:t>
                  </w:r>
                </w:p>
              </w:tc>
              <w:tc>
                <w:tcPr>
                  <w:tcW w:w="2077" w:type="dxa"/>
                  <w:vAlign w:val="center"/>
                </w:tcPr>
                <w:p>
                  <w:pPr>
                    <w:adjustRightInd w:val="0"/>
                    <w:snapToGrid w:val="0"/>
                    <w:jc w:val="center"/>
                    <w:rPr>
                      <w:bCs/>
                      <w:spacing w:val="10"/>
                      <w:szCs w:val="21"/>
                    </w:rPr>
                  </w:pPr>
                  <w:r>
                    <w:rPr>
                      <w:bCs/>
                      <w:spacing w:val="10"/>
                      <w:szCs w:val="21"/>
                    </w:rPr>
                    <w:t>事故油池50m</w:t>
                  </w:r>
                  <w:r>
                    <w:rPr>
                      <w:bCs/>
                      <w:spacing w:val="10"/>
                      <w:szCs w:val="21"/>
                      <w:vertAlign w:val="superscript"/>
                    </w:rPr>
                    <w:t>3</w:t>
                  </w:r>
                </w:p>
              </w:tc>
              <w:tc>
                <w:tcPr>
                  <w:tcW w:w="1210" w:type="dxa"/>
                  <w:vAlign w:val="center"/>
                </w:tcPr>
                <w:p>
                  <w:pPr>
                    <w:adjustRightInd w:val="0"/>
                    <w:snapToGrid w:val="0"/>
                    <w:jc w:val="center"/>
                    <w:rPr>
                      <w:bCs/>
                      <w:spacing w:val="10"/>
                      <w:szCs w:val="21"/>
                    </w:rPr>
                  </w:pPr>
                  <w:r>
                    <w:rPr>
                      <w:bCs/>
                      <w:spacing w:val="1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5" w:type="dxa"/>
                  <w:gridSpan w:val="5"/>
                  <w:vAlign w:val="center"/>
                </w:tcPr>
                <w:p>
                  <w:pPr>
                    <w:adjustRightInd w:val="0"/>
                    <w:snapToGrid w:val="0"/>
                    <w:jc w:val="center"/>
                    <w:rPr>
                      <w:bCs/>
                      <w:spacing w:val="10"/>
                      <w:szCs w:val="21"/>
                    </w:rPr>
                  </w:pPr>
                  <w:r>
                    <w:rPr>
                      <w:bCs/>
                      <w:spacing w:val="10"/>
                      <w:szCs w:val="21"/>
                    </w:rPr>
                    <w:t>合计</w:t>
                  </w:r>
                </w:p>
              </w:tc>
              <w:tc>
                <w:tcPr>
                  <w:tcW w:w="1210" w:type="dxa"/>
                  <w:vAlign w:val="center"/>
                </w:tcPr>
                <w:p>
                  <w:pPr>
                    <w:jc w:val="center"/>
                    <w:rPr>
                      <w:rFonts w:hint="default" w:eastAsia="宋体"/>
                      <w:bCs/>
                      <w:spacing w:val="10"/>
                      <w:szCs w:val="21"/>
                      <w:lang w:val="en-US" w:eastAsia="zh-CN"/>
                    </w:rPr>
                  </w:pPr>
                  <w:r>
                    <w:rPr>
                      <w:rFonts w:hint="eastAsia"/>
                      <w:bCs/>
                      <w:spacing w:val="10"/>
                      <w:szCs w:val="21"/>
                      <w:lang w:val="en-US" w:eastAsia="zh-CN"/>
                    </w:rPr>
                    <w:t>135</w:t>
                  </w:r>
                </w:p>
              </w:tc>
            </w:tr>
            <w:bookmarkEnd w:id="18"/>
          </w:tbl>
          <w:p>
            <w:pPr>
              <w:adjustRightInd w:val="0"/>
              <w:snapToGrid w:val="0"/>
              <w:jc w:val="both"/>
              <w:rPr>
                <w:bCs/>
                <w:spacing w:val="10"/>
                <w:szCs w:val="21"/>
              </w:rPr>
            </w:pPr>
          </w:p>
        </w:tc>
      </w:tr>
    </w:tbl>
    <w:p/>
    <w:p>
      <w:pPr>
        <w:sectPr>
          <w:pgSz w:w="11907" w:h="16840"/>
          <w:pgMar w:top="1440" w:right="1797" w:bottom="1440" w:left="1797" w:header="851" w:footer="1077" w:gutter="0"/>
          <w:cols w:space="720" w:num="1"/>
          <w:docGrid w:linePitch="312" w:charSpace="0"/>
        </w:sectPr>
      </w:pPr>
    </w:p>
    <w:p>
      <w:pPr>
        <w:pStyle w:val="17"/>
        <w:jc w:val="center"/>
        <w:outlineLvl w:val="0"/>
        <w:rPr>
          <w:rFonts w:ascii="Times New Roman" w:hAnsi="Times New Roman"/>
          <w:b/>
          <w:bCs/>
          <w:snapToGrid w:val="0"/>
          <w:sz w:val="30"/>
          <w:szCs w:val="30"/>
        </w:rPr>
      </w:pPr>
      <w:bookmarkStart w:id="19" w:name="_Toc13177"/>
      <w:r>
        <w:rPr>
          <w:rFonts w:ascii="Times New Roman" w:hAnsi="Times New Roman"/>
          <w:b/>
          <w:bCs/>
          <w:snapToGrid w:val="0"/>
          <w:sz w:val="30"/>
          <w:szCs w:val="30"/>
        </w:rPr>
        <w:t>六、生态环境保护措施监督检查清单</w:t>
      </w:r>
      <w:bookmarkEnd w:id="19"/>
    </w:p>
    <w:tbl>
      <w:tblPr>
        <w:tblStyle w:val="20"/>
        <w:tblW w:w="147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570"/>
        <w:gridCol w:w="1276"/>
        <w:gridCol w:w="5811"/>
        <w:gridCol w:w="1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768" w:type="dxa"/>
            <w:vMerge w:val="restart"/>
            <w:tcBorders>
              <w:tl2br w:val="single" w:color="auto" w:sz="4" w:space="0"/>
            </w:tcBorders>
          </w:tcPr>
          <w:p>
            <w:pPr>
              <w:pStyle w:val="17"/>
              <w:wordWrap w:val="0"/>
              <w:adjustRightInd w:val="0"/>
              <w:snapToGrid w:val="0"/>
              <w:spacing w:before="72" w:beforeLines="30" w:beforeAutospacing="0" w:after="0" w:afterAutospacing="0"/>
              <w:jc w:val="center"/>
              <w:outlineLvl w:val="0"/>
              <w:rPr>
                <w:rFonts w:ascii="Times New Roman" w:hAnsi="Times New Roman"/>
                <w:kern w:val="2"/>
                <w:sz w:val="21"/>
                <w:szCs w:val="21"/>
              </w:rPr>
            </w:pPr>
            <w:bookmarkStart w:id="20" w:name="_Toc13251"/>
            <w:bookmarkStart w:id="21" w:name="_Toc80972205"/>
            <w:r>
              <w:rPr>
                <w:rFonts w:ascii="Times New Roman" w:hAnsi="Times New Roman"/>
                <w:kern w:val="2"/>
                <w:sz w:val="21"/>
                <w:szCs w:val="21"/>
              </w:rPr>
              <w:t>内容</w:t>
            </w:r>
            <w:bookmarkEnd w:id="20"/>
            <w:bookmarkEnd w:id="21"/>
          </w:p>
          <w:p>
            <w:pPr>
              <w:pStyle w:val="17"/>
              <w:wordWrap w:val="0"/>
              <w:adjustRightInd w:val="0"/>
              <w:snapToGrid w:val="0"/>
              <w:spacing w:before="0" w:beforeAutospacing="0" w:after="0" w:afterAutospacing="0"/>
              <w:outlineLvl w:val="0"/>
              <w:rPr>
                <w:rFonts w:ascii="Times New Roman" w:hAnsi="Times New Roman"/>
                <w:kern w:val="2"/>
                <w:sz w:val="21"/>
                <w:szCs w:val="21"/>
              </w:rPr>
            </w:pPr>
            <w:bookmarkStart w:id="22" w:name="_Toc15362"/>
            <w:bookmarkStart w:id="23" w:name="_Toc80972206"/>
            <w:r>
              <w:rPr>
                <w:rFonts w:ascii="Times New Roman" w:hAnsi="Times New Roman"/>
                <w:kern w:val="2"/>
                <w:sz w:val="21"/>
                <w:szCs w:val="21"/>
              </w:rPr>
              <w:t>要素</w:t>
            </w:r>
            <w:bookmarkEnd w:id="22"/>
            <w:bookmarkEnd w:id="23"/>
          </w:p>
        </w:tc>
        <w:tc>
          <w:tcPr>
            <w:tcW w:w="6846" w:type="dxa"/>
            <w:gridSpan w:val="2"/>
            <w:vAlign w:val="center"/>
          </w:tcPr>
          <w:p>
            <w:pPr>
              <w:pStyle w:val="17"/>
              <w:wordWrap w:val="0"/>
              <w:adjustRightInd w:val="0"/>
              <w:snapToGrid w:val="0"/>
              <w:spacing w:before="0" w:beforeAutospacing="0" w:after="0" w:afterAutospacing="0"/>
              <w:jc w:val="center"/>
              <w:outlineLvl w:val="0"/>
              <w:rPr>
                <w:rFonts w:ascii="Times New Roman" w:hAnsi="Times New Roman"/>
                <w:kern w:val="2"/>
                <w:sz w:val="21"/>
                <w:szCs w:val="21"/>
              </w:rPr>
            </w:pPr>
            <w:bookmarkStart w:id="24" w:name="_Toc9955"/>
            <w:bookmarkStart w:id="25" w:name="_Toc80972207"/>
            <w:r>
              <w:rPr>
                <w:rFonts w:ascii="Times New Roman" w:hAnsi="Times New Roman"/>
                <w:kern w:val="2"/>
                <w:sz w:val="21"/>
                <w:szCs w:val="21"/>
              </w:rPr>
              <w:t>施工期</w:t>
            </w:r>
            <w:bookmarkEnd w:id="24"/>
            <w:bookmarkEnd w:id="25"/>
          </w:p>
        </w:tc>
        <w:tc>
          <w:tcPr>
            <w:tcW w:w="7112" w:type="dxa"/>
            <w:gridSpan w:val="2"/>
            <w:vAlign w:val="center"/>
          </w:tcPr>
          <w:p>
            <w:pPr>
              <w:pStyle w:val="17"/>
              <w:wordWrap w:val="0"/>
              <w:adjustRightInd w:val="0"/>
              <w:snapToGrid w:val="0"/>
              <w:spacing w:before="0" w:beforeAutospacing="0" w:after="0" w:afterAutospacing="0"/>
              <w:jc w:val="center"/>
              <w:outlineLvl w:val="0"/>
              <w:rPr>
                <w:rFonts w:ascii="Times New Roman" w:hAnsi="Times New Roman"/>
                <w:kern w:val="2"/>
                <w:sz w:val="21"/>
                <w:szCs w:val="21"/>
              </w:rPr>
            </w:pPr>
            <w:bookmarkStart w:id="26" w:name="_Toc80972208"/>
            <w:bookmarkStart w:id="27" w:name="_Toc16019"/>
            <w:r>
              <w:rPr>
                <w:rFonts w:ascii="Times New Roman" w:hAnsi="Times New Roman"/>
                <w:kern w:val="2"/>
                <w:sz w:val="21"/>
                <w:szCs w:val="21"/>
              </w:rPr>
              <w:t>运营期</w:t>
            </w:r>
            <w:bookmarkEnd w:id="26"/>
            <w:bookmarkEnd w:id="2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68" w:type="dxa"/>
            <w:vMerge w:val="continue"/>
          </w:tcPr>
          <w:p>
            <w:pPr>
              <w:pStyle w:val="17"/>
              <w:wordWrap w:val="0"/>
              <w:adjustRightInd w:val="0"/>
              <w:snapToGrid w:val="0"/>
              <w:spacing w:before="0" w:beforeAutospacing="0" w:after="0" w:afterAutospacing="0"/>
              <w:ind w:firstLine="840"/>
              <w:jc w:val="center"/>
              <w:outlineLvl w:val="0"/>
              <w:rPr>
                <w:rFonts w:ascii="Times New Roman" w:hAnsi="Times New Roman"/>
                <w:kern w:val="2"/>
                <w:sz w:val="21"/>
                <w:szCs w:val="21"/>
              </w:rPr>
            </w:pPr>
          </w:p>
        </w:tc>
        <w:tc>
          <w:tcPr>
            <w:tcW w:w="5570" w:type="dxa"/>
            <w:vAlign w:val="center"/>
          </w:tcPr>
          <w:p>
            <w:pPr>
              <w:pStyle w:val="17"/>
              <w:wordWrap w:val="0"/>
              <w:adjustRightInd w:val="0"/>
              <w:snapToGrid w:val="0"/>
              <w:spacing w:before="0" w:beforeAutospacing="0" w:after="0" w:afterAutospacing="0"/>
              <w:jc w:val="center"/>
              <w:outlineLvl w:val="0"/>
              <w:rPr>
                <w:rFonts w:ascii="Times New Roman" w:hAnsi="Times New Roman"/>
                <w:kern w:val="2"/>
                <w:sz w:val="21"/>
                <w:szCs w:val="21"/>
              </w:rPr>
            </w:pPr>
            <w:bookmarkStart w:id="28" w:name="_Toc1274"/>
            <w:bookmarkStart w:id="29" w:name="_Toc80972209"/>
            <w:r>
              <w:rPr>
                <w:rFonts w:ascii="Times New Roman" w:hAnsi="Times New Roman"/>
                <w:kern w:val="2"/>
                <w:sz w:val="21"/>
                <w:szCs w:val="21"/>
              </w:rPr>
              <w:t>环境保护措施</w:t>
            </w:r>
            <w:bookmarkEnd w:id="28"/>
            <w:bookmarkEnd w:id="29"/>
          </w:p>
        </w:tc>
        <w:tc>
          <w:tcPr>
            <w:tcW w:w="1276" w:type="dxa"/>
            <w:vAlign w:val="center"/>
          </w:tcPr>
          <w:p>
            <w:pPr>
              <w:pStyle w:val="17"/>
              <w:wordWrap w:val="0"/>
              <w:adjustRightInd w:val="0"/>
              <w:snapToGrid w:val="0"/>
              <w:spacing w:before="0" w:beforeAutospacing="0" w:after="0" w:afterAutospacing="0"/>
              <w:jc w:val="center"/>
              <w:outlineLvl w:val="0"/>
              <w:rPr>
                <w:rFonts w:ascii="Times New Roman" w:hAnsi="Times New Roman"/>
                <w:kern w:val="2"/>
                <w:sz w:val="21"/>
                <w:szCs w:val="21"/>
              </w:rPr>
            </w:pPr>
            <w:bookmarkStart w:id="30" w:name="_Toc80972210"/>
            <w:bookmarkStart w:id="31" w:name="_Toc1552"/>
            <w:r>
              <w:rPr>
                <w:rFonts w:ascii="Times New Roman" w:hAnsi="Times New Roman"/>
                <w:kern w:val="2"/>
                <w:sz w:val="21"/>
                <w:szCs w:val="21"/>
              </w:rPr>
              <w:t>验收要求</w:t>
            </w:r>
            <w:bookmarkEnd w:id="30"/>
            <w:bookmarkEnd w:id="31"/>
          </w:p>
        </w:tc>
        <w:tc>
          <w:tcPr>
            <w:tcW w:w="5811" w:type="dxa"/>
            <w:vAlign w:val="center"/>
          </w:tcPr>
          <w:p>
            <w:pPr>
              <w:pStyle w:val="17"/>
              <w:wordWrap w:val="0"/>
              <w:adjustRightInd w:val="0"/>
              <w:snapToGrid w:val="0"/>
              <w:spacing w:before="0" w:beforeAutospacing="0" w:after="0" w:afterAutospacing="0"/>
              <w:jc w:val="center"/>
              <w:outlineLvl w:val="0"/>
              <w:rPr>
                <w:rFonts w:ascii="Times New Roman" w:hAnsi="Times New Roman"/>
                <w:kern w:val="2"/>
                <w:sz w:val="21"/>
                <w:szCs w:val="21"/>
              </w:rPr>
            </w:pPr>
            <w:bookmarkStart w:id="32" w:name="_Toc20449"/>
            <w:bookmarkStart w:id="33" w:name="_Toc80972211"/>
            <w:r>
              <w:rPr>
                <w:rFonts w:ascii="Times New Roman" w:hAnsi="Times New Roman"/>
                <w:kern w:val="2"/>
                <w:sz w:val="21"/>
                <w:szCs w:val="21"/>
              </w:rPr>
              <w:t>环境保护措施</w:t>
            </w:r>
            <w:bookmarkEnd w:id="32"/>
            <w:bookmarkEnd w:id="33"/>
          </w:p>
        </w:tc>
        <w:tc>
          <w:tcPr>
            <w:tcW w:w="1301" w:type="dxa"/>
            <w:vAlign w:val="center"/>
          </w:tcPr>
          <w:p>
            <w:pPr>
              <w:pStyle w:val="17"/>
              <w:wordWrap w:val="0"/>
              <w:adjustRightInd w:val="0"/>
              <w:snapToGrid w:val="0"/>
              <w:spacing w:before="0" w:beforeAutospacing="0" w:after="0" w:afterAutospacing="0"/>
              <w:jc w:val="center"/>
              <w:outlineLvl w:val="0"/>
              <w:rPr>
                <w:rFonts w:ascii="Times New Roman" w:hAnsi="Times New Roman"/>
                <w:kern w:val="2"/>
                <w:sz w:val="21"/>
                <w:szCs w:val="21"/>
              </w:rPr>
            </w:pPr>
            <w:bookmarkStart w:id="34" w:name="_Toc28004"/>
            <w:bookmarkStart w:id="35" w:name="_Toc80972212"/>
            <w:r>
              <w:rPr>
                <w:rFonts w:ascii="Times New Roman" w:hAnsi="Times New Roman"/>
                <w:kern w:val="2"/>
                <w:sz w:val="21"/>
                <w:szCs w:val="21"/>
              </w:rPr>
              <w:t>验收要求</w:t>
            </w:r>
            <w:bookmarkEnd w:id="34"/>
            <w:bookmarkEnd w:id="3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68" w:type="dxa"/>
            <w:vAlign w:val="center"/>
          </w:tcPr>
          <w:p>
            <w:pPr>
              <w:wordWrap w:val="0"/>
              <w:adjustRightInd w:val="0"/>
              <w:snapToGrid w:val="0"/>
              <w:jc w:val="center"/>
              <w:rPr>
                <w:szCs w:val="21"/>
              </w:rPr>
            </w:pPr>
            <w:r>
              <w:rPr>
                <w:szCs w:val="21"/>
              </w:rPr>
              <w:t>陆生生态</w:t>
            </w:r>
          </w:p>
        </w:tc>
        <w:tc>
          <w:tcPr>
            <w:tcW w:w="5570" w:type="dxa"/>
            <w:vAlign w:val="center"/>
          </w:tcPr>
          <w:p>
            <w:pPr>
              <w:wordWrap w:val="0"/>
              <w:adjustRightInd w:val="0"/>
              <w:snapToGrid w:val="0"/>
              <w:rPr>
                <w:szCs w:val="21"/>
              </w:rPr>
            </w:pPr>
            <w:r>
              <w:rPr>
                <w:rFonts w:ascii="宋体" w:hAnsi="宋体" w:cs="宋体"/>
                <w:szCs w:val="21"/>
              </w:rPr>
              <w:t>①</w:t>
            </w:r>
            <w:r>
              <w:rPr>
                <w:szCs w:val="21"/>
              </w:rPr>
              <w:t>施工活动集中，防止肆意扩大施工范围，施工过程中尽量保护好原有的自然植被。</w:t>
            </w:r>
          </w:p>
          <w:p>
            <w:pPr>
              <w:wordWrap w:val="0"/>
              <w:adjustRightInd w:val="0"/>
              <w:snapToGrid w:val="0"/>
              <w:rPr>
                <w:szCs w:val="21"/>
              </w:rPr>
            </w:pPr>
            <w:r>
              <w:rPr>
                <w:rFonts w:ascii="宋体" w:hAnsi="宋体" w:cs="宋体"/>
                <w:szCs w:val="21"/>
              </w:rPr>
              <w:t>②</w:t>
            </w:r>
            <w:r>
              <w:rPr>
                <w:szCs w:val="21"/>
              </w:rPr>
              <w:t>施工时序应避开植物生长期和动物繁殖期，减少对动植物的影响。</w:t>
            </w:r>
          </w:p>
          <w:p>
            <w:pPr>
              <w:wordWrap w:val="0"/>
              <w:adjustRightInd w:val="0"/>
              <w:snapToGrid w:val="0"/>
              <w:rPr>
                <w:szCs w:val="21"/>
              </w:rPr>
            </w:pPr>
            <w:r>
              <w:rPr>
                <w:rFonts w:ascii="宋体" w:hAnsi="宋体" w:cs="宋体"/>
                <w:szCs w:val="21"/>
              </w:rPr>
              <w:t>③</w:t>
            </w:r>
            <w:r>
              <w:rPr>
                <w:szCs w:val="21"/>
              </w:rPr>
              <w:t>施工期禁止施工人员猎取当地野生动物，如鸟类、蛇、蛙等。</w:t>
            </w:r>
          </w:p>
          <w:p>
            <w:pPr>
              <w:wordWrap w:val="0"/>
              <w:adjustRightInd w:val="0"/>
              <w:snapToGrid w:val="0"/>
              <w:rPr>
                <w:szCs w:val="21"/>
              </w:rPr>
            </w:pPr>
            <w:r>
              <w:rPr>
                <w:rFonts w:ascii="宋体" w:hAnsi="宋体" w:cs="宋体"/>
                <w:szCs w:val="21"/>
              </w:rPr>
              <w:t>④</w:t>
            </w:r>
            <w:r>
              <w:rPr>
                <w:szCs w:val="21"/>
              </w:rPr>
              <w:t>施工期不得在征地范围以外区域进行取土、采石等破坏生态环境的施工活动。</w:t>
            </w:r>
          </w:p>
          <w:p>
            <w:pPr>
              <w:wordWrap w:val="0"/>
              <w:adjustRightInd w:val="0"/>
              <w:snapToGrid w:val="0"/>
              <w:rPr>
                <w:szCs w:val="21"/>
              </w:rPr>
            </w:pPr>
            <w:r>
              <w:rPr>
                <w:rFonts w:ascii="宋体" w:hAnsi="宋体" w:cs="宋体"/>
                <w:szCs w:val="21"/>
              </w:rPr>
              <w:t>⑤</w:t>
            </w:r>
            <w:r>
              <w:rPr>
                <w:szCs w:val="21"/>
              </w:rPr>
              <w:t>合理布置施工场地，选用先进的施工工艺，尽量减少占地面积，减少植被破坏；及时清除多余的土石方，运走生活垃圾，以减轻对植被的占压、干扰和破坏。</w:t>
            </w:r>
          </w:p>
          <w:p>
            <w:pPr>
              <w:wordWrap w:val="0"/>
              <w:adjustRightInd w:val="0"/>
              <w:snapToGrid w:val="0"/>
              <w:rPr>
                <w:szCs w:val="21"/>
              </w:rPr>
            </w:pPr>
            <w:r>
              <w:rPr>
                <w:rFonts w:ascii="宋体" w:hAnsi="宋体" w:cs="宋体"/>
                <w:szCs w:val="21"/>
              </w:rPr>
              <w:t>⑥</w:t>
            </w:r>
            <w:r>
              <w:rPr>
                <w:szCs w:val="21"/>
              </w:rPr>
              <w:t>施工完成后，对搭建的临时设施予以清除，恢复原有的地表状态。</w:t>
            </w:r>
          </w:p>
          <w:p>
            <w:pPr>
              <w:wordWrap w:val="0"/>
              <w:adjustRightInd w:val="0"/>
              <w:snapToGrid w:val="0"/>
              <w:rPr>
                <w:szCs w:val="21"/>
              </w:rPr>
            </w:pPr>
            <w:r>
              <w:rPr>
                <w:rFonts w:ascii="宋体" w:hAnsi="宋体" w:cs="宋体"/>
                <w:szCs w:val="21"/>
              </w:rPr>
              <w:t>⑦</w:t>
            </w:r>
            <w:r>
              <w:rPr>
                <w:szCs w:val="21"/>
              </w:rPr>
              <w:t>施工结束后，应及时对临时占地进行植被恢复或复耕，若进行植被恢复尽量选用灌-草相结合的方式进行绿化，绿化树种选择应在“适地适树”的原则下，尽量以当地的优良乡土树种为主，适当引进新的优良树种、草种，保证绿化栽植的成活率。</w:t>
            </w:r>
          </w:p>
        </w:tc>
        <w:tc>
          <w:tcPr>
            <w:tcW w:w="1276" w:type="dxa"/>
            <w:vAlign w:val="center"/>
          </w:tcPr>
          <w:p>
            <w:pPr>
              <w:wordWrap w:val="0"/>
              <w:adjustRightInd w:val="0"/>
              <w:snapToGrid w:val="0"/>
              <w:rPr>
                <w:szCs w:val="21"/>
              </w:rPr>
            </w:pPr>
            <w:r>
              <w:rPr>
                <w:szCs w:val="21"/>
              </w:rPr>
              <w:t>施工期的各项陆生生态环境保护措施应按照环境影响评价文件、水土保持文件要求落实到位</w:t>
            </w:r>
          </w:p>
        </w:tc>
        <w:tc>
          <w:tcPr>
            <w:tcW w:w="5811" w:type="dxa"/>
            <w:vAlign w:val="center"/>
          </w:tcPr>
          <w:p>
            <w:pPr>
              <w:wordWrap w:val="0"/>
              <w:jc w:val="left"/>
              <w:rPr>
                <w:szCs w:val="21"/>
                <w:lang w:bidi="zh-CN"/>
              </w:rPr>
            </w:pPr>
            <w:r>
              <w:rPr>
                <w:rFonts w:ascii="宋体" w:hAnsi="宋体" w:cs="宋体"/>
                <w:szCs w:val="21"/>
                <w:lang w:bidi="zh-CN"/>
              </w:rPr>
              <w:t>①</w:t>
            </w:r>
            <w:r>
              <w:rPr>
                <w:szCs w:val="21"/>
                <w:lang w:bidi="zh-CN"/>
              </w:rPr>
              <w:t>升压站设置500m</w:t>
            </w:r>
            <w:r>
              <w:rPr>
                <w:szCs w:val="21"/>
                <w:vertAlign w:val="superscript"/>
                <w:lang w:bidi="zh-CN"/>
              </w:rPr>
              <w:t>2</w:t>
            </w:r>
            <w:r>
              <w:rPr>
                <w:szCs w:val="21"/>
                <w:lang w:bidi="zh-CN"/>
              </w:rPr>
              <w:t>的绿化面积，考虑选取乡土树种为主。</w:t>
            </w:r>
          </w:p>
          <w:p>
            <w:pPr>
              <w:wordWrap w:val="0"/>
              <w:jc w:val="left"/>
              <w:rPr>
                <w:szCs w:val="21"/>
                <w:lang w:bidi="zh-CN"/>
              </w:rPr>
            </w:pPr>
            <w:r>
              <w:rPr>
                <w:rFonts w:ascii="宋体" w:hAnsi="宋体" w:cs="宋体"/>
                <w:szCs w:val="21"/>
                <w:lang w:bidi="zh-CN"/>
              </w:rPr>
              <w:t>②</w:t>
            </w:r>
            <w:r>
              <w:rPr>
                <w:szCs w:val="21"/>
                <w:lang w:bidi="zh-CN"/>
              </w:rPr>
              <w:t>做好员工宣传工作，保护当地的野生动物，禁止人为捕杀；禁止引入外来有害生物。</w:t>
            </w:r>
          </w:p>
          <w:p>
            <w:pPr>
              <w:wordWrap w:val="0"/>
              <w:jc w:val="left"/>
              <w:rPr>
                <w:szCs w:val="21"/>
              </w:rPr>
            </w:pPr>
            <w:r>
              <w:rPr>
                <w:rFonts w:ascii="宋体" w:hAnsi="宋体" w:cs="宋体"/>
                <w:szCs w:val="21"/>
                <w:lang w:bidi="zh-CN"/>
              </w:rPr>
              <w:t>③</w:t>
            </w:r>
            <w:r>
              <w:rPr>
                <w:szCs w:val="21"/>
              </w:rPr>
              <w:t>加强管理，巡检车辆只在巡检道路内行驶，避免对植被造成损害；加强对各项生态保护措施的日常维护；现场维护和检修应选择在昼间进行，避免影响周边动物夜间的正常活动</w:t>
            </w:r>
            <w:r>
              <w:rPr>
                <w:szCs w:val="21"/>
                <w:lang w:bidi="zh-CN"/>
              </w:rPr>
              <w:t>。</w:t>
            </w:r>
          </w:p>
        </w:tc>
        <w:tc>
          <w:tcPr>
            <w:tcW w:w="1301" w:type="dxa"/>
            <w:vAlign w:val="center"/>
          </w:tcPr>
          <w:p>
            <w:pPr>
              <w:wordWrap w:val="0"/>
              <w:adjustRightInd w:val="0"/>
              <w:snapToGrid w:val="0"/>
              <w:rPr>
                <w:szCs w:val="21"/>
              </w:rPr>
            </w:pPr>
            <w:r>
              <w:rPr>
                <w:szCs w:val="21"/>
              </w:rPr>
              <w:t>运营期的各项陆生生态环境保护措施应按照环境影响评价文件要求落实到位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8" w:type="dxa"/>
            <w:vAlign w:val="center"/>
          </w:tcPr>
          <w:p>
            <w:pPr>
              <w:wordWrap w:val="0"/>
              <w:adjustRightInd w:val="0"/>
              <w:snapToGrid w:val="0"/>
              <w:jc w:val="center"/>
              <w:rPr>
                <w:szCs w:val="21"/>
              </w:rPr>
            </w:pPr>
            <w:r>
              <w:rPr>
                <w:szCs w:val="21"/>
              </w:rPr>
              <w:t>水生生态</w:t>
            </w:r>
          </w:p>
        </w:tc>
        <w:tc>
          <w:tcPr>
            <w:tcW w:w="5570" w:type="dxa"/>
            <w:vAlign w:val="center"/>
          </w:tcPr>
          <w:p>
            <w:pPr>
              <w:wordWrap w:val="0"/>
              <w:adjustRightInd w:val="0"/>
              <w:snapToGrid w:val="0"/>
              <w:rPr>
                <w:szCs w:val="21"/>
              </w:rPr>
            </w:pPr>
            <w:r>
              <w:rPr>
                <w:szCs w:val="21"/>
              </w:rPr>
              <w:t>严禁施工废水、生活污水、生活垃圾、弃土弃渣排入附近地表水体，影响水体水质；施工结束后应及时全面清理废弃物，避免留下难以降解的物质，形成面源污染</w:t>
            </w:r>
          </w:p>
        </w:tc>
        <w:tc>
          <w:tcPr>
            <w:tcW w:w="1276" w:type="dxa"/>
            <w:vAlign w:val="center"/>
          </w:tcPr>
          <w:p>
            <w:pPr>
              <w:wordWrap w:val="0"/>
              <w:adjustRightInd w:val="0"/>
              <w:snapToGrid w:val="0"/>
              <w:rPr>
                <w:szCs w:val="21"/>
              </w:rPr>
            </w:pPr>
            <w:r>
              <w:rPr>
                <w:szCs w:val="21"/>
              </w:rPr>
              <w:t>无</w:t>
            </w:r>
          </w:p>
        </w:tc>
        <w:tc>
          <w:tcPr>
            <w:tcW w:w="5811" w:type="dxa"/>
            <w:vAlign w:val="center"/>
          </w:tcPr>
          <w:p>
            <w:pPr>
              <w:wordWrap w:val="0"/>
              <w:adjustRightInd w:val="0"/>
              <w:snapToGrid w:val="0"/>
              <w:rPr>
                <w:szCs w:val="21"/>
              </w:rPr>
            </w:pPr>
            <w:r>
              <w:rPr>
                <w:szCs w:val="21"/>
              </w:rPr>
              <w:t>无</w:t>
            </w:r>
          </w:p>
        </w:tc>
        <w:tc>
          <w:tcPr>
            <w:tcW w:w="1301" w:type="dxa"/>
            <w:vAlign w:val="center"/>
          </w:tcPr>
          <w:p>
            <w:pPr>
              <w:wordWrap w:val="0"/>
              <w:adjustRightInd w:val="0"/>
              <w:snapToGrid w:val="0"/>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pPr>
              <w:wordWrap w:val="0"/>
              <w:adjustRightInd w:val="0"/>
              <w:snapToGrid w:val="0"/>
              <w:jc w:val="center"/>
              <w:rPr>
                <w:szCs w:val="21"/>
              </w:rPr>
            </w:pPr>
            <w:r>
              <w:rPr>
                <w:szCs w:val="21"/>
              </w:rPr>
              <w:t>地表水环境</w:t>
            </w:r>
          </w:p>
        </w:tc>
        <w:tc>
          <w:tcPr>
            <w:tcW w:w="5570" w:type="dxa"/>
            <w:vAlign w:val="center"/>
          </w:tcPr>
          <w:p>
            <w:pPr>
              <w:wordWrap w:val="0"/>
              <w:jc w:val="left"/>
              <w:rPr>
                <w:szCs w:val="21"/>
                <w:lang w:bidi="zh-CN"/>
              </w:rPr>
            </w:pPr>
            <w:r>
              <w:rPr>
                <w:rFonts w:ascii="宋体" w:hAnsi="宋体" w:cs="宋体"/>
                <w:szCs w:val="21"/>
                <w:lang w:bidi="zh-CN"/>
              </w:rPr>
              <w:t>①</w:t>
            </w:r>
            <w:r>
              <w:rPr>
                <w:szCs w:val="21"/>
              </w:rPr>
              <w:t>施工人员生活清洁废水收集之后，用于场地洒水降尘</w:t>
            </w:r>
            <w:r>
              <w:rPr>
                <w:szCs w:val="21"/>
                <w:lang w:bidi="zh-CN"/>
              </w:rPr>
              <w:t>。</w:t>
            </w:r>
          </w:p>
          <w:p>
            <w:pPr>
              <w:wordWrap w:val="0"/>
              <w:jc w:val="left"/>
              <w:rPr>
                <w:szCs w:val="21"/>
                <w:lang w:bidi="zh-CN"/>
              </w:rPr>
            </w:pPr>
            <w:r>
              <w:rPr>
                <w:rFonts w:ascii="宋体" w:hAnsi="宋体" w:cs="宋体"/>
                <w:szCs w:val="21"/>
                <w:lang w:bidi="zh-CN"/>
              </w:rPr>
              <w:t>②</w:t>
            </w:r>
            <w:r>
              <w:rPr>
                <w:szCs w:val="21"/>
                <w:lang w:bidi="zh-CN"/>
              </w:rPr>
              <w:t>在施工场地内设置临时导流沟和临时沉淀池，处理后的废水回用于洒水抑尘、工程养护。</w:t>
            </w:r>
          </w:p>
          <w:p>
            <w:pPr>
              <w:wordWrap w:val="0"/>
              <w:jc w:val="left"/>
              <w:rPr>
                <w:szCs w:val="21"/>
                <w:lang w:bidi="zh-CN"/>
              </w:rPr>
            </w:pPr>
            <w:r>
              <w:rPr>
                <w:rFonts w:ascii="宋体" w:hAnsi="宋体" w:cs="宋体"/>
                <w:szCs w:val="21"/>
                <w:lang w:bidi="zh-CN"/>
              </w:rPr>
              <w:t>③</w:t>
            </w:r>
            <w:r>
              <w:rPr>
                <w:szCs w:val="21"/>
              </w:rPr>
              <w:t>升压站和道路区在地势低处设置排水沟，排水沟末端设置沉淀池，</w:t>
            </w:r>
            <w:r>
              <w:rPr>
                <w:szCs w:val="21"/>
                <w:lang w:bidi="zh-CN"/>
              </w:rPr>
              <w:t>径流收集沉淀后，回用于场地内洒水降尘和工程养护等。</w:t>
            </w:r>
          </w:p>
          <w:p>
            <w:pPr>
              <w:wordWrap w:val="0"/>
              <w:jc w:val="left"/>
              <w:rPr>
                <w:szCs w:val="21"/>
              </w:rPr>
            </w:pPr>
            <w:r>
              <w:rPr>
                <w:rFonts w:ascii="宋体" w:hAnsi="宋体" w:cs="宋体"/>
                <w:szCs w:val="21"/>
                <w:lang w:bidi="zh-CN"/>
              </w:rPr>
              <w:t>④</w:t>
            </w:r>
            <w:r>
              <w:rPr>
                <w:szCs w:val="21"/>
                <w:lang w:bidi="zh-CN"/>
              </w:rPr>
              <w:t>加强管理，做好机械的日常维修保养，杜绝跑、冒、滴、漏现象。另外，雨天应对各类机械、粉状物料进行遮盖防雨。</w:t>
            </w:r>
          </w:p>
        </w:tc>
        <w:tc>
          <w:tcPr>
            <w:tcW w:w="1276" w:type="dxa"/>
            <w:vAlign w:val="center"/>
          </w:tcPr>
          <w:p>
            <w:pPr>
              <w:wordWrap w:val="0"/>
              <w:adjustRightInd w:val="0"/>
              <w:snapToGrid w:val="0"/>
              <w:rPr>
                <w:szCs w:val="21"/>
              </w:rPr>
            </w:pPr>
            <w:r>
              <w:rPr>
                <w:szCs w:val="21"/>
              </w:rPr>
              <w:t>废水不外排</w:t>
            </w:r>
          </w:p>
        </w:tc>
        <w:tc>
          <w:tcPr>
            <w:tcW w:w="5811" w:type="dxa"/>
            <w:vAlign w:val="center"/>
          </w:tcPr>
          <w:p>
            <w:pPr>
              <w:wordWrap w:val="0"/>
              <w:adjustRightInd w:val="0"/>
              <w:snapToGrid w:val="0"/>
              <w:rPr>
                <w:szCs w:val="21"/>
                <w:lang w:bidi="zh-CN"/>
              </w:rPr>
            </w:pPr>
            <w:r>
              <w:rPr>
                <w:rFonts w:ascii="宋体" w:hAnsi="宋体" w:cs="宋体"/>
                <w:szCs w:val="21"/>
                <w:lang w:bidi="zh-CN"/>
              </w:rPr>
              <w:t>①</w:t>
            </w:r>
            <w:r>
              <w:rPr>
                <w:szCs w:val="21"/>
                <w:lang w:bidi="zh-CN"/>
              </w:rPr>
              <w:t>食堂废水经隔油池（0.5m</w:t>
            </w:r>
            <w:r>
              <w:rPr>
                <w:szCs w:val="21"/>
                <w:vertAlign w:val="superscript"/>
                <w:lang w:bidi="zh-CN"/>
              </w:rPr>
              <w:t>3</w:t>
            </w:r>
            <w:r>
              <w:rPr>
                <w:szCs w:val="21"/>
                <w:lang w:bidi="zh-CN"/>
              </w:rPr>
              <w:t>）处理，之后与其余生活污水经化粪池（＞1m</w:t>
            </w:r>
            <w:r>
              <w:rPr>
                <w:szCs w:val="21"/>
                <w:vertAlign w:val="superscript"/>
                <w:lang w:bidi="zh-CN"/>
              </w:rPr>
              <w:t>3</w:t>
            </w:r>
            <w:r>
              <w:rPr>
                <w:szCs w:val="21"/>
                <w:lang w:bidi="zh-CN"/>
              </w:rPr>
              <w:t>）处理之后，之后汇入一体化污水处理站进行处理（＞1m</w:t>
            </w:r>
            <w:r>
              <w:rPr>
                <w:szCs w:val="21"/>
                <w:vertAlign w:val="superscript"/>
                <w:lang w:bidi="zh-CN"/>
              </w:rPr>
              <w:t>3</w:t>
            </w:r>
            <w:r>
              <w:rPr>
                <w:szCs w:val="21"/>
                <w:lang w:bidi="zh-CN"/>
              </w:rPr>
              <w:t>/d），暂存于污水收集池（＞3m</w:t>
            </w:r>
            <w:r>
              <w:rPr>
                <w:szCs w:val="21"/>
                <w:vertAlign w:val="superscript"/>
                <w:lang w:bidi="zh-CN"/>
              </w:rPr>
              <w:t>3</w:t>
            </w:r>
            <w:r>
              <w:rPr>
                <w:szCs w:val="21"/>
                <w:lang w:bidi="zh-CN"/>
              </w:rPr>
              <w:t>）中，晴天用水升压站内的绿化使用，不进行外排。</w:t>
            </w:r>
          </w:p>
          <w:p>
            <w:pPr>
              <w:wordWrap w:val="0"/>
              <w:adjustRightInd w:val="0"/>
              <w:snapToGrid w:val="0"/>
              <w:rPr>
                <w:szCs w:val="21"/>
              </w:rPr>
            </w:pPr>
            <w:r>
              <w:rPr>
                <w:rFonts w:ascii="宋体" w:hAnsi="宋体" w:cs="宋体"/>
                <w:szCs w:val="21"/>
                <w:lang w:bidi="zh-CN"/>
              </w:rPr>
              <w:t>②</w:t>
            </w:r>
            <w:r>
              <w:rPr>
                <w:szCs w:val="21"/>
                <w:lang w:bidi="zh-CN"/>
              </w:rPr>
              <w:t>定期检修污水处理设施，保障污水处理设施的处理效果。</w:t>
            </w:r>
          </w:p>
        </w:tc>
        <w:tc>
          <w:tcPr>
            <w:tcW w:w="1301" w:type="dxa"/>
            <w:vAlign w:val="center"/>
          </w:tcPr>
          <w:p>
            <w:pPr>
              <w:wordWrap w:val="0"/>
              <w:adjustRightInd w:val="0"/>
              <w:snapToGrid w:val="0"/>
              <w:rPr>
                <w:szCs w:val="21"/>
              </w:rPr>
            </w:pPr>
            <w:r>
              <w:rPr>
                <w:szCs w:val="21"/>
              </w:rPr>
              <w:t>废水处理达到《城市污水再生利用城市杂用水水质》（GB/T</w:t>
            </w:r>
            <w:r>
              <w:rPr>
                <w:rFonts w:hint="eastAsia"/>
                <w:szCs w:val="21"/>
                <w:lang w:eastAsia="zh-CN"/>
              </w:rPr>
              <w:t>*****</w:t>
            </w:r>
            <w:r>
              <w:rPr>
                <w:szCs w:val="21"/>
              </w:rPr>
              <w:t>-2020），回用于绿化，不外排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8" w:type="dxa"/>
            <w:vAlign w:val="center"/>
          </w:tcPr>
          <w:p>
            <w:pPr>
              <w:wordWrap w:val="0"/>
              <w:adjustRightInd w:val="0"/>
              <w:snapToGrid w:val="0"/>
              <w:jc w:val="center"/>
              <w:rPr>
                <w:szCs w:val="21"/>
              </w:rPr>
            </w:pPr>
            <w:r>
              <w:rPr>
                <w:szCs w:val="21"/>
              </w:rPr>
              <w:t>地下水及土壤环境</w:t>
            </w:r>
          </w:p>
        </w:tc>
        <w:tc>
          <w:tcPr>
            <w:tcW w:w="5570" w:type="dxa"/>
            <w:vAlign w:val="center"/>
          </w:tcPr>
          <w:p>
            <w:pPr>
              <w:wordWrap w:val="0"/>
              <w:adjustRightInd w:val="0"/>
              <w:snapToGrid w:val="0"/>
              <w:rPr>
                <w:szCs w:val="21"/>
              </w:rPr>
            </w:pPr>
            <w:r>
              <w:rPr>
                <w:szCs w:val="21"/>
              </w:rPr>
              <w:t>/</w:t>
            </w:r>
          </w:p>
        </w:tc>
        <w:tc>
          <w:tcPr>
            <w:tcW w:w="1276" w:type="dxa"/>
            <w:vAlign w:val="center"/>
          </w:tcPr>
          <w:p>
            <w:pPr>
              <w:wordWrap w:val="0"/>
              <w:adjustRightInd w:val="0"/>
              <w:snapToGrid w:val="0"/>
              <w:rPr>
                <w:szCs w:val="21"/>
              </w:rPr>
            </w:pPr>
            <w:r>
              <w:rPr>
                <w:szCs w:val="21"/>
              </w:rPr>
              <w:t>/</w:t>
            </w:r>
          </w:p>
        </w:tc>
        <w:tc>
          <w:tcPr>
            <w:tcW w:w="5811" w:type="dxa"/>
            <w:vAlign w:val="center"/>
          </w:tcPr>
          <w:p>
            <w:pPr>
              <w:wordWrap w:val="0"/>
              <w:adjustRightInd w:val="0"/>
              <w:snapToGrid w:val="0"/>
              <w:rPr>
                <w:szCs w:val="21"/>
              </w:rPr>
            </w:pPr>
            <w:r>
              <w:rPr>
                <w:szCs w:val="21"/>
              </w:rPr>
              <w:t>/</w:t>
            </w:r>
          </w:p>
        </w:tc>
        <w:tc>
          <w:tcPr>
            <w:tcW w:w="1301" w:type="dxa"/>
            <w:vAlign w:val="center"/>
          </w:tcPr>
          <w:p>
            <w:pPr>
              <w:wordWrap w:val="0"/>
              <w:adjustRightInd w:val="0"/>
              <w:snapToGrid w:val="0"/>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68" w:type="dxa"/>
            <w:vAlign w:val="center"/>
          </w:tcPr>
          <w:p>
            <w:pPr>
              <w:wordWrap w:val="0"/>
              <w:adjustRightInd w:val="0"/>
              <w:snapToGrid w:val="0"/>
              <w:jc w:val="center"/>
              <w:rPr>
                <w:szCs w:val="21"/>
              </w:rPr>
            </w:pPr>
            <w:r>
              <w:rPr>
                <w:szCs w:val="21"/>
              </w:rPr>
              <w:t>声环境</w:t>
            </w:r>
          </w:p>
        </w:tc>
        <w:tc>
          <w:tcPr>
            <w:tcW w:w="5570" w:type="dxa"/>
            <w:vAlign w:val="center"/>
          </w:tcPr>
          <w:p>
            <w:pPr>
              <w:wordWrap w:val="0"/>
              <w:jc w:val="left"/>
              <w:rPr>
                <w:szCs w:val="21"/>
              </w:rPr>
            </w:pPr>
            <w:r>
              <w:rPr>
                <w:rFonts w:ascii="宋体" w:hAnsi="宋体" w:cs="宋体"/>
                <w:szCs w:val="21"/>
              </w:rPr>
              <w:t>①</w:t>
            </w:r>
            <w:r>
              <w:rPr>
                <w:szCs w:val="21"/>
              </w:rPr>
              <w:t>合理安排施工计划和时间。</w:t>
            </w:r>
          </w:p>
          <w:p>
            <w:pPr>
              <w:wordWrap w:val="0"/>
              <w:adjustRightInd w:val="0"/>
              <w:snapToGrid w:val="0"/>
              <w:rPr>
                <w:szCs w:val="21"/>
              </w:rPr>
            </w:pPr>
            <w:r>
              <w:rPr>
                <w:rFonts w:ascii="宋体" w:hAnsi="宋体" w:cs="宋体"/>
                <w:szCs w:val="21"/>
              </w:rPr>
              <w:t>②</w:t>
            </w:r>
            <w:r>
              <w:rPr>
                <w:szCs w:val="21"/>
              </w:rPr>
              <w:t>尽量选用低噪声设备，同时加强设备的日常维修保养。</w:t>
            </w:r>
          </w:p>
          <w:p>
            <w:pPr>
              <w:wordWrap w:val="0"/>
              <w:adjustRightInd w:val="0"/>
              <w:snapToGrid w:val="0"/>
              <w:rPr>
                <w:szCs w:val="21"/>
              </w:rPr>
            </w:pPr>
            <w:r>
              <w:rPr>
                <w:rFonts w:ascii="宋体" w:hAnsi="宋体" w:cs="宋体"/>
                <w:szCs w:val="21"/>
              </w:rPr>
              <w:t>③</w:t>
            </w:r>
            <w:r>
              <w:rPr>
                <w:szCs w:val="21"/>
              </w:rPr>
              <w:t>运输车辆行驶时间、行驶路线严格控制管理，避开噪声敏感区域和噪声敏感时段。</w:t>
            </w:r>
          </w:p>
          <w:p>
            <w:pPr>
              <w:wordWrap w:val="0"/>
              <w:adjustRightInd w:val="0"/>
              <w:snapToGrid w:val="0"/>
              <w:rPr>
                <w:szCs w:val="21"/>
              </w:rPr>
            </w:pPr>
            <w:r>
              <w:rPr>
                <w:rFonts w:ascii="宋体" w:hAnsi="宋体" w:cs="宋体"/>
                <w:szCs w:val="21"/>
              </w:rPr>
              <w:t>④</w:t>
            </w:r>
            <w:r>
              <w:rPr>
                <w:szCs w:val="21"/>
              </w:rPr>
              <w:t>加强施工队伍的教育，禁止野蛮作业。</w:t>
            </w:r>
          </w:p>
        </w:tc>
        <w:tc>
          <w:tcPr>
            <w:tcW w:w="1276" w:type="dxa"/>
            <w:vAlign w:val="center"/>
          </w:tcPr>
          <w:p>
            <w:pPr>
              <w:wordWrap w:val="0"/>
              <w:adjustRightInd w:val="0"/>
              <w:snapToGrid w:val="0"/>
              <w:rPr>
                <w:szCs w:val="21"/>
              </w:rPr>
            </w:pPr>
            <w:r>
              <w:rPr>
                <w:szCs w:val="21"/>
              </w:rPr>
              <w:t>噪声满足《建筑施工场界环境噪声排放标准》（GB</w:t>
            </w:r>
            <w:r>
              <w:rPr>
                <w:rFonts w:hint="eastAsia"/>
                <w:szCs w:val="21"/>
                <w:lang w:eastAsia="zh-CN"/>
              </w:rPr>
              <w:t>*****</w:t>
            </w:r>
            <w:r>
              <w:rPr>
                <w:szCs w:val="21"/>
              </w:rPr>
              <w:t>-2011）表1规定的排放限值</w:t>
            </w:r>
          </w:p>
        </w:tc>
        <w:tc>
          <w:tcPr>
            <w:tcW w:w="5811" w:type="dxa"/>
            <w:vAlign w:val="center"/>
          </w:tcPr>
          <w:p>
            <w:pPr>
              <w:wordWrap w:val="0"/>
              <w:adjustRightInd w:val="0"/>
              <w:snapToGrid w:val="0"/>
              <w:rPr>
                <w:szCs w:val="21"/>
              </w:rPr>
            </w:pPr>
            <w:r>
              <w:rPr>
                <w:szCs w:val="21"/>
              </w:rPr>
              <w:t>选用低噪声设备，采取隔声、减振等措施，种植绿化，并加强设备维护。</w:t>
            </w:r>
          </w:p>
        </w:tc>
        <w:tc>
          <w:tcPr>
            <w:tcW w:w="1301" w:type="dxa"/>
            <w:vAlign w:val="center"/>
          </w:tcPr>
          <w:p>
            <w:pPr>
              <w:wordWrap w:val="0"/>
              <w:adjustRightInd w:val="0"/>
              <w:snapToGrid w:val="0"/>
              <w:rPr>
                <w:szCs w:val="21"/>
              </w:rPr>
            </w:pPr>
            <w:r>
              <w:rPr>
                <w:szCs w:val="21"/>
              </w:rPr>
              <w:t>噪声排放达到《工业企业厂界 噪声排放标准》（GB</w:t>
            </w:r>
            <w:r>
              <w:rPr>
                <w:rFonts w:hint="eastAsia"/>
                <w:szCs w:val="21"/>
                <w:lang w:eastAsia="zh-CN"/>
              </w:rPr>
              <w:t>*****</w:t>
            </w:r>
            <w:r>
              <w:rPr>
                <w:szCs w:val="21"/>
              </w:rPr>
              <w:t>-2008）中2类标准要求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68" w:type="dxa"/>
            <w:vAlign w:val="center"/>
          </w:tcPr>
          <w:p>
            <w:pPr>
              <w:wordWrap w:val="0"/>
              <w:adjustRightInd w:val="0"/>
              <w:snapToGrid w:val="0"/>
              <w:jc w:val="center"/>
              <w:rPr>
                <w:szCs w:val="21"/>
              </w:rPr>
            </w:pPr>
            <w:r>
              <w:rPr>
                <w:szCs w:val="21"/>
              </w:rPr>
              <w:t>振动</w:t>
            </w:r>
          </w:p>
        </w:tc>
        <w:tc>
          <w:tcPr>
            <w:tcW w:w="5570" w:type="dxa"/>
            <w:vAlign w:val="center"/>
          </w:tcPr>
          <w:p>
            <w:pPr>
              <w:wordWrap w:val="0"/>
              <w:adjustRightInd w:val="0"/>
              <w:snapToGrid w:val="0"/>
              <w:rPr>
                <w:szCs w:val="21"/>
              </w:rPr>
            </w:pPr>
            <w:r>
              <w:rPr>
                <w:szCs w:val="21"/>
              </w:rPr>
              <w:t>无</w:t>
            </w:r>
          </w:p>
        </w:tc>
        <w:tc>
          <w:tcPr>
            <w:tcW w:w="1276" w:type="dxa"/>
            <w:vAlign w:val="center"/>
          </w:tcPr>
          <w:p>
            <w:pPr>
              <w:wordWrap w:val="0"/>
              <w:adjustRightInd w:val="0"/>
              <w:snapToGrid w:val="0"/>
              <w:rPr>
                <w:szCs w:val="21"/>
              </w:rPr>
            </w:pPr>
            <w:r>
              <w:rPr>
                <w:szCs w:val="21"/>
              </w:rPr>
              <w:t>无</w:t>
            </w:r>
          </w:p>
        </w:tc>
        <w:tc>
          <w:tcPr>
            <w:tcW w:w="5811" w:type="dxa"/>
            <w:vAlign w:val="center"/>
          </w:tcPr>
          <w:p>
            <w:pPr>
              <w:wordWrap w:val="0"/>
              <w:adjustRightInd w:val="0"/>
              <w:snapToGrid w:val="0"/>
              <w:rPr>
                <w:szCs w:val="21"/>
              </w:rPr>
            </w:pPr>
            <w:r>
              <w:rPr>
                <w:szCs w:val="21"/>
              </w:rPr>
              <w:t>无</w:t>
            </w:r>
          </w:p>
        </w:tc>
        <w:tc>
          <w:tcPr>
            <w:tcW w:w="1301" w:type="dxa"/>
            <w:vAlign w:val="center"/>
          </w:tcPr>
          <w:p>
            <w:pPr>
              <w:wordWrap w:val="0"/>
              <w:adjustRightInd w:val="0"/>
              <w:snapToGrid w:val="0"/>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8" w:type="dxa"/>
            <w:vAlign w:val="center"/>
          </w:tcPr>
          <w:p>
            <w:pPr>
              <w:wordWrap w:val="0"/>
              <w:adjustRightInd w:val="0"/>
              <w:snapToGrid w:val="0"/>
              <w:jc w:val="center"/>
              <w:rPr>
                <w:szCs w:val="21"/>
              </w:rPr>
            </w:pPr>
            <w:r>
              <w:rPr>
                <w:szCs w:val="21"/>
              </w:rPr>
              <w:t>大气环境</w:t>
            </w:r>
          </w:p>
        </w:tc>
        <w:tc>
          <w:tcPr>
            <w:tcW w:w="5570" w:type="dxa"/>
            <w:vAlign w:val="center"/>
          </w:tcPr>
          <w:p>
            <w:pPr>
              <w:wordWrap w:val="0"/>
              <w:jc w:val="left"/>
              <w:rPr>
                <w:szCs w:val="21"/>
              </w:rPr>
            </w:pPr>
            <w:r>
              <w:rPr>
                <w:rFonts w:ascii="宋体" w:hAnsi="宋体" w:cs="宋体"/>
                <w:szCs w:val="21"/>
              </w:rPr>
              <w:t>①</w:t>
            </w:r>
            <w:r>
              <w:rPr>
                <w:szCs w:val="21"/>
              </w:rPr>
              <w:t>禁止在大风天施工作业。利用洒水车对施工现场和进出道路洒水，同时在施工场地出口设置浅水池，以利于减少扬尘的产量。</w:t>
            </w:r>
          </w:p>
          <w:p>
            <w:pPr>
              <w:wordWrap w:val="0"/>
              <w:jc w:val="left"/>
              <w:rPr>
                <w:szCs w:val="21"/>
              </w:rPr>
            </w:pPr>
            <w:r>
              <w:rPr>
                <w:rFonts w:ascii="宋体" w:hAnsi="宋体" w:cs="宋体"/>
                <w:szCs w:val="21"/>
              </w:rPr>
              <w:t>②</w:t>
            </w:r>
            <w:r>
              <w:rPr>
                <w:szCs w:val="21"/>
              </w:rPr>
              <w:t>施工车辆进出道路要全覆盖，同时限制运输车辆的行驶速度，防止物料撒落和产生扬尘；</w:t>
            </w:r>
          </w:p>
          <w:p>
            <w:pPr>
              <w:wordWrap w:val="0"/>
              <w:jc w:val="left"/>
              <w:rPr>
                <w:szCs w:val="21"/>
              </w:rPr>
            </w:pPr>
            <w:r>
              <w:rPr>
                <w:rFonts w:ascii="宋体" w:hAnsi="宋体" w:cs="宋体"/>
                <w:szCs w:val="21"/>
              </w:rPr>
              <w:t>③</w:t>
            </w:r>
            <w:r>
              <w:rPr>
                <w:szCs w:val="21"/>
              </w:rPr>
              <w:t>运输砂、石等材料的车辆应覆盖蓬布。对于装运含尘物料的运输车辆必须进行密封运输，严格控制物料的洒落。</w:t>
            </w:r>
          </w:p>
          <w:p>
            <w:pPr>
              <w:wordWrap w:val="0"/>
              <w:jc w:val="left"/>
              <w:rPr>
                <w:szCs w:val="21"/>
              </w:rPr>
            </w:pPr>
            <w:r>
              <w:rPr>
                <w:rFonts w:ascii="宋体" w:hAnsi="宋体" w:cs="宋体"/>
                <w:szCs w:val="21"/>
              </w:rPr>
              <w:t>④</w:t>
            </w:r>
            <w:r>
              <w:rPr>
                <w:szCs w:val="21"/>
              </w:rPr>
              <w:t>对不能及时回填，临时堆弃场地的土堆、料堆的堆放应定点定位，对堆场用苫布覆盖并定期洒水抑尘。</w:t>
            </w:r>
          </w:p>
          <w:p>
            <w:pPr>
              <w:wordWrap w:val="0"/>
              <w:jc w:val="left"/>
              <w:rPr>
                <w:szCs w:val="21"/>
              </w:rPr>
            </w:pPr>
            <w:r>
              <w:rPr>
                <w:rFonts w:ascii="宋体" w:hAnsi="宋体" w:cs="宋体"/>
                <w:szCs w:val="21"/>
              </w:rPr>
              <w:t>⑤</w:t>
            </w:r>
            <w:r>
              <w:rPr>
                <w:szCs w:val="21"/>
              </w:rPr>
              <w:t>应将基础开挖过程回填后剩余的土石方及时运走，尽快恢复临时占地范围内的植被。</w:t>
            </w:r>
          </w:p>
          <w:p>
            <w:pPr>
              <w:wordWrap w:val="0"/>
              <w:jc w:val="left"/>
              <w:rPr>
                <w:szCs w:val="21"/>
              </w:rPr>
            </w:pPr>
            <w:r>
              <w:rPr>
                <w:rFonts w:ascii="宋体" w:hAnsi="宋体" w:cs="宋体"/>
                <w:szCs w:val="21"/>
              </w:rPr>
              <w:t>⑥</w:t>
            </w:r>
            <w:r>
              <w:rPr>
                <w:szCs w:val="21"/>
              </w:rPr>
              <w:t>升压站施工现场设置围栏或部分围栏。</w:t>
            </w:r>
          </w:p>
        </w:tc>
        <w:tc>
          <w:tcPr>
            <w:tcW w:w="1276" w:type="dxa"/>
            <w:vAlign w:val="center"/>
          </w:tcPr>
          <w:p>
            <w:pPr>
              <w:wordWrap w:val="0"/>
              <w:adjustRightInd w:val="0"/>
              <w:snapToGrid w:val="0"/>
              <w:rPr>
                <w:szCs w:val="21"/>
              </w:rPr>
            </w:pPr>
            <w:r>
              <w:rPr>
                <w:szCs w:val="21"/>
              </w:rPr>
              <w:t>施工扬尘达到《大气污染物综合排放标准》（GB</w:t>
            </w:r>
            <w:r>
              <w:rPr>
                <w:rFonts w:hint="eastAsia"/>
                <w:szCs w:val="21"/>
                <w:lang w:eastAsia="zh-CN"/>
              </w:rPr>
              <w:t>*****</w:t>
            </w:r>
            <w:r>
              <w:rPr>
                <w:szCs w:val="21"/>
              </w:rPr>
              <w:t>-1996）表2厂界大气污染物监控浓度限值</w:t>
            </w:r>
          </w:p>
        </w:tc>
        <w:tc>
          <w:tcPr>
            <w:tcW w:w="5811" w:type="dxa"/>
            <w:vAlign w:val="center"/>
          </w:tcPr>
          <w:p>
            <w:pPr>
              <w:wordWrap w:val="0"/>
              <w:adjustRightInd w:val="0"/>
              <w:snapToGrid w:val="0"/>
              <w:rPr>
                <w:szCs w:val="21"/>
                <w:lang w:bidi="zh-CN"/>
              </w:rPr>
            </w:pPr>
            <w:r>
              <w:rPr>
                <w:rFonts w:ascii="宋体" w:hAnsi="宋体" w:cs="宋体"/>
                <w:szCs w:val="21"/>
                <w:lang w:bidi="zh-CN"/>
              </w:rPr>
              <w:t>①</w:t>
            </w:r>
            <w:r>
              <w:rPr>
                <w:szCs w:val="21"/>
                <w:lang w:bidi="zh-CN"/>
              </w:rPr>
              <w:t>升压站内使用清洁能源，厨房油烟采用1套油烟净化设备处理后，通高于屋顶1.5m的排气装置排放。</w:t>
            </w:r>
          </w:p>
          <w:p>
            <w:pPr>
              <w:wordWrap w:val="0"/>
              <w:adjustRightInd w:val="0"/>
              <w:snapToGrid w:val="0"/>
              <w:rPr>
                <w:szCs w:val="21"/>
              </w:rPr>
            </w:pPr>
            <w:r>
              <w:rPr>
                <w:rFonts w:ascii="宋体" w:hAnsi="宋体" w:cs="宋体"/>
                <w:szCs w:val="21"/>
                <w:lang w:bidi="zh-CN"/>
              </w:rPr>
              <w:t>②</w:t>
            </w:r>
            <w:r>
              <w:rPr>
                <w:szCs w:val="21"/>
                <w:lang w:bidi="zh-CN"/>
              </w:rPr>
              <w:t>保持项目区内环境卫生，减少运营期地面扬尘和飘散物对环境空气质量的影响；项目区生活垃圾及时清运并对垃圾收集点经常进行清扫。</w:t>
            </w:r>
          </w:p>
        </w:tc>
        <w:tc>
          <w:tcPr>
            <w:tcW w:w="1301" w:type="dxa"/>
            <w:vAlign w:val="center"/>
          </w:tcPr>
          <w:p>
            <w:pPr>
              <w:wordWrap w:val="0"/>
              <w:adjustRightInd w:val="0"/>
              <w:snapToGrid w:val="0"/>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68" w:type="dxa"/>
            <w:vAlign w:val="center"/>
          </w:tcPr>
          <w:p>
            <w:pPr>
              <w:wordWrap w:val="0"/>
              <w:adjustRightInd w:val="0"/>
              <w:snapToGrid w:val="0"/>
              <w:jc w:val="center"/>
              <w:rPr>
                <w:szCs w:val="21"/>
              </w:rPr>
            </w:pPr>
            <w:r>
              <w:rPr>
                <w:szCs w:val="21"/>
              </w:rPr>
              <w:t>固体废物</w:t>
            </w:r>
          </w:p>
        </w:tc>
        <w:tc>
          <w:tcPr>
            <w:tcW w:w="5570" w:type="dxa"/>
            <w:vAlign w:val="center"/>
          </w:tcPr>
          <w:p>
            <w:pPr>
              <w:wordWrap w:val="0"/>
              <w:jc w:val="left"/>
              <w:rPr>
                <w:szCs w:val="21"/>
                <w:lang w:bidi="zh-CN"/>
              </w:rPr>
            </w:pPr>
            <w:r>
              <w:rPr>
                <w:rFonts w:ascii="宋体" w:hAnsi="宋体" w:cs="宋体"/>
                <w:szCs w:val="21"/>
              </w:rPr>
              <w:t>①</w:t>
            </w:r>
            <w:r>
              <w:rPr>
                <w:szCs w:val="21"/>
              </w:rPr>
              <w:t>建筑垃圾分类收集，可回收利用的外售相应收购商，不可回收部分由建设单位统一清运，至当地住建部门指定的建筑垃圾存放点位进行堆存。</w:t>
            </w:r>
          </w:p>
          <w:p>
            <w:pPr>
              <w:wordWrap w:val="0"/>
              <w:jc w:val="left"/>
              <w:rPr>
                <w:szCs w:val="21"/>
                <w:lang w:bidi="zh-CN"/>
              </w:rPr>
            </w:pPr>
            <w:r>
              <w:rPr>
                <w:rFonts w:ascii="宋体" w:hAnsi="宋体" w:cs="宋体"/>
                <w:szCs w:val="21"/>
                <w:lang w:bidi="zh-CN"/>
              </w:rPr>
              <w:t>②</w:t>
            </w:r>
            <w:r>
              <w:rPr>
                <w:szCs w:val="21"/>
                <w:lang w:bidi="zh-CN"/>
              </w:rPr>
              <w:t>施工人员生活垃圾通过垃圾桶收集，定期统一清运于统一的垃圾收集处置点进行处理。</w:t>
            </w:r>
          </w:p>
          <w:p>
            <w:pPr>
              <w:wordWrap w:val="0"/>
              <w:jc w:val="left"/>
              <w:rPr>
                <w:szCs w:val="21"/>
              </w:rPr>
            </w:pPr>
            <w:r>
              <w:rPr>
                <w:rFonts w:ascii="宋体" w:hAnsi="宋体" w:cs="宋体"/>
                <w:szCs w:val="21"/>
              </w:rPr>
              <w:t>③</w:t>
            </w:r>
            <w:r>
              <w:rPr>
                <w:rFonts w:hint="eastAsia" w:ascii="宋体" w:hAnsi="宋体" w:cs="宋体"/>
                <w:szCs w:val="21"/>
                <w:lang w:val="en-US" w:eastAsia="zh-CN"/>
              </w:rPr>
              <w:t>施工期</w:t>
            </w:r>
            <w:r>
              <w:rPr>
                <w:szCs w:val="21"/>
              </w:rPr>
              <w:t>开挖过程中无法及时回填的土石</w:t>
            </w:r>
            <w:r>
              <w:rPr>
                <w:rFonts w:hint="eastAsia" w:ascii="宋体" w:hAnsi="宋体" w:cs="宋体"/>
                <w:szCs w:val="21"/>
                <w:lang w:val="en-US" w:eastAsia="zh-CN"/>
              </w:rPr>
              <w:t>方及时运输至光伏区</w:t>
            </w:r>
            <w:r>
              <w:rPr>
                <w:szCs w:val="21"/>
              </w:rPr>
              <w:t>设置</w:t>
            </w:r>
            <w:r>
              <w:rPr>
                <w:rFonts w:hint="eastAsia"/>
                <w:szCs w:val="21"/>
                <w:lang w:eastAsia="zh-CN"/>
              </w:rPr>
              <w:t>的</w:t>
            </w:r>
            <w:r>
              <w:rPr>
                <w:szCs w:val="21"/>
              </w:rPr>
              <w:t>临时堆场暂存，在施工后期调入光伏场区、集电线路工程区作为覆土回填使用。</w:t>
            </w:r>
          </w:p>
        </w:tc>
        <w:tc>
          <w:tcPr>
            <w:tcW w:w="1276" w:type="dxa"/>
            <w:vAlign w:val="center"/>
          </w:tcPr>
          <w:p>
            <w:pPr>
              <w:wordWrap w:val="0"/>
              <w:adjustRightInd w:val="0"/>
              <w:snapToGrid w:val="0"/>
              <w:rPr>
                <w:szCs w:val="21"/>
              </w:rPr>
            </w:pPr>
            <w:r>
              <w:rPr>
                <w:szCs w:val="21"/>
              </w:rPr>
              <w:t>固废处置率100%</w:t>
            </w:r>
          </w:p>
        </w:tc>
        <w:tc>
          <w:tcPr>
            <w:tcW w:w="5811" w:type="dxa"/>
            <w:vAlign w:val="center"/>
          </w:tcPr>
          <w:p>
            <w:pPr>
              <w:wordWrap w:val="0"/>
              <w:jc w:val="left"/>
              <w:rPr>
                <w:rFonts w:hint="eastAsia" w:eastAsia="宋体"/>
                <w:szCs w:val="21"/>
                <w:lang w:eastAsia="zh-CN"/>
              </w:rPr>
            </w:pPr>
            <w:r>
              <w:rPr>
                <w:rFonts w:ascii="宋体" w:hAnsi="宋体" w:cs="宋体"/>
                <w:szCs w:val="21"/>
              </w:rPr>
              <w:t>①</w:t>
            </w:r>
            <w:r>
              <w:rPr>
                <w:rFonts w:ascii="Times New Roman" w:hAnsi="Times New Roman" w:eastAsia="宋体" w:cs="Times New Roman"/>
                <w:szCs w:val="21"/>
                <w:lang w:val="en-US"/>
              </w:rPr>
              <w:t>项目内的生活垃圾分类收集，存放于办公生活区的垃圾桶内，定期清运至当地生活垃圾收集点进行统一处理，不得随意丢弃、焚烧</w:t>
            </w:r>
            <w:r>
              <w:rPr>
                <w:rFonts w:hint="eastAsia" w:cs="Times New Roman"/>
                <w:szCs w:val="21"/>
                <w:lang w:val="en-US" w:eastAsia="zh-CN"/>
              </w:rPr>
              <w:t>。</w:t>
            </w:r>
          </w:p>
          <w:p>
            <w:pPr>
              <w:pStyle w:val="2"/>
              <w:rPr>
                <w:rFonts w:cs="Times New Roman"/>
              </w:rPr>
            </w:pPr>
            <w:r>
              <w:rPr>
                <w:rFonts w:ascii="宋体" w:hAnsi="宋体"/>
              </w:rPr>
              <w:t>②</w:t>
            </w:r>
            <w:r>
              <w:rPr>
                <w:rFonts w:ascii="Times New Roman" w:hAnsi="Times New Roman" w:eastAsia="宋体" w:cs="Times New Roman"/>
                <w:szCs w:val="21"/>
                <w:lang w:val="en-US"/>
              </w:rPr>
              <w:t>污水处理设施污泥委托周边农户进行清掏，堆肥处理之后，用于绿化地施肥使用。</w:t>
            </w:r>
          </w:p>
          <w:p>
            <w:pPr>
              <w:wordWrap w:val="0"/>
              <w:jc w:val="left"/>
              <w:rPr>
                <w:szCs w:val="21"/>
              </w:rPr>
            </w:pPr>
            <w:r>
              <w:rPr>
                <w:rFonts w:ascii="宋体" w:hAnsi="宋体" w:eastAsia="宋体" w:cs="宋体"/>
                <w:szCs w:val="21"/>
                <w:lang w:val="en-US"/>
              </w:rPr>
              <w:t>③</w:t>
            </w:r>
            <w:r>
              <w:rPr>
                <w:szCs w:val="21"/>
              </w:rPr>
              <w:t>在主变压器底部设有贮油坑，容积为主变压器油量的20﹪，坑底设有排油管，能将事故油及废水排至事故油池中。事故油池为地下箱型基础，采用C30钢筋混凝土浇筑，容积为50m</w:t>
            </w:r>
            <w:r>
              <w:rPr>
                <w:szCs w:val="21"/>
                <w:vertAlign w:val="superscript"/>
              </w:rPr>
              <w:t>3</w:t>
            </w:r>
            <w:r>
              <w:rPr>
                <w:szCs w:val="21"/>
              </w:rPr>
              <w:t>。</w:t>
            </w:r>
          </w:p>
          <w:p>
            <w:pPr>
              <w:wordWrap w:val="0"/>
              <w:jc w:val="left"/>
              <w:rPr>
                <w:szCs w:val="21"/>
                <w:lang w:bidi="zh-CN"/>
              </w:rPr>
            </w:pPr>
            <w:r>
              <w:rPr>
                <w:rFonts w:ascii="宋体" w:hAnsi="宋体" w:cs="宋体"/>
                <w:szCs w:val="21"/>
                <w:lang w:bidi="zh-CN"/>
              </w:rPr>
              <w:t>⑥</w:t>
            </w:r>
            <w:r>
              <w:rPr>
                <w:szCs w:val="21"/>
                <w:lang w:bidi="zh-CN"/>
              </w:rPr>
              <w:t>废弃变压器油由油桶收集之后，暂存于危废暂存间，交由持有相应有危废处理资质的单位处理。</w:t>
            </w:r>
          </w:p>
          <w:p>
            <w:pPr>
              <w:wordWrap w:val="0"/>
              <w:jc w:val="left"/>
              <w:rPr>
                <w:szCs w:val="21"/>
                <w:lang w:val="en-US"/>
              </w:rPr>
            </w:pPr>
            <w:r>
              <w:rPr>
                <w:szCs w:val="21"/>
                <w:lang w:val="en-US"/>
              </w:rPr>
              <w:t>④</w:t>
            </w:r>
            <w:r>
              <w:rPr>
                <w:szCs w:val="21"/>
              </w:rPr>
              <w:t>维修过程中产生的的废润滑油以及沾染矿物油的废弃包装物存于危废暂存间之内，委托有资质的单位处理</w:t>
            </w:r>
            <w:r>
              <w:rPr>
                <w:szCs w:val="21"/>
                <w:lang w:val="en-US"/>
              </w:rPr>
              <w:t>。</w:t>
            </w:r>
          </w:p>
          <w:p>
            <w:pPr>
              <w:wordWrap w:val="0"/>
              <w:jc w:val="left"/>
              <w:rPr>
                <w:szCs w:val="21"/>
                <w:lang w:bidi="zh-CN"/>
              </w:rPr>
            </w:pPr>
            <w:r>
              <w:rPr>
                <w:rFonts w:ascii="宋体" w:hAnsi="宋体" w:cs="宋体"/>
                <w:szCs w:val="21"/>
              </w:rPr>
              <w:t>⑤</w:t>
            </w:r>
            <w:r>
              <w:rPr>
                <w:rFonts w:ascii="宋体" w:hAnsi="宋体" w:cs="宋体"/>
                <w:szCs w:val="21"/>
                <w:lang w:bidi="zh-CN"/>
              </w:rPr>
              <w:t>设</w:t>
            </w:r>
            <w:r>
              <w:rPr>
                <w:szCs w:val="21"/>
                <w:lang w:bidi="zh-CN"/>
              </w:rPr>
              <w:t>置1间面积为16m</w:t>
            </w:r>
            <w:r>
              <w:rPr>
                <w:szCs w:val="21"/>
                <w:vertAlign w:val="superscript"/>
                <w:lang w:bidi="zh-CN"/>
              </w:rPr>
              <w:t>2</w:t>
            </w:r>
            <w:r>
              <w:rPr>
                <w:szCs w:val="21"/>
                <w:lang w:bidi="zh-CN"/>
              </w:rPr>
              <w:t>的危险废物暂存间，危废暂存间采用全封闭式，严格按照《危险废物贮存污染控制标准》（GB</w:t>
            </w:r>
            <w:r>
              <w:rPr>
                <w:rFonts w:hint="eastAsia"/>
                <w:szCs w:val="21"/>
                <w:lang w:bidi="zh-CN"/>
              </w:rPr>
              <w:t>*****</w:t>
            </w:r>
            <w:r>
              <w:rPr>
                <w:szCs w:val="21"/>
                <w:lang w:bidi="zh-CN"/>
              </w:rPr>
              <w:t>-2001）有关要求进行设计，基础必须进行防渗，能防风、防雨、防流失，并配设醒目的警示标识。</w:t>
            </w:r>
          </w:p>
          <w:p>
            <w:pPr>
              <w:wordWrap w:val="0"/>
              <w:jc w:val="left"/>
              <w:rPr>
                <w:szCs w:val="21"/>
              </w:rPr>
            </w:pPr>
            <w:r>
              <w:rPr>
                <w:rFonts w:ascii="宋体" w:hAnsi="宋体" w:cs="宋体"/>
                <w:szCs w:val="21"/>
              </w:rPr>
              <w:t>⑦</w:t>
            </w:r>
            <w:r>
              <w:rPr>
                <w:rFonts w:ascii="宋体" w:hAnsi="宋体" w:cs="宋体"/>
                <w:szCs w:val="21"/>
                <w:lang w:bidi="zh-CN"/>
              </w:rPr>
              <w:t>危</w:t>
            </w:r>
            <w:r>
              <w:rPr>
                <w:szCs w:val="21"/>
                <w:lang w:bidi="zh-CN"/>
              </w:rPr>
              <w:t>险废物定期委托具备相应危废处置资质的单位进行处置，其转移严格按照《危险废物转移联单管理办法》要求执行。配置人员对危险废物进行收集、暂存和保管。建立危险废物产生记录台账，定期检查自行贮存和处置的危险废物记录及相关证明材料，妥善保存危废转移联单及危废处置协议等相关资料。</w:t>
            </w:r>
          </w:p>
        </w:tc>
        <w:tc>
          <w:tcPr>
            <w:tcW w:w="1301" w:type="dxa"/>
            <w:vAlign w:val="center"/>
          </w:tcPr>
          <w:p>
            <w:pPr>
              <w:wordWrap w:val="0"/>
              <w:adjustRightInd w:val="0"/>
              <w:snapToGrid w:val="0"/>
              <w:rPr>
                <w:szCs w:val="21"/>
              </w:rPr>
            </w:pPr>
            <w:r>
              <w:rPr>
                <w:szCs w:val="21"/>
              </w:rPr>
              <w:t>固废处置率100%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68" w:type="dxa"/>
            <w:vAlign w:val="center"/>
          </w:tcPr>
          <w:p>
            <w:pPr>
              <w:wordWrap w:val="0"/>
              <w:adjustRightInd w:val="0"/>
              <w:snapToGrid w:val="0"/>
              <w:jc w:val="center"/>
              <w:rPr>
                <w:szCs w:val="21"/>
              </w:rPr>
            </w:pPr>
            <w:r>
              <w:rPr>
                <w:szCs w:val="21"/>
              </w:rPr>
              <w:t>电磁环境</w:t>
            </w:r>
          </w:p>
        </w:tc>
        <w:tc>
          <w:tcPr>
            <w:tcW w:w="5570" w:type="dxa"/>
            <w:vAlign w:val="center"/>
          </w:tcPr>
          <w:p>
            <w:pPr>
              <w:wordWrap w:val="0"/>
              <w:adjustRightInd w:val="0"/>
              <w:snapToGrid w:val="0"/>
              <w:rPr>
                <w:szCs w:val="21"/>
              </w:rPr>
            </w:pPr>
            <w:r>
              <w:rPr>
                <w:szCs w:val="21"/>
              </w:rPr>
              <w:t>/</w:t>
            </w:r>
          </w:p>
        </w:tc>
        <w:tc>
          <w:tcPr>
            <w:tcW w:w="1276" w:type="dxa"/>
            <w:vAlign w:val="center"/>
          </w:tcPr>
          <w:p>
            <w:pPr>
              <w:wordWrap w:val="0"/>
              <w:adjustRightInd w:val="0"/>
              <w:snapToGrid w:val="0"/>
              <w:rPr>
                <w:szCs w:val="21"/>
              </w:rPr>
            </w:pPr>
            <w:r>
              <w:rPr>
                <w:szCs w:val="21"/>
              </w:rPr>
              <w:t>/</w:t>
            </w:r>
          </w:p>
        </w:tc>
        <w:tc>
          <w:tcPr>
            <w:tcW w:w="5811" w:type="dxa"/>
            <w:vAlign w:val="center"/>
          </w:tcPr>
          <w:p>
            <w:pPr>
              <w:wordWrap w:val="0"/>
              <w:adjustRightInd w:val="0"/>
              <w:snapToGrid w:val="0"/>
              <w:rPr>
                <w:szCs w:val="21"/>
              </w:rPr>
            </w:pPr>
            <w:r>
              <w:rPr>
                <w:szCs w:val="21"/>
              </w:rPr>
              <w:t>避免或减少电晕放电；选用低辐射设备；合理设计并保证设备及配件加工精良；做好绝缘工作；避免因接触不良或表面锈蚀而产生的火花放电；升压站附近高压危险区域应设置相应的警告牌；</w:t>
            </w:r>
          </w:p>
        </w:tc>
        <w:tc>
          <w:tcPr>
            <w:tcW w:w="1301" w:type="dxa"/>
            <w:vAlign w:val="center"/>
          </w:tcPr>
          <w:p>
            <w:pPr>
              <w:wordWrap w:val="0"/>
              <w:adjustRightInd w:val="0"/>
              <w:snapToGrid w:val="0"/>
              <w:rPr>
                <w:szCs w:val="21"/>
              </w:rPr>
            </w:pPr>
            <w:r>
              <w:rPr>
                <w:szCs w:val="21"/>
              </w:rPr>
              <w:t>满足《电磁环境控制限值》（GB</w:t>
            </w:r>
            <w:r>
              <w:rPr>
                <w:rFonts w:hint="eastAsia"/>
                <w:szCs w:val="21"/>
                <w:lang w:eastAsia="zh-CN"/>
              </w:rPr>
              <w:t>****</w:t>
            </w:r>
            <w:r>
              <w:rPr>
                <w:szCs w:val="21"/>
              </w:rPr>
              <w:t>-2014）中标准要求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68" w:type="dxa"/>
            <w:vAlign w:val="center"/>
          </w:tcPr>
          <w:p>
            <w:pPr>
              <w:wordWrap w:val="0"/>
              <w:adjustRightInd w:val="0"/>
              <w:snapToGrid w:val="0"/>
              <w:jc w:val="center"/>
              <w:rPr>
                <w:szCs w:val="21"/>
              </w:rPr>
            </w:pPr>
            <w:r>
              <w:rPr>
                <w:szCs w:val="21"/>
              </w:rPr>
              <w:t>环境风险</w:t>
            </w:r>
          </w:p>
        </w:tc>
        <w:tc>
          <w:tcPr>
            <w:tcW w:w="5570" w:type="dxa"/>
            <w:vAlign w:val="center"/>
          </w:tcPr>
          <w:p>
            <w:pPr>
              <w:wordWrap w:val="0"/>
              <w:adjustRightInd w:val="0"/>
              <w:snapToGrid w:val="0"/>
              <w:rPr>
                <w:szCs w:val="21"/>
              </w:rPr>
            </w:pPr>
            <w:r>
              <w:rPr>
                <w:szCs w:val="21"/>
              </w:rPr>
              <w:t>/</w:t>
            </w:r>
          </w:p>
        </w:tc>
        <w:tc>
          <w:tcPr>
            <w:tcW w:w="1276" w:type="dxa"/>
            <w:vAlign w:val="center"/>
          </w:tcPr>
          <w:p>
            <w:pPr>
              <w:wordWrap w:val="0"/>
              <w:adjustRightInd w:val="0"/>
              <w:snapToGrid w:val="0"/>
              <w:rPr>
                <w:szCs w:val="21"/>
              </w:rPr>
            </w:pPr>
            <w:r>
              <w:rPr>
                <w:szCs w:val="21"/>
              </w:rPr>
              <w:t>/</w:t>
            </w:r>
          </w:p>
        </w:tc>
        <w:tc>
          <w:tcPr>
            <w:tcW w:w="5811" w:type="dxa"/>
            <w:vAlign w:val="center"/>
          </w:tcPr>
          <w:p>
            <w:pPr>
              <w:wordWrap w:val="0"/>
              <w:adjustRightInd w:val="0"/>
              <w:snapToGrid w:val="0"/>
              <w:rPr>
                <w:szCs w:val="21"/>
              </w:rPr>
            </w:pPr>
            <w:r>
              <w:rPr>
                <w:rFonts w:ascii="宋体" w:hAnsi="宋体" w:cs="宋体"/>
                <w:szCs w:val="21"/>
              </w:rPr>
              <w:t>①</w:t>
            </w:r>
            <w:r>
              <w:rPr>
                <w:szCs w:val="21"/>
              </w:rPr>
              <w:t>升压站内主变压器处设置1个事故油池，容积为50m</w:t>
            </w:r>
            <w:r>
              <w:rPr>
                <w:szCs w:val="21"/>
                <w:vertAlign w:val="superscript"/>
              </w:rPr>
              <w:t>3</w:t>
            </w:r>
            <w:r>
              <w:rPr>
                <w:szCs w:val="21"/>
              </w:rPr>
              <w:t>。</w:t>
            </w:r>
          </w:p>
          <w:p>
            <w:pPr>
              <w:wordWrap w:val="0"/>
              <w:adjustRightInd w:val="0"/>
              <w:snapToGrid w:val="0"/>
              <w:rPr>
                <w:szCs w:val="21"/>
              </w:rPr>
            </w:pPr>
            <w:r>
              <w:rPr>
                <w:rFonts w:ascii="宋体" w:hAnsi="宋体" w:cs="宋体"/>
                <w:szCs w:val="21"/>
              </w:rPr>
              <w:t>②</w:t>
            </w:r>
            <w:r>
              <w:rPr>
                <w:szCs w:val="21"/>
              </w:rPr>
              <w:t>严格做好分区防渗工程，施工期加强工程监理和环境监理。</w:t>
            </w:r>
          </w:p>
          <w:p>
            <w:pPr>
              <w:wordWrap w:val="0"/>
              <w:adjustRightInd w:val="0"/>
              <w:snapToGrid w:val="0"/>
              <w:rPr>
                <w:szCs w:val="21"/>
              </w:rPr>
            </w:pPr>
            <w:r>
              <w:rPr>
                <w:rFonts w:ascii="宋体" w:hAnsi="宋体" w:cs="宋体"/>
                <w:szCs w:val="21"/>
              </w:rPr>
              <w:t>③</w:t>
            </w:r>
            <w:r>
              <w:rPr>
                <w:szCs w:val="21"/>
              </w:rPr>
              <w:t>定期检查各储存设施，避免出现泄漏等不良情况。</w:t>
            </w:r>
          </w:p>
          <w:p>
            <w:pPr>
              <w:wordWrap w:val="0"/>
              <w:adjustRightInd w:val="0"/>
              <w:snapToGrid w:val="0"/>
              <w:rPr>
                <w:szCs w:val="21"/>
              </w:rPr>
            </w:pPr>
            <w:r>
              <w:rPr>
                <w:rFonts w:ascii="宋体" w:hAnsi="宋体" w:cs="宋体"/>
                <w:szCs w:val="21"/>
              </w:rPr>
              <w:t>④</w:t>
            </w:r>
            <w:r>
              <w:rPr>
                <w:szCs w:val="21"/>
              </w:rPr>
              <w:t>危险废物的贮存严格按照《危险废物贮存污染控制标准》（GB</w:t>
            </w:r>
            <w:r>
              <w:rPr>
                <w:rFonts w:hint="eastAsia"/>
                <w:szCs w:val="21"/>
                <w:lang w:eastAsia="zh-CN"/>
              </w:rPr>
              <w:t>*****</w:t>
            </w:r>
            <w:r>
              <w:rPr>
                <w:szCs w:val="21"/>
              </w:rPr>
              <w:t>-2001）及其2013修改单和《危险废物收集、贮存、运输技术规范》（HJ2025-2012）的相关要求执行。</w:t>
            </w:r>
          </w:p>
        </w:tc>
        <w:tc>
          <w:tcPr>
            <w:tcW w:w="1301" w:type="dxa"/>
            <w:vAlign w:val="center"/>
          </w:tcPr>
          <w:p>
            <w:pPr>
              <w:wordWrap w:val="0"/>
              <w:adjustRightInd w:val="0"/>
              <w:snapToGrid w:val="0"/>
              <w:rPr>
                <w:szCs w:val="21"/>
              </w:rPr>
            </w:pPr>
            <w:r>
              <w:rPr>
                <w:szCs w:val="21"/>
              </w:rPr>
              <w:t>主变压器事故情况下，油料不外泄。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768" w:type="dxa"/>
            <w:vAlign w:val="center"/>
          </w:tcPr>
          <w:p>
            <w:pPr>
              <w:wordWrap w:val="0"/>
              <w:adjustRightInd w:val="0"/>
              <w:snapToGrid w:val="0"/>
              <w:jc w:val="center"/>
              <w:rPr>
                <w:szCs w:val="21"/>
              </w:rPr>
            </w:pPr>
            <w:r>
              <w:rPr>
                <w:szCs w:val="21"/>
              </w:rPr>
              <w:t>环境监测</w:t>
            </w:r>
          </w:p>
        </w:tc>
        <w:tc>
          <w:tcPr>
            <w:tcW w:w="5570" w:type="dxa"/>
            <w:vAlign w:val="center"/>
          </w:tcPr>
          <w:p>
            <w:pPr>
              <w:wordWrap w:val="0"/>
              <w:adjustRightInd w:val="0"/>
              <w:snapToGrid w:val="0"/>
              <w:rPr>
                <w:szCs w:val="21"/>
              </w:rPr>
            </w:pPr>
            <w:r>
              <w:rPr>
                <w:szCs w:val="21"/>
              </w:rPr>
              <w:t>/</w:t>
            </w:r>
          </w:p>
        </w:tc>
        <w:tc>
          <w:tcPr>
            <w:tcW w:w="1276" w:type="dxa"/>
            <w:vAlign w:val="center"/>
          </w:tcPr>
          <w:p>
            <w:pPr>
              <w:wordWrap w:val="0"/>
              <w:adjustRightInd w:val="0"/>
              <w:snapToGrid w:val="0"/>
              <w:rPr>
                <w:szCs w:val="21"/>
              </w:rPr>
            </w:pPr>
          </w:p>
        </w:tc>
        <w:tc>
          <w:tcPr>
            <w:tcW w:w="5811" w:type="dxa"/>
            <w:vAlign w:val="center"/>
          </w:tcPr>
          <w:p>
            <w:pPr>
              <w:wordWrap w:val="0"/>
              <w:adjustRightInd w:val="0"/>
              <w:snapToGrid w:val="0"/>
              <w:rPr>
                <w:szCs w:val="21"/>
              </w:rPr>
            </w:pPr>
            <w:r>
              <w:rPr>
                <w:rFonts w:ascii="宋体" w:hAnsi="宋体" w:cs="宋体"/>
                <w:szCs w:val="21"/>
              </w:rPr>
              <w:t>①</w:t>
            </w:r>
            <w:r>
              <w:rPr>
                <w:szCs w:val="21"/>
              </w:rPr>
              <w:t>噪声</w:t>
            </w:r>
          </w:p>
          <w:p>
            <w:pPr>
              <w:wordWrap w:val="0"/>
              <w:adjustRightInd w:val="0"/>
              <w:snapToGrid w:val="0"/>
              <w:rPr>
                <w:szCs w:val="21"/>
              </w:rPr>
            </w:pPr>
            <w:r>
              <w:rPr>
                <w:szCs w:val="21"/>
              </w:rPr>
              <w:t>监测位置：升压站四周厂界外1m处</w:t>
            </w:r>
          </w:p>
          <w:p>
            <w:pPr>
              <w:wordWrap w:val="0"/>
              <w:adjustRightInd w:val="0"/>
              <w:snapToGrid w:val="0"/>
              <w:rPr>
                <w:szCs w:val="21"/>
              </w:rPr>
            </w:pPr>
            <w:r>
              <w:rPr>
                <w:szCs w:val="21"/>
              </w:rPr>
              <w:t>监测因子：Leq</w:t>
            </w:r>
          </w:p>
          <w:p>
            <w:pPr>
              <w:wordWrap w:val="0"/>
              <w:adjustRightInd w:val="0"/>
              <w:snapToGrid w:val="0"/>
              <w:rPr>
                <w:szCs w:val="21"/>
              </w:rPr>
            </w:pPr>
            <w:r>
              <w:rPr>
                <w:szCs w:val="21"/>
              </w:rPr>
              <w:t>监测频率：环保竣工验收时监测一次、其余每年监测一次，昼间夜间各一次</w:t>
            </w:r>
          </w:p>
          <w:p>
            <w:pPr>
              <w:wordWrap w:val="0"/>
              <w:adjustRightInd w:val="0"/>
              <w:snapToGrid w:val="0"/>
              <w:rPr>
                <w:szCs w:val="21"/>
              </w:rPr>
            </w:pPr>
            <w:r>
              <w:rPr>
                <w:rFonts w:ascii="宋体" w:hAnsi="宋体" w:cs="宋体"/>
                <w:szCs w:val="21"/>
              </w:rPr>
              <w:t>②</w:t>
            </w:r>
            <w:r>
              <w:rPr>
                <w:szCs w:val="21"/>
              </w:rPr>
              <w:t>电磁环境</w:t>
            </w:r>
          </w:p>
          <w:p>
            <w:pPr>
              <w:wordWrap w:val="0"/>
              <w:adjustRightInd w:val="0"/>
              <w:snapToGrid w:val="0"/>
              <w:rPr>
                <w:szCs w:val="21"/>
              </w:rPr>
            </w:pPr>
            <w:r>
              <w:rPr>
                <w:szCs w:val="21"/>
              </w:rPr>
              <w:t>监测位置：升压站四周厂界外5m</w:t>
            </w:r>
          </w:p>
          <w:p>
            <w:pPr>
              <w:wordWrap w:val="0"/>
              <w:adjustRightInd w:val="0"/>
              <w:snapToGrid w:val="0"/>
              <w:rPr>
                <w:szCs w:val="21"/>
              </w:rPr>
            </w:pPr>
            <w:r>
              <w:rPr>
                <w:szCs w:val="21"/>
              </w:rPr>
              <w:t>监测因子：工频电场强度（V/m）、工频磁感应强度（μT）</w:t>
            </w:r>
          </w:p>
          <w:p>
            <w:pPr>
              <w:wordWrap w:val="0"/>
              <w:adjustRightInd w:val="0"/>
              <w:snapToGrid w:val="0"/>
              <w:rPr>
                <w:szCs w:val="21"/>
              </w:rPr>
            </w:pPr>
            <w:r>
              <w:rPr>
                <w:szCs w:val="21"/>
              </w:rPr>
              <w:t>监测频率：环保竣工验收时监测一次其余每年监测一次</w:t>
            </w:r>
          </w:p>
          <w:p>
            <w:pPr>
              <w:wordWrap w:val="0"/>
              <w:adjustRightInd w:val="0"/>
              <w:snapToGrid w:val="0"/>
              <w:rPr>
                <w:szCs w:val="21"/>
              </w:rPr>
            </w:pPr>
            <w:r>
              <w:rPr>
                <w:rFonts w:ascii="宋体" w:hAnsi="宋体" w:cs="宋体"/>
                <w:szCs w:val="21"/>
              </w:rPr>
              <w:t>③</w:t>
            </w:r>
            <w:r>
              <w:rPr>
                <w:szCs w:val="21"/>
              </w:rPr>
              <w:t>废水</w:t>
            </w:r>
          </w:p>
          <w:p>
            <w:pPr>
              <w:wordWrap w:val="0"/>
              <w:adjustRightInd w:val="0"/>
              <w:snapToGrid w:val="0"/>
              <w:rPr>
                <w:szCs w:val="21"/>
              </w:rPr>
            </w:pPr>
            <w:r>
              <w:rPr>
                <w:szCs w:val="21"/>
              </w:rPr>
              <w:t>监测位置：污水收集池</w:t>
            </w:r>
          </w:p>
          <w:p>
            <w:pPr>
              <w:wordWrap w:val="0"/>
              <w:adjustRightInd w:val="0"/>
              <w:snapToGrid w:val="0"/>
              <w:rPr>
                <w:szCs w:val="21"/>
              </w:rPr>
            </w:pPr>
            <w:r>
              <w:rPr>
                <w:szCs w:val="21"/>
              </w:rPr>
              <w:t>监测因子：PH、CODcr、BOD</w:t>
            </w:r>
            <w:r>
              <w:rPr>
                <w:szCs w:val="21"/>
                <w:vertAlign w:val="subscript"/>
              </w:rPr>
              <w:t>5</w:t>
            </w:r>
            <w:r>
              <w:rPr>
                <w:szCs w:val="21"/>
              </w:rPr>
              <w:t>、SS、NH</w:t>
            </w:r>
            <w:r>
              <w:rPr>
                <w:szCs w:val="21"/>
                <w:vertAlign w:val="subscript"/>
              </w:rPr>
              <w:t>3</w:t>
            </w:r>
            <w:r>
              <w:rPr>
                <w:szCs w:val="21"/>
              </w:rPr>
              <w:t>-N、总磷、总氮、动植物油、粪大肠菌群、阴离子表面活性剂</w:t>
            </w:r>
          </w:p>
          <w:p>
            <w:pPr>
              <w:wordWrap w:val="0"/>
              <w:adjustRightInd w:val="0"/>
              <w:snapToGrid w:val="0"/>
              <w:rPr>
                <w:szCs w:val="21"/>
              </w:rPr>
            </w:pPr>
            <w:r>
              <w:rPr>
                <w:szCs w:val="21"/>
              </w:rPr>
              <w:t>监测频率：环保竣工验收时监测一次、其余每年监测一次</w:t>
            </w:r>
          </w:p>
        </w:tc>
        <w:tc>
          <w:tcPr>
            <w:tcW w:w="1301" w:type="dxa"/>
            <w:vAlign w:val="center"/>
          </w:tcPr>
          <w:p>
            <w:pPr>
              <w:wordWrap w:val="0"/>
              <w:adjustRightInd w:val="0"/>
              <w:snapToGrid w:val="0"/>
              <w:rPr>
                <w:szCs w:val="21"/>
              </w:rPr>
            </w:pPr>
            <w:r>
              <w:rPr>
                <w:szCs w:val="21"/>
              </w:rPr>
              <w:t>《工业企业厂界环境噪声排放标准》（GB</w:t>
            </w:r>
            <w:r>
              <w:rPr>
                <w:rFonts w:hint="eastAsia"/>
                <w:szCs w:val="21"/>
                <w:lang w:eastAsia="zh-CN"/>
              </w:rPr>
              <w:t>*****</w:t>
            </w:r>
            <w:r>
              <w:rPr>
                <w:szCs w:val="21"/>
              </w:rPr>
              <w:t>-2008）；</w:t>
            </w:r>
          </w:p>
          <w:p>
            <w:pPr>
              <w:wordWrap w:val="0"/>
              <w:adjustRightInd w:val="0"/>
              <w:snapToGrid w:val="0"/>
              <w:rPr>
                <w:szCs w:val="21"/>
              </w:rPr>
            </w:pPr>
            <w:r>
              <w:rPr>
                <w:szCs w:val="21"/>
              </w:rPr>
              <w:t>《电磁环境控制限值》(GB</w:t>
            </w:r>
            <w:r>
              <w:rPr>
                <w:rFonts w:hint="eastAsia"/>
                <w:szCs w:val="21"/>
                <w:lang w:eastAsia="zh-CN"/>
              </w:rPr>
              <w:t>****</w:t>
            </w:r>
            <w:r>
              <w:rPr>
                <w:szCs w:val="21"/>
              </w:rPr>
              <w:t>-2014)；</w:t>
            </w:r>
          </w:p>
          <w:p>
            <w:pPr>
              <w:wordWrap w:val="0"/>
              <w:adjustRightInd w:val="0"/>
              <w:snapToGrid w:val="0"/>
              <w:rPr>
                <w:szCs w:val="21"/>
              </w:rPr>
            </w:pPr>
            <w:r>
              <w:rPr>
                <w:szCs w:val="21"/>
              </w:rPr>
              <w:t>《城市污水再生利用城市杂用水水质》（GB/T</w:t>
            </w:r>
            <w:r>
              <w:rPr>
                <w:rFonts w:hint="eastAsia"/>
                <w:szCs w:val="21"/>
                <w:lang w:eastAsia="zh-CN"/>
              </w:rPr>
              <w:t>*****</w:t>
            </w:r>
            <w:r>
              <w:rPr>
                <w:szCs w:val="21"/>
              </w:rPr>
              <w:t>-2020）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8" w:type="dxa"/>
            <w:vAlign w:val="center"/>
          </w:tcPr>
          <w:p>
            <w:pPr>
              <w:wordWrap w:val="0"/>
              <w:adjustRightInd w:val="0"/>
              <w:snapToGrid w:val="0"/>
              <w:jc w:val="center"/>
              <w:rPr>
                <w:szCs w:val="21"/>
              </w:rPr>
            </w:pPr>
            <w:r>
              <w:rPr>
                <w:szCs w:val="21"/>
              </w:rPr>
              <w:t>其他</w:t>
            </w:r>
          </w:p>
        </w:tc>
        <w:tc>
          <w:tcPr>
            <w:tcW w:w="5570" w:type="dxa"/>
            <w:vAlign w:val="center"/>
          </w:tcPr>
          <w:p>
            <w:pPr>
              <w:wordWrap w:val="0"/>
              <w:adjustRightInd w:val="0"/>
              <w:snapToGrid w:val="0"/>
              <w:rPr>
                <w:szCs w:val="21"/>
              </w:rPr>
            </w:pPr>
            <w:r>
              <w:rPr>
                <w:szCs w:val="21"/>
              </w:rPr>
              <w:t>/</w:t>
            </w:r>
          </w:p>
        </w:tc>
        <w:tc>
          <w:tcPr>
            <w:tcW w:w="1276" w:type="dxa"/>
            <w:vAlign w:val="center"/>
          </w:tcPr>
          <w:p>
            <w:pPr>
              <w:wordWrap w:val="0"/>
              <w:adjustRightInd w:val="0"/>
              <w:snapToGrid w:val="0"/>
              <w:rPr>
                <w:szCs w:val="21"/>
              </w:rPr>
            </w:pPr>
            <w:r>
              <w:rPr>
                <w:szCs w:val="21"/>
              </w:rPr>
              <w:t>/</w:t>
            </w:r>
          </w:p>
        </w:tc>
        <w:tc>
          <w:tcPr>
            <w:tcW w:w="5811" w:type="dxa"/>
            <w:vAlign w:val="center"/>
          </w:tcPr>
          <w:p>
            <w:pPr>
              <w:wordWrap w:val="0"/>
              <w:adjustRightInd w:val="0"/>
              <w:snapToGrid w:val="0"/>
              <w:rPr>
                <w:szCs w:val="21"/>
              </w:rPr>
            </w:pPr>
            <w:r>
              <w:rPr>
                <w:szCs w:val="21"/>
              </w:rPr>
              <w:t>/</w:t>
            </w:r>
          </w:p>
        </w:tc>
        <w:tc>
          <w:tcPr>
            <w:tcW w:w="1301" w:type="dxa"/>
            <w:vAlign w:val="center"/>
          </w:tcPr>
          <w:p>
            <w:pPr>
              <w:wordWrap w:val="0"/>
              <w:adjustRightInd w:val="0"/>
              <w:snapToGrid w:val="0"/>
              <w:rPr>
                <w:szCs w:val="21"/>
              </w:rPr>
            </w:pPr>
            <w:r>
              <w:rPr>
                <w:szCs w:val="21"/>
              </w:rPr>
              <w:t>/</w:t>
            </w:r>
          </w:p>
        </w:tc>
      </w:tr>
    </w:tbl>
    <w:p>
      <w:pPr>
        <w:pStyle w:val="17"/>
        <w:spacing w:before="192" w:beforeLines="80" w:beforeAutospacing="0"/>
        <w:jc w:val="both"/>
        <w:outlineLvl w:val="0"/>
        <w:rPr>
          <w:rFonts w:ascii="Times New Roman" w:hAnsi="Times New Roman"/>
          <w:snapToGrid w:val="0"/>
          <w:sz w:val="30"/>
          <w:szCs w:val="30"/>
        </w:rPr>
        <w:sectPr>
          <w:pgSz w:w="16838" w:h="11906" w:orient="landscape"/>
          <w:pgMar w:top="1800" w:right="1440" w:bottom="1800" w:left="1440" w:header="851" w:footer="1077" w:gutter="0"/>
          <w:cols w:space="720" w:num="1"/>
          <w:docGrid w:linePitch="312" w:charSpace="0"/>
        </w:sectPr>
      </w:pPr>
    </w:p>
    <w:p>
      <w:pPr>
        <w:pStyle w:val="17"/>
        <w:spacing w:before="0" w:beforeAutospacing="0"/>
        <w:jc w:val="center"/>
        <w:outlineLvl w:val="0"/>
        <w:rPr>
          <w:rFonts w:ascii="Times New Roman" w:hAnsi="Times New Roman"/>
          <w:b/>
          <w:bCs/>
          <w:snapToGrid w:val="0"/>
          <w:sz w:val="30"/>
          <w:szCs w:val="30"/>
        </w:rPr>
      </w:pPr>
      <w:bookmarkStart w:id="36" w:name="_Toc15718"/>
      <w:r>
        <w:rPr>
          <w:rFonts w:ascii="Times New Roman" w:hAnsi="Times New Roman"/>
          <w:b/>
          <w:bCs/>
          <w:snapToGrid w:val="0"/>
          <w:sz w:val="30"/>
          <w:szCs w:val="30"/>
        </w:rPr>
        <w:t>七、结论</w:t>
      </w:r>
      <w:bookmarkEnd w:id="36"/>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vAlign w:val="top"/>
          </w:tcPr>
          <w:p>
            <w:pPr>
              <w:pStyle w:val="4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ascii="Times New Roman" w:hAnsi="Times New Roman" w:eastAsia="宋体" w:cs="Times New Roman"/>
                <w:b/>
                <w:sz w:val="24"/>
              </w:rPr>
            </w:pPr>
            <w:r>
              <w:rPr>
                <w:rFonts w:ascii="Times New Roman" w:hAnsi="Times New Roman" w:eastAsia="宋体" w:cs="Times New Roman"/>
                <w:b/>
                <w:sz w:val="24"/>
              </w:rPr>
              <w:t>1、评价结论</w:t>
            </w:r>
          </w:p>
          <w:p>
            <w:pPr>
              <w:pStyle w:val="4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本工程的建设具有良好的经济效益和社会效益，符合国家产业政策，符合电网发展规划。本项目设计规划合理、可行，项目建设在落实本报告表提出的各项环境保护和污染防治措施，实现“三同时”，加强施工期和营运期环境管理，确保不对环境保护目标产生影响的前提下，本项目的建设在环境上是可行的</w:t>
            </w:r>
            <w:r>
              <w:rPr>
                <w:rFonts w:ascii="Times New Roman" w:hAnsi="Times New Roman" w:eastAsia="宋体" w:cs="Times New Roman"/>
                <w:sz w:val="24"/>
              </w:rPr>
              <w:t>。</w:t>
            </w:r>
          </w:p>
          <w:p>
            <w:pPr>
              <w:pStyle w:val="4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ascii="Times New Roman" w:hAnsi="Times New Roman" w:eastAsia="宋体" w:cs="Times New Roman"/>
                <w:b/>
                <w:sz w:val="24"/>
              </w:rPr>
            </w:pPr>
            <w:r>
              <w:rPr>
                <w:rFonts w:ascii="Times New Roman" w:hAnsi="Times New Roman" w:eastAsia="宋体" w:cs="Times New Roman"/>
                <w:b/>
                <w:sz w:val="24"/>
              </w:rPr>
              <w:t>2、建议</w:t>
            </w:r>
          </w:p>
          <w:p>
            <w:pPr>
              <w:pStyle w:val="4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sz w:val="24"/>
              </w:rPr>
            </w:pPr>
            <w:r>
              <w:rPr>
                <w:rFonts w:ascii="Times New Roman" w:hAnsi="Times New Roman" w:eastAsia="宋体" w:cs="Times New Roman"/>
                <w:sz w:val="24"/>
              </w:rPr>
              <w:t>（1）环保设施与主体工程要求同时设计、同时施工、同时投产。</w:t>
            </w:r>
          </w:p>
          <w:p>
            <w:pPr>
              <w:pStyle w:val="4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sz w:val="24"/>
              </w:rPr>
            </w:pPr>
            <w:r>
              <w:rPr>
                <w:rFonts w:ascii="Times New Roman" w:hAnsi="Times New Roman" w:eastAsia="宋体" w:cs="Times New Roman"/>
                <w:sz w:val="24"/>
              </w:rPr>
              <w:t>（2）项目建设、运营期间应加强与周边敏感点居民的沟通交流工作，消除周围居民担忧。</w:t>
            </w:r>
          </w:p>
          <w:p>
            <w:pPr>
              <w:pStyle w:val="4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z w:val="24"/>
                <w:lang w:eastAsia="zh-CN"/>
              </w:rPr>
            </w:pPr>
            <w:r>
              <w:rPr>
                <w:rFonts w:ascii="Times New Roman" w:hAnsi="Times New Roman" w:eastAsia="宋体" w:cs="Times New Roman"/>
                <w:sz w:val="24"/>
              </w:rPr>
              <w:t>（3）加强企业环保管理力度，增加环保知识培训，提高员工环境保护意识</w:t>
            </w:r>
            <w:r>
              <w:rPr>
                <w:rFonts w:hint="eastAsia" w:ascii="Times New Roman" w:hAnsi="Times New Roman" w:eastAsia="宋体" w:cs="Times New Roman"/>
                <w:sz w:val="24"/>
                <w:lang w:eastAsia="zh-CN"/>
              </w:rPr>
              <w:t>。</w:t>
            </w:r>
          </w:p>
          <w:p>
            <w:pPr>
              <w:pStyle w:val="49"/>
              <w:spacing w:line="360" w:lineRule="auto"/>
              <w:jc w:val="both"/>
              <w:rPr>
                <w:rFonts w:ascii="Times New Roman" w:hAnsi="Times New Roman" w:eastAsia="宋体" w:cs="Times New Roman"/>
                <w:sz w:val="24"/>
              </w:rPr>
            </w:pPr>
          </w:p>
        </w:tc>
      </w:tr>
    </w:tbl>
    <w:p>
      <w:pPr>
        <w:adjustRightInd w:val="0"/>
        <w:snapToGrid w:val="0"/>
        <w:spacing w:before="192" w:beforeLines="80"/>
      </w:pPr>
    </w:p>
    <w:sectPr>
      <w:pgSz w:w="11906" w:h="16838"/>
      <w:pgMar w:top="1440" w:right="1800" w:bottom="1440" w:left="1800"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fldChar w:fldCharType="begin"/>
    </w:r>
    <w:r>
      <w:rPr>
        <w:rStyle w:val="23"/>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szCs w:val="20"/>
      </w:rPr>
      <w:t xml:space="preserve">  </w:t>
    </w:r>
    <w:r>
      <w:rPr>
        <w:rFonts w:ascii="宋体" w:hAnsi="宋体"/>
        <w:sz w:val="26"/>
        <w:szCs w:val="26"/>
      </w:rPr>
      <w:fldChar w:fldCharType="begin"/>
    </w:r>
    <w:r>
      <w:rPr>
        <w:rStyle w:val="23"/>
        <w:rFonts w:ascii="宋体" w:hAnsi="宋体"/>
        <w:sz w:val="26"/>
        <w:szCs w:val="26"/>
      </w:rPr>
      <w:instrText xml:space="preserve">PAGE  </w:instrText>
    </w:r>
    <w:r>
      <w:rPr>
        <w:rFonts w:ascii="宋体" w:hAnsi="宋体"/>
        <w:sz w:val="26"/>
        <w:szCs w:val="26"/>
      </w:rPr>
      <w:fldChar w:fldCharType="separate"/>
    </w:r>
    <w:r>
      <w:rPr>
        <w:rStyle w:val="23"/>
        <w:rFonts w:ascii="宋体" w:hAnsi="宋体"/>
        <w:sz w:val="26"/>
        <w:szCs w:val="26"/>
      </w:rPr>
      <w:t>37</w:t>
    </w:r>
    <w:r>
      <w:rPr>
        <w:rFonts w:ascii="宋体" w:hAnsi="宋体"/>
        <w:sz w:val="26"/>
        <w:szCs w:val="26"/>
      </w:rPr>
      <w:fldChar w:fldCharType="end"/>
    </w:r>
    <w:r>
      <w:rPr>
        <w:rStyle w:val="23"/>
        <w:rFonts w:hint="eastAsia" w:ascii="宋体" w:hAnsi="宋体"/>
        <w:sz w:val="20"/>
        <w:szCs w:val="20"/>
      </w:rPr>
      <w:t xml:space="preserve">  </w:t>
    </w:r>
    <w:r>
      <w:rPr>
        <w:rStyle w:val="23"/>
        <w:rFonts w:hint="eastAsia" w:ascii="宋体" w:hAnsi="宋体"/>
        <w:sz w:val="28"/>
        <w:szCs w:val="28"/>
      </w:rPr>
      <w:t>—</w:t>
    </w:r>
  </w:p>
  <w:p>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szCs w:val="20"/>
      </w:rPr>
      <w:t xml:space="preserve">  </w:t>
    </w:r>
    <w:r>
      <w:rPr>
        <w:rFonts w:ascii="宋体" w:hAnsi="宋体"/>
        <w:sz w:val="26"/>
        <w:szCs w:val="26"/>
      </w:rPr>
      <w:fldChar w:fldCharType="begin"/>
    </w:r>
    <w:r>
      <w:rPr>
        <w:rStyle w:val="23"/>
        <w:rFonts w:ascii="宋体" w:hAnsi="宋体"/>
        <w:sz w:val="26"/>
        <w:szCs w:val="26"/>
      </w:rPr>
      <w:instrText xml:space="preserve">PAGE  </w:instrText>
    </w:r>
    <w:r>
      <w:rPr>
        <w:rFonts w:ascii="宋体" w:hAnsi="宋体"/>
        <w:sz w:val="26"/>
        <w:szCs w:val="26"/>
      </w:rPr>
      <w:fldChar w:fldCharType="separate"/>
    </w:r>
    <w:r>
      <w:rPr>
        <w:rStyle w:val="23"/>
        <w:rFonts w:ascii="宋体" w:hAnsi="宋体"/>
        <w:sz w:val="26"/>
        <w:szCs w:val="26"/>
      </w:rPr>
      <w:t>78</w:t>
    </w:r>
    <w:r>
      <w:rPr>
        <w:rFonts w:ascii="宋体" w:hAnsi="宋体"/>
        <w:sz w:val="26"/>
        <w:szCs w:val="26"/>
      </w:rPr>
      <w:fldChar w:fldCharType="end"/>
    </w:r>
    <w:r>
      <w:rPr>
        <w:rStyle w:val="23"/>
        <w:rFonts w:hint="eastAsia" w:ascii="宋体" w:hAnsi="宋体"/>
        <w:sz w:val="20"/>
        <w:szCs w:val="20"/>
      </w:rPr>
      <w:t xml:space="preserve">  </w:t>
    </w:r>
    <w:r>
      <w:rPr>
        <w:rStyle w:val="23"/>
        <w:rFonts w:hint="eastAsia" w:ascii="宋体" w:hAnsi="宋体"/>
        <w:sz w:val="28"/>
        <w:szCs w:val="28"/>
      </w:rPr>
      <w:t>—</w:t>
    </w:r>
  </w:p>
  <w:p>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4782E"/>
    <w:multiLevelType w:val="multilevel"/>
    <w:tmpl w:val="0AE4782E"/>
    <w:lvl w:ilvl="0" w:tentative="0">
      <w:start w:val="1"/>
      <w:numFmt w:val="decimal"/>
      <w:lvlText w:val="%1"/>
      <w:lvlJc w:val="left"/>
      <w:pPr>
        <w:ind w:left="432" w:hanging="432"/>
      </w:pPr>
      <w:rPr>
        <w:rFonts w:hint="eastAsia"/>
      </w:rPr>
    </w:lvl>
    <w:lvl w:ilvl="1" w:tentative="0">
      <w:start w:val="1"/>
      <w:numFmt w:val="decimal"/>
      <w:pStyle w:val="4"/>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1dtoJF4217+I8Z2xKBfSkgwJFBw=" w:salt="tWQd0rnprJnYHFLdXImSag=="/>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M2VhNWI3Y2NlNTRmOTViMzQ3N2IwZDJiZGVlNWMifQ=="/>
  </w:docVars>
  <w:rsids>
    <w:rsidRoot w:val="00172A27"/>
    <w:rsid w:val="000000DB"/>
    <w:rsid w:val="00000167"/>
    <w:rsid w:val="000003A9"/>
    <w:rsid w:val="00000703"/>
    <w:rsid w:val="000015A2"/>
    <w:rsid w:val="00001CED"/>
    <w:rsid w:val="00001E67"/>
    <w:rsid w:val="00002CBE"/>
    <w:rsid w:val="00003CD8"/>
    <w:rsid w:val="000042CA"/>
    <w:rsid w:val="000048EE"/>
    <w:rsid w:val="00004B67"/>
    <w:rsid w:val="00005AC0"/>
    <w:rsid w:val="00005EF9"/>
    <w:rsid w:val="00006376"/>
    <w:rsid w:val="00007C2E"/>
    <w:rsid w:val="00007C4C"/>
    <w:rsid w:val="00007EFA"/>
    <w:rsid w:val="00010E43"/>
    <w:rsid w:val="00011A5D"/>
    <w:rsid w:val="000123F1"/>
    <w:rsid w:val="00012542"/>
    <w:rsid w:val="000126EE"/>
    <w:rsid w:val="000132EB"/>
    <w:rsid w:val="000137E7"/>
    <w:rsid w:val="00013C46"/>
    <w:rsid w:val="00014965"/>
    <w:rsid w:val="0001523A"/>
    <w:rsid w:val="0001567F"/>
    <w:rsid w:val="00015875"/>
    <w:rsid w:val="000168C2"/>
    <w:rsid w:val="00016ECB"/>
    <w:rsid w:val="0002017D"/>
    <w:rsid w:val="00020641"/>
    <w:rsid w:val="00020CAF"/>
    <w:rsid w:val="00021620"/>
    <w:rsid w:val="0002338D"/>
    <w:rsid w:val="00024EA8"/>
    <w:rsid w:val="000265B1"/>
    <w:rsid w:val="00026685"/>
    <w:rsid w:val="000269F6"/>
    <w:rsid w:val="000308E7"/>
    <w:rsid w:val="000310D0"/>
    <w:rsid w:val="00031939"/>
    <w:rsid w:val="00031BF0"/>
    <w:rsid w:val="00031E32"/>
    <w:rsid w:val="000325A1"/>
    <w:rsid w:val="00032B38"/>
    <w:rsid w:val="00032C69"/>
    <w:rsid w:val="00032D25"/>
    <w:rsid w:val="00033815"/>
    <w:rsid w:val="00033B7E"/>
    <w:rsid w:val="00033C39"/>
    <w:rsid w:val="00035B66"/>
    <w:rsid w:val="00035D08"/>
    <w:rsid w:val="00040D6B"/>
    <w:rsid w:val="000414D7"/>
    <w:rsid w:val="00041BE4"/>
    <w:rsid w:val="00042534"/>
    <w:rsid w:val="000440DC"/>
    <w:rsid w:val="00044107"/>
    <w:rsid w:val="00045A35"/>
    <w:rsid w:val="00050373"/>
    <w:rsid w:val="000505A5"/>
    <w:rsid w:val="0005219D"/>
    <w:rsid w:val="000522DA"/>
    <w:rsid w:val="00052A18"/>
    <w:rsid w:val="00052C85"/>
    <w:rsid w:val="00052F4B"/>
    <w:rsid w:val="00054303"/>
    <w:rsid w:val="00054F2A"/>
    <w:rsid w:val="000554F1"/>
    <w:rsid w:val="0005568F"/>
    <w:rsid w:val="000557B5"/>
    <w:rsid w:val="00055A56"/>
    <w:rsid w:val="0005619D"/>
    <w:rsid w:val="00056295"/>
    <w:rsid w:val="000563C9"/>
    <w:rsid w:val="000563F1"/>
    <w:rsid w:val="00057E07"/>
    <w:rsid w:val="000608EF"/>
    <w:rsid w:val="0006153D"/>
    <w:rsid w:val="00061B1F"/>
    <w:rsid w:val="00062548"/>
    <w:rsid w:val="00062655"/>
    <w:rsid w:val="000632F7"/>
    <w:rsid w:val="00063610"/>
    <w:rsid w:val="0006472B"/>
    <w:rsid w:val="000651EA"/>
    <w:rsid w:val="00065904"/>
    <w:rsid w:val="00065CB3"/>
    <w:rsid w:val="000664DB"/>
    <w:rsid w:val="0006679D"/>
    <w:rsid w:val="00067516"/>
    <w:rsid w:val="0007067D"/>
    <w:rsid w:val="000709F7"/>
    <w:rsid w:val="00070A1B"/>
    <w:rsid w:val="00070A61"/>
    <w:rsid w:val="0007127D"/>
    <w:rsid w:val="00071784"/>
    <w:rsid w:val="00071AE5"/>
    <w:rsid w:val="00073153"/>
    <w:rsid w:val="00074255"/>
    <w:rsid w:val="00074783"/>
    <w:rsid w:val="00074A1B"/>
    <w:rsid w:val="00075B9A"/>
    <w:rsid w:val="0007660A"/>
    <w:rsid w:val="00076AD4"/>
    <w:rsid w:val="00076F49"/>
    <w:rsid w:val="00077209"/>
    <w:rsid w:val="000801E0"/>
    <w:rsid w:val="000814FF"/>
    <w:rsid w:val="00081F51"/>
    <w:rsid w:val="00082A29"/>
    <w:rsid w:val="000830CE"/>
    <w:rsid w:val="0008331D"/>
    <w:rsid w:val="000837FF"/>
    <w:rsid w:val="00083C18"/>
    <w:rsid w:val="00083EC1"/>
    <w:rsid w:val="00085223"/>
    <w:rsid w:val="000864DE"/>
    <w:rsid w:val="0008690F"/>
    <w:rsid w:val="000870AC"/>
    <w:rsid w:val="00087A5D"/>
    <w:rsid w:val="00087F47"/>
    <w:rsid w:val="000900E8"/>
    <w:rsid w:val="00090EEF"/>
    <w:rsid w:val="00092899"/>
    <w:rsid w:val="00092973"/>
    <w:rsid w:val="00092A13"/>
    <w:rsid w:val="00092D2A"/>
    <w:rsid w:val="00093372"/>
    <w:rsid w:val="000933EB"/>
    <w:rsid w:val="00094F39"/>
    <w:rsid w:val="00097700"/>
    <w:rsid w:val="000A1215"/>
    <w:rsid w:val="000A13CB"/>
    <w:rsid w:val="000A1493"/>
    <w:rsid w:val="000A178E"/>
    <w:rsid w:val="000A1DB6"/>
    <w:rsid w:val="000A2A07"/>
    <w:rsid w:val="000A32DF"/>
    <w:rsid w:val="000A381C"/>
    <w:rsid w:val="000A40E6"/>
    <w:rsid w:val="000A4483"/>
    <w:rsid w:val="000A5447"/>
    <w:rsid w:val="000A557E"/>
    <w:rsid w:val="000A58B7"/>
    <w:rsid w:val="000A5B15"/>
    <w:rsid w:val="000A6103"/>
    <w:rsid w:val="000A7899"/>
    <w:rsid w:val="000B058F"/>
    <w:rsid w:val="000B099A"/>
    <w:rsid w:val="000B0D03"/>
    <w:rsid w:val="000B10C5"/>
    <w:rsid w:val="000B1661"/>
    <w:rsid w:val="000B2E86"/>
    <w:rsid w:val="000B36B1"/>
    <w:rsid w:val="000B3E39"/>
    <w:rsid w:val="000B4E2F"/>
    <w:rsid w:val="000B509B"/>
    <w:rsid w:val="000B58AE"/>
    <w:rsid w:val="000B5E03"/>
    <w:rsid w:val="000B62A9"/>
    <w:rsid w:val="000B693F"/>
    <w:rsid w:val="000B6AAC"/>
    <w:rsid w:val="000B7577"/>
    <w:rsid w:val="000C09AC"/>
    <w:rsid w:val="000C0A63"/>
    <w:rsid w:val="000C0A7C"/>
    <w:rsid w:val="000C0BE0"/>
    <w:rsid w:val="000C111C"/>
    <w:rsid w:val="000C1624"/>
    <w:rsid w:val="000C16B1"/>
    <w:rsid w:val="000C19C4"/>
    <w:rsid w:val="000C1E3E"/>
    <w:rsid w:val="000C437E"/>
    <w:rsid w:val="000C454C"/>
    <w:rsid w:val="000C4BF1"/>
    <w:rsid w:val="000C4DCF"/>
    <w:rsid w:val="000C619D"/>
    <w:rsid w:val="000C70F6"/>
    <w:rsid w:val="000C7504"/>
    <w:rsid w:val="000C7616"/>
    <w:rsid w:val="000C7A3B"/>
    <w:rsid w:val="000C7D85"/>
    <w:rsid w:val="000D03F4"/>
    <w:rsid w:val="000D045B"/>
    <w:rsid w:val="000D0C7A"/>
    <w:rsid w:val="000D2257"/>
    <w:rsid w:val="000D2699"/>
    <w:rsid w:val="000D292E"/>
    <w:rsid w:val="000D3BCD"/>
    <w:rsid w:val="000D4F6A"/>
    <w:rsid w:val="000D5493"/>
    <w:rsid w:val="000D54A1"/>
    <w:rsid w:val="000D706F"/>
    <w:rsid w:val="000D759B"/>
    <w:rsid w:val="000D7748"/>
    <w:rsid w:val="000E0C96"/>
    <w:rsid w:val="000E16C0"/>
    <w:rsid w:val="000E1799"/>
    <w:rsid w:val="000E1A00"/>
    <w:rsid w:val="000E1E45"/>
    <w:rsid w:val="000E1FEE"/>
    <w:rsid w:val="000E2C6B"/>
    <w:rsid w:val="000E309B"/>
    <w:rsid w:val="000E3C57"/>
    <w:rsid w:val="000E49CC"/>
    <w:rsid w:val="000E51E8"/>
    <w:rsid w:val="000E5F16"/>
    <w:rsid w:val="000E6E0A"/>
    <w:rsid w:val="000F0D22"/>
    <w:rsid w:val="000F0E38"/>
    <w:rsid w:val="000F1C53"/>
    <w:rsid w:val="000F38ED"/>
    <w:rsid w:val="000F4366"/>
    <w:rsid w:val="000F4452"/>
    <w:rsid w:val="000F4A0A"/>
    <w:rsid w:val="000F4B40"/>
    <w:rsid w:val="000F57B8"/>
    <w:rsid w:val="000F5A85"/>
    <w:rsid w:val="000F652F"/>
    <w:rsid w:val="000F6C20"/>
    <w:rsid w:val="000F6CC0"/>
    <w:rsid w:val="000F6DA1"/>
    <w:rsid w:val="000F701B"/>
    <w:rsid w:val="000F775B"/>
    <w:rsid w:val="000F77B4"/>
    <w:rsid w:val="00100DC8"/>
    <w:rsid w:val="00101E28"/>
    <w:rsid w:val="00102078"/>
    <w:rsid w:val="001039DE"/>
    <w:rsid w:val="00103C58"/>
    <w:rsid w:val="00104359"/>
    <w:rsid w:val="001045AF"/>
    <w:rsid w:val="001046A8"/>
    <w:rsid w:val="00104B4D"/>
    <w:rsid w:val="00105535"/>
    <w:rsid w:val="001056A0"/>
    <w:rsid w:val="00110269"/>
    <w:rsid w:val="001117DF"/>
    <w:rsid w:val="00111F7D"/>
    <w:rsid w:val="00112248"/>
    <w:rsid w:val="00112EFF"/>
    <w:rsid w:val="001142E9"/>
    <w:rsid w:val="0011452F"/>
    <w:rsid w:val="0011482F"/>
    <w:rsid w:val="00115279"/>
    <w:rsid w:val="001153D1"/>
    <w:rsid w:val="00115457"/>
    <w:rsid w:val="0011574D"/>
    <w:rsid w:val="0011684B"/>
    <w:rsid w:val="001170A4"/>
    <w:rsid w:val="00117459"/>
    <w:rsid w:val="0011749A"/>
    <w:rsid w:val="00117E29"/>
    <w:rsid w:val="00117FD1"/>
    <w:rsid w:val="00121005"/>
    <w:rsid w:val="00121497"/>
    <w:rsid w:val="00122ACA"/>
    <w:rsid w:val="0012334A"/>
    <w:rsid w:val="0012396D"/>
    <w:rsid w:val="00125721"/>
    <w:rsid w:val="001271A4"/>
    <w:rsid w:val="0012727D"/>
    <w:rsid w:val="00127A68"/>
    <w:rsid w:val="00127D9E"/>
    <w:rsid w:val="00130BB4"/>
    <w:rsid w:val="00131575"/>
    <w:rsid w:val="00133562"/>
    <w:rsid w:val="001341CE"/>
    <w:rsid w:val="00134D83"/>
    <w:rsid w:val="001353FE"/>
    <w:rsid w:val="00137488"/>
    <w:rsid w:val="0013767A"/>
    <w:rsid w:val="00140B13"/>
    <w:rsid w:val="0014117A"/>
    <w:rsid w:val="0014155A"/>
    <w:rsid w:val="00141B68"/>
    <w:rsid w:val="0014256D"/>
    <w:rsid w:val="0014300D"/>
    <w:rsid w:val="001443D8"/>
    <w:rsid w:val="0014464D"/>
    <w:rsid w:val="00145E68"/>
    <w:rsid w:val="001466DA"/>
    <w:rsid w:val="00146FE7"/>
    <w:rsid w:val="00150EE8"/>
    <w:rsid w:val="001527D4"/>
    <w:rsid w:val="00154DE1"/>
    <w:rsid w:val="001550EA"/>
    <w:rsid w:val="00155B40"/>
    <w:rsid w:val="0015640C"/>
    <w:rsid w:val="001566A1"/>
    <w:rsid w:val="00156704"/>
    <w:rsid w:val="001567B5"/>
    <w:rsid w:val="00157435"/>
    <w:rsid w:val="001577F4"/>
    <w:rsid w:val="00162056"/>
    <w:rsid w:val="00162968"/>
    <w:rsid w:val="0016311E"/>
    <w:rsid w:val="0016362D"/>
    <w:rsid w:val="00163EEA"/>
    <w:rsid w:val="001643D6"/>
    <w:rsid w:val="00164ABB"/>
    <w:rsid w:val="00164B99"/>
    <w:rsid w:val="001652B9"/>
    <w:rsid w:val="00165F98"/>
    <w:rsid w:val="0016611E"/>
    <w:rsid w:val="00166B78"/>
    <w:rsid w:val="0016799D"/>
    <w:rsid w:val="00167A07"/>
    <w:rsid w:val="0017003B"/>
    <w:rsid w:val="0017046A"/>
    <w:rsid w:val="001704A3"/>
    <w:rsid w:val="0017085B"/>
    <w:rsid w:val="00172A27"/>
    <w:rsid w:val="00173235"/>
    <w:rsid w:val="0017484B"/>
    <w:rsid w:val="0017504D"/>
    <w:rsid w:val="0017652C"/>
    <w:rsid w:val="00177422"/>
    <w:rsid w:val="001802DC"/>
    <w:rsid w:val="001812A5"/>
    <w:rsid w:val="00181376"/>
    <w:rsid w:val="001825EF"/>
    <w:rsid w:val="00183425"/>
    <w:rsid w:val="00183562"/>
    <w:rsid w:val="001848CE"/>
    <w:rsid w:val="00184F10"/>
    <w:rsid w:val="0018524C"/>
    <w:rsid w:val="00185546"/>
    <w:rsid w:val="00185DF0"/>
    <w:rsid w:val="001865B1"/>
    <w:rsid w:val="00187AC5"/>
    <w:rsid w:val="00187D8E"/>
    <w:rsid w:val="001900C0"/>
    <w:rsid w:val="0019146B"/>
    <w:rsid w:val="00191574"/>
    <w:rsid w:val="001917F2"/>
    <w:rsid w:val="001938E9"/>
    <w:rsid w:val="00194398"/>
    <w:rsid w:val="00194483"/>
    <w:rsid w:val="00194D98"/>
    <w:rsid w:val="001952D2"/>
    <w:rsid w:val="001A0031"/>
    <w:rsid w:val="001A1E26"/>
    <w:rsid w:val="001A35AC"/>
    <w:rsid w:val="001A3811"/>
    <w:rsid w:val="001A52A8"/>
    <w:rsid w:val="001A64AC"/>
    <w:rsid w:val="001A6AAF"/>
    <w:rsid w:val="001A7573"/>
    <w:rsid w:val="001A7D2A"/>
    <w:rsid w:val="001B127B"/>
    <w:rsid w:val="001B1EBE"/>
    <w:rsid w:val="001B1FC3"/>
    <w:rsid w:val="001B20D0"/>
    <w:rsid w:val="001B24CD"/>
    <w:rsid w:val="001B3688"/>
    <w:rsid w:val="001B485B"/>
    <w:rsid w:val="001B574C"/>
    <w:rsid w:val="001B6A8B"/>
    <w:rsid w:val="001B6B7D"/>
    <w:rsid w:val="001B6BBD"/>
    <w:rsid w:val="001C0AF9"/>
    <w:rsid w:val="001C0BEC"/>
    <w:rsid w:val="001C0F15"/>
    <w:rsid w:val="001C155A"/>
    <w:rsid w:val="001C1C23"/>
    <w:rsid w:val="001C372D"/>
    <w:rsid w:val="001C48C0"/>
    <w:rsid w:val="001C4E83"/>
    <w:rsid w:val="001C58F1"/>
    <w:rsid w:val="001C5C43"/>
    <w:rsid w:val="001C7EBB"/>
    <w:rsid w:val="001D0329"/>
    <w:rsid w:val="001D03B8"/>
    <w:rsid w:val="001D165D"/>
    <w:rsid w:val="001D2151"/>
    <w:rsid w:val="001D2798"/>
    <w:rsid w:val="001D29D9"/>
    <w:rsid w:val="001D2D14"/>
    <w:rsid w:val="001D3601"/>
    <w:rsid w:val="001D37CB"/>
    <w:rsid w:val="001D38F5"/>
    <w:rsid w:val="001D3C27"/>
    <w:rsid w:val="001D4395"/>
    <w:rsid w:val="001D5CA2"/>
    <w:rsid w:val="001D63F0"/>
    <w:rsid w:val="001D6726"/>
    <w:rsid w:val="001D6ED8"/>
    <w:rsid w:val="001D73B6"/>
    <w:rsid w:val="001D78E8"/>
    <w:rsid w:val="001D7A73"/>
    <w:rsid w:val="001D7FF9"/>
    <w:rsid w:val="001E35D0"/>
    <w:rsid w:val="001E671A"/>
    <w:rsid w:val="001F0750"/>
    <w:rsid w:val="001F0CB8"/>
    <w:rsid w:val="001F1934"/>
    <w:rsid w:val="001F1F97"/>
    <w:rsid w:val="001F2C6D"/>
    <w:rsid w:val="001F2C77"/>
    <w:rsid w:val="001F3347"/>
    <w:rsid w:val="001F3C1A"/>
    <w:rsid w:val="001F40B4"/>
    <w:rsid w:val="001F432F"/>
    <w:rsid w:val="001F4440"/>
    <w:rsid w:val="001F6400"/>
    <w:rsid w:val="001F69E4"/>
    <w:rsid w:val="001F6A1D"/>
    <w:rsid w:val="001F6EC6"/>
    <w:rsid w:val="001F7561"/>
    <w:rsid w:val="0020012A"/>
    <w:rsid w:val="00200D60"/>
    <w:rsid w:val="00201453"/>
    <w:rsid w:val="0020151D"/>
    <w:rsid w:val="00201D7F"/>
    <w:rsid w:val="002027F7"/>
    <w:rsid w:val="002047D1"/>
    <w:rsid w:val="002047F4"/>
    <w:rsid w:val="00205283"/>
    <w:rsid w:val="0020546B"/>
    <w:rsid w:val="00205997"/>
    <w:rsid w:val="00206A65"/>
    <w:rsid w:val="002074B3"/>
    <w:rsid w:val="00210DA2"/>
    <w:rsid w:val="00211915"/>
    <w:rsid w:val="00212846"/>
    <w:rsid w:val="00212D31"/>
    <w:rsid w:val="00212EA3"/>
    <w:rsid w:val="002130C7"/>
    <w:rsid w:val="0021316A"/>
    <w:rsid w:val="0021374D"/>
    <w:rsid w:val="00214EEB"/>
    <w:rsid w:val="00216BC0"/>
    <w:rsid w:val="00217DE1"/>
    <w:rsid w:val="00220823"/>
    <w:rsid w:val="0022137D"/>
    <w:rsid w:val="002218A8"/>
    <w:rsid w:val="0022306D"/>
    <w:rsid w:val="00223B97"/>
    <w:rsid w:val="00224D39"/>
    <w:rsid w:val="00226574"/>
    <w:rsid w:val="00226727"/>
    <w:rsid w:val="00227051"/>
    <w:rsid w:val="002278EC"/>
    <w:rsid w:val="002301A2"/>
    <w:rsid w:val="0023108A"/>
    <w:rsid w:val="0023134D"/>
    <w:rsid w:val="00231C43"/>
    <w:rsid w:val="00232469"/>
    <w:rsid w:val="00232519"/>
    <w:rsid w:val="0023287D"/>
    <w:rsid w:val="00233007"/>
    <w:rsid w:val="002334B6"/>
    <w:rsid w:val="00233A15"/>
    <w:rsid w:val="002348BD"/>
    <w:rsid w:val="00234ED6"/>
    <w:rsid w:val="002350EF"/>
    <w:rsid w:val="002354A0"/>
    <w:rsid w:val="00235612"/>
    <w:rsid w:val="002357C7"/>
    <w:rsid w:val="00235DCA"/>
    <w:rsid w:val="002360F6"/>
    <w:rsid w:val="002361ED"/>
    <w:rsid w:val="002367C4"/>
    <w:rsid w:val="00237BEF"/>
    <w:rsid w:val="00240088"/>
    <w:rsid w:val="00240460"/>
    <w:rsid w:val="002404B0"/>
    <w:rsid w:val="00241106"/>
    <w:rsid w:val="00241B11"/>
    <w:rsid w:val="00241CFF"/>
    <w:rsid w:val="0024293C"/>
    <w:rsid w:val="00244E23"/>
    <w:rsid w:val="0024521D"/>
    <w:rsid w:val="0024544B"/>
    <w:rsid w:val="00245CF5"/>
    <w:rsid w:val="00250201"/>
    <w:rsid w:val="00250523"/>
    <w:rsid w:val="00250F77"/>
    <w:rsid w:val="00251088"/>
    <w:rsid w:val="0025417C"/>
    <w:rsid w:val="00254AD4"/>
    <w:rsid w:val="00254AF6"/>
    <w:rsid w:val="00254ED8"/>
    <w:rsid w:val="0025532C"/>
    <w:rsid w:val="0025570A"/>
    <w:rsid w:val="00256774"/>
    <w:rsid w:val="0025679E"/>
    <w:rsid w:val="00256E2C"/>
    <w:rsid w:val="002573BC"/>
    <w:rsid w:val="00257CE0"/>
    <w:rsid w:val="00260C68"/>
    <w:rsid w:val="002610DB"/>
    <w:rsid w:val="00262196"/>
    <w:rsid w:val="002630E5"/>
    <w:rsid w:val="002648B0"/>
    <w:rsid w:val="00264FEB"/>
    <w:rsid w:val="00265054"/>
    <w:rsid w:val="0026510F"/>
    <w:rsid w:val="00265898"/>
    <w:rsid w:val="00265D2E"/>
    <w:rsid w:val="002667A9"/>
    <w:rsid w:val="00267793"/>
    <w:rsid w:val="002679C4"/>
    <w:rsid w:val="00270877"/>
    <w:rsid w:val="00270929"/>
    <w:rsid w:val="00270A96"/>
    <w:rsid w:val="00272549"/>
    <w:rsid w:val="00275271"/>
    <w:rsid w:val="0027535E"/>
    <w:rsid w:val="00275AA6"/>
    <w:rsid w:val="0027697F"/>
    <w:rsid w:val="00276E33"/>
    <w:rsid w:val="002807D5"/>
    <w:rsid w:val="00281407"/>
    <w:rsid w:val="002825E8"/>
    <w:rsid w:val="00282CCD"/>
    <w:rsid w:val="0028347A"/>
    <w:rsid w:val="00283716"/>
    <w:rsid w:val="00284960"/>
    <w:rsid w:val="00284B31"/>
    <w:rsid w:val="002855C5"/>
    <w:rsid w:val="00290CE8"/>
    <w:rsid w:val="002919DE"/>
    <w:rsid w:val="002929B4"/>
    <w:rsid w:val="002936E0"/>
    <w:rsid w:val="00293740"/>
    <w:rsid w:val="0029403B"/>
    <w:rsid w:val="0029462D"/>
    <w:rsid w:val="00294AEF"/>
    <w:rsid w:val="00295231"/>
    <w:rsid w:val="00295370"/>
    <w:rsid w:val="00296CA7"/>
    <w:rsid w:val="00297279"/>
    <w:rsid w:val="002A03E9"/>
    <w:rsid w:val="002A168C"/>
    <w:rsid w:val="002A1A63"/>
    <w:rsid w:val="002A2C48"/>
    <w:rsid w:val="002A2F3E"/>
    <w:rsid w:val="002A3EED"/>
    <w:rsid w:val="002A4152"/>
    <w:rsid w:val="002A4A39"/>
    <w:rsid w:val="002A4A57"/>
    <w:rsid w:val="002A53E4"/>
    <w:rsid w:val="002A5A17"/>
    <w:rsid w:val="002A5E41"/>
    <w:rsid w:val="002A6425"/>
    <w:rsid w:val="002A676D"/>
    <w:rsid w:val="002A6DA6"/>
    <w:rsid w:val="002A73B8"/>
    <w:rsid w:val="002A7AA7"/>
    <w:rsid w:val="002A7E3F"/>
    <w:rsid w:val="002B05E0"/>
    <w:rsid w:val="002B0821"/>
    <w:rsid w:val="002B0F5D"/>
    <w:rsid w:val="002B1775"/>
    <w:rsid w:val="002B2383"/>
    <w:rsid w:val="002B30B9"/>
    <w:rsid w:val="002B46ED"/>
    <w:rsid w:val="002B49E2"/>
    <w:rsid w:val="002B6323"/>
    <w:rsid w:val="002B6819"/>
    <w:rsid w:val="002B6A04"/>
    <w:rsid w:val="002B7B00"/>
    <w:rsid w:val="002B7C44"/>
    <w:rsid w:val="002C053C"/>
    <w:rsid w:val="002C066A"/>
    <w:rsid w:val="002C07CE"/>
    <w:rsid w:val="002C1388"/>
    <w:rsid w:val="002C29E9"/>
    <w:rsid w:val="002C355B"/>
    <w:rsid w:val="002C3996"/>
    <w:rsid w:val="002C3B66"/>
    <w:rsid w:val="002C3C6A"/>
    <w:rsid w:val="002C5EAD"/>
    <w:rsid w:val="002C6186"/>
    <w:rsid w:val="002D009D"/>
    <w:rsid w:val="002D18E8"/>
    <w:rsid w:val="002D3578"/>
    <w:rsid w:val="002D3CE6"/>
    <w:rsid w:val="002D42DB"/>
    <w:rsid w:val="002D4FD9"/>
    <w:rsid w:val="002D5503"/>
    <w:rsid w:val="002D62C1"/>
    <w:rsid w:val="002D6950"/>
    <w:rsid w:val="002D731D"/>
    <w:rsid w:val="002D7E75"/>
    <w:rsid w:val="002E0135"/>
    <w:rsid w:val="002E0757"/>
    <w:rsid w:val="002E0ACB"/>
    <w:rsid w:val="002E0C79"/>
    <w:rsid w:val="002E1B6B"/>
    <w:rsid w:val="002E1BE2"/>
    <w:rsid w:val="002E1F3A"/>
    <w:rsid w:val="002E27B3"/>
    <w:rsid w:val="002E281B"/>
    <w:rsid w:val="002E298A"/>
    <w:rsid w:val="002E3016"/>
    <w:rsid w:val="002E509F"/>
    <w:rsid w:val="002E510F"/>
    <w:rsid w:val="002E546A"/>
    <w:rsid w:val="002E57BD"/>
    <w:rsid w:val="002E5B85"/>
    <w:rsid w:val="002E61A2"/>
    <w:rsid w:val="002E653C"/>
    <w:rsid w:val="002E6E8C"/>
    <w:rsid w:val="002E75E2"/>
    <w:rsid w:val="002E7766"/>
    <w:rsid w:val="002E7A53"/>
    <w:rsid w:val="002F02A4"/>
    <w:rsid w:val="002F04CA"/>
    <w:rsid w:val="002F07EC"/>
    <w:rsid w:val="002F14A6"/>
    <w:rsid w:val="002F16AD"/>
    <w:rsid w:val="002F272B"/>
    <w:rsid w:val="002F2E43"/>
    <w:rsid w:val="002F3887"/>
    <w:rsid w:val="002F3905"/>
    <w:rsid w:val="002F435E"/>
    <w:rsid w:val="002F6EA3"/>
    <w:rsid w:val="002F7131"/>
    <w:rsid w:val="002F7526"/>
    <w:rsid w:val="002F7684"/>
    <w:rsid w:val="002F7C6D"/>
    <w:rsid w:val="00300527"/>
    <w:rsid w:val="00300773"/>
    <w:rsid w:val="00301634"/>
    <w:rsid w:val="003027E4"/>
    <w:rsid w:val="00303289"/>
    <w:rsid w:val="0030332C"/>
    <w:rsid w:val="0030338D"/>
    <w:rsid w:val="00303878"/>
    <w:rsid w:val="003038EB"/>
    <w:rsid w:val="00304A52"/>
    <w:rsid w:val="003071B1"/>
    <w:rsid w:val="00307BDA"/>
    <w:rsid w:val="00310602"/>
    <w:rsid w:val="00310AA2"/>
    <w:rsid w:val="00310EBA"/>
    <w:rsid w:val="00311976"/>
    <w:rsid w:val="00311B63"/>
    <w:rsid w:val="00312156"/>
    <w:rsid w:val="00312296"/>
    <w:rsid w:val="00312E49"/>
    <w:rsid w:val="0031340E"/>
    <w:rsid w:val="003134A3"/>
    <w:rsid w:val="00313B06"/>
    <w:rsid w:val="00313BC4"/>
    <w:rsid w:val="00313F31"/>
    <w:rsid w:val="003140EA"/>
    <w:rsid w:val="00315628"/>
    <w:rsid w:val="00315824"/>
    <w:rsid w:val="00316464"/>
    <w:rsid w:val="00316747"/>
    <w:rsid w:val="0032073A"/>
    <w:rsid w:val="00321D8E"/>
    <w:rsid w:val="003223BD"/>
    <w:rsid w:val="003227FB"/>
    <w:rsid w:val="003232CB"/>
    <w:rsid w:val="00324E78"/>
    <w:rsid w:val="00324FFF"/>
    <w:rsid w:val="003268FF"/>
    <w:rsid w:val="0032757C"/>
    <w:rsid w:val="00327CB1"/>
    <w:rsid w:val="00330205"/>
    <w:rsid w:val="00332623"/>
    <w:rsid w:val="003347FB"/>
    <w:rsid w:val="0033491D"/>
    <w:rsid w:val="00334996"/>
    <w:rsid w:val="00334A6B"/>
    <w:rsid w:val="003358D6"/>
    <w:rsid w:val="00335D83"/>
    <w:rsid w:val="0033666C"/>
    <w:rsid w:val="00336969"/>
    <w:rsid w:val="00336C52"/>
    <w:rsid w:val="00337065"/>
    <w:rsid w:val="003372FA"/>
    <w:rsid w:val="003375F5"/>
    <w:rsid w:val="00337935"/>
    <w:rsid w:val="003401A5"/>
    <w:rsid w:val="003409E7"/>
    <w:rsid w:val="00340B05"/>
    <w:rsid w:val="00341867"/>
    <w:rsid w:val="00341B3E"/>
    <w:rsid w:val="00341B42"/>
    <w:rsid w:val="00341FAD"/>
    <w:rsid w:val="00344178"/>
    <w:rsid w:val="00345154"/>
    <w:rsid w:val="0034552F"/>
    <w:rsid w:val="0034560E"/>
    <w:rsid w:val="00347604"/>
    <w:rsid w:val="00347E34"/>
    <w:rsid w:val="0035048D"/>
    <w:rsid w:val="00350523"/>
    <w:rsid w:val="0035054B"/>
    <w:rsid w:val="0035180D"/>
    <w:rsid w:val="0035180F"/>
    <w:rsid w:val="0035193D"/>
    <w:rsid w:val="00352975"/>
    <w:rsid w:val="00354D2F"/>
    <w:rsid w:val="00356868"/>
    <w:rsid w:val="00360233"/>
    <w:rsid w:val="00360F4D"/>
    <w:rsid w:val="003616C6"/>
    <w:rsid w:val="00361CC8"/>
    <w:rsid w:val="00362F3F"/>
    <w:rsid w:val="00363421"/>
    <w:rsid w:val="00363F6E"/>
    <w:rsid w:val="00364474"/>
    <w:rsid w:val="00364721"/>
    <w:rsid w:val="0036482D"/>
    <w:rsid w:val="0036485B"/>
    <w:rsid w:val="00364EC1"/>
    <w:rsid w:val="00365670"/>
    <w:rsid w:val="00365ADE"/>
    <w:rsid w:val="00365E64"/>
    <w:rsid w:val="00366069"/>
    <w:rsid w:val="003669AE"/>
    <w:rsid w:val="003671A7"/>
    <w:rsid w:val="00367674"/>
    <w:rsid w:val="00367678"/>
    <w:rsid w:val="00370619"/>
    <w:rsid w:val="00370AD5"/>
    <w:rsid w:val="00371CFE"/>
    <w:rsid w:val="00371FFC"/>
    <w:rsid w:val="003721C9"/>
    <w:rsid w:val="00372DA9"/>
    <w:rsid w:val="00373134"/>
    <w:rsid w:val="0037388E"/>
    <w:rsid w:val="00373973"/>
    <w:rsid w:val="00373B0D"/>
    <w:rsid w:val="00373C6F"/>
    <w:rsid w:val="003741BA"/>
    <w:rsid w:val="003744B9"/>
    <w:rsid w:val="003752B5"/>
    <w:rsid w:val="003753DE"/>
    <w:rsid w:val="00376273"/>
    <w:rsid w:val="0037650F"/>
    <w:rsid w:val="003767DC"/>
    <w:rsid w:val="00376988"/>
    <w:rsid w:val="00376990"/>
    <w:rsid w:val="00376E7B"/>
    <w:rsid w:val="0037709D"/>
    <w:rsid w:val="003771E3"/>
    <w:rsid w:val="003779A9"/>
    <w:rsid w:val="00377D87"/>
    <w:rsid w:val="00380244"/>
    <w:rsid w:val="00380510"/>
    <w:rsid w:val="00380F90"/>
    <w:rsid w:val="003817CB"/>
    <w:rsid w:val="00381A72"/>
    <w:rsid w:val="0038228C"/>
    <w:rsid w:val="00382827"/>
    <w:rsid w:val="00383490"/>
    <w:rsid w:val="00384712"/>
    <w:rsid w:val="00384E9C"/>
    <w:rsid w:val="00386838"/>
    <w:rsid w:val="00386C46"/>
    <w:rsid w:val="00387A02"/>
    <w:rsid w:val="00387DDF"/>
    <w:rsid w:val="00387EB5"/>
    <w:rsid w:val="003905A6"/>
    <w:rsid w:val="00390C1F"/>
    <w:rsid w:val="00390D10"/>
    <w:rsid w:val="00390F60"/>
    <w:rsid w:val="003913B5"/>
    <w:rsid w:val="00391E60"/>
    <w:rsid w:val="0039260D"/>
    <w:rsid w:val="00393009"/>
    <w:rsid w:val="003931FE"/>
    <w:rsid w:val="00394533"/>
    <w:rsid w:val="00395086"/>
    <w:rsid w:val="00396C06"/>
    <w:rsid w:val="003A0DB3"/>
    <w:rsid w:val="003A0E3B"/>
    <w:rsid w:val="003A17C5"/>
    <w:rsid w:val="003A1948"/>
    <w:rsid w:val="003A1952"/>
    <w:rsid w:val="003A3478"/>
    <w:rsid w:val="003A3B82"/>
    <w:rsid w:val="003A3D4F"/>
    <w:rsid w:val="003A4157"/>
    <w:rsid w:val="003A4CD2"/>
    <w:rsid w:val="003A4E58"/>
    <w:rsid w:val="003A6031"/>
    <w:rsid w:val="003A658C"/>
    <w:rsid w:val="003B03CA"/>
    <w:rsid w:val="003B152A"/>
    <w:rsid w:val="003B2040"/>
    <w:rsid w:val="003B23FE"/>
    <w:rsid w:val="003B2F37"/>
    <w:rsid w:val="003B4151"/>
    <w:rsid w:val="003B41DE"/>
    <w:rsid w:val="003B5272"/>
    <w:rsid w:val="003B545B"/>
    <w:rsid w:val="003B608D"/>
    <w:rsid w:val="003B7FB1"/>
    <w:rsid w:val="003C113A"/>
    <w:rsid w:val="003C182D"/>
    <w:rsid w:val="003C1877"/>
    <w:rsid w:val="003C1C85"/>
    <w:rsid w:val="003C3F53"/>
    <w:rsid w:val="003C4BB0"/>
    <w:rsid w:val="003C65B2"/>
    <w:rsid w:val="003C74D7"/>
    <w:rsid w:val="003C7D47"/>
    <w:rsid w:val="003D04ED"/>
    <w:rsid w:val="003D10B4"/>
    <w:rsid w:val="003D1E46"/>
    <w:rsid w:val="003D2DF3"/>
    <w:rsid w:val="003D3EE9"/>
    <w:rsid w:val="003D4825"/>
    <w:rsid w:val="003D533D"/>
    <w:rsid w:val="003D5BEB"/>
    <w:rsid w:val="003D685D"/>
    <w:rsid w:val="003D7182"/>
    <w:rsid w:val="003D7D54"/>
    <w:rsid w:val="003E0F1A"/>
    <w:rsid w:val="003E1279"/>
    <w:rsid w:val="003E15EC"/>
    <w:rsid w:val="003E20C3"/>
    <w:rsid w:val="003E2948"/>
    <w:rsid w:val="003E2EE0"/>
    <w:rsid w:val="003E4B40"/>
    <w:rsid w:val="003E66C9"/>
    <w:rsid w:val="003E68F7"/>
    <w:rsid w:val="003E6A11"/>
    <w:rsid w:val="003E70AE"/>
    <w:rsid w:val="003E7166"/>
    <w:rsid w:val="003E7253"/>
    <w:rsid w:val="003E7681"/>
    <w:rsid w:val="003E7EC4"/>
    <w:rsid w:val="003F02C7"/>
    <w:rsid w:val="003F0809"/>
    <w:rsid w:val="003F09FE"/>
    <w:rsid w:val="003F0B69"/>
    <w:rsid w:val="003F0C4F"/>
    <w:rsid w:val="003F0E27"/>
    <w:rsid w:val="003F19D9"/>
    <w:rsid w:val="003F250C"/>
    <w:rsid w:val="003F26C7"/>
    <w:rsid w:val="003F282C"/>
    <w:rsid w:val="003F3060"/>
    <w:rsid w:val="003F324F"/>
    <w:rsid w:val="003F48CF"/>
    <w:rsid w:val="003F611C"/>
    <w:rsid w:val="003F615A"/>
    <w:rsid w:val="003F702D"/>
    <w:rsid w:val="003F755C"/>
    <w:rsid w:val="004001F1"/>
    <w:rsid w:val="00400282"/>
    <w:rsid w:val="00400611"/>
    <w:rsid w:val="004008DE"/>
    <w:rsid w:val="004010C8"/>
    <w:rsid w:val="0040352E"/>
    <w:rsid w:val="004035EB"/>
    <w:rsid w:val="00403CE4"/>
    <w:rsid w:val="00403E5E"/>
    <w:rsid w:val="00403F9F"/>
    <w:rsid w:val="00404E82"/>
    <w:rsid w:val="00404EFE"/>
    <w:rsid w:val="00405808"/>
    <w:rsid w:val="00406F01"/>
    <w:rsid w:val="00407CDD"/>
    <w:rsid w:val="004102B4"/>
    <w:rsid w:val="00410880"/>
    <w:rsid w:val="00411B36"/>
    <w:rsid w:val="00412007"/>
    <w:rsid w:val="004121D7"/>
    <w:rsid w:val="00416B0A"/>
    <w:rsid w:val="00416C30"/>
    <w:rsid w:val="00416D2A"/>
    <w:rsid w:val="00416D50"/>
    <w:rsid w:val="004173DF"/>
    <w:rsid w:val="00417772"/>
    <w:rsid w:val="00417EF3"/>
    <w:rsid w:val="00420E1E"/>
    <w:rsid w:val="00420E6A"/>
    <w:rsid w:val="004247C9"/>
    <w:rsid w:val="00427698"/>
    <w:rsid w:val="00430383"/>
    <w:rsid w:val="00430565"/>
    <w:rsid w:val="0043059B"/>
    <w:rsid w:val="00430D12"/>
    <w:rsid w:val="00430E6C"/>
    <w:rsid w:val="00431A34"/>
    <w:rsid w:val="004338C8"/>
    <w:rsid w:val="00433CA9"/>
    <w:rsid w:val="0043521D"/>
    <w:rsid w:val="00436576"/>
    <w:rsid w:val="00436AB8"/>
    <w:rsid w:val="00437303"/>
    <w:rsid w:val="0043755A"/>
    <w:rsid w:val="00437686"/>
    <w:rsid w:val="004409AA"/>
    <w:rsid w:val="00442024"/>
    <w:rsid w:val="0044239B"/>
    <w:rsid w:val="0044254C"/>
    <w:rsid w:val="00442804"/>
    <w:rsid w:val="00443F6A"/>
    <w:rsid w:val="0044436B"/>
    <w:rsid w:val="004448F3"/>
    <w:rsid w:val="00444C86"/>
    <w:rsid w:val="00444D39"/>
    <w:rsid w:val="00445452"/>
    <w:rsid w:val="00445631"/>
    <w:rsid w:val="004468F0"/>
    <w:rsid w:val="00446E2A"/>
    <w:rsid w:val="004477E2"/>
    <w:rsid w:val="00447A8C"/>
    <w:rsid w:val="0045015B"/>
    <w:rsid w:val="00450A17"/>
    <w:rsid w:val="004515A6"/>
    <w:rsid w:val="004529CA"/>
    <w:rsid w:val="004533D4"/>
    <w:rsid w:val="00453B97"/>
    <w:rsid w:val="0045455A"/>
    <w:rsid w:val="00455977"/>
    <w:rsid w:val="00456479"/>
    <w:rsid w:val="0045662D"/>
    <w:rsid w:val="004574F6"/>
    <w:rsid w:val="004607FD"/>
    <w:rsid w:val="00460820"/>
    <w:rsid w:val="004612CE"/>
    <w:rsid w:val="0046155F"/>
    <w:rsid w:val="00461E60"/>
    <w:rsid w:val="00462023"/>
    <w:rsid w:val="0046206F"/>
    <w:rsid w:val="004629EA"/>
    <w:rsid w:val="004633DE"/>
    <w:rsid w:val="00463BAB"/>
    <w:rsid w:val="004640B8"/>
    <w:rsid w:val="004648D6"/>
    <w:rsid w:val="00465202"/>
    <w:rsid w:val="00465301"/>
    <w:rsid w:val="004662AA"/>
    <w:rsid w:val="00466321"/>
    <w:rsid w:val="004672AF"/>
    <w:rsid w:val="00467658"/>
    <w:rsid w:val="00467973"/>
    <w:rsid w:val="00467C01"/>
    <w:rsid w:val="004710CB"/>
    <w:rsid w:val="00471F18"/>
    <w:rsid w:val="004727B0"/>
    <w:rsid w:val="00473D10"/>
    <w:rsid w:val="0047408F"/>
    <w:rsid w:val="00474B41"/>
    <w:rsid w:val="00474C36"/>
    <w:rsid w:val="0047572F"/>
    <w:rsid w:val="0047654A"/>
    <w:rsid w:val="00476A53"/>
    <w:rsid w:val="00476CB2"/>
    <w:rsid w:val="00480247"/>
    <w:rsid w:val="0048081D"/>
    <w:rsid w:val="0048117E"/>
    <w:rsid w:val="00481F55"/>
    <w:rsid w:val="0048323F"/>
    <w:rsid w:val="0048397D"/>
    <w:rsid w:val="00485291"/>
    <w:rsid w:val="004855F6"/>
    <w:rsid w:val="0048669D"/>
    <w:rsid w:val="00486AE7"/>
    <w:rsid w:val="00486F0C"/>
    <w:rsid w:val="00490810"/>
    <w:rsid w:val="004919A4"/>
    <w:rsid w:val="00491A63"/>
    <w:rsid w:val="00492954"/>
    <w:rsid w:val="004945B3"/>
    <w:rsid w:val="00494670"/>
    <w:rsid w:val="004947BE"/>
    <w:rsid w:val="004949E2"/>
    <w:rsid w:val="00495E5E"/>
    <w:rsid w:val="004971A4"/>
    <w:rsid w:val="0049733B"/>
    <w:rsid w:val="00497A8E"/>
    <w:rsid w:val="004A08D0"/>
    <w:rsid w:val="004A0EB4"/>
    <w:rsid w:val="004A10E6"/>
    <w:rsid w:val="004A19BF"/>
    <w:rsid w:val="004A19E8"/>
    <w:rsid w:val="004A2CAF"/>
    <w:rsid w:val="004A2F58"/>
    <w:rsid w:val="004A35D3"/>
    <w:rsid w:val="004A361A"/>
    <w:rsid w:val="004A36CA"/>
    <w:rsid w:val="004A3823"/>
    <w:rsid w:val="004A400C"/>
    <w:rsid w:val="004A4E38"/>
    <w:rsid w:val="004A59BB"/>
    <w:rsid w:val="004A689E"/>
    <w:rsid w:val="004B1BBB"/>
    <w:rsid w:val="004B1F90"/>
    <w:rsid w:val="004B2A94"/>
    <w:rsid w:val="004B2C79"/>
    <w:rsid w:val="004B2D52"/>
    <w:rsid w:val="004B43A3"/>
    <w:rsid w:val="004B4C49"/>
    <w:rsid w:val="004B4E4F"/>
    <w:rsid w:val="004B55D9"/>
    <w:rsid w:val="004B58A5"/>
    <w:rsid w:val="004B63D9"/>
    <w:rsid w:val="004C002F"/>
    <w:rsid w:val="004C03EF"/>
    <w:rsid w:val="004C0882"/>
    <w:rsid w:val="004C1292"/>
    <w:rsid w:val="004C2A78"/>
    <w:rsid w:val="004C343D"/>
    <w:rsid w:val="004C3732"/>
    <w:rsid w:val="004C4524"/>
    <w:rsid w:val="004C4554"/>
    <w:rsid w:val="004C4A33"/>
    <w:rsid w:val="004C55BE"/>
    <w:rsid w:val="004C5972"/>
    <w:rsid w:val="004C66A4"/>
    <w:rsid w:val="004C693A"/>
    <w:rsid w:val="004C6CB5"/>
    <w:rsid w:val="004C795C"/>
    <w:rsid w:val="004D078D"/>
    <w:rsid w:val="004D1094"/>
    <w:rsid w:val="004D2C6C"/>
    <w:rsid w:val="004D2E6D"/>
    <w:rsid w:val="004D4713"/>
    <w:rsid w:val="004D4BDF"/>
    <w:rsid w:val="004D643D"/>
    <w:rsid w:val="004D7F5E"/>
    <w:rsid w:val="004E107F"/>
    <w:rsid w:val="004E169D"/>
    <w:rsid w:val="004E1889"/>
    <w:rsid w:val="004E1D02"/>
    <w:rsid w:val="004E2ACA"/>
    <w:rsid w:val="004E2BE2"/>
    <w:rsid w:val="004E3843"/>
    <w:rsid w:val="004E411F"/>
    <w:rsid w:val="004E4BB5"/>
    <w:rsid w:val="004E5B30"/>
    <w:rsid w:val="004E6777"/>
    <w:rsid w:val="004E7103"/>
    <w:rsid w:val="004F06FB"/>
    <w:rsid w:val="004F0779"/>
    <w:rsid w:val="004F0EE8"/>
    <w:rsid w:val="004F1230"/>
    <w:rsid w:val="004F16D8"/>
    <w:rsid w:val="004F173F"/>
    <w:rsid w:val="004F177C"/>
    <w:rsid w:val="004F2031"/>
    <w:rsid w:val="004F21AA"/>
    <w:rsid w:val="004F259D"/>
    <w:rsid w:val="004F2DCE"/>
    <w:rsid w:val="004F318F"/>
    <w:rsid w:val="004F350E"/>
    <w:rsid w:val="004F38F3"/>
    <w:rsid w:val="004F3DBD"/>
    <w:rsid w:val="004F402E"/>
    <w:rsid w:val="004F406C"/>
    <w:rsid w:val="004F5288"/>
    <w:rsid w:val="004F63F5"/>
    <w:rsid w:val="004F6BA5"/>
    <w:rsid w:val="004F7251"/>
    <w:rsid w:val="004F7B54"/>
    <w:rsid w:val="005001AC"/>
    <w:rsid w:val="005020CE"/>
    <w:rsid w:val="005039CB"/>
    <w:rsid w:val="00503FEE"/>
    <w:rsid w:val="00504CC4"/>
    <w:rsid w:val="00504F45"/>
    <w:rsid w:val="0050558F"/>
    <w:rsid w:val="005057E0"/>
    <w:rsid w:val="00505A8D"/>
    <w:rsid w:val="00506286"/>
    <w:rsid w:val="0050628D"/>
    <w:rsid w:val="005069F2"/>
    <w:rsid w:val="0050702E"/>
    <w:rsid w:val="005073C9"/>
    <w:rsid w:val="00507A93"/>
    <w:rsid w:val="00507E80"/>
    <w:rsid w:val="00510813"/>
    <w:rsid w:val="00511BCF"/>
    <w:rsid w:val="00511DE0"/>
    <w:rsid w:val="005124E8"/>
    <w:rsid w:val="00512859"/>
    <w:rsid w:val="005132CC"/>
    <w:rsid w:val="00513D8E"/>
    <w:rsid w:val="00515794"/>
    <w:rsid w:val="005171E9"/>
    <w:rsid w:val="00517F02"/>
    <w:rsid w:val="00520BCE"/>
    <w:rsid w:val="00520F35"/>
    <w:rsid w:val="005222EA"/>
    <w:rsid w:val="005225E2"/>
    <w:rsid w:val="00523E26"/>
    <w:rsid w:val="00524547"/>
    <w:rsid w:val="0052547D"/>
    <w:rsid w:val="005258A2"/>
    <w:rsid w:val="00525B95"/>
    <w:rsid w:val="005270E4"/>
    <w:rsid w:val="005300FF"/>
    <w:rsid w:val="00530662"/>
    <w:rsid w:val="00530F7C"/>
    <w:rsid w:val="00532200"/>
    <w:rsid w:val="00532A59"/>
    <w:rsid w:val="00532AA7"/>
    <w:rsid w:val="00532BD6"/>
    <w:rsid w:val="0053417A"/>
    <w:rsid w:val="00534567"/>
    <w:rsid w:val="00534F43"/>
    <w:rsid w:val="00535A84"/>
    <w:rsid w:val="005367AF"/>
    <w:rsid w:val="00536889"/>
    <w:rsid w:val="005377BF"/>
    <w:rsid w:val="005378DB"/>
    <w:rsid w:val="00537C28"/>
    <w:rsid w:val="00540E8B"/>
    <w:rsid w:val="00541005"/>
    <w:rsid w:val="0054158B"/>
    <w:rsid w:val="005420EB"/>
    <w:rsid w:val="00542E07"/>
    <w:rsid w:val="0054484D"/>
    <w:rsid w:val="0054518E"/>
    <w:rsid w:val="00546E66"/>
    <w:rsid w:val="00550B99"/>
    <w:rsid w:val="0055211A"/>
    <w:rsid w:val="00553A5A"/>
    <w:rsid w:val="00554849"/>
    <w:rsid w:val="00554908"/>
    <w:rsid w:val="00554A7B"/>
    <w:rsid w:val="0055522B"/>
    <w:rsid w:val="005556D7"/>
    <w:rsid w:val="0055572C"/>
    <w:rsid w:val="00556086"/>
    <w:rsid w:val="00560241"/>
    <w:rsid w:val="0056064F"/>
    <w:rsid w:val="00560F30"/>
    <w:rsid w:val="005610FA"/>
    <w:rsid w:val="0056115E"/>
    <w:rsid w:val="00561B84"/>
    <w:rsid w:val="00562553"/>
    <w:rsid w:val="005636A4"/>
    <w:rsid w:val="0056375B"/>
    <w:rsid w:val="00564B43"/>
    <w:rsid w:val="00564EFD"/>
    <w:rsid w:val="005655C8"/>
    <w:rsid w:val="00565851"/>
    <w:rsid w:val="0056595B"/>
    <w:rsid w:val="00566B4B"/>
    <w:rsid w:val="00567C76"/>
    <w:rsid w:val="005709CD"/>
    <w:rsid w:val="00570A10"/>
    <w:rsid w:val="005710FD"/>
    <w:rsid w:val="00571D98"/>
    <w:rsid w:val="005720AE"/>
    <w:rsid w:val="005736DA"/>
    <w:rsid w:val="005736DC"/>
    <w:rsid w:val="00573C7B"/>
    <w:rsid w:val="00573DD2"/>
    <w:rsid w:val="00573FCC"/>
    <w:rsid w:val="00574933"/>
    <w:rsid w:val="00574A04"/>
    <w:rsid w:val="0057552B"/>
    <w:rsid w:val="00577628"/>
    <w:rsid w:val="00580058"/>
    <w:rsid w:val="0058030D"/>
    <w:rsid w:val="00580515"/>
    <w:rsid w:val="0058064C"/>
    <w:rsid w:val="0058076B"/>
    <w:rsid w:val="005809B7"/>
    <w:rsid w:val="00582045"/>
    <w:rsid w:val="0058526D"/>
    <w:rsid w:val="00585282"/>
    <w:rsid w:val="00585F26"/>
    <w:rsid w:val="00585F97"/>
    <w:rsid w:val="0058606D"/>
    <w:rsid w:val="00587F5C"/>
    <w:rsid w:val="00590623"/>
    <w:rsid w:val="00590772"/>
    <w:rsid w:val="00590AE3"/>
    <w:rsid w:val="005918F1"/>
    <w:rsid w:val="00591F70"/>
    <w:rsid w:val="005926B0"/>
    <w:rsid w:val="00593AA9"/>
    <w:rsid w:val="00593C9D"/>
    <w:rsid w:val="00594A9E"/>
    <w:rsid w:val="00594E33"/>
    <w:rsid w:val="00595048"/>
    <w:rsid w:val="005962EE"/>
    <w:rsid w:val="00596F75"/>
    <w:rsid w:val="005A06B7"/>
    <w:rsid w:val="005A0AB2"/>
    <w:rsid w:val="005A1759"/>
    <w:rsid w:val="005A21C1"/>
    <w:rsid w:val="005A2F86"/>
    <w:rsid w:val="005A344A"/>
    <w:rsid w:val="005A4BE0"/>
    <w:rsid w:val="005A62B5"/>
    <w:rsid w:val="005B0202"/>
    <w:rsid w:val="005B0787"/>
    <w:rsid w:val="005B0A0B"/>
    <w:rsid w:val="005B25EE"/>
    <w:rsid w:val="005B390F"/>
    <w:rsid w:val="005B3A08"/>
    <w:rsid w:val="005B3DF0"/>
    <w:rsid w:val="005B69E5"/>
    <w:rsid w:val="005B6A2F"/>
    <w:rsid w:val="005C0C8B"/>
    <w:rsid w:val="005C129C"/>
    <w:rsid w:val="005C1C96"/>
    <w:rsid w:val="005C2490"/>
    <w:rsid w:val="005C26D3"/>
    <w:rsid w:val="005C2738"/>
    <w:rsid w:val="005C2B4E"/>
    <w:rsid w:val="005C3519"/>
    <w:rsid w:val="005C4169"/>
    <w:rsid w:val="005C515C"/>
    <w:rsid w:val="005C5519"/>
    <w:rsid w:val="005C5966"/>
    <w:rsid w:val="005C6648"/>
    <w:rsid w:val="005C6DDE"/>
    <w:rsid w:val="005D0369"/>
    <w:rsid w:val="005D17C6"/>
    <w:rsid w:val="005D1A90"/>
    <w:rsid w:val="005D1CBB"/>
    <w:rsid w:val="005D401B"/>
    <w:rsid w:val="005D41FB"/>
    <w:rsid w:val="005D4596"/>
    <w:rsid w:val="005D51B7"/>
    <w:rsid w:val="005D5285"/>
    <w:rsid w:val="005D53FE"/>
    <w:rsid w:val="005D7A0F"/>
    <w:rsid w:val="005E0438"/>
    <w:rsid w:val="005E12E0"/>
    <w:rsid w:val="005E1791"/>
    <w:rsid w:val="005E29CC"/>
    <w:rsid w:val="005E2CE6"/>
    <w:rsid w:val="005E3D5C"/>
    <w:rsid w:val="005E3DF4"/>
    <w:rsid w:val="005E4309"/>
    <w:rsid w:val="005E5F42"/>
    <w:rsid w:val="005E6324"/>
    <w:rsid w:val="005E7A4E"/>
    <w:rsid w:val="005F192C"/>
    <w:rsid w:val="005F20C5"/>
    <w:rsid w:val="005F228B"/>
    <w:rsid w:val="005F29CD"/>
    <w:rsid w:val="005F2F25"/>
    <w:rsid w:val="005F36D0"/>
    <w:rsid w:val="005F3911"/>
    <w:rsid w:val="005F4565"/>
    <w:rsid w:val="005F4644"/>
    <w:rsid w:val="005F4DFB"/>
    <w:rsid w:val="005F524D"/>
    <w:rsid w:val="005F5308"/>
    <w:rsid w:val="005F5467"/>
    <w:rsid w:val="005F65EA"/>
    <w:rsid w:val="005F6CC0"/>
    <w:rsid w:val="005F70B3"/>
    <w:rsid w:val="005F785B"/>
    <w:rsid w:val="005F7A6E"/>
    <w:rsid w:val="00600727"/>
    <w:rsid w:val="00600876"/>
    <w:rsid w:val="006021CC"/>
    <w:rsid w:val="00603AAD"/>
    <w:rsid w:val="00603E5B"/>
    <w:rsid w:val="00604515"/>
    <w:rsid w:val="00604BC8"/>
    <w:rsid w:val="006058FF"/>
    <w:rsid w:val="00606997"/>
    <w:rsid w:val="00606A75"/>
    <w:rsid w:val="00606E1E"/>
    <w:rsid w:val="00606FDE"/>
    <w:rsid w:val="0060750C"/>
    <w:rsid w:val="0060769D"/>
    <w:rsid w:val="00610C1F"/>
    <w:rsid w:val="00611B0D"/>
    <w:rsid w:val="00613CA8"/>
    <w:rsid w:val="00613F07"/>
    <w:rsid w:val="00614709"/>
    <w:rsid w:val="006148FC"/>
    <w:rsid w:val="00614AC3"/>
    <w:rsid w:val="00614E97"/>
    <w:rsid w:val="006152F9"/>
    <w:rsid w:val="00615882"/>
    <w:rsid w:val="00615B4C"/>
    <w:rsid w:val="00615B5D"/>
    <w:rsid w:val="0061641B"/>
    <w:rsid w:val="0061766B"/>
    <w:rsid w:val="0061799C"/>
    <w:rsid w:val="00620B59"/>
    <w:rsid w:val="006212F9"/>
    <w:rsid w:val="0062146F"/>
    <w:rsid w:val="00621D51"/>
    <w:rsid w:val="00624C31"/>
    <w:rsid w:val="00626261"/>
    <w:rsid w:val="006271CF"/>
    <w:rsid w:val="006308D6"/>
    <w:rsid w:val="00631BFE"/>
    <w:rsid w:val="0063251A"/>
    <w:rsid w:val="0063341F"/>
    <w:rsid w:val="00633AFA"/>
    <w:rsid w:val="006343AF"/>
    <w:rsid w:val="00634863"/>
    <w:rsid w:val="0063581C"/>
    <w:rsid w:val="00635B62"/>
    <w:rsid w:val="00636006"/>
    <w:rsid w:val="00636238"/>
    <w:rsid w:val="0063634A"/>
    <w:rsid w:val="00636B89"/>
    <w:rsid w:val="00637A8B"/>
    <w:rsid w:val="00637C8E"/>
    <w:rsid w:val="00641E97"/>
    <w:rsid w:val="0064250D"/>
    <w:rsid w:val="006425CC"/>
    <w:rsid w:val="006438F5"/>
    <w:rsid w:val="00643CB4"/>
    <w:rsid w:val="00644ABB"/>
    <w:rsid w:val="00646483"/>
    <w:rsid w:val="00646A01"/>
    <w:rsid w:val="00647308"/>
    <w:rsid w:val="0065008B"/>
    <w:rsid w:val="0065134A"/>
    <w:rsid w:val="00651851"/>
    <w:rsid w:val="006528F0"/>
    <w:rsid w:val="00652F20"/>
    <w:rsid w:val="006530DE"/>
    <w:rsid w:val="006533FF"/>
    <w:rsid w:val="006535EB"/>
    <w:rsid w:val="00653798"/>
    <w:rsid w:val="00653F95"/>
    <w:rsid w:val="0065460A"/>
    <w:rsid w:val="006552B9"/>
    <w:rsid w:val="00655D1F"/>
    <w:rsid w:val="00656BAA"/>
    <w:rsid w:val="0066215A"/>
    <w:rsid w:val="00662245"/>
    <w:rsid w:val="00663016"/>
    <w:rsid w:val="00664031"/>
    <w:rsid w:val="00664237"/>
    <w:rsid w:val="006648D5"/>
    <w:rsid w:val="00665533"/>
    <w:rsid w:val="00666E94"/>
    <w:rsid w:val="00666F69"/>
    <w:rsid w:val="00666FBF"/>
    <w:rsid w:val="006701C4"/>
    <w:rsid w:val="0067137B"/>
    <w:rsid w:val="00671B6F"/>
    <w:rsid w:val="00671CE6"/>
    <w:rsid w:val="00671E5C"/>
    <w:rsid w:val="00671F37"/>
    <w:rsid w:val="006729E9"/>
    <w:rsid w:val="00672A47"/>
    <w:rsid w:val="006740AC"/>
    <w:rsid w:val="00674605"/>
    <w:rsid w:val="006748B8"/>
    <w:rsid w:val="006766DF"/>
    <w:rsid w:val="006774B9"/>
    <w:rsid w:val="00677CF9"/>
    <w:rsid w:val="00680FAD"/>
    <w:rsid w:val="00681412"/>
    <w:rsid w:val="006818BB"/>
    <w:rsid w:val="00681B99"/>
    <w:rsid w:val="00683AA2"/>
    <w:rsid w:val="00683CBA"/>
    <w:rsid w:val="00683F43"/>
    <w:rsid w:val="00684C5D"/>
    <w:rsid w:val="0068535B"/>
    <w:rsid w:val="00685466"/>
    <w:rsid w:val="00685785"/>
    <w:rsid w:val="00685EB8"/>
    <w:rsid w:val="0068736E"/>
    <w:rsid w:val="006878B8"/>
    <w:rsid w:val="00687918"/>
    <w:rsid w:val="00690195"/>
    <w:rsid w:val="00691555"/>
    <w:rsid w:val="00691E95"/>
    <w:rsid w:val="006920CB"/>
    <w:rsid w:val="0069246C"/>
    <w:rsid w:val="0069290A"/>
    <w:rsid w:val="00693A51"/>
    <w:rsid w:val="00693D63"/>
    <w:rsid w:val="006945C3"/>
    <w:rsid w:val="00695554"/>
    <w:rsid w:val="00696566"/>
    <w:rsid w:val="006965DA"/>
    <w:rsid w:val="006967F5"/>
    <w:rsid w:val="00697032"/>
    <w:rsid w:val="006975AC"/>
    <w:rsid w:val="006A02E1"/>
    <w:rsid w:val="006A15FB"/>
    <w:rsid w:val="006A25E2"/>
    <w:rsid w:val="006A72BF"/>
    <w:rsid w:val="006B1720"/>
    <w:rsid w:val="006B1AB4"/>
    <w:rsid w:val="006B1BAE"/>
    <w:rsid w:val="006B2264"/>
    <w:rsid w:val="006B25CE"/>
    <w:rsid w:val="006B2D22"/>
    <w:rsid w:val="006B332A"/>
    <w:rsid w:val="006B33BD"/>
    <w:rsid w:val="006B3F9F"/>
    <w:rsid w:val="006B5199"/>
    <w:rsid w:val="006B560E"/>
    <w:rsid w:val="006B57C2"/>
    <w:rsid w:val="006B78E7"/>
    <w:rsid w:val="006C1729"/>
    <w:rsid w:val="006C17ED"/>
    <w:rsid w:val="006C372C"/>
    <w:rsid w:val="006C3AC8"/>
    <w:rsid w:val="006C3F75"/>
    <w:rsid w:val="006C4810"/>
    <w:rsid w:val="006C48BD"/>
    <w:rsid w:val="006C59F6"/>
    <w:rsid w:val="006C669F"/>
    <w:rsid w:val="006C7252"/>
    <w:rsid w:val="006C7CA2"/>
    <w:rsid w:val="006C7E5D"/>
    <w:rsid w:val="006D170E"/>
    <w:rsid w:val="006D2C73"/>
    <w:rsid w:val="006D337B"/>
    <w:rsid w:val="006D426E"/>
    <w:rsid w:val="006D53B9"/>
    <w:rsid w:val="006D590C"/>
    <w:rsid w:val="006D5FD5"/>
    <w:rsid w:val="006D6906"/>
    <w:rsid w:val="006D6D65"/>
    <w:rsid w:val="006E06AF"/>
    <w:rsid w:val="006E22F5"/>
    <w:rsid w:val="006E25D7"/>
    <w:rsid w:val="006E2B6B"/>
    <w:rsid w:val="006E2BD5"/>
    <w:rsid w:val="006E4783"/>
    <w:rsid w:val="006E48CA"/>
    <w:rsid w:val="006E7991"/>
    <w:rsid w:val="006E7B8C"/>
    <w:rsid w:val="006F1789"/>
    <w:rsid w:val="006F1A51"/>
    <w:rsid w:val="006F1E73"/>
    <w:rsid w:val="006F249B"/>
    <w:rsid w:val="006F30AB"/>
    <w:rsid w:val="006F3E6A"/>
    <w:rsid w:val="006F3F71"/>
    <w:rsid w:val="006F6F89"/>
    <w:rsid w:val="00700416"/>
    <w:rsid w:val="00700441"/>
    <w:rsid w:val="00700E58"/>
    <w:rsid w:val="00701984"/>
    <w:rsid w:val="00702214"/>
    <w:rsid w:val="0070271F"/>
    <w:rsid w:val="0070292A"/>
    <w:rsid w:val="00702FF2"/>
    <w:rsid w:val="007033A8"/>
    <w:rsid w:val="00704257"/>
    <w:rsid w:val="007056FA"/>
    <w:rsid w:val="00706C5D"/>
    <w:rsid w:val="00707266"/>
    <w:rsid w:val="007073B3"/>
    <w:rsid w:val="007079BA"/>
    <w:rsid w:val="0071150B"/>
    <w:rsid w:val="007118E6"/>
    <w:rsid w:val="007139AB"/>
    <w:rsid w:val="00715923"/>
    <w:rsid w:val="007162A5"/>
    <w:rsid w:val="00716D42"/>
    <w:rsid w:val="00717501"/>
    <w:rsid w:val="007177C6"/>
    <w:rsid w:val="00720318"/>
    <w:rsid w:val="00720748"/>
    <w:rsid w:val="00720BC3"/>
    <w:rsid w:val="00720C53"/>
    <w:rsid w:val="0072154D"/>
    <w:rsid w:val="007225C9"/>
    <w:rsid w:val="00722E62"/>
    <w:rsid w:val="00723694"/>
    <w:rsid w:val="00724219"/>
    <w:rsid w:val="00724A12"/>
    <w:rsid w:val="007270FD"/>
    <w:rsid w:val="007278BC"/>
    <w:rsid w:val="00730107"/>
    <w:rsid w:val="0073039F"/>
    <w:rsid w:val="00731464"/>
    <w:rsid w:val="00732D7B"/>
    <w:rsid w:val="00733286"/>
    <w:rsid w:val="00733B40"/>
    <w:rsid w:val="00733FAB"/>
    <w:rsid w:val="0073441E"/>
    <w:rsid w:val="007352C3"/>
    <w:rsid w:val="0073545B"/>
    <w:rsid w:val="00735589"/>
    <w:rsid w:val="00735CD7"/>
    <w:rsid w:val="00736098"/>
    <w:rsid w:val="007366AC"/>
    <w:rsid w:val="00737554"/>
    <w:rsid w:val="00737E90"/>
    <w:rsid w:val="007406E6"/>
    <w:rsid w:val="007416F1"/>
    <w:rsid w:val="00742D5E"/>
    <w:rsid w:val="00743567"/>
    <w:rsid w:val="007435A0"/>
    <w:rsid w:val="00745501"/>
    <w:rsid w:val="007467DB"/>
    <w:rsid w:val="00746E62"/>
    <w:rsid w:val="00751891"/>
    <w:rsid w:val="007526A1"/>
    <w:rsid w:val="00752FBF"/>
    <w:rsid w:val="007534F2"/>
    <w:rsid w:val="00754034"/>
    <w:rsid w:val="00754BF1"/>
    <w:rsid w:val="00755A30"/>
    <w:rsid w:val="00755E1C"/>
    <w:rsid w:val="00756092"/>
    <w:rsid w:val="00756556"/>
    <w:rsid w:val="00756889"/>
    <w:rsid w:val="0076132B"/>
    <w:rsid w:val="00762093"/>
    <w:rsid w:val="007623AE"/>
    <w:rsid w:val="00763FDF"/>
    <w:rsid w:val="007643A9"/>
    <w:rsid w:val="00764A2C"/>
    <w:rsid w:val="007653E9"/>
    <w:rsid w:val="007673AE"/>
    <w:rsid w:val="00767AFE"/>
    <w:rsid w:val="0077037F"/>
    <w:rsid w:val="00770B19"/>
    <w:rsid w:val="00771411"/>
    <w:rsid w:val="00771512"/>
    <w:rsid w:val="0077307F"/>
    <w:rsid w:val="007735A1"/>
    <w:rsid w:val="0077366D"/>
    <w:rsid w:val="007740B0"/>
    <w:rsid w:val="00774FA0"/>
    <w:rsid w:val="00776620"/>
    <w:rsid w:val="00776B1F"/>
    <w:rsid w:val="00777B6D"/>
    <w:rsid w:val="00780FF7"/>
    <w:rsid w:val="00782A1A"/>
    <w:rsid w:val="00782B77"/>
    <w:rsid w:val="00784855"/>
    <w:rsid w:val="00784DCB"/>
    <w:rsid w:val="00784F39"/>
    <w:rsid w:val="00785280"/>
    <w:rsid w:val="0078545C"/>
    <w:rsid w:val="007861D9"/>
    <w:rsid w:val="007906C4"/>
    <w:rsid w:val="00790926"/>
    <w:rsid w:val="00791A2B"/>
    <w:rsid w:val="00792B34"/>
    <w:rsid w:val="007939B1"/>
    <w:rsid w:val="00794031"/>
    <w:rsid w:val="007940EA"/>
    <w:rsid w:val="0079558B"/>
    <w:rsid w:val="00796387"/>
    <w:rsid w:val="007963A9"/>
    <w:rsid w:val="007967E8"/>
    <w:rsid w:val="007969B7"/>
    <w:rsid w:val="0079799B"/>
    <w:rsid w:val="007A1400"/>
    <w:rsid w:val="007A15A1"/>
    <w:rsid w:val="007A219B"/>
    <w:rsid w:val="007A24DB"/>
    <w:rsid w:val="007A25FE"/>
    <w:rsid w:val="007A3DB5"/>
    <w:rsid w:val="007A4971"/>
    <w:rsid w:val="007A590C"/>
    <w:rsid w:val="007A5CF5"/>
    <w:rsid w:val="007A63F2"/>
    <w:rsid w:val="007A7F69"/>
    <w:rsid w:val="007B0075"/>
    <w:rsid w:val="007B0655"/>
    <w:rsid w:val="007B0D27"/>
    <w:rsid w:val="007B15A5"/>
    <w:rsid w:val="007B3177"/>
    <w:rsid w:val="007B3CF1"/>
    <w:rsid w:val="007B4B70"/>
    <w:rsid w:val="007B4C9D"/>
    <w:rsid w:val="007B5307"/>
    <w:rsid w:val="007B5364"/>
    <w:rsid w:val="007B5896"/>
    <w:rsid w:val="007B5899"/>
    <w:rsid w:val="007B5BD4"/>
    <w:rsid w:val="007B5D72"/>
    <w:rsid w:val="007B6508"/>
    <w:rsid w:val="007B68DE"/>
    <w:rsid w:val="007B7622"/>
    <w:rsid w:val="007B7FF5"/>
    <w:rsid w:val="007C0A94"/>
    <w:rsid w:val="007C10C7"/>
    <w:rsid w:val="007C1857"/>
    <w:rsid w:val="007C514F"/>
    <w:rsid w:val="007C5865"/>
    <w:rsid w:val="007C63E5"/>
    <w:rsid w:val="007C6416"/>
    <w:rsid w:val="007C7D1A"/>
    <w:rsid w:val="007D0B4B"/>
    <w:rsid w:val="007D0F95"/>
    <w:rsid w:val="007D1CA4"/>
    <w:rsid w:val="007D1DEF"/>
    <w:rsid w:val="007D24AA"/>
    <w:rsid w:val="007D30E3"/>
    <w:rsid w:val="007D343D"/>
    <w:rsid w:val="007D3AB6"/>
    <w:rsid w:val="007D473F"/>
    <w:rsid w:val="007D5E1F"/>
    <w:rsid w:val="007D718D"/>
    <w:rsid w:val="007D76B0"/>
    <w:rsid w:val="007D7ECB"/>
    <w:rsid w:val="007E0702"/>
    <w:rsid w:val="007E08AD"/>
    <w:rsid w:val="007E25A1"/>
    <w:rsid w:val="007E2AB8"/>
    <w:rsid w:val="007E2EF7"/>
    <w:rsid w:val="007E44D1"/>
    <w:rsid w:val="007E4BD2"/>
    <w:rsid w:val="007E4BD6"/>
    <w:rsid w:val="007E4EF9"/>
    <w:rsid w:val="007E5007"/>
    <w:rsid w:val="007E5C1A"/>
    <w:rsid w:val="007E7145"/>
    <w:rsid w:val="007E7709"/>
    <w:rsid w:val="007E7946"/>
    <w:rsid w:val="007F0070"/>
    <w:rsid w:val="007F0351"/>
    <w:rsid w:val="007F0B42"/>
    <w:rsid w:val="007F17CB"/>
    <w:rsid w:val="007F1A4E"/>
    <w:rsid w:val="007F20DD"/>
    <w:rsid w:val="007F21FD"/>
    <w:rsid w:val="007F3724"/>
    <w:rsid w:val="007F3916"/>
    <w:rsid w:val="007F43A9"/>
    <w:rsid w:val="007F44A1"/>
    <w:rsid w:val="007F49E5"/>
    <w:rsid w:val="007F52B2"/>
    <w:rsid w:val="007F5E48"/>
    <w:rsid w:val="007F6CAA"/>
    <w:rsid w:val="007F789E"/>
    <w:rsid w:val="00801179"/>
    <w:rsid w:val="00802479"/>
    <w:rsid w:val="00803974"/>
    <w:rsid w:val="00803E78"/>
    <w:rsid w:val="00804D41"/>
    <w:rsid w:val="00805272"/>
    <w:rsid w:val="00805372"/>
    <w:rsid w:val="00805856"/>
    <w:rsid w:val="00805B7B"/>
    <w:rsid w:val="0080682F"/>
    <w:rsid w:val="008078AF"/>
    <w:rsid w:val="00807B62"/>
    <w:rsid w:val="008118F1"/>
    <w:rsid w:val="00811BE7"/>
    <w:rsid w:val="00811C2B"/>
    <w:rsid w:val="0081248E"/>
    <w:rsid w:val="0081256C"/>
    <w:rsid w:val="0081293E"/>
    <w:rsid w:val="008131E5"/>
    <w:rsid w:val="008139B8"/>
    <w:rsid w:val="008139BF"/>
    <w:rsid w:val="00814721"/>
    <w:rsid w:val="00814DC2"/>
    <w:rsid w:val="00814FFB"/>
    <w:rsid w:val="00816DC9"/>
    <w:rsid w:val="00817232"/>
    <w:rsid w:val="00817478"/>
    <w:rsid w:val="00817663"/>
    <w:rsid w:val="008201C7"/>
    <w:rsid w:val="00820568"/>
    <w:rsid w:val="0082077E"/>
    <w:rsid w:val="008216EB"/>
    <w:rsid w:val="00823522"/>
    <w:rsid w:val="00823713"/>
    <w:rsid w:val="008239B6"/>
    <w:rsid w:val="00823C64"/>
    <w:rsid w:val="008245B2"/>
    <w:rsid w:val="00824922"/>
    <w:rsid w:val="00825746"/>
    <w:rsid w:val="00825958"/>
    <w:rsid w:val="0082680C"/>
    <w:rsid w:val="00826AE7"/>
    <w:rsid w:val="00827301"/>
    <w:rsid w:val="00827638"/>
    <w:rsid w:val="0083038C"/>
    <w:rsid w:val="00830ED3"/>
    <w:rsid w:val="00831530"/>
    <w:rsid w:val="00831A80"/>
    <w:rsid w:val="00831EEC"/>
    <w:rsid w:val="008326AA"/>
    <w:rsid w:val="008332C8"/>
    <w:rsid w:val="00833434"/>
    <w:rsid w:val="00833743"/>
    <w:rsid w:val="0083398F"/>
    <w:rsid w:val="0083399D"/>
    <w:rsid w:val="008340A4"/>
    <w:rsid w:val="0083489F"/>
    <w:rsid w:val="00834B52"/>
    <w:rsid w:val="00835A4E"/>
    <w:rsid w:val="00836799"/>
    <w:rsid w:val="00837028"/>
    <w:rsid w:val="00837131"/>
    <w:rsid w:val="00837BD4"/>
    <w:rsid w:val="008402ED"/>
    <w:rsid w:val="0084199D"/>
    <w:rsid w:val="00842741"/>
    <w:rsid w:val="0084427A"/>
    <w:rsid w:val="0084448D"/>
    <w:rsid w:val="00844574"/>
    <w:rsid w:val="00845606"/>
    <w:rsid w:val="0084561D"/>
    <w:rsid w:val="00845674"/>
    <w:rsid w:val="00845A5D"/>
    <w:rsid w:val="00845E7C"/>
    <w:rsid w:val="00845F57"/>
    <w:rsid w:val="00846061"/>
    <w:rsid w:val="0084657F"/>
    <w:rsid w:val="00846D19"/>
    <w:rsid w:val="0084705A"/>
    <w:rsid w:val="00847DE0"/>
    <w:rsid w:val="008516CF"/>
    <w:rsid w:val="008521E0"/>
    <w:rsid w:val="008525B0"/>
    <w:rsid w:val="00853476"/>
    <w:rsid w:val="00853BDE"/>
    <w:rsid w:val="00854CDD"/>
    <w:rsid w:val="008564A9"/>
    <w:rsid w:val="0086196D"/>
    <w:rsid w:val="00861C20"/>
    <w:rsid w:val="00864843"/>
    <w:rsid w:val="00864B3E"/>
    <w:rsid w:val="008650F6"/>
    <w:rsid w:val="008652C4"/>
    <w:rsid w:val="0086589E"/>
    <w:rsid w:val="008667C2"/>
    <w:rsid w:val="00867CBC"/>
    <w:rsid w:val="00870EA4"/>
    <w:rsid w:val="0087251C"/>
    <w:rsid w:val="00873B4B"/>
    <w:rsid w:val="00873E09"/>
    <w:rsid w:val="008741B7"/>
    <w:rsid w:val="008756FA"/>
    <w:rsid w:val="008761C0"/>
    <w:rsid w:val="00876352"/>
    <w:rsid w:val="00876645"/>
    <w:rsid w:val="00876C30"/>
    <w:rsid w:val="00876CBE"/>
    <w:rsid w:val="00876F18"/>
    <w:rsid w:val="00877017"/>
    <w:rsid w:val="008773C0"/>
    <w:rsid w:val="00880364"/>
    <w:rsid w:val="0088036C"/>
    <w:rsid w:val="00880E93"/>
    <w:rsid w:val="008810DD"/>
    <w:rsid w:val="0088265E"/>
    <w:rsid w:val="0088310C"/>
    <w:rsid w:val="00883AC3"/>
    <w:rsid w:val="00884273"/>
    <w:rsid w:val="008845BE"/>
    <w:rsid w:val="008857E6"/>
    <w:rsid w:val="00885A2B"/>
    <w:rsid w:val="00885FF8"/>
    <w:rsid w:val="00886078"/>
    <w:rsid w:val="00886C4C"/>
    <w:rsid w:val="0088711C"/>
    <w:rsid w:val="0089166A"/>
    <w:rsid w:val="00891FAC"/>
    <w:rsid w:val="0089238E"/>
    <w:rsid w:val="00892AC5"/>
    <w:rsid w:val="00892ECF"/>
    <w:rsid w:val="00892F06"/>
    <w:rsid w:val="008939F2"/>
    <w:rsid w:val="00893B78"/>
    <w:rsid w:val="00894285"/>
    <w:rsid w:val="00896807"/>
    <w:rsid w:val="008969C8"/>
    <w:rsid w:val="008A0A56"/>
    <w:rsid w:val="008A136B"/>
    <w:rsid w:val="008A17EA"/>
    <w:rsid w:val="008A34E0"/>
    <w:rsid w:val="008A3610"/>
    <w:rsid w:val="008A37AB"/>
    <w:rsid w:val="008A40AE"/>
    <w:rsid w:val="008A49EC"/>
    <w:rsid w:val="008A4E19"/>
    <w:rsid w:val="008A67C5"/>
    <w:rsid w:val="008B09F1"/>
    <w:rsid w:val="008B0C65"/>
    <w:rsid w:val="008B1369"/>
    <w:rsid w:val="008B22E1"/>
    <w:rsid w:val="008B3C78"/>
    <w:rsid w:val="008B4AE9"/>
    <w:rsid w:val="008B5BC4"/>
    <w:rsid w:val="008B64D1"/>
    <w:rsid w:val="008B65A3"/>
    <w:rsid w:val="008B7A9F"/>
    <w:rsid w:val="008C0C54"/>
    <w:rsid w:val="008C129C"/>
    <w:rsid w:val="008C2F08"/>
    <w:rsid w:val="008C30AD"/>
    <w:rsid w:val="008C32E8"/>
    <w:rsid w:val="008C3979"/>
    <w:rsid w:val="008C5433"/>
    <w:rsid w:val="008C5F9C"/>
    <w:rsid w:val="008C7752"/>
    <w:rsid w:val="008D068E"/>
    <w:rsid w:val="008D0F7A"/>
    <w:rsid w:val="008D1BA1"/>
    <w:rsid w:val="008D2F21"/>
    <w:rsid w:val="008D3247"/>
    <w:rsid w:val="008D3B12"/>
    <w:rsid w:val="008D43BC"/>
    <w:rsid w:val="008D4BE6"/>
    <w:rsid w:val="008D5D57"/>
    <w:rsid w:val="008D63BE"/>
    <w:rsid w:val="008D6D94"/>
    <w:rsid w:val="008E0771"/>
    <w:rsid w:val="008E0CFF"/>
    <w:rsid w:val="008E0D70"/>
    <w:rsid w:val="008E19E6"/>
    <w:rsid w:val="008E1D00"/>
    <w:rsid w:val="008E20BB"/>
    <w:rsid w:val="008E253E"/>
    <w:rsid w:val="008E4941"/>
    <w:rsid w:val="008E58D4"/>
    <w:rsid w:val="008E5914"/>
    <w:rsid w:val="008E5D6B"/>
    <w:rsid w:val="008E5F81"/>
    <w:rsid w:val="008E60E1"/>
    <w:rsid w:val="008E689B"/>
    <w:rsid w:val="008E6C91"/>
    <w:rsid w:val="008E74A7"/>
    <w:rsid w:val="008E76F0"/>
    <w:rsid w:val="008E7B3F"/>
    <w:rsid w:val="008F06E4"/>
    <w:rsid w:val="008F15FE"/>
    <w:rsid w:val="008F1678"/>
    <w:rsid w:val="008F2A94"/>
    <w:rsid w:val="008F2B66"/>
    <w:rsid w:val="008F2CEA"/>
    <w:rsid w:val="008F2E1C"/>
    <w:rsid w:val="008F3389"/>
    <w:rsid w:val="008F347B"/>
    <w:rsid w:val="008F4415"/>
    <w:rsid w:val="008F4BA8"/>
    <w:rsid w:val="008F4DAC"/>
    <w:rsid w:val="008F5187"/>
    <w:rsid w:val="008F58FA"/>
    <w:rsid w:val="008F61E0"/>
    <w:rsid w:val="008F620A"/>
    <w:rsid w:val="008F709C"/>
    <w:rsid w:val="008F74DC"/>
    <w:rsid w:val="008F7716"/>
    <w:rsid w:val="008F7E01"/>
    <w:rsid w:val="0090160E"/>
    <w:rsid w:val="009019E1"/>
    <w:rsid w:val="00902FC3"/>
    <w:rsid w:val="0090312B"/>
    <w:rsid w:val="00904961"/>
    <w:rsid w:val="0090621E"/>
    <w:rsid w:val="00906338"/>
    <w:rsid w:val="0090671C"/>
    <w:rsid w:val="00906B59"/>
    <w:rsid w:val="00907452"/>
    <w:rsid w:val="00910393"/>
    <w:rsid w:val="00910E7B"/>
    <w:rsid w:val="00911518"/>
    <w:rsid w:val="009118D7"/>
    <w:rsid w:val="00911A5E"/>
    <w:rsid w:val="00912BB5"/>
    <w:rsid w:val="00914210"/>
    <w:rsid w:val="00914DDD"/>
    <w:rsid w:val="0091736D"/>
    <w:rsid w:val="00920EAF"/>
    <w:rsid w:val="009221A4"/>
    <w:rsid w:val="00922A4B"/>
    <w:rsid w:val="00922AA8"/>
    <w:rsid w:val="0092474E"/>
    <w:rsid w:val="00926FCF"/>
    <w:rsid w:val="00927AEB"/>
    <w:rsid w:val="00927CB5"/>
    <w:rsid w:val="00931001"/>
    <w:rsid w:val="00931863"/>
    <w:rsid w:val="00932246"/>
    <w:rsid w:val="00933524"/>
    <w:rsid w:val="00934210"/>
    <w:rsid w:val="00935379"/>
    <w:rsid w:val="00935D88"/>
    <w:rsid w:val="00936894"/>
    <w:rsid w:val="00936CD2"/>
    <w:rsid w:val="00937F68"/>
    <w:rsid w:val="00941392"/>
    <w:rsid w:val="009416C3"/>
    <w:rsid w:val="0094278D"/>
    <w:rsid w:val="00944E35"/>
    <w:rsid w:val="00945A37"/>
    <w:rsid w:val="00945F49"/>
    <w:rsid w:val="00946A34"/>
    <w:rsid w:val="009475D2"/>
    <w:rsid w:val="00950323"/>
    <w:rsid w:val="0095062A"/>
    <w:rsid w:val="00951737"/>
    <w:rsid w:val="0095308A"/>
    <w:rsid w:val="009537F6"/>
    <w:rsid w:val="00953AEF"/>
    <w:rsid w:val="00954B7C"/>
    <w:rsid w:val="00954D14"/>
    <w:rsid w:val="00954F6B"/>
    <w:rsid w:val="009550EE"/>
    <w:rsid w:val="00955AEE"/>
    <w:rsid w:val="00956F14"/>
    <w:rsid w:val="00960E21"/>
    <w:rsid w:val="0096100E"/>
    <w:rsid w:val="009617C7"/>
    <w:rsid w:val="00961EE0"/>
    <w:rsid w:val="009620FD"/>
    <w:rsid w:val="0096247A"/>
    <w:rsid w:val="00963C83"/>
    <w:rsid w:val="00964EAD"/>
    <w:rsid w:val="00965E00"/>
    <w:rsid w:val="00965F4B"/>
    <w:rsid w:val="00966200"/>
    <w:rsid w:val="00970F8A"/>
    <w:rsid w:val="00971FB5"/>
    <w:rsid w:val="00972D2A"/>
    <w:rsid w:val="00974289"/>
    <w:rsid w:val="00975009"/>
    <w:rsid w:val="00975843"/>
    <w:rsid w:val="00975899"/>
    <w:rsid w:val="00975CC5"/>
    <w:rsid w:val="0097611D"/>
    <w:rsid w:val="00976328"/>
    <w:rsid w:val="00976B4E"/>
    <w:rsid w:val="00976BFB"/>
    <w:rsid w:val="00977510"/>
    <w:rsid w:val="00980430"/>
    <w:rsid w:val="00980A5A"/>
    <w:rsid w:val="0098150E"/>
    <w:rsid w:val="009820BF"/>
    <w:rsid w:val="00982F4E"/>
    <w:rsid w:val="00982FFD"/>
    <w:rsid w:val="00983729"/>
    <w:rsid w:val="009837F4"/>
    <w:rsid w:val="0098427A"/>
    <w:rsid w:val="00984458"/>
    <w:rsid w:val="00985283"/>
    <w:rsid w:val="00986403"/>
    <w:rsid w:val="0098652A"/>
    <w:rsid w:val="0098692B"/>
    <w:rsid w:val="00986C21"/>
    <w:rsid w:val="00987322"/>
    <w:rsid w:val="00987899"/>
    <w:rsid w:val="00987D96"/>
    <w:rsid w:val="00987FD1"/>
    <w:rsid w:val="009909C3"/>
    <w:rsid w:val="00990DC4"/>
    <w:rsid w:val="009910D9"/>
    <w:rsid w:val="00991533"/>
    <w:rsid w:val="00991D08"/>
    <w:rsid w:val="009923A0"/>
    <w:rsid w:val="00993683"/>
    <w:rsid w:val="00993977"/>
    <w:rsid w:val="00995643"/>
    <w:rsid w:val="0099654D"/>
    <w:rsid w:val="00997625"/>
    <w:rsid w:val="009A0F3B"/>
    <w:rsid w:val="009A0FE0"/>
    <w:rsid w:val="009A1380"/>
    <w:rsid w:val="009A1FDF"/>
    <w:rsid w:val="009A2697"/>
    <w:rsid w:val="009A2D49"/>
    <w:rsid w:val="009A431F"/>
    <w:rsid w:val="009A5121"/>
    <w:rsid w:val="009A53AA"/>
    <w:rsid w:val="009A5855"/>
    <w:rsid w:val="009A5AD8"/>
    <w:rsid w:val="009A5D26"/>
    <w:rsid w:val="009A6965"/>
    <w:rsid w:val="009A72C7"/>
    <w:rsid w:val="009A763A"/>
    <w:rsid w:val="009A775E"/>
    <w:rsid w:val="009A7910"/>
    <w:rsid w:val="009A7B69"/>
    <w:rsid w:val="009B045D"/>
    <w:rsid w:val="009B087F"/>
    <w:rsid w:val="009B0897"/>
    <w:rsid w:val="009B1219"/>
    <w:rsid w:val="009B1A84"/>
    <w:rsid w:val="009B2D1C"/>
    <w:rsid w:val="009B47D7"/>
    <w:rsid w:val="009B5653"/>
    <w:rsid w:val="009B616D"/>
    <w:rsid w:val="009B63A5"/>
    <w:rsid w:val="009B6A3D"/>
    <w:rsid w:val="009C0C5C"/>
    <w:rsid w:val="009C143E"/>
    <w:rsid w:val="009C270C"/>
    <w:rsid w:val="009C3179"/>
    <w:rsid w:val="009C33CE"/>
    <w:rsid w:val="009C365C"/>
    <w:rsid w:val="009C36E2"/>
    <w:rsid w:val="009C4769"/>
    <w:rsid w:val="009C47AE"/>
    <w:rsid w:val="009C4E10"/>
    <w:rsid w:val="009C7317"/>
    <w:rsid w:val="009C766C"/>
    <w:rsid w:val="009D0052"/>
    <w:rsid w:val="009D0497"/>
    <w:rsid w:val="009D04BF"/>
    <w:rsid w:val="009D0753"/>
    <w:rsid w:val="009D07CF"/>
    <w:rsid w:val="009D0852"/>
    <w:rsid w:val="009D0E6D"/>
    <w:rsid w:val="009D184A"/>
    <w:rsid w:val="009D1FBF"/>
    <w:rsid w:val="009D2144"/>
    <w:rsid w:val="009D33BC"/>
    <w:rsid w:val="009D38F0"/>
    <w:rsid w:val="009D3C3B"/>
    <w:rsid w:val="009D3FE7"/>
    <w:rsid w:val="009D4554"/>
    <w:rsid w:val="009D5A60"/>
    <w:rsid w:val="009D614C"/>
    <w:rsid w:val="009D73D9"/>
    <w:rsid w:val="009D74BA"/>
    <w:rsid w:val="009D75A6"/>
    <w:rsid w:val="009D7997"/>
    <w:rsid w:val="009E0469"/>
    <w:rsid w:val="009E2990"/>
    <w:rsid w:val="009E2ACF"/>
    <w:rsid w:val="009E399C"/>
    <w:rsid w:val="009E43C1"/>
    <w:rsid w:val="009E4A8E"/>
    <w:rsid w:val="009E4E5C"/>
    <w:rsid w:val="009E5BBF"/>
    <w:rsid w:val="009E71AC"/>
    <w:rsid w:val="009E7617"/>
    <w:rsid w:val="009E7E95"/>
    <w:rsid w:val="009F116F"/>
    <w:rsid w:val="009F1562"/>
    <w:rsid w:val="009F1946"/>
    <w:rsid w:val="009F2E6D"/>
    <w:rsid w:val="009F2FCB"/>
    <w:rsid w:val="009F3010"/>
    <w:rsid w:val="009F329E"/>
    <w:rsid w:val="009F342A"/>
    <w:rsid w:val="009F4D83"/>
    <w:rsid w:val="009F4F13"/>
    <w:rsid w:val="009F5C90"/>
    <w:rsid w:val="009F7C79"/>
    <w:rsid w:val="009F7ED3"/>
    <w:rsid w:val="009F7F20"/>
    <w:rsid w:val="00A0043C"/>
    <w:rsid w:val="00A007B2"/>
    <w:rsid w:val="00A0133D"/>
    <w:rsid w:val="00A01A2F"/>
    <w:rsid w:val="00A02209"/>
    <w:rsid w:val="00A02ABE"/>
    <w:rsid w:val="00A03607"/>
    <w:rsid w:val="00A04117"/>
    <w:rsid w:val="00A047FF"/>
    <w:rsid w:val="00A04C5F"/>
    <w:rsid w:val="00A04FEF"/>
    <w:rsid w:val="00A0556E"/>
    <w:rsid w:val="00A05E30"/>
    <w:rsid w:val="00A07528"/>
    <w:rsid w:val="00A10E2C"/>
    <w:rsid w:val="00A1161D"/>
    <w:rsid w:val="00A11A93"/>
    <w:rsid w:val="00A122CD"/>
    <w:rsid w:val="00A12996"/>
    <w:rsid w:val="00A12A32"/>
    <w:rsid w:val="00A13A00"/>
    <w:rsid w:val="00A141B7"/>
    <w:rsid w:val="00A141CB"/>
    <w:rsid w:val="00A14248"/>
    <w:rsid w:val="00A14947"/>
    <w:rsid w:val="00A16BE8"/>
    <w:rsid w:val="00A16DC4"/>
    <w:rsid w:val="00A16DEA"/>
    <w:rsid w:val="00A20112"/>
    <w:rsid w:val="00A2096C"/>
    <w:rsid w:val="00A20F93"/>
    <w:rsid w:val="00A214DB"/>
    <w:rsid w:val="00A217D6"/>
    <w:rsid w:val="00A21A38"/>
    <w:rsid w:val="00A22276"/>
    <w:rsid w:val="00A22816"/>
    <w:rsid w:val="00A23670"/>
    <w:rsid w:val="00A239AA"/>
    <w:rsid w:val="00A23DC5"/>
    <w:rsid w:val="00A24556"/>
    <w:rsid w:val="00A2576E"/>
    <w:rsid w:val="00A310FD"/>
    <w:rsid w:val="00A3160A"/>
    <w:rsid w:val="00A32F2D"/>
    <w:rsid w:val="00A33123"/>
    <w:rsid w:val="00A337BA"/>
    <w:rsid w:val="00A33935"/>
    <w:rsid w:val="00A33A4C"/>
    <w:rsid w:val="00A34028"/>
    <w:rsid w:val="00A34948"/>
    <w:rsid w:val="00A35568"/>
    <w:rsid w:val="00A36B28"/>
    <w:rsid w:val="00A37056"/>
    <w:rsid w:val="00A418F8"/>
    <w:rsid w:val="00A42D0B"/>
    <w:rsid w:val="00A42D89"/>
    <w:rsid w:val="00A4358F"/>
    <w:rsid w:val="00A44395"/>
    <w:rsid w:val="00A46F67"/>
    <w:rsid w:val="00A47099"/>
    <w:rsid w:val="00A472B8"/>
    <w:rsid w:val="00A47308"/>
    <w:rsid w:val="00A50A29"/>
    <w:rsid w:val="00A512EA"/>
    <w:rsid w:val="00A52DC4"/>
    <w:rsid w:val="00A52EDA"/>
    <w:rsid w:val="00A54AA1"/>
    <w:rsid w:val="00A5599B"/>
    <w:rsid w:val="00A568FF"/>
    <w:rsid w:val="00A569A8"/>
    <w:rsid w:val="00A5734E"/>
    <w:rsid w:val="00A57CA2"/>
    <w:rsid w:val="00A57F15"/>
    <w:rsid w:val="00A61496"/>
    <w:rsid w:val="00A61833"/>
    <w:rsid w:val="00A61C88"/>
    <w:rsid w:val="00A624C6"/>
    <w:rsid w:val="00A62504"/>
    <w:rsid w:val="00A631EE"/>
    <w:rsid w:val="00A635D6"/>
    <w:rsid w:val="00A637BF"/>
    <w:rsid w:val="00A63CEC"/>
    <w:rsid w:val="00A63D80"/>
    <w:rsid w:val="00A64AB0"/>
    <w:rsid w:val="00A65811"/>
    <w:rsid w:val="00A66BAD"/>
    <w:rsid w:val="00A66FA0"/>
    <w:rsid w:val="00A6717C"/>
    <w:rsid w:val="00A674F4"/>
    <w:rsid w:val="00A67833"/>
    <w:rsid w:val="00A7031E"/>
    <w:rsid w:val="00A70340"/>
    <w:rsid w:val="00A70D05"/>
    <w:rsid w:val="00A72151"/>
    <w:rsid w:val="00A72456"/>
    <w:rsid w:val="00A728B1"/>
    <w:rsid w:val="00A7472D"/>
    <w:rsid w:val="00A74CBC"/>
    <w:rsid w:val="00A74D36"/>
    <w:rsid w:val="00A7630E"/>
    <w:rsid w:val="00A763DE"/>
    <w:rsid w:val="00A770C6"/>
    <w:rsid w:val="00A77100"/>
    <w:rsid w:val="00A803D6"/>
    <w:rsid w:val="00A80AC9"/>
    <w:rsid w:val="00A81222"/>
    <w:rsid w:val="00A81282"/>
    <w:rsid w:val="00A815F2"/>
    <w:rsid w:val="00A81C47"/>
    <w:rsid w:val="00A82868"/>
    <w:rsid w:val="00A8508E"/>
    <w:rsid w:val="00A860AF"/>
    <w:rsid w:val="00A8713F"/>
    <w:rsid w:val="00A90D72"/>
    <w:rsid w:val="00A90F93"/>
    <w:rsid w:val="00A91167"/>
    <w:rsid w:val="00A9171C"/>
    <w:rsid w:val="00A921E4"/>
    <w:rsid w:val="00A92FFD"/>
    <w:rsid w:val="00A93309"/>
    <w:rsid w:val="00A936F8"/>
    <w:rsid w:val="00A949E9"/>
    <w:rsid w:val="00A94A79"/>
    <w:rsid w:val="00A95975"/>
    <w:rsid w:val="00A95A82"/>
    <w:rsid w:val="00A9708D"/>
    <w:rsid w:val="00AA0324"/>
    <w:rsid w:val="00AA05B9"/>
    <w:rsid w:val="00AA1A22"/>
    <w:rsid w:val="00AA2512"/>
    <w:rsid w:val="00AA2C17"/>
    <w:rsid w:val="00AA4172"/>
    <w:rsid w:val="00AA45DF"/>
    <w:rsid w:val="00AA473F"/>
    <w:rsid w:val="00AA4B62"/>
    <w:rsid w:val="00AA4D10"/>
    <w:rsid w:val="00AA4DF4"/>
    <w:rsid w:val="00AA50BA"/>
    <w:rsid w:val="00AA5F15"/>
    <w:rsid w:val="00AA70FA"/>
    <w:rsid w:val="00AA7B5D"/>
    <w:rsid w:val="00AA7FD0"/>
    <w:rsid w:val="00AB0A56"/>
    <w:rsid w:val="00AB0F22"/>
    <w:rsid w:val="00AB1336"/>
    <w:rsid w:val="00AB14C3"/>
    <w:rsid w:val="00AB1914"/>
    <w:rsid w:val="00AB1A82"/>
    <w:rsid w:val="00AB257E"/>
    <w:rsid w:val="00AB2786"/>
    <w:rsid w:val="00AB33C4"/>
    <w:rsid w:val="00AB44A1"/>
    <w:rsid w:val="00AB5330"/>
    <w:rsid w:val="00AB5D61"/>
    <w:rsid w:val="00AB5E64"/>
    <w:rsid w:val="00AB5F81"/>
    <w:rsid w:val="00AB6EBC"/>
    <w:rsid w:val="00AB7747"/>
    <w:rsid w:val="00AB7AC8"/>
    <w:rsid w:val="00AC04D5"/>
    <w:rsid w:val="00AC0820"/>
    <w:rsid w:val="00AC0F3B"/>
    <w:rsid w:val="00AC1A1C"/>
    <w:rsid w:val="00AC2532"/>
    <w:rsid w:val="00AC438D"/>
    <w:rsid w:val="00AC45D4"/>
    <w:rsid w:val="00AC45D6"/>
    <w:rsid w:val="00AC556C"/>
    <w:rsid w:val="00AC66E5"/>
    <w:rsid w:val="00AC6B1D"/>
    <w:rsid w:val="00AC6BD5"/>
    <w:rsid w:val="00AC7411"/>
    <w:rsid w:val="00AC774C"/>
    <w:rsid w:val="00AC796F"/>
    <w:rsid w:val="00AD0A9B"/>
    <w:rsid w:val="00AD0E3C"/>
    <w:rsid w:val="00AD1507"/>
    <w:rsid w:val="00AD1E12"/>
    <w:rsid w:val="00AD278B"/>
    <w:rsid w:val="00AD2C1C"/>
    <w:rsid w:val="00AD5986"/>
    <w:rsid w:val="00AD5A70"/>
    <w:rsid w:val="00AD6257"/>
    <w:rsid w:val="00AD6987"/>
    <w:rsid w:val="00AD6A1A"/>
    <w:rsid w:val="00AD6DD4"/>
    <w:rsid w:val="00AD738B"/>
    <w:rsid w:val="00AD75F5"/>
    <w:rsid w:val="00AE022D"/>
    <w:rsid w:val="00AE1596"/>
    <w:rsid w:val="00AE1BF4"/>
    <w:rsid w:val="00AE23F8"/>
    <w:rsid w:val="00AE26FB"/>
    <w:rsid w:val="00AE355B"/>
    <w:rsid w:val="00AE439A"/>
    <w:rsid w:val="00AE57BB"/>
    <w:rsid w:val="00AE5D97"/>
    <w:rsid w:val="00AE6794"/>
    <w:rsid w:val="00AE6819"/>
    <w:rsid w:val="00AE6D09"/>
    <w:rsid w:val="00AF04B9"/>
    <w:rsid w:val="00AF1257"/>
    <w:rsid w:val="00AF147B"/>
    <w:rsid w:val="00AF244E"/>
    <w:rsid w:val="00AF34D2"/>
    <w:rsid w:val="00AF3D6A"/>
    <w:rsid w:val="00AF668B"/>
    <w:rsid w:val="00AF6C67"/>
    <w:rsid w:val="00AF6F28"/>
    <w:rsid w:val="00AF6FEC"/>
    <w:rsid w:val="00AF7C28"/>
    <w:rsid w:val="00B0005A"/>
    <w:rsid w:val="00B002BC"/>
    <w:rsid w:val="00B00627"/>
    <w:rsid w:val="00B01110"/>
    <w:rsid w:val="00B01389"/>
    <w:rsid w:val="00B02262"/>
    <w:rsid w:val="00B02C47"/>
    <w:rsid w:val="00B0338C"/>
    <w:rsid w:val="00B03B55"/>
    <w:rsid w:val="00B03CEC"/>
    <w:rsid w:val="00B05A88"/>
    <w:rsid w:val="00B077A9"/>
    <w:rsid w:val="00B07A5E"/>
    <w:rsid w:val="00B10651"/>
    <w:rsid w:val="00B1209F"/>
    <w:rsid w:val="00B129FD"/>
    <w:rsid w:val="00B12AD0"/>
    <w:rsid w:val="00B134DF"/>
    <w:rsid w:val="00B13B8A"/>
    <w:rsid w:val="00B13F1D"/>
    <w:rsid w:val="00B14271"/>
    <w:rsid w:val="00B15A44"/>
    <w:rsid w:val="00B15D99"/>
    <w:rsid w:val="00B1674F"/>
    <w:rsid w:val="00B16ACD"/>
    <w:rsid w:val="00B16EF3"/>
    <w:rsid w:val="00B17525"/>
    <w:rsid w:val="00B215EB"/>
    <w:rsid w:val="00B21959"/>
    <w:rsid w:val="00B21E8E"/>
    <w:rsid w:val="00B2235B"/>
    <w:rsid w:val="00B22AEF"/>
    <w:rsid w:val="00B23C43"/>
    <w:rsid w:val="00B24309"/>
    <w:rsid w:val="00B24A20"/>
    <w:rsid w:val="00B24E00"/>
    <w:rsid w:val="00B24F30"/>
    <w:rsid w:val="00B25695"/>
    <w:rsid w:val="00B257E1"/>
    <w:rsid w:val="00B262DF"/>
    <w:rsid w:val="00B2643E"/>
    <w:rsid w:val="00B2679E"/>
    <w:rsid w:val="00B27DD7"/>
    <w:rsid w:val="00B30EFC"/>
    <w:rsid w:val="00B31136"/>
    <w:rsid w:val="00B315C9"/>
    <w:rsid w:val="00B31ABF"/>
    <w:rsid w:val="00B31CA7"/>
    <w:rsid w:val="00B32874"/>
    <w:rsid w:val="00B32A18"/>
    <w:rsid w:val="00B3306A"/>
    <w:rsid w:val="00B335AE"/>
    <w:rsid w:val="00B33B4A"/>
    <w:rsid w:val="00B33F3B"/>
    <w:rsid w:val="00B34CF2"/>
    <w:rsid w:val="00B36E4C"/>
    <w:rsid w:val="00B36E58"/>
    <w:rsid w:val="00B37CE1"/>
    <w:rsid w:val="00B40ACF"/>
    <w:rsid w:val="00B4153E"/>
    <w:rsid w:val="00B422C4"/>
    <w:rsid w:val="00B4269D"/>
    <w:rsid w:val="00B438BC"/>
    <w:rsid w:val="00B44E77"/>
    <w:rsid w:val="00B46415"/>
    <w:rsid w:val="00B46BAA"/>
    <w:rsid w:val="00B503BA"/>
    <w:rsid w:val="00B50B5F"/>
    <w:rsid w:val="00B51AE1"/>
    <w:rsid w:val="00B5260A"/>
    <w:rsid w:val="00B52629"/>
    <w:rsid w:val="00B53A8A"/>
    <w:rsid w:val="00B54128"/>
    <w:rsid w:val="00B5459A"/>
    <w:rsid w:val="00B54AD4"/>
    <w:rsid w:val="00B55003"/>
    <w:rsid w:val="00B55826"/>
    <w:rsid w:val="00B56371"/>
    <w:rsid w:val="00B56463"/>
    <w:rsid w:val="00B577B1"/>
    <w:rsid w:val="00B57AB1"/>
    <w:rsid w:val="00B57C95"/>
    <w:rsid w:val="00B60426"/>
    <w:rsid w:val="00B60F42"/>
    <w:rsid w:val="00B61A2A"/>
    <w:rsid w:val="00B622DD"/>
    <w:rsid w:val="00B62624"/>
    <w:rsid w:val="00B63522"/>
    <w:rsid w:val="00B63CDB"/>
    <w:rsid w:val="00B64760"/>
    <w:rsid w:val="00B6599D"/>
    <w:rsid w:val="00B67467"/>
    <w:rsid w:val="00B67971"/>
    <w:rsid w:val="00B70240"/>
    <w:rsid w:val="00B707C8"/>
    <w:rsid w:val="00B70F27"/>
    <w:rsid w:val="00B716DE"/>
    <w:rsid w:val="00B7173F"/>
    <w:rsid w:val="00B718F4"/>
    <w:rsid w:val="00B71A19"/>
    <w:rsid w:val="00B71CCA"/>
    <w:rsid w:val="00B73C45"/>
    <w:rsid w:val="00B74F5A"/>
    <w:rsid w:val="00B766E2"/>
    <w:rsid w:val="00B76F1D"/>
    <w:rsid w:val="00B770EC"/>
    <w:rsid w:val="00B80B5A"/>
    <w:rsid w:val="00B85842"/>
    <w:rsid w:val="00B85E9E"/>
    <w:rsid w:val="00B87A07"/>
    <w:rsid w:val="00B87A8B"/>
    <w:rsid w:val="00B90519"/>
    <w:rsid w:val="00B91462"/>
    <w:rsid w:val="00B9192F"/>
    <w:rsid w:val="00B91999"/>
    <w:rsid w:val="00B92A19"/>
    <w:rsid w:val="00B92D68"/>
    <w:rsid w:val="00B931C4"/>
    <w:rsid w:val="00B9498F"/>
    <w:rsid w:val="00B95446"/>
    <w:rsid w:val="00B9544C"/>
    <w:rsid w:val="00BA0195"/>
    <w:rsid w:val="00BA118D"/>
    <w:rsid w:val="00BA1345"/>
    <w:rsid w:val="00BA143B"/>
    <w:rsid w:val="00BA1765"/>
    <w:rsid w:val="00BA2546"/>
    <w:rsid w:val="00BA29E9"/>
    <w:rsid w:val="00BA410D"/>
    <w:rsid w:val="00BA4775"/>
    <w:rsid w:val="00BA4E52"/>
    <w:rsid w:val="00BA59B3"/>
    <w:rsid w:val="00BA5EB8"/>
    <w:rsid w:val="00BA6BB4"/>
    <w:rsid w:val="00BA6C3B"/>
    <w:rsid w:val="00BA7CA7"/>
    <w:rsid w:val="00BB0128"/>
    <w:rsid w:val="00BB05CB"/>
    <w:rsid w:val="00BB1DE2"/>
    <w:rsid w:val="00BB21DD"/>
    <w:rsid w:val="00BB2496"/>
    <w:rsid w:val="00BB289B"/>
    <w:rsid w:val="00BB32B8"/>
    <w:rsid w:val="00BB3618"/>
    <w:rsid w:val="00BB37BD"/>
    <w:rsid w:val="00BB4C73"/>
    <w:rsid w:val="00BB507E"/>
    <w:rsid w:val="00BB55EC"/>
    <w:rsid w:val="00BB6AAE"/>
    <w:rsid w:val="00BB6FFE"/>
    <w:rsid w:val="00BB765F"/>
    <w:rsid w:val="00BC065C"/>
    <w:rsid w:val="00BC0760"/>
    <w:rsid w:val="00BC0C44"/>
    <w:rsid w:val="00BC0C9E"/>
    <w:rsid w:val="00BC28AA"/>
    <w:rsid w:val="00BC3025"/>
    <w:rsid w:val="00BC32DC"/>
    <w:rsid w:val="00BC3BDB"/>
    <w:rsid w:val="00BC4DAC"/>
    <w:rsid w:val="00BC4FD8"/>
    <w:rsid w:val="00BC585F"/>
    <w:rsid w:val="00BD02EA"/>
    <w:rsid w:val="00BD0EE0"/>
    <w:rsid w:val="00BD14A5"/>
    <w:rsid w:val="00BD1876"/>
    <w:rsid w:val="00BD19C2"/>
    <w:rsid w:val="00BD1B51"/>
    <w:rsid w:val="00BD29A5"/>
    <w:rsid w:val="00BD4146"/>
    <w:rsid w:val="00BD47F6"/>
    <w:rsid w:val="00BD48DE"/>
    <w:rsid w:val="00BD4FA7"/>
    <w:rsid w:val="00BD6DEC"/>
    <w:rsid w:val="00BD7A7E"/>
    <w:rsid w:val="00BD7BC2"/>
    <w:rsid w:val="00BD7CEF"/>
    <w:rsid w:val="00BE0D23"/>
    <w:rsid w:val="00BE103A"/>
    <w:rsid w:val="00BE147C"/>
    <w:rsid w:val="00BE2180"/>
    <w:rsid w:val="00BE312D"/>
    <w:rsid w:val="00BE3540"/>
    <w:rsid w:val="00BE367B"/>
    <w:rsid w:val="00BE3FCA"/>
    <w:rsid w:val="00BE4DA8"/>
    <w:rsid w:val="00BE5FA0"/>
    <w:rsid w:val="00BE7AD8"/>
    <w:rsid w:val="00BF088A"/>
    <w:rsid w:val="00BF1986"/>
    <w:rsid w:val="00BF29D2"/>
    <w:rsid w:val="00BF375E"/>
    <w:rsid w:val="00BF4752"/>
    <w:rsid w:val="00BF4A48"/>
    <w:rsid w:val="00BF513E"/>
    <w:rsid w:val="00BF551A"/>
    <w:rsid w:val="00BF5E61"/>
    <w:rsid w:val="00BF61ED"/>
    <w:rsid w:val="00BF78C8"/>
    <w:rsid w:val="00BF7F95"/>
    <w:rsid w:val="00C0063E"/>
    <w:rsid w:val="00C00AA4"/>
    <w:rsid w:val="00C019CC"/>
    <w:rsid w:val="00C0240C"/>
    <w:rsid w:val="00C02448"/>
    <w:rsid w:val="00C0262A"/>
    <w:rsid w:val="00C02678"/>
    <w:rsid w:val="00C02D2C"/>
    <w:rsid w:val="00C02D5E"/>
    <w:rsid w:val="00C03726"/>
    <w:rsid w:val="00C03AED"/>
    <w:rsid w:val="00C040E4"/>
    <w:rsid w:val="00C04152"/>
    <w:rsid w:val="00C041B2"/>
    <w:rsid w:val="00C05719"/>
    <w:rsid w:val="00C0646F"/>
    <w:rsid w:val="00C0665D"/>
    <w:rsid w:val="00C100EC"/>
    <w:rsid w:val="00C10578"/>
    <w:rsid w:val="00C10E36"/>
    <w:rsid w:val="00C12245"/>
    <w:rsid w:val="00C1241A"/>
    <w:rsid w:val="00C12A40"/>
    <w:rsid w:val="00C13836"/>
    <w:rsid w:val="00C14B06"/>
    <w:rsid w:val="00C16581"/>
    <w:rsid w:val="00C16FC2"/>
    <w:rsid w:val="00C171E5"/>
    <w:rsid w:val="00C17507"/>
    <w:rsid w:val="00C179EF"/>
    <w:rsid w:val="00C17D62"/>
    <w:rsid w:val="00C2090B"/>
    <w:rsid w:val="00C20D66"/>
    <w:rsid w:val="00C21FDC"/>
    <w:rsid w:val="00C22876"/>
    <w:rsid w:val="00C22B3D"/>
    <w:rsid w:val="00C23142"/>
    <w:rsid w:val="00C23763"/>
    <w:rsid w:val="00C24169"/>
    <w:rsid w:val="00C24EE7"/>
    <w:rsid w:val="00C250C2"/>
    <w:rsid w:val="00C2596A"/>
    <w:rsid w:val="00C271BE"/>
    <w:rsid w:val="00C2740C"/>
    <w:rsid w:val="00C27425"/>
    <w:rsid w:val="00C30A1C"/>
    <w:rsid w:val="00C30B6F"/>
    <w:rsid w:val="00C31E24"/>
    <w:rsid w:val="00C31F81"/>
    <w:rsid w:val="00C328FE"/>
    <w:rsid w:val="00C33A05"/>
    <w:rsid w:val="00C34699"/>
    <w:rsid w:val="00C34B06"/>
    <w:rsid w:val="00C34B5B"/>
    <w:rsid w:val="00C34B6F"/>
    <w:rsid w:val="00C3577E"/>
    <w:rsid w:val="00C363DB"/>
    <w:rsid w:val="00C367AE"/>
    <w:rsid w:val="00C37240"/>
    <w:rsid w:val="00C3739F"/>
    <w:rsid w:val="00C37D7C"/>
    <w:rsid w:val="00C42500"/>
    <w:rsid w:val="00C4409D"/>
    <w:rsid w:val="00C44CDB"/>
    <w:rsid w:val="00C455BE"/>
    <w:rsid w:val="00C45968"/>
    <w:rsid w:val="00C4661A"/>
    <w:rsid w:val="00C467F7"/>
    <w:rsid w:val="00C4724F"/>
    <w:rsid w:val="00C4766E"/>
    <w:rsid w:val="00C47996"/>
    <w:rsid w:val="00C47DB1"/>
    <w:rsid w:val="00C50087"/>
    <w:rsid w:val="00C50304"/>
    <w:rsid w:val="00C51E5F"/>
    <w:rsid w:val="00C534BD"/>
    <w:rsid w:val="00C536A7"/>
    <w:rsid w:val="00C540F2"/>
    <w:rsid w:val="00C545D7"/>
    <w:rsid w:val="00C54836"/>
    <w:rsid w:val="00C56141"/>
    <w:rsid w:val="00C56EE1"/>
    <w:rsid w:val="00C57C72"/>
    <w:rsid w:val="00C601C0"/>
    <w:rsid w:val="00C61E4B"/>
    <w:rsid w:val="00C62652"/>
    <w:rsid w:val="00C62AE4"/>
    <w:rsid w:val="00C62E3A"/>
    <w:rsid w:val="00C6360F"/>
    <w:rsid w:val="00C64503"/>
    <w:rsid w:val="00C64A1F"/>
    <w:rsid w:val="00C64BFF"/>
    <w:rsid w:val="00C65836"/>
    <w:rsid w:val="00C65BB7"/>
    <w:rsid w:val="00C66FE9"/>
    <w:rsid w:val="00C67532"/>
    <w:rsid w:val="00C7092C"/>
    <w:rsid w:val="00C70C2C"/>
    <w:rsid w:val="00C710AB"/>
    <w:rsid w:val="00C714CE"/>
    <w:rsid w:val="00C72047"/>
    <w:rsid w:val="00C7372D"/>
    <w:rsid w:val="00C73991"/>
    <w:rsid w:val="00C740EA"/>
    <w:rsid w:val="00C75471"/>
    <w:rsid w:val="00C75B30"/>
    <w:rsid w:val="00C763C9"/>
    <w:rsid w:val="00C76801"/>
    <w:rsid w:val="00C80057"/>
    <w:rsid w:val="00C805B2"/>
    <w:rsid w:val="00C80AB4"/>
    <w:rsid w:val="00C8232F"/>
    <w:rsid w:val="00C827F0"/>
    <w:rsid w:val="00C82C79"/>
    <w:rsid w:val="00C83183"/>
    <w:rsid w:val="00C83434"/>
    <w:rsid w:val="00C83C55"/>
    <w:rsid w:val="00C84738"/>
    <w:rsid w:val="00C84753"/>
    <w:rsid w:val="00C84ADA"/>
    <w:rsid w:val="00C84C67"/>
    <w:rsid w:val="00C850A7"/>
    <w:rsid w:val="00C853D9"/>
    <w:rsid w:val="00C8574E"/>
    <w:rsid w:val="00C8675B"/>
    <w:rsid w:val="00C86F93"/>
    <w:rsid w:val="00C903F2"/>
    <w:rsid w:val="00C91611"/>
    <w:rsid w:val="00C91961"/>
    <w:rsid w:val="00C919A3"/>
    <w:rsid w:val="00C91DD0"/>
    <w:rsid w:val="00C927F4"/>
    <w:rsid w:val="00C92B9C"/>
    <w:rsid w:val="00C93074"/>
    <w:rsid w:val="00C94129"/>
    <w:rsid w:val="00C95864"/>
    <w:rsid w:val="00C968DE"/>
    <w:rsid w:val="00C973F6"/>
    <w:rsid w:val="00C97701"/>
    <w:rsid w:val="00C97798"/>
    <w:rsid w:val="00CA0ACC"/>
    <w:rsid w:val="00CA0AF9"/>
    <w:rsid w:val="00CA0FBA"/>
    <w:rsid w:val="00CA1476"/>
    <w:rsid w:val="00CA3585"/>
    <w:rsid w:val="00CA3D5A"/>
    <w:rsid w:val="00CA3FEC"/>
    <w:rsid w:val="00CA4BF8"/>
    <w:rsid w:val="00CA4C7C"/>
    <w:rsid w:val="00CA6020"/>
    <w:rsid w:val="00CA6771"/>
    <w:rsid w:val="00CA702B"/>
    <w:rsid w:val="00CA7738"/>
    <w:rsid w:val="00CA7A8F"/>
    <w:rsid w:val="00CA7FC4"/>
    <w:rsid w:val="00CB0183"/>
    <w:rsid w:val="00CB018D"/>
    <w:rsid w:val="00CB074E"/>
    <w:rsid w:val="00CB0C14"/>
    <w:rsid w:val="00CB12C6"/>
    <w:rsid w:val="00CB1855"/>
    <w:rsid w:val="00CB1DD3"/>
    <w:rsid w:val="00CB1EA3"/>
    <w:rsid w:val="00CB3567"/>
    <w:rsid w:val="00CB391C"/>
    <w:rsid w:val="00CB3D32"/>
    <w:rsid w:val="00CB552C"/>
    <w:rsid w:val="00CB5D85"/>
    <w:rsid w:val="00CB608A"/>
    <w:rsid w:val="00CB6A9E"/>
    <w:rsid w:val="00CB715D"/>
    <w:rsid w:val="00CB71C7"/>
    <w:rsid w:val="00CB7567"/>
    <w:rsid w:val="00CC008F"/>
    <w:rsid w:val="00CC3368"/>
    <w:rsid w:val="00CC3800"/>
    <w:rsid w:val="00CC3998"/>
    <w:rsid w:val="00CC4114"/>
    <w:rsid w:val="00CC4CD6"/>
    <w:rsid w:val="00CC4F5B"/>
    <w:rsid w:val="00CC5841"/>
    <w:rsid w:val="00CC6181"/>
    <w:rsid w:val="00CC61B9"/>
    <w:rsid w:val="00CC6B68"/>
    <w:rsid w:val="00CC6F6A"/>
    <w:rsid w:val="00CC72C3"/>
    <w:rsid w:val="00CC77D1"/>
    <w:rsid w:val="00CD0DA9"/>
    <w:rsid w:val="00CD1115"/>
    <w:rsid w:val="00CD25D1"/>
    <w:rsid w:val="00CD2A0A"/>
    <w:rsid w:val="00CD2BCD"/>
    <w:rsid w:val="00CD36AA"/>
    <w:rsid w:val="00CD3791"/>
    <w:rsid w:val="00CD5015"/>
    <w:rsid w:val="00CD608A"/>
    <w:rsid w:val="00CD6315"/>
    <w:rsid w:val="00CD65B0"/>
    <w:rsid w:val="00CD68E7"/>
    <w:rsid w:val="00CD6E9D"/>
    <w:rsid w:val="00CE02CD"/>
    <w:rsid w:val="00CE0446"/>
    <w:rsid w:val="00CE0B37"/>
    <w:rsid w:val="00CE10E9"/>
    <w:rsid w:val="00CE18CF"/>
    <w:rsid w:val="00CE23F9"/>
    <w:rsid w:val="00CE3304"/>
    <w:rsid w:val="00CE34F7"/>
    <w:rsid w:val="00CE3679"/>
    <w:rsid w:val="00CE3AE3"/>
    <w:rsid w:val="00CE5434"/>
    <w:rsid w:val="00CE7C7A"/>
    <w:rsid w:val="00CE7E2B"/>
    <w:rsid w:val="00CF1A01"/>
    <w:rsid w:val="00CF1D19"/>
    <w:rsid w:val="00CF2107"/>
    <w:rsid w:val="00CF24FB"/>
    <w:rsid w:val="00CF28E5"/>
    <w:rsid w:val="00CF45E9"/>
    <w:rsid w:val="00CF5BF9"/>
    <w:rsid w:val="00CF5CC3"/>
    <w:rsid w:val="00CF6E11"/>
    <w:rsid w:val="00CF73D5"/>
    <w:rsid w:val="00CF77DE"/>
    <w:rsid w:val="00CF78EA"/>
    <w:rsid w:val="00CF7B2D"/>
    <w:rsid w:val="00CF7DAC"/>
    <w:rsid w:val="00D0072E"/>
    <w:rsid w:val="00D0095F"/>
    <w:rsid w:val="00D00B7F"/>
    <w:rsid w:val="00D0278F"/>
    <w:rsid w:val="00D04625"/>
    <w:rsid w:val="00D04754"/>
    <w:rsid w:val="00D04C71"/>
    <w:rsid w:val="00D04E06"/>
    <w:rsid w:val="00D05A7A"/>
    <w:rsid w:val="00D06FE1"/>
    <w:rsid w:val="00D0772E"/>
    <w:rsid w:val="00D100C9"/>
    <w:rsid w:val="00D113AB"/>
    <w:rsid w:val="00D120AF"/>
    <w:rsid w:val="00D132A3"/>
    <w:rsid w:val="00D13320"/>
    <w:rsid w:val="00D148A9"/>
    <w:rsid w:val="00D148FD"/>
    <w:rsid w:val="00D14A1B"/>
    <w:rsid w:val="00D14FA0"/>
    <w:rsid w:val="00D15727"/>
    <w:rsid w:val="00D15FA0"/>
    <w:rsid w:val="00D16332"/>
    <w:rsid w:val="00D16E1A"/>
    <w:rsid w:val="00D17ACA"/>
    <w:rsid w:val="00D17BFC"/>
    <w:rsid w:val="00D17EE0"/>
    <w:rsid w:val="00D20C1D"/>
    <w:rsid w:val="00D21B7B"/>
    <w:rsid w:val="00D227FD"/>
    <w:rsid w:val="00D228E0"/>
    <w:rsid w:val="00D22E7E"/>
    <w:rsid w:val="00D24713"/>
    <w:rsid w:val="00D2493E"/>
    <w:rsid w:val="00D24972"/>
    <w:rsid w:val="00D2515E"/>
    <w:rsid w:val="00D25576"/>
    <w:rsid w:val="00D25ACC"/>
    <w:rsid w:val="00D25F2F"/>
    <w:rsid w:val="00D262AF"/>
    <w:rsid w:val="00D27CAB"/>
    <w:rsid w:val="00D308ED"/>
    <w:rsid w:val="00D30BD3"/>
    <w:rsid w:val="00D312B3"/>
    <w:rsid w:val="00D31735"/>
    <w:rsid w:val="00D31FCB"/>
    <w:rsid w:val="00D31FE4"/>
    <w:rsid w:val="00D321A4"/>
    <w:rsid w:val="00D326E9"/>
    <w:rsid w:val="00D33850"/>
    <w:rsid w:val="00D33BE1"/>
    <w:rsid w:val="00D34B5B"/>
    <w:rsid w:val="00D34D0F"/>
    <w:rsid w:val="00D35147"/>
    <w:rsid w:val="00D35869"/>
    <w:rsid w:val="00D35A7E"/>
    <w:rsid w:val="00D36B28"/>
    <w:rsid w:val="00D36BB1"/>
    <w:rsid w:val="00D401E2"/>
    <w:rsid w:val="00D40B99"/>
    <w:rsid w:val="00D41CAA"/>
    <w:rsid w:val="00D41E1B"/>
    <w:rsid w:val="00D41F3B"/>
    <w:rsid w:val="00D424CF"/>
    <w:rsid w:val="00D44222"/>
    <w:rsid w:val="00D444C4"/>
    <w:rsid w:val="00D45549"/>
    <w:rsid w:val="00D47028"/>
    <w:rsid w:val="00D47281"/>
    <w:rsid w:val="00D47454"/>
    <w:rsid w:val="00D474AE"/>
    <w:rsid w:val="00D50892"/>
    <w:rsid w:val="00D50CE5"/>
    <w:rsid w:val="00D52A6B"/>
    <w:rsid w:val="00D543E4"/>
    <w:rsid w:val="00D54605"/>
    <w:rsid w:val="00D55501"/>
    <w:rsid w:val="00D560BF"/>
    <w:rsid w:val="00D56178"/>
    <w:rsid w:val="00D567E5"/>
    <w:rsid w:val="00D56CF0"/>
    <w:rsid w:val="00D56F5C"/>
    <w:rsid w:val="00D57071"/>
    <w:rsid w:val="00D57122"/>
    <w:rsid w:val="00D572F2"/>
    <w:rsid w:val="00D5749D"/>
    <w:rsid w:val="00D57A87"/>
    <w:rsid w:val="00D57E67"/>
    <w:rsid w:val="00D60425"/>
    <w:rsid w:val="00D61DC7"/>
    <w:rsid w:val="00D62390"/>
    <w:rsid w:val="00D62F3B"/>
    <w:rsid w:val="00D63242"/>
    <w:rsid w:val="00D6331E"/>
    <w:rsid w:val="00D64E13"/>
    <w:rsid w:val="00D657A9"/>
    <w:rsid w:val="00D65F82"/>
    <w:rsid w:val="00D66188"/>
    <w:rsid w:val="00D661E0"/>
    <w:rsid w:val="00D664EB"/>
    <w:rsid w:val="00D704B1"/>
    <w:rsid w:val="00D70B63"/>
    <w:rsid w:val="00D70E64"/>
    <w:rsid w:val="00D71270"/>
    <w:rsid w:val="00D71477"/>
    <w:rsid w:val="00D72411"/>
    <w:rsid w:val="00D72741"/>
    <w:rsid w:val="00D72B92"/>
    <w:rsid w:val="00D72ED4"/>
    <w:rsid w:val="00D73186"/>
    <w:rsid w:val="00D73614"/>
    <w:rsid w:val="00D73B4A"/>
    <w:rsid w:val="00D73F61"/>
    <w:rsid w:val="00D74976"/>
    <w:rsid w:val="00D754C0"/>
    <w:rsid w:val="00D75A3B"/>
    <w:rsid w:val="00D776A2"/>
    <w:rsid w:val="00D801C4"/>
    <w:rsid w:val="00D80F3D"/>
    <w:rsid w:val="00D81B03"/>
    <w:rsid w:val="00D8562A"/>
    <w:rsid w:val="00D85A9F"/>
    <w:rsid w:val="00D85CE6"/>
    <w:rsid w:val="00D90836"/>
    <w:rsid w:val="00D90B99"/>
    <w:rsid w:val="00D91578"/>
    <w:rsid w:val="00D91B6A"/>
    <w:rsid w:val="00D92205"/>
    <w:rsid w:val="00D9323E"/>
    <w:rsid w:val="00D93612"/>
    <w:rsid w:val="00D93CC0"/>
    <w:rsid w:val="00D93CF4"/>
    <w:rsid w:val="00D93FCF"/>
    <w:rsid w:val="00D9417E"/>
    <w:rsid w:val="00D9482A"/>
    <w:rsid w:val="00D94B5A"/>
    <w:rsid w:val="00D94CE5"/>
    <w:rsid w:val="00D950AD"/>
    <w:rsid w:val="00D95135"/>
    <w:rsid w:val="00D95896"/>
    <w:rsid w:val="00D95BC3"/>
    <w:rsid w:val="00D95CC6"/>
    <w:rsid w:val="00DA0857"/>
    <w:rsid w:val="00DA140A"/>
    <w:rsid w:val="00DA2783"/>
    <w:rsid w:val="00DA29D1"/>
    <w:rsid w:val="00DA2DA3"/>
    <w:rsid w:val="00DA548E"/>
    <w:rsid w:val="00DA5A5D"/>
    <w:rsid w:val="00DA5F1A"/>
    <w:rsid w:val="00DA6418"/>
    <w:rsid w:val="00DA6615"/>
    <w:rsid w:val="00DA6CA3"/>
    <w:rsid w:val="00DA76AE"/>
    <w:rsid w:val="00DA771D"/>
    <w:rsid w:val="00DB181E"/>
    <w:rsid w:val="00DB1917"/>
    <w:rsid w:val="00DB1C7A"/>
    <w:rsid w:val="00DB2983"/>
    <w:rsid w:val="00DB343D"/>
    <w:rsid w:val="00DB3516"/>
    <w:rsid w:val="00DB4EB9"/>
    <w:rsid w:val="00DB5579"/>
    <w:rsid w:val="00DB5CCE"/>
    <w:rsid w:val="00DB5CFE"/>
    <w:rsid w:val="00DB6CEA"/>
    <w:rsid w:val="00DB71AB"/>
    <w:rsid w:val="00DB7278"/>
    <w:rsid w:val="00DC153D"/>
    <w:rsid w:val="00DC2522"/>
    <w:rsid w:val="00DC2722"/>
    <w:rsid w:val="00DC3491"/>
    <w:rsid w:val="00DC3BA5"/>
    <w:rsid w:val="00DC40E4"/>
    <w:rsid w:val="00DC72A6"/>
    <w:rsid w:val="00DD0D0F"/>
    <w:rsid w:val="00DD14DF"/>
    <w:rsid w:val="00DD2113"/>
    <w:rsid w:val="00DD265E"/>
    <w:rsid w:val="00DD29D8"/>
    <w:rsid w:val="00DD47EE"/>
    <w:rsid w:val="00DD4A9A"/>
    <w:rsid w:val="00DD532D"/>
    <w:rsid w:val="00DD548A"/>
    <w:rsid w:val="00DD5E2A"/>
    <w:rsid w:val="00DD62E9"/>
    <w:rsid w:val="00DD6347"/>
    <w:rsid w:val="00DD6424"/>
    <w:rsid w:val="00DD6AB4"/>
    <w:rsid w:val="00DD7116"/>
    <w:rsid w:val="00DD79B7"/>
    <w:rsid w:val="00DE0318"/>
    <w:rsid w:val="00DE1193"/>
    <w:rsid w:val="00DE1297"/>
    <w:rsid w:val="00DE1D50"/>
    <w:rsid w:val="00DE21D0"/>
    <w:rsid w:val="00DE338A"/>
    <w:rsid w:val="00DE3A9A"/>
    <w:rsid w:val="00DE4BE7"/>
    <w:rsid w:val="00DE4FE1"/>
    <w:rsid w:val="00DE525E"/>
    <w:rsid w:val="00DE5406"/>
    <w:rsid w:val="00DE67AF"/>
    <w:rsid w:val="00DE7BF8"/>
    <w:rsid w:val="00DE7D9B"/>
    <w:rsid w:val="00DF0A5C"/>
    <w:rsid w:val="00DF0EFB"/>
    <w:rsid w:val="00DF1930"/>
    <w:rsid w:val="00DF351E"/>
    <w:rsid w:val="00DF3737"/>
    <w:rsid w:val="00DF4C7E"/>
    <w:rsid w:val="00DF514A"/>
    <w:rsid w:val="00DF5251"/>
    <w:rsid w:val="00DF5401"/>
    <w:rsid w:val="00E000CD"/>
    <w:rsid w:val="00E008A9"/>
    <w:rsid w:val="00E00A13"/>
    <w:rsid w:val="00E01780"/>
    <w:rsid w:val="00E01E69"/>
    <w:rsid w:val="00E02E7F"/>
    <w:rsid w:val="00E0358D"/>
    <w:rsid w:val="00E03765"/>
    <w:rsid w:val="00E03956"/>
    <w:rsid w:val="00E03B20"/>
    <w:rsid w:val="00E04078"/>
    <w:rsid w:val="00E054CE"/>
    <w:rsid w:val="00E05D58"/>
    <w:rsid w:val="00E06327"/>
    <w:rsid w:val="00E10748"/>
    <w:rsid w:val="00E1177D"/>
    <w:rsid w:val="00E1350D"/>
    <w:rsid w:val="00E139F7"/>
    <w:rsid w:val="00E1438B"/>
    <w:rsid w:val="00E144E9"/>
    <w:rsid w:val="00E16004"/>
    <w:rsid w:val="00E16FF5"/>
    <w:rsid w:val="00E1701B"/>
    <w:rsid w:val="00E204F5"/>
    <w:rsid w:val="00E2064B"/>
    <w:rsid w:val="00E21707"/>
    <w:rsid w:val="00E2301C"/>
    <w:rsid w:val="00E23632"/>
    <w:rsid w:val="00E2433C"/>
    <w:rsid w:val="00E24960"/>
    <w:rsid w:val="00E249C8"/>
    <w:rsid w:val="00E24F9A"/>
    <w:rsid w:val="00E25239"/>
    <w:rsid w:val="00E265B1"/>
    <w:rsid w:val="00E275B0"/>
    <w:rsid w:val="00E303D8"/>
    <w:rsid w:val="00E30C6C"/>
    <w:rsid w:val="00E32269"/>
    <w:rsid w:val="00E32AE3"/>
    <w:rsid w:val="00E33D98"/>
    <w:rsid w:val="00E33DEA"/>
    <w:rsid w:val="00E3468D"/>
    <w:rsid w:val="00E34D94"/>
    <w:rsid w:val="00E34E68"/>
    <w:rsid w:val="00E34ECC"/>
    <w:rsid w:val="00E351C9"/>
    <w:rsid w:val="00E35CF6"/>
    <w:rsid w:val="00E3650D"/>
    <w:rsid w:val="00E368F4"/>
    <w:rsid w:val="00E36A08"/>
    <w:rsid w:val="00E37A6C"/>
    <w:rsid w:val="00E37DD1"/>
    <w:rsid w:val="00E37F74"/>
    <w:rsid w:val="00E412D0"/>
    <w:rsid w:val="00E413CF"/>
    <w:rsid w:val="00E41DF2"/>
    <w:rsid w:val="00E4384E"/>
    <w:rsid w:val="00E43BA1"/>
    <w:rsid w:val="00E46084"/>
    <w:rsid w:val="00E46496"/>
    <w:rsid w:val="00E465EC"/>
    <w:rsid w:val="00E47C48"/>
    <w:rsid w:val="00E47CDB"/>
    <w:rsid w:val="00E50243"/>
    <w:rsid w:val="00E50372"/>
    <w:rsid w:val="00E5140C"/>
    <w:rsid w:val="00E515F8"/>
    <w:rsid w:val="00E52155"/>
    <w:rsid w:val="00E522A9"/>
    <w:rsid w:val="00E53239"/>
    <w:rsid w:val="00E54BA6"/>
    <w:rsid w:val="00E54E71"/>
    <w:rsid w:val="00E566BC"/>
    <w:rsid w:val="00E577C6"/>
    <w:rsid w:val="00E577D0"/>
    <w:rsid w:val="00E602A9"/>
    <w:rsid w:val="00E60452"/>
    <w:rsid w:val="00E60759"/>
    <w:rsid w:val="00E6079A"/>
    <w:rsid w:val="00E60982"/>
    <w:rsid w:val="00E60C8D"/>
    <w:rsid w:val="00E6162F"/>
    <w:rsid w:val="00E6190E"/>
    <w:rsid w:val="00E61CBA"/>
    <w:rsid w:val="00E61E15"/>
    <w:rsid w:val="00E630C3"/>
    <w:rsid w:val="00E6311B"/>
    <w:rsid w:val="00E65C5F"/>
    <w:rsid w:val="00E65D97"/>
    <w:rsid w:val="00E67027"/>
    <w:rsid w:val="00E6752E"/>
    <w:rsid w:val="00E67EFD"/>
    <w:rsid w:val="00E702DC"/>
    <w:rsid w:val="00E7043A"/>
    <w:rsid w:val="00E709AC"/>
    <w:rsid w:val="00E70BF4"/>
    <w:rsid w:val="00E71703"/>
    <w:rsid w:val="00E71FFB"/>
    <w:rsid w:val="00E72A1F"/>
    <w:rsid w:val="00E7390B"/>
    <w:rsid w:val="00E73DE0"/>
    <w:rsid w:val="00E743FC"/>
    <w:rsid w:val="00E74A67"/>
    <w:rsid w:val="00E74D9F"/>
    <w:rsid w:val="00E75311"/>
    <w:rsid w:val="00E75ED3"/>
    <w:rsid w:val="00E7627D"/>
    <w:rsid w:val="00E76D1D"/>
    <w:rsid w:val="00E76D33"/>
    <w:rsid w:val="00E77F62"/>
    <w:rsid w:val="00E806F8"/>
    <w:rsid w:val="00E807FC"/>
    <w:rsid w:val="00E815F4"/>
    <w:rsid w:val="00E833F0"/>
    <w:rsid w:val="00E83E34"/>
    <w:rsid w:val="00E8638A"/>
    <w:rsid w:val="00E863FB"/>
    <w:rsid w:val="00E86510"/>
    <w:rsid w:val="00E8728B"/>
    <w:rsid w:val="00E87752"/>
    <w:rsid w:val="00E8793B"/>
    <w:rsid w:val="00E909E2"/>
    <w:rsid w:val="00E90CB2"/>
    <w:rsid w:val="00E90F81"/>
    <w:rsid w:val="00E91A6D"/>
    <w:rsid w:val="00E91C1B"/>
    <w:rsid w:val="00E91DD1"/>
    <w:rsid w:val="00E92390"/>
    <w:rsid w:val="00E9242D"/>
    <w:rsid w:val="00E9303C"/>
    <w:rsid w:val="00E93753"/>
    <w:rsid w:val="00E9517E"/>
    <w:rsid w:val="00E9713D"/>
    <w:rsid w:val="00E972F6"/>
    <w:rsid w:val="00E9743E"/>
    <w:rsid w:val="00EA0677"/>
    <w:rsid w:val="00EA0C63"/>
    <w:rsid w:val="00EA27BC"/>
    <w:rsid w:val="00EA2EF3"/>
    <w:rsid w:val="00EA3340"/>
    <w:rsid w:val="00EA3876"/>
    <w:rsid w:val="00EA3A98"/>
    <w:rsid w:val="00EA40E2"/>
    <w:rsid w:val="00EA794B"/>
    <w:rsid w:val="00EA7C57"/>
    <w:rsid w:val="00EA7E95"/>
    <w:rsid w:val="00EB041C"/>
    <w:rsid w:val="00EB04FC"/>
    <w:rsid w:val="00EB0B75"/>
    <w:rsid w:val="00EB0E69"/>
    <w:rsid w:val="00EB2B4A"/>
    <w:rsid w:val="00EB32F8"/>
    <w:rsid w:val="00EB3C25"/>
    <w:rsid w:val="00EB48D9"/>
    <w:rsid w:val="00EB516F"/>
    <w:rsid w:val="00EB5709"/>
    <w:rsid w:val="00EB5E1F"/>
    <w:rsid w:val="00EB64AF"/>
    <w:rsid w:val="00EB7646"/>
    <w:rsid w:val="00EC0875"/>
    <w:rsid w:val="00EC0C3D"/>
    <w:rsid w:val="00EC0E49"/>
    <w:rsid w:val="00EC102F"/>
    <w:rsid w:val="00EC20AA"/>
    <w:rsid w:val="00EC29CA"/>
    <w:rsid w:val="00EC4445"/>
    <w:rsid w:val="00EC5874"/>
    <w:rsid w:val="00EC627D"/>
    <w:rsid w:val="00EC6EB5"/>
    <w:rsid w:val="00EC6FDF"/>
    <w:rsid w:val="00EC77B2"/>
    <w:rsid w:val="00ED11E8"/>
    <w:rsid w:val="00ED12D0"/>
    <w:rsid w:val="00ED192D"/>
    <w:rsid w:val="00ED2412"/>
    <w:rsid w:val="00ED2ED0"/>
    <w:rsid w:val="00ED30B4"/>
    <w:rsid w:val="00ED31F5"/>
    <w:rsid w:val="00ED50A1"/>
    <w:rsid w:val="00ED5EBA"/>
    <w:rsid w:val="00EE0054"/>
    <w:rsid w:val="00EE0657"/>
    <w:rsid w:val="00EE2E9F"/>
    <w:rsid w:val="00EE3A26"/>
    <w:rsid w:val="00EE3CD0"/>
    <w:rsid w:val="00EE58CD"/>
    <w:rsid w:val="00EE60CF"/>
    <w:rsid w:val="00EE6E47"/>
    <w:rsid w:val="00EF0FF8"/>
    <w:rsid w:val="00EF114A"/>
    <w:rsid w:val="00EF11EB"/>
    <w:rsid w:val="00EF1847"/>
    <w:rsid w:val="00EF1BDC"/>
    <w:rsid w:val="00EF228E"/>
    <w:rsid w:val="00EF2383"/>
    <w:rsid w:val="00EF2759"/>
    <w:rsid w:val="00EF30FF"/>
    <w:rsid w:val="00EF45EB"/>
    <w:rsid w:val="00EF4834"/>
    <w:rsid w:val="00EF4EEB"/>
    <w:rsid w:val="00EF5099"/>
    <w:rsid w:val="00EF54C6"/>
    <w:rsid w:val="00EF54C9"/>
    <w:rsid w:val="00EF5E33"/>
    <w:rsid w:val="00EF5F9F"/>
    <w:rsid w:val="00EF686F"/>
    <w:rsid w:val="00EF718D"/>
    <w:rsid w:val="00EF7A20"/>
    <w:rsid w:val="00F00075"/>
    <w:rsid w:val="00F0013A"/>
    <w:rsid w:val="00F00916"/>
    <w:rsid w:val="00F01A35"/>
    <w:rsid w:val="00F03FE0"/>
    <w:rsid w:val="00F04959"/>
    <w:rsid w:val="00F05762"/>
    <w:rsid w:val="00F058C6"/>
    <w:rsid w:val="00F05C7E"/>
    <w:rsid w:val="00F06DFC"/>
    <w:rsid w:val="00F07822"/>
    <w:rsid w:val="00F10B7B"/>
    <w:rsid w:val="00F11AE1"/>
    <w:rsid w:val="00F1276B"/>
    <w:rsid w:val="00F1354E"/>
    <w:rsid w:val="00F1395D"/>
    <w:rsid w:val="00F13C38"/>
    <w:rsid w:val="00F14ABF"/>
    <w:rsid w:val="00F14B23"/>
    <w:rsid w:val="00F14CAA"/>
    <w:rsid w:val="00F15C95"/>
    <w:rsid w:val="00F167EE"/>
    <w:rsid w:val="00F202E8"/>
    <w:rsid w:val="00F209E4"/>
    <w:rsid w:val="00F20CFB"/>
    <w:rsid w:val="00F21DB3"/>
    <w:rsid w:val="00F22985"/>
    <w:rsid w:val="00F237E6"/>
    <w:rsid w:val="00F239F2"/>
    <w:rsid w:val="00F23FF5"/>
    <w:rsid w:val="00F241AB"/>
    <w:rsid w:val="00F2508E"/>
    <w:rsid w:val="00F25BD8"/>
    <w:rsid w:val="00F26596"/>
    <w:rsid w:val="00F273F3"/>
    <w:rsid w:val="00F27904"/>
    <w:rsid w:val="00F31382"/>
    <w:rsid w:val="00F326DC"/>
    <w:rsid w:val="00F338E2"/>
    <w:rsid w:val="00F33B55"/>
    <w:rsid w:val="00F342D7"/>
    <w:rsid w:val="00F34D23"/>
    <w:rsid w:val="00F351C9"/>
    <w:rsid w:val="00F357D9"/>
    <w:rsid w:val="00F35829"/>
    <w:rsid w:val="00F35D12"/>
    <w:rsid w:val="00F36A58"/>
    <w:rsid w:val="00F40D3C"/>
    <w:rsid w:val="00F41034"/>
    <w:rsid w:val="00F423F2"/>
    <w:rsid w:val="00F42868"/>
    <w:rsid w:val="00F43E62"/>
    <w:rsid w:val="00F44706"/>
    <w:rsid w:val="00F44D7A"/>
    <w:rsid w:val="00F4558E"/>
    <w:rsid w:val="00F45FA7"/>
    <w:rsid w:val="00F465A7"/>
    <w:rsid w:val="00F46675"/>
    <w:rsid w:val="00F47992"/>
    <w:rsid w:val="00F5019A"/>
    <w:rsid w:val="00F50B7C"/>
    <w:rsid w:val="00F513DD"/>
    <w:rsid w:val="00F51470"/>
    <w:rsid w:val="00F5202D"/>
    <w:rsid w:val="00F5204A"/>
    <w:rsid w:val="00F526FB"/>
    <w:rsid w:val="00F5294E"/>
    <w:rsid w:val="00F52CF6"/>
    <w:rsid w:val="00F53D93"/>
    <w:rsid w:val="00F54494"/>
    <w:rsid w:val="00F54496"/>
    <w:rsid w:val="00F577FD"/>
    <w:rsid w:val="00F6099D"/>
    <w:rsid w:val="00F60F1D"/>
    <w:rsid w:val="00F61097"/>
    <w:rsid w:val="00F610ED"/>
    <w:rsid w:val="00F616D6"/>
    <w:rsid w:val="00F62019"/>
    <w:rsid w:val="00F623B8"/>
    <w:rsid w:val="00F63B0D"/>
    <w:rsid w:val="00F64611"/>
    <w:rsid w:val="00F65599"/>
    <w:rsid w:val="00F66980"/>
    <w:rsid w:val="00F67725"/>
    <w:rsid w:val="00F679E6"/>
    <w:rsid w:val="00F706C6"/>
    <w:rsid w:val="00F72819"/>
    <w:rsid w:val="00F72AD3"/>
    <w:rsid w:val="00F73D17"/>
    <w:rsid w:val="00F74345"/>
    <w:rsid w:val="00F74441"/>
    <w:rsid w:val="00F74651"/>
    <w:rsid w:val="00F759F1"/>
    <w:rsid w:val="00F76E8C"/>
    <w:rsid w:val="00F77389"/>
    <w:rsid w:val="00F77F30"/>
    <w:rsid w:val="00F80C17"/>
    <w:rsid w:val="00F81ABC"/>
    <w:rsid w:val="00F81FD4"/>
    <w:rsid w:val="00F82589"/>
    <w:rsid w:val="00F82B19"/>
    <w:rsid w:val="00F8532A"/>
    <w:rsid w:val="00F85CD2"/>
    <w:rsid w:val="00F87C81"/>
    <w:rsid w:val="00F87FD3"/>
    <w:rsid w:val="00F90AA7"/>
    <w:rsid w:val="00F90ADE"/>
    <w:rsid w:val="00F91B12"/>
    <w:rsid w:val="00F91F8D"/>
    <w:rsid w:val="00F9212D"/>
    <w:rsid w:val="00F93C51"/>
    <w:rsid w:val="00FA0A07"/>
    <w:rsid w:val="00FA0DA2"/>
    <w:rsid w:val="00FA1035"/>
    <w:rsid w:val="00FA1267"/>
    <w:rsid w:val="00FA144B"/>
    <w:rsid w:val="00FA23B5"/>
    <w:rsid w:val="00FA301A"/>
    <w:rsid w:val="00FA406A"/>
    <w:rsid w:val="00FA436D"/>
    <w:rsid w:val="00FA4B52"/>
    <w:rsid w:val="00FA4CA9"/>
    <w:rsid w:val="00FA5CB6"/>
    <w:rsid w:val="00FA5E3C"/>
    <w:rsid w:val="00FA658F"/>
    <w:rsid w:val="00FA6CD2"/>
    <w:rsid w:val="00FA7AF4"/>
    <w:rsid w:val="00FA7E9F"/>
    <w:rsid w:val="00FB0302"/>
    <w:rsid w:val="00FB2262"/>
    <w:rsid w:val="00FB241F"/>
    <w:rsid w:val="00FB4277"/>
    <w:rsid w:val="00FB45E1"/>
    <w:rsid w:val="00FB5538"/>
    <w:rsid w:val="00FB583B"/>
    <w:rsid w:val="00FB584B"/>
    <w:rsid w:val="00FB748F"/>
    <w:rsid w:val="00FC01E9"/>
    <w:rsid w:val="00FC178F"/>
    <w:rsid w:val="00FC2366"/>
    <w:rsid w:val="00FC337F"/>
    <w:rsid w:val="00FC3468"/>
    <w:rsid w:val="00FC3BB7"/>
    <w:rsid w:val="00FC3F64"/>
    <w:rsid w:val="00FC49B7"/>
    <w:rsid w:val="00FC5668"/>
    <w:rsid w:val="00FC56BD"/>
    <w:rsid w:val="00FC6276"/>
    <w:rsid w:val="00FC668F"/>
    <w:rsid w:val="00FC66AC"/>
    <w:rsid w:val="00FC697B"/>
    <w:rsid w:val="00FC6BEE"/>
    <w:rsid w:val="00FC6FF5"/>
    <w:rsid w:val="00FC7BB2"/>
    <w:rsid w:val="00FD0892"/>
    <w:rsid w:val="00FD18F4"/>
    <w:rsid w:val="00FD1E3E"/>
    <w:rsid w:val="00FD381A"/>
    <w:rsid w:val="00FD418A"/>
    <w:rsid w:val="00FD44AE"/>
    <w:rsid w:val="00FD74B4"/>
    <w:rsid w:val="00FD7B3A"/>
    <w:rsid w:val="00FD7D3D"/>
    <w:rsid w:val="00FD7E55"/>
    <w:rsid w:val="00FE0543"/>
    <w:rsid w:val="00FE21E7"/>
    <w:rsid w:val="00FE382A"/>
    <w:rsid w:val="00FE3B4A"/>
    <w:rsid w:val="00FE4696"/>
    <w:rsid w:val="00FE470D"/>
    <w:rsid w:val="00FE55D2"/>
    <w:rsid w:val="00FE6A1D"/>
    <w:rsid w:val="00FE72CD"/>
    <w:rsid w:val="00FF0258"/>
    <w:rsid w:val="00FF0CF2"/>
    <w:rsid w:val="00FF143F"/>
    <w:rsid w:val="00FF2B7E"/>
    <w:rsid w:val="00FF2E1B"/>
    <w:rsid w:val="00FF3E2B"/>
    <w:rsid w:val="00FF4BCC"/>
    <w:rsid w:val="00FF4ED0"/>
    <w:rsid w:val="00FF5E4F"/>
    <w:rsid w:val="00FF6327"/>
    <w:rsid w:val="00FF6FCE"/>
    <w:rsid w:val="00FF7518"/>
    <w:rsid w:val="00FF7FD8"/>
    <w:rsid w:val="01260E98"/>
    <w:rsid w:val="01591EE1"/>
    <w:rsid w:val="01A249C3"/>
    <w:rsid w:val="01D32DCE"/>
    <w:rsid w:val="01EA636A"/>
    <w:rsid w:val="02021905"/>
    <w:rsid w:val="021D146B"/>
    <w:rsid w:val="023B48CB"/>
    <w:rsid w:val="02A14C7A"/>
    <w:rsid w:val="02F46078"/>
    <w:rsid w:val="03063B82"/>
    <w:rsid w:val="034D095E"/>
    <w:rsid w:val="034F0E57"/>
    <w:rsid w:val="036B6853"/>
    <w:rsid w:val="037E4FBC"/>
    <w:rsid w:val="03885E3A"/>
    <w:rsid w:val="03892BBC"/>
    <w:rsid w:val="039D57BB"/>
    <w:rsid w:val="03B65F25"/>
    <w:rsid w:val="03C54999"/>
    <w:rsid w:val="03CF75C5"/>
    <w:rsid w:val="03FB03BA"/>
    <w:rsid w:val="0405748B"/>
    <w:rsid w:val="04730898"/>
    <w:rsid w:val="049D76C3"/>
    <w:rsid w:val="04B213C1"/>
    <w:rsid w:val="04C14D18"/>
    <w:rsid w:val="04CB2483"/>
    <w:rsid w:val="04D87C93"/>
    <w:rsid w:val="04D969C6"/>
    <w:rsid w:val="052E656D"/>
    <w:rsid w:val="053B0EEF"/>
    <w:rsid w:val="056D0012"/>
    <w:rsid w:val="05720B50"/>
    <w:rsid w:val="05742AC8"/>
    <w:rsid w:val="05C972B6"/>
    <w:rsid w:val="05E83CE4"/>
    <w:rsid w:val="05FC3F93"/>
    <w:rsid w:val="05FC4B37"/>
    <w:rsid w:val="06352F05"/>
    <w:rsid w:val="063E7D85"/>
    <w:rsid w:val="06565D7C"/>
    <w:rsid w:val="06BF6017"/>
    <w:rsid w:val="06D7523A"/>
    <w:rsid w:val="070875E0"/>
    <w:rsid w:val="070B4DB8"/>
    <w:rsid w:val="07195727"/>
    <w:rsid w:val="07293586"/>
    <w:rsid w:val="07295285"/>
    <w:rsid w:val="073065CD"/>
    <w:rsid w:val="07481B68"/>
    <w:rsid w:val="075A7AEE"/>
    <w:rsid w:val="07660241"/>
    <w:rsid w:val="07697D31"/>
    <w:rsid w:val="07770C56"/>
    <w:rsid w:val="0785570C"/>
    <w:rsid w:val="07971060"/>
    <w:rsid w:val="07B92732"/>
    <w:rsid w:val="07B92A66"/>
    <w:rsid w:val="07C33549"/>
    <w:rsid w:val="07C35693"/>
    <w:rsid w:val="07DE427B"/>
    <w:rsid w:val="083D0665"/>
    <w:rsid w:val="0858227F"/>
    <w:rsid w:val="087150EF"/>
    <w:rsid w:val="0873672E"/>
    <w:rsid w:val="089D67F1"/>
    <w:rsid w:val="08A74FB5"/>
    <w:rsid w:val="08DF5034"/>
    <w:rsid w:val="08E753B1"/>
    <w:rsid w:val="08F17FDE"/>
    <w:rsid w:val="090C3A7D"/>
    <w:rsid w:val="092217DD"/>
    <w:rsid w:val="09304FAA"/>
    <w:rsid w:val="0939134F"/>
    <w:rsid w:val="093A7294"/>
    <w:rsid w:val="0958092A"/>
    <w:rsid w:val="095A15DC"/>
    <w:rsid w:val="097C11B7"/>
    <w:rsid w:val="09970B85"/>
    <w:rsid w:val="09A0426C"/>
    <w:rsid w:val="09CA0BB9"/>
    <w:rsid w:val="09CB6A81"/>
    <w:rsid w:val="0A157CFC"/>
    <w:rsid w:val="0A285C81"/>
    <w:rsid w:val="0A335AD3"/>
    <w:rsid w:val="0A3E3EAB"/>
    <w:rsid w:val="0A40121D"/>
    <w:rsid w:val="0A7143CA"/>
    <w:rsid w:val="0A79472F"/>
    <w:rsid w:val="0AAB40F7"/>
    <w:rsid w:val="0AB37C41"/>
    <w:rsid w:val="0AE7016E"/>
    <w:rsid w:val="0B3864F3"/>
    <w:rsid w:val="0B6902FF"/>
    <w:rsid w:val="0B7373D0"/>
    <w:rsid w:val="0B9D785C"/>
    <w:rsid w:val="0BCB314C"/>
    <w:rsid w:val="0BD27BF6"/>
    <w:rsid w:val="0BE25386"/>
    <w:rsid w:val="0C06583D"/>
    <w:rsid w:val="0C0F64D5"/>
    <w:rsid w:val="0C197F77"/>
    <w:rsid w:val="0C1E45FF"/>
    <w:rsid w:val="0C4D19CF"/>
    <w:rsid w:val="0C526FE5"/>
    <w:rsid w:val="0C550884"/>
    <w:rsid w:val="0C880597"/>
    <w:rsid w:val="0CC53C5B"/>
    <w:rsid w:val="0CCD48BE"/>
    <w:rsid w:val="0D222E5C"/>
    <w:rsid w:val="0D3A1F53"/>
    <w:rsid w:val="0D3B5CCB"/>
    <w:rsid w:val="0D4E046E"/>
    <w:rsid w:val="0D732931"/>
    <w:rsid w:val="0D786450"/>
    <w:rsid w:val="0D8E6743"/>
    <w:rsid w:val="0D9E6986"/>
    <w:rsid w:val="0DC47B3D"/>
    <w:rsid w:val="0DD0740A"/>
    <w:rsid w:val="0DDC74AE"/>
    <w:rsid w:val="0E032DF3"/>
    <w:rsid w:val="0E0E272A"/>
    <w:rsid w:val="0E110D06"/>
    <w:rsid w:val="0E552DBD"/>
    <w:rsid w:val="0EAE6828"/>
    <w:rsid w:val="0EBD2B0B"/>
    <w:rsid w:val="0EBF70A2"/>
    <w:rsid w:val="0EC248F6"/>
    <w:rsid w:val="0EE3661B"/>
    <w:rsid w:val="0EF60F84"/>
    <w:rsid w:val="0EFB1BB6"/>
    <w:rsid w:val="0F046CBD"/>
    <w:rsid w:val="0F13775A"/>
    <w:rsid w:val="0F2879F0"/>
    <w:rsid w:val="0F301F3F"/>
    <w:rsid w:val="0F3D3982"/>
    <w:rsid w:val="0F555725"/>
    <w:rsid w:val="0F672951"/>
    <w:rsid w:val="0F8D1771"/>
    <w:rsid w:val="0F9A112B"/>
    <w:rsid w:val="0FE97C61"/>
    <w:rsid w:val="100D394F"/>
    <w:rsid w:val="106D2F64"/>
    <w:rsid w:val="106F0166"/>
    <w:rsid w:val="106F63B8"/>
    <w:rsid w:val="107B4D5D"/>
    <w:rsid w:val="10914580"/>
    <w:rsid w:val="10AA55F1"/>
    <w:rsid w:val="10AC13BA"/>
    <w:rsid w:val="10B63710"/>
    <w:rsid w:val="10DA7AC2"/>
    <w:rsid w:val="10F20D97"/>
    <w:rsid w:val="10F37004"/>
    <w:rsid w:val="111C2F7A"/>
    <w:rsid w:val="113013DE"/>
    <w:rsid w:val="114333A1"/>
    <w:rsid w:val="114C04A7"/>
    <w:rsid w:val="116779EF"/>
    <w:rsid w:val="116B5C47"/>
    <w:rsid w:val="11833F50"/>
    <w:rsid w:val="118F79C1"/>
    <w:rsid w:val="119D51A7"/>
    <w:rsid w:val="11B12A58"/>
    <w:rsid w:val="11DB5BC5"/>
    <w:rsid w:val="11DF170A"/>
    <w:rsid w:val="11E20E0C"/>
    <w:rsid w:val="11E84674"/>
    <w:rsid w:val="11F0177A"/>
    <w:rsid w:val="120D5E88"/>
    <w:rsid w:val="120E1C01"/>
    <w:rsid w:val="122B06C2"/>
    <w:rsid w:val="12323B41"/>
    <w:rsid w:val="125C471A"/>
    <w:rsid w:val="12A04F4F"/>
    <w:rsid w:val="12A763E1"/>
    <w:rsid w:val="12AD31D1"/>
    <w:rsid w:val="12F73C97"/>
    <w:rsid w:val="12FA77C0"/>
    <w:rsid w:val="13425CAA"/>
    <w:rsid w:val="136C63C1"/>
    <w:rsid w:val="138F0BDD"/>
    <w:rsid w:val="13951726"/>
    <w:rsid w:val="139D0BD3"/>
    <w:rsid w:val="13F41DC8"/>
    <w:rsid w:val="13FF5CA5"/>
    <w:rsid w:val="14213E6D"/>
    <w:rsid w:val="14396509"/>
    <w:rsid w:val="144053C6"/>
    <w:rsid w:val="1447165C"/>
    <w:rsid w:val="14582D59"/>
    <w:rsid w:val="146B333A"/>
    <w:rsid w:val="148A7C64"/>
    <w:rsid w:val="14DA401C"/>
    <w:rsid w:val="15003A82"/>
    <w:rsid w:val="151A3F56"/>
    <w:rsid w:val="157306F8"/>
    <w:rsid w:val="15802E15"/>
    <w:rsid w:val="15804A7D"/>
    <w:rsid w:val="15981F0D"/>
    <w:rsid w:val="159B19FD"/>
    <w:rsid w:val="15E3035A"/>
    <w:rsid w:val="15EB4733"/>
    <w:rsid w:val="15EF3AF7"/>
    <w:rsid w:val="15EF58A5"/>
    <w:rsid w:val="16113A6D"/>
    <w:rsid w:val="163C6D3C"/>
    <w:rsid w:val="164D0F49"/>
    <w:rsid w:val="165A3666"/>
    <w:rsid w:val="166B5093"/>
    <w:rsid w:val="166E7112"/>
    <w:rsid w:val="16753FFC"/>
    <w:rsid w:val="1699418F"/>
    <w:rsid w:val="169B7533"/>
    <w:rsid w:val="16BF157B"/>
    <w:rsid w:val="16CD4127"/>
    <w:rsid w:val="170B670F"/>
    <w:rsid w:val="17100FA5"/>
    <w:rsid w:val="1720040C"/>
    <w:rsid w:val="17435EA8"/>
    <w:rsid w:val="174B761A"/>
    <w:rsid w:val="17735226"/>
    <w:rsid w:val="178A3AD7"/>
    <w:rsid w:val="17914E66"/>
    <w:rsid w:val="17CA481C"/>
    <w:rsid w:val="17D905BB"/>
    <w:rsid w:val="18055854"/>
    <w:rsid w:val="180E64B6"/>
    <w:rsid w:val="181766AE"/>
    <w:rsid w:val="181F082D"/>
    <w:rsid w:val="182A0E16"/>
    <w:rsid w:val="182B350C"/>
    <w:rsid w:val="18683196"/>
    <w:rsid w:val="186B1B5B"/>
    <w:rsid w:val="189E1369"/>
    <w:rsid w:val="18BA4824"/>
    <w:rsid w:val="18CD0120"/>
    <w:rsid w:val="18F51424"/>
    <w:rsid w:val="1921046B"/>
    <w:rsid w:val="19466124"/>
    <w:rsid w:val="19A35324"/>
    <w:rsid w:val="19DB2D10"/>
    <w:rsid w:val="19F05ECC"/>
    <w:rsid w:val="1A116732"/>
    <w:rsid w:val="1A1678A4"/>
    <w:rsid w:val="1A1C66C0"/>
    <w:rsid w:val="1A1E488E"/>
    <w:rsid w:val="1A3146DE"/>
    <w:rsid w:val="1A42393B"/>
    <w:rsid w:val="1A5F5489"/>
    <w:rsid w:val="1A937147"/>
    <w:rsid w:val="1AC13CB4"/>
    <w:rsid w:val="1AC45552"/>
    <w:rsid w:val="1AC47300"/>
    <w:rsid w:val="1AFE6CB6"/>
    <w:rsid w:val="1B046F80"/>
    <w:rsid w:val="1B171B26"/>
    <w:rsid w:val="1B3267B5"/>
    <w:rsid w:val="1B397CEE"/>
    <w:rsid w:val="1B487F31"/>
    <w:rsid w:val="1B4C7ADC"/>
    <w:rsid w:val="1B5B0E8F"/>
    <w:rsid w:val="1B75684C"/>
    <w:rsid w:val="1BA17641"/>
    <w:rsid w:val="1BA57132"/>
    <w:rsid w:val="1BA63FC6"/>
    <w:rsid w:val="1BC25DC8"/>
    <w:rsid w:val="1BCE2D72"/>
    <w:rsid w:val="1C480C99"/>
    <w:rsid w:val="1C5841A4"/>
    <w:rsid w:val="1C5E7925"/>
    <w:rsid w:val="1C757D36"/>
    <w:rsid w:val="1C884062"/>
    <w:rsid w:val="1C887FC8"/>
    <w:rsid w:val="1C8F393E"/>
    <w:rsid w:val="1CE046C9"/>
    <w:rsid w:val="1CF0262F"/>
    <w:rsid w:val="1CFE11EF"/>
    <w:rsid w:val="1D28001A"/>
    <w:rsid w:val="1D3C5874"/>
    <w:rsid w:val="1D41732E"/>
    <w:rsid w:val="1D5837E7"/>
    <w:rsid w:val="1D5A03F0"/>
    <w:rsid w:val="1D5F6196"/>
    <w:rsid w:val="1D6132A5"/>
    <w:rsid w:val="1D8E56D5"/>
    <w:rsid w:val="1D970CFC"/>
    <w:rsid w:val="1DEB1048"/>
    <w:rsid w:val="1DF47922"/>
    <w:rsid w:val="1E11610A"/>
    <w:rsid w:val="1E2D03C3"/>
    <w:rsid w:val="1E3B0C5E"/>
    <w:rsid w:val="1E7A43DA"/>
    <w:rsid w:val="1E870438"/>
    <w:rsid w:val="1EAF2075"/>
    <w:rsid w:val="1EB277FE"/>
    <w:rsid w:val="1EEC1623"/>
    <w:rsid w:val="1F26058A"/>
    <w:rsid w:val="1F2E38E2"/>
    <w:rsid w:val="1F502D2F"/>
    <w:rsid w:val="1F6E6F3C"/>
    <w:rsid w:val="1F6F5AB9"/>
    <w:rsid w:val="1F9279CD"/>
    <w:rsid w:val="1F95570F"/>
    <w:rsid w:val="1FA15E62"/>
    <w:rsid w:val="1FBF453A"/>
    <w:rsid w:val="1FE66BB1"/>
    <w:rsid w:val="1FE7539E"/>
    <w:rsid w:val="20263DCB"/>
    <w:rsid w:val="202B4E25"/>
    <w:rsid w:val="203C3DDD"/>
    <w:rsid w:val="20446C96"/>
    <w:rsid w:val="20831A0C"/>
    <w:rsid w:val="208A2D9A"/>
    <w:rsid w:val="20963CB8"/>
    <w:rsid w:val="20B07FB6"/>
    <w:rsid w:val="20E16D82"/>
    <w:rsid w:val="20F12E19"/>
    <w:rsid w:val="21092C1E"/>
    <w:rsid w:val="210B5C89"/>
    <w:rsid w:val="213B74B1"/>
    <w:rsid w:val="21470C8B"/>
    <w:rsid w:val="2148274F"/>
    <w:rsid w:val="215A2310"/>
    <w:rsid w:val="21942142"/>
    <w:rsid w:val="21967F75"/>
    <w:rsid w:val="21DA5560"/>
    <w:rsid w:val="21DE318A"/>
    <w:rsid w:val="21EF5B80"/>
    <w:rsid w:val="22125926"/>
    <w:rsid w:val="221E19EC"/>
    <w:rsid w:val="22347461"/>
    <w:rsid w:val="223849F8"/>
    <w:rsid w:val="223C1E72"/>
    <w:rsid w:val="22576990"/>
    <w:rsid w:val="227B405E"/>
    <w:rsid w:val="22877591"/>
    <w:rsid w:val="229C4EAB"/>
    <w:rsid w:val="22F23E66"/>
    <w:rsid w:val="230E380E"/>
    <w:rsid w:val="232C638A"/>
    <w:rsid w:val="23411E36"/>
    <w:rsid w:val="23524AF1"/>
    <w:rsid w:val="23641680"/>
    <w:rsid w:val="23764A11"/>
    <w:rsid w:val="239A4045"/>
    <w:rsid w:val="23C5440E"/>
    <w:rsid w:val="240D08AB"/>
    <w:rsid w:val="24183F62"/>
    <w:rsid w:val="243C084F"/>
    <w:rsid w:val="24676F00"/>
    <w:rsid w:val="246833F2"/>
    <w:rsid w:val="24A73F1B"/>
    <w:rsid w:val="24AB1494"/>
    <w:rsid w:val="24CD1BC1"/>
    <w:rsid w:val="251765CB"/>
    <w:rsid w:val="252754F4"/>
    <w:rsid w:val="252D53FE"/>
    <w:rsid w:val="25922771"/>
    <w:rsid w:val="25A16BBC"/>
    <w:rsid w:val="25A77F4A"/>
    <w:rsid w:val="25AF5921"/>
    <w:rsid w:val="25EC2D81"/>
    <w:rsid w:val="25FF377D"/>
    <w:rsid w:val="26094761"/>
    <w:rsid w:val="264528BD"/>
    <w:rsid w:val="265529F6"/>
    <w:rsid w:val="267F6A8F"/>
    <w:rsid w:val="268B51EA"/>
    <w:rsid w:val="268F6768"/>
    <w:rsid w:val="269823AA"/>
    <w:rsid w:val="26995AE5"/>
    <w:rsid w:val="26CE50D2"/>
    <w:rsid w:val="26D82221"/>
    <w:rsid w:val="26F51C40"/>
    <w:rsid w:val="26F96584"/>
    <w:rsid w:val="26FC7E22"/>
    <w:rsid w:val="270D3342"/>
    <w:rsid w:val="271F62A6"/>
    <w:rsid w:val="273121C1"/>
    <w:rsid w:val="27466F3A"/>
    <w:rsid w:val="274C2B57"/>
    <w:rsid w:val="276D655D"/>
    <w:rsid w:val="27800A53"/>
    <w:rsid w:val="27A91D58"/>
    <w:rsid w:val="27C22E19"/>
    <w:rsid w:val="27C43035"/>
    <w:rsid w:val="27D15DD1"/>
    <w:rsid w:val="286B525F"/>
    <w:rsid w:val="288307FB"/>
    <w:rsid w:val="288A7DDB"/>
    <w:rsid w:val="28987E15"/>
    <w:rsid w:val="28A013AD"/>
    <w:rsid w:val="28A76295"/>
    <w:rsid w:val="28C05186"/>
    <w:rsid w:val="28C80903"/>
    <w:rsid w:val="28D472A8"/>
    <w:rsid w:val="28ED036A"/>
    <w:rsid w:val="29077E9F"/>
    <w:rsid w:val="290A5E25"/>
    <w:rsid w:val="29206EB8"/>
    <w:rsid w:val="29453D02"/>
    <w:rsid w:val="29982084"/>
    <w:rsid w:val="299912AB"/>
    <w:rsid w:val="29A22F02"/>
    <w:rsid w:val="29B63ACC"/>
    <w:rsid w:val="29BB1E01"/>
    <w:rsid w:val="29C72A75"/>
    <w:rsid w:val="29E325E0"/>
    <w:rsid w:val="2A005E7B"/>
    <w:rsid w:val="2A1C2CB5"/>
    <w:rsid w:val="2A3B6ADF"/>
    <w:rsid w:val="2A452503"/>
    <w:rsid w:val="2A475858"/>
    <w:rsid w:val="2A691C72"/>
    <w:rsid w:val="2A81520E"/>
    <w:rsid w:val="2B2160A9"/>
    <w:rsid w:val="2B430715"/>
    <w:rsid w:val="2B4B32B2"/>
    <w:rsid w:val="2B8E1990"/>
    <w:rsid w:val="2BA47406"/>
    <w:rsid w:val="2BA936A8"/>
    <w:rsid w:val="2BC141A1"/>
    <w:rsid w:val="2C315A5A"/>
    <w:rsid w:val="2C3B4BC3"/>
    <w:rsid w:val="2CEE69C1"/>
    <w:rsid w:val="2D0619FA"/>
    <w:rsid w:val="2D0E4090"/>
    <w:rsid w:val="2D4D2C4B"/>
    <w:rsid w:val="2D6A4CF7"/>
    <w:rsid w:val="2D83304B"/>
    <w:rsid w:val="2D8E6BA2"/>
    <w:rsid w:val="2D984D48"/>
    <w:rsid w:val="2D9E56F5"/>
    <w:rsid w:val="2DE64EBA"/>
    <w:rsid w:val="2DF14458"/>
    <w:rsid w:val="2E165C6D"/>
    <w:rsid w:val="2E2C36E3"/>
    <w:rsid w:val="2E5D1AEE"/>
    <w:rsid w:val="2E633762"/>
    <w:rsid w:val="2E667F96"/>
    <w:rsid w:val="2E8226AB"/>
    <w:rsid w:val="2E894691"/>
    <w:rsid w:val="2E8E7EF9"/>
    <w:rsid w:val="2EA22EAE"/>
    <w:rsid w:val="2EB846F2"/>
    <w:rsid w:val="2EBE2575"/>
    <w:rsid w:val="2EC15BD9"/>
    <w:rsid w:val="2EE50A04"/>
    <w:rsid w:val="2EF71CD8"/>
    <w:rsid w:val="2F055094"/>
    <w:rsid w:val="2F1E22C8"/>
    <w:rsid w:val="2F4A2072"/>
    <w:rsid w:val="2F752831"/>
    <w:rsid w:val="2F832C79"/>
    <w:rsid w:val="2F9319D5"/>
    <w:rsid w:val="2FCB7E61"/>
    <w:rsid w:val="2FD91648"/>
    <w:rsid w:val="2FE442E7"/>
    <w:rsid w:val="2FEC4ED7"/>
    <w:rsid w:val="2FED29FE"/>
    <w:rsid w:val="2FEF2D58"/>
    <w:rsid w:val="2FF43D8C"/>
    <w:rsid w:val="302E3742"/>
    <w:rsid w:val="30580BC9"/>
    <w:rsid w:val="305D750E"/>
    <w:rsid w:val="30BD7FA2"/>
    <w:rsid w:val="30C45D6E"/>
    <w:rsid w:val="30C61284"/>
    <w:rsid w:val="30D342E9"/>
    <w:rsid w:val="30EB1633"/>
    <w:rsid w:val="30F666DB"/>
    <w:rsid w:val="30FA3624"/>
    <w:rsid w:val="30FA7C6D"/>
    <w:rsid w:val="311E2ED7"/>
    <w:rsid w:val="313C187C"/>
    <w:rsid w:val="315C449C"/>
    <w:rsid w:val="3163566D"/>
    <w:rsid w:val="31653193"/>
    <w:rsid w:val="318A2BFA"/>
    <w:rsid w:val="31934214"/>
    <w:rsid w:val="31A53A4D"/>
    <w:rsid w:val="31B82709"/>
    <w:rsid w:val="31D74DEE"/>
    <w:rsid w:val="31DC0F7C"/>
    <w:rsid w:val="31E56082"/>
    <w:rsid w:val="32244DFC"/>
    <w:rsid w:val="322A2A4C"/>
    <w:rsid w:val="322E7A29"/>
    <w:rsid w:val="32400B34"/>
    <w:rsid w:val="324059AE"/>
    <w:rsid w:val="32862810"/>
    <w:rsid w:val="329E6876"/>
    <w:rsid w:val="32A945C3"/>
    <w:rsid w:val="32B36180"/>
    <w:rsid w:val="32B67A1F"/>
    <w:rsid w:val="32CC2D9E"/>
    <w:rsid w:val="32E0346C"/>
    <w:rsid w:val="32F9638D"/>
    <w:rsid w:val="3301500D"/>
    <w:rsid w:val="332C1A8F"/>
    <w:rsid w:val="33346287"/>
    <w:rsid w:val="33522D27"/>
    <w:rsid w:val="33716522"/>
    <w:rsid w:val="33751688"/>
    <w:rsid w:val="33A06705"/>
    <w:rsid w:val="33D934D4"/>
    <w:rsid w:val="33F20F2A"/>
    <w:rsid w:val="33F407FF"/>
    <w:rsid w:val="33FC3B4A"/>
    <w:rsid w:val="33FE2F6A"/>
    <w:rsid w:val="34000F51"/>
    <w:rsid w:val="34254E5C"/>
    <w:rsid w:val="3448309F"/>
    <w:rsid w:val="345179FF"/>
    <w:rsid w:val="34750B27"/>
    <w:rsid w:val="34810B9E"/>
    <w:rsid w:val="348C4EDB"/>
    <w:rsid w:val="349475AD"/>
    <w:rsid w:val="34D16ECF"/>
    <w:rsid w:val="350F5ABE"/>
    <w:rsid w:val="351E2C7D"/>
    <w:rsid w:val="352C3FC8"/>
    <w:rsid w:val="35300FAC"/>
    <w:rsid w:val="35492DCC"/>
    <w:rsid w:val="354D6418"/>
    <w:rsid w:val="3566572C"/>
    <w:rsid w:val="358C08A6"/>
    <w:rsid w:val="35A77929"/>
    <w:rsid w:val="35E0728C"/>
    <w:rsid w:val="36017203"/>
    <w:rsid w:val="36074A7F"/>
    <w:rsid w:val="360A60B7"/>
    <w:rsid w:val="361971D0"/>
    <w:rsid w:val="36423E78"/>
    <w:rsid w:val="36632192"/>
    <w:rsid w:val="366E458F"/>
    <w:rsid w:val="36723C5D"/>
    <w:rsid w:val="367D2D2D"/>
    <w:rsid w:val="369124AD"/>
    <w:rsid w:val="36923549"/>
    <w:rsid w:val="36B75FBF"/>
    <w:rsid w:val="36D80CBF"/>
    <w:rsid w:val="36E83F1F"/>
    <w:rsid w:val="36FB4891"/>
    <w:rsid w:val="3736112E"/>
    <w:rsid w:val="37384EA6"/>
    <w:rsid w:val="37461371"/>
    <w:rsid w:val="37465815"/>
    <w:rsid w:val="376E2676"/>
    <w:rsid w:val="37837A2F"/>
    <w:rsid w:val="37887BDC"/>
    <w:rsid w:val="37D526F5"/>
    <w:rsid w:val="380D6333"/>
    <w:rsid w:val="38194C17"/>
    <w:rsid w:val="382673F4"/>
    <w:rsid w:val="38642D60"/>
    <w:rsid w:val="38935450"/>
    <w:rsid w:val="38C369F1"/>
    <w:rsid w:val="38CE5AC2"/>
    <w:rsid w:val="38CF7268"/>
    <w:rsid w:val="38F12CD3"/>
    <w:rsid w:val="38F372D7"/>
    <w:rsid w:val="38F94775"/>
    <w:rsid w:val="38FE5445"/>
    <w:rsid w:val="392971ED"/>
    <w:rsid w:val="39445B27"/>
    <w:rsid w:val="39551D3F"/>
    <w:rsid w:val="398745F8"/>
    <w:rsid w:val="39897C3B"/>
    <w:rsid w:val="3994548F"/>
    <w:rsid w:val="39AE72B7"/>
    <w:rsid w:val="39D4535A"/>
    <w:rsid w:val="39D70C1D"/>
    <w:rsid w:val="39FB20D9"/>
    <w:rsid w:val="3A4E5A4A"/>
    <w:rsid w:val="3A5E0035"/>
    <w:rsid w:val="3A682055"/>
    <w:rsid w:val="3ADB0022"/>
    <w:rsid w:val="3AE0752F"/>
    <w:rsid w:val="3AFD7E82"/>
    <w:rsid w:val="3B007A89"/>
    <w:rsid w:val="3B312338"/>
    <w:rsid w:val="3B3763D1"/>
    <w:rsid w:val="3B4736B1"/>
    <w:rsid w:val="3B4E283D"/>
    <w:rsid w:val="3B6B6DAB"/>
    <w:rsid w:val="3B912DD7"/>
    <w:rsid w:val="3BA50921"/>
    <w:rsid w:val="3BAC751F"/>
    <w:rsid w:val="3BB64095"/>
    <w:rsid w:val="3BC76709"/>
    <w:rsid w:val="3BE253E0"/>
    <w:rsid w:val="3C656005"/>
    <w:rsid w:val="3C6B78E6"/>
    <w:rsid w:val="3C710B39"/>
    <w:rsid w:val="3C7E335B"/>
    <w:rsid w:val="3CBB45AF"/>
    <w:rsid w:val="3CCA2A44"/>
    <w:rsid w:val="3CDA245A"/>
    <w:rsid w:val="3CEE0A37"/>
    <w:rsid w:val="3D04186E"/>
    <w:rsid w:val="3D314871"/>
    <w:rsid w:val="3D31661F"/>
    <w:rsid w:val="3D355242"/>
    <w:rsid w:val="3D3659E4"/>
    <w:rsid w:val="3D604776"/>
    <w:rsid w:val="3D6F0EF6"/>
    <w:rsid w:val="3D785FFC"/>
    <w:rsid w:val="3DFD4754"/>
    <w:rsid w:val="3E3D6021"/>
    <w:rsid w:val="3ED454B4"/>
    <w:rsid w:val="3F315B9B"/>
    <w:rsid w:val="3F4A39C9"/>
    <w:rsid w:val="3F6031EC"/>
    <w:rsid w:val="3F660E74"/>
    <w:rsid w:val="3F6820A1"/>
    <w:rsid w:val="3F792812"/>
    <w:rsid w:val="3FC108EA"/>
    <w:rsid w:val="3FD10B92"/>
    <w:rsid w:val="3FD55988"/>
    <w:rsid w:val="3FF04570"/>
    <w:rsid w:val="40152228"/>
    <w:rsid w:val="405F34A4"/>
    <w:rsid w:val="40644F5E"/>
    <w:rsid w:val="40714F85"/>
    <w:rsid w:val="407A6407"/>
    <w:rsid w:val="40AD0CBF"/>
    <w:rsid w:val="40BE641C"/>
    <w:rsid w:val="40F55BB6"/>
    <w:rsid w:val="410858E9"/>
    <w:rsid w:val="410E1C20"/>
    <w:rsid w:val="413466DE"/>
    <w:rsid w:val="41567ED7"/>
    <w:rsid w:val="41664660"/>
    <w:rsid w:val="41986C6D"/>
    <w:rsid w:val="41F8770C"/>
    <w:rsid w:val="42386CE9"/>
    <w:rsid w:val="423A3BCC"/>
    <w:rsid w:val="4278399C"/>
    <w:rsid w:val="428216CB"/>
    <w:rsid w:val="42CF5E08"/>
    <w:rsid w:val="430F11B1"/>
    <w:rsid w:val="433A6FE6"/>
    <w:rsid w:val="433B6181"/>
    <w:rsid w:val="434E7724"/>
    <w:rsid w:val="4350713C"/>
    <w:rsid w:val="43594986"/>
    <w:rsid w:val="43601A0D"/>
    <w:rsid w:val="436653E0"/>
    <w:rsid w:val="438E5124"/>
    <w:rsid w:val="4392593E"/>
    <w:rsid w:val="43B104BA"/>
    <w:rsid w:val="43B27D8E"/>
    <w:rsid w:val="440D0743"/>
    <w:rsid w:val="44332C7D"/>
    <w:rsid w:val="4456696C"/>
    <w:rsid w:val="445A645C"/>
    <w:rsid w:val="446C43E1"/>
    <w:rsid w:val="448654A3"/>
    <w:rsid w:val="44C67F95"/>
    <w:rsid w:val="44CD14E0"/>
    <w:rsid w:val="44E95A32"/>
    <w:rsid w:val="45321187"/>
    <w:rsid w:val="45824D6D"/>
    <w:rsid w:val="458946E9"/>
    <w:rsid w:val="458F482B"/>
    <w:rsid w:val="459E4A6E"/>
    <w:rsid w:val="459E5A0D"/>
    <w:rsid w:val="45A67BBE"/>
    <w:rsid w:val="45AE4996"/>
    <w:rsid w:val="45B20519"/>
    <w:rsid w:val="45C049E4"/>
    <w:rsid w:val="45C76F7B"/>
    <w:rsid w:val="45E43276"/>
    <w:rsid w:val="45EC3A2B"/>
    <w:rsid w:val="46047B36"/>
    <w:rsid w:val="46407634"/>
    <w:rsid w:val="464C44CA"/>
    <w:rsid w:val="4658104D"/>
    <w:rsid w:val="46601D24"/>
    <w:rsid w:val="467A1037"/>
    <w:rsid w:val="46805CA0"/>
    <w:rsid w:val="46810ECB"/>
    <w:rsid w:val="469A3487"/>
    <w:rsid w:val="46B12489"/>
    <w:rsid w:val="46C92F6B"/>
    <w:rsid w:val="46D955A7"/>
    <w:rsid w:val="46EE732F"/>
    <w:rsid w:val="47133957"/>
    <w:rsid w:val="471A6376"/>
    <w:rsid w:val="471C3E9C"/>
    <w:rsid w:val="4768154A"/>
    <w:rsid w:val="4779329E"/>
    <w:rsid w:val="477E24A6"/>
    <w:rsid w:val="47A07E0C"/>
    <w:rsid w:val="47B36031"/>
    <w:rsid w:val="47B45D0F"/>
    <w:rsid w:val="47B7722C"/>
    <w:rsid w:val="480E207F"/>
    <w:rsid w:val="482A25E9"/>
    <w:rsid w:val="48311BC9"/>
    <w:rsid w:val="483671E0"/>
    <w:rsid w:val="48496F13"/>
    <w:rsid w:val="4870272E"/>
    <w:rsid w:val="487E032C"/>
    <w:rsid w:val="48DF1625"/>
    <w:rsid w:val="4936363E"/>
    <w:rsid w:val="495F2766"/>
    <w:rsid w:val="49647D7D"/>
    <w:rsid w:val="496B2EB9"/>
    <w:rsid w:val="49961C68"/>
    <w:rsid w:val="49AD1724"/>
    <w:rsid w:val="49AD702E"/>
    <w:rsid w:val="49B91E77"/>
    <w:rsid w:val="49D40A5E"/>
    <w:rsid w:val="49DC7715"/>
    <w:rsid w:val="4A023139"/>
    <w:rsid w:val="4A0A4883"/>
    <w:rsid w:val="4A2D17A7"/>
    <w:rsid w:val="4A3A775E"/>
    <w:rsid w:val="4A3C5376"/>
    <w:rsid w:val="4A7364C9"/>
    <w:rsid w:val="4A7B576F"/>
    <w:rsid w:val="4A8D0C0F"/>
    <w:rsid w:val="4A8F4B67"/>
    <w:rsid w:val="4ADF7A57"/>
    <w:rsid w:val="4AFD3FE5"/>
    <w:rsid w:val="4AFF5FAF"/>
    <w:rsid w:val="4B090BDC"/>
    <w:rsid w:val="4B2E23F0"/>
    <w:rsid w:val="4B3043BA"/>
    <w:rsid w:val="4B6D2F19"/>
    <w:rsid w:val="4B814C16"/>
    <w:rsid w:val="4B8D7117"/>
    <w:rsid w:val="4B9A5CD8"/>
    <w:rsid w:val="4BB723E6"/>
    <w:rsid w:val="4BC67C69"/>
    <w:rsid w:val="4BF83930"/>
    <w:rsid w:val="4C2430DE"/>
    <w:rsid w:val="4C4210F4"/>
    <w:rsid w:val="4C4A0649"/>
    <w:rsid w:val="4C63431C"/>
    <w:rsid w:val="4C716A38"/>
    <w:rsid w:val="4C7E4CB1"/>
    <w:rsid w:val="4CA35402"/>
    <w:rsid w:val="4CA54934"/>
    <w:rsid w:val="4CE23894"/>
    <w:rsid w:val="4CE470D3"/>
    <w:rsid w:val="4CFD651E"/>
    <w:rsid w:val="4D245859"/>
    <w:rsid w:val="4D3B28F3"/>
    <w:rsid w:val="4D4D1254"/>
    <w:rsid w:val="4D580212"/>
    <w:rsid w:val="4DAB7D28"/>
    <w:rsid w:val="4DB27309"/>
    <w:rsid w:val="4DB841F3"/>
    <w:rsid w:val="4DBF5582"/>
    <w:rsid w:val="4DCB5BCE"/>
    <w:rsid w:val="4DEC4FB0"/>
    <w:rsid w:val="4DEE5E67"/>
    <w:rsid w:val="4E0557BA"/>
    <w:rsid w:val="4E067654"/>
    <w:rsid w:val="4E075D8A"/>
    <w:rsid w:val="4E0833CC"/>
    <w:rsid w:val="4E140C20"/>
    <w:rsid w:val="4E524648"/>
    <w:rsid w:val="4E6A7BE3"/>
    <w:rsid w:val="4EEC05F8"/>
    <w:rsid w:val="4EEE25C2"/>
    <w:rsid w:val="4EF63225"/>
    <w:rsid w:val="4EF92D15"/>
    <w:rsid w:val="4F2A50AF"/>
    <w:rsid w:val="4F551C23"/>
    <w:rsid w:val="4F5F10C1"/>
    <w:rsid w:val="4FB94E44"/>
    <w:rsid w:val="4FC62A8C"/>
    <w:rsid w:val="4FCC21D8"/>
    <w:rsid w:val="4FDA48F5"/>
    <w:rsid w:val="4FE20F0D"/>
    <w:rsid w:val="4FE90FDC"/>
    <w:rsid w:val="4FED130B"/>
    <w:rsid w:val="500D0826"/>
    <w:rsid w:val="504306EC"/>
    <w:rsid w:val="50504C4B"/>
    <w:rsid w:val="505B6325"/>
    <w:rsid w:val="509C6E7C"/>
    <w:rsid w:val="50A9327B"/>
    <w:rsid w:val="50D17AA6"/>
    <w:rsid w:val="50DE21C3"/>
    <w:rsid w:val="50F419E6"/>
    <w:rsid w:val="5107796B"/>
    <w:rsid w:val="51230FED"/>
    <w:rsid w:val="51313562"/>
    <w:rsid w:val="514A5AAA"/>
    <w:rsid w:val="5162104E"/>
    <w:rsid w:val="516528E4"/>
    <w:rsid w:val="5167079B"/>
    <w:rsid w:val="51715F7E"/>
    <w:rsid w:val="5180064F"/>
    <w:rsid w:val="51B82A14"/>
    <w:rsid w:val="51C57A7C"/>
    <w:rsid w:val="523A78CD"/>
    <w:rsid w:val="5262282F"/>
    <w:rsid w:val="526D1A50"/>
    <w:rsid w:val="528F1AE6"/>
    <w:rsid w:val="529B480F"/>
    <w:rsid w:val="52AD62F0"/>
    <w:rsid w:val="52ED493F"/>
    <w:rsid w:val="52F1442F"/>
    <w:rsid w:val="52F91536"/>
    <w:rsid w:val="52FE4D9E"/>
    <w:rsid w:val="531B76FE"/>
    <w:rsid w:val="532108DB"/>
    <w:rsid w:val="532C5BC6"/>
    <w:rsid w:val="53311C69"/>
    <w:rsid w:val="533F6118"/>
    <w:rsid w:val="535976DD"/>
    <w:rsid w:val="537137C2"/>
    <w:rsid w:val="537F50D6"/>
    <w:rsid w:val="53A039CC"/>
    <w:rsid w:val="53A1505A"/>
    <w:rsid w:val="53A96AB8"/>
    <w:rsid w:val="53D0294E"/>
    <w:rsid w:val="53D33B35"/>
    <w:rsid w:val="53E70726"/>
    <w:rsid w:val="53F07FDD"/>
    <w:rsid w:val="53F341D7"/>
    <w:rsid w:val="53F87A3F"/>
    <w:rsid w:val="54012C66"/>
    <w:rsid w:val="54063E08"/>
    <w:rsid w:val="540754A1"/>
    <w:rsid w:val="540957EA"/>
    <w:rsid w:val="541303D5"/>
    <w:rsid w:val="542E076B"/>
    <w:rsid w:val="54307A95"/>
    <w:rsid w:val="543437E8"/>
    <w:rsid w:val="54482775"/>
    <w:rsid w:val="544B7B6F"/>
    <w:rsid w:val="544E58B1"/>
    <w:rsid w:val="546849A7"/>
    <w:rsid w:val="548412D3"/>
    <w:rsid w:val="548F2F83"/>
    <w:rsid w:val="54B43966"/>
    <w:rsid w:val="551663CF"/>
    <w:rsid w:val="55254864"/>
    <w:rsid w:val="55466588"/>
    <w:rsid w:val="55562C6F"/>
    <w:rsid w:val="559B174B"/>
    <w:rsid w:val="55A21A11"/>
    <w:rsid w:val="55B160F8"/>
    <w:rsid w:val="55CE0CF4"/>
    <w:rsid w:val="55E9561A"/>
    <w:rsid w:val="560C77D2"/>
    <w:rsid w:val="56300645"/>
    <w:rsid w:val="56343FEB"/>
    <w:rsid w:val="5637484F"/>
    <w:rsid w:val="563C6841"/>
    <w:rsid w:val="564610AD"/>
    <w:rsid w:val="56811F6E"/>
    <w:rsid w:val="569C7FF0"/>
    <w:rsid w:val="56B22A9C"/>
    <w:rsid w:val="56CE4A87"/>
    <w:rsid w:val="56D007FF"/>
    <w:rsid w:val="56E5115C"/>
    <w:rsid w:val="56F6280F"/>
    <w:rsid w:val="571701DC"/>
    <w:rsid w:val="571A7727"/>
    <w:rsid w:val="574D00A2"/>
    <w:rsid w:val="577F3822"/>
    <w:rsid w:val="57882E88"/>
    <w:rsid w:val="578B0B5D"/>
    <w:rsid w:val="579A34E7"/>
    <w:rsid w:val="57A27CE8"/>
    <w:rsid w:val="57AE6D93"/>
    <w:rsid w:val="57B72A76"/>
    <w:rsid w:val="57E466E8"/>
    <w:rsid w:val="57ED1C16"/>
    <w:rsid w:val="57F61425"/>
    <w:rsid w:val="57FA1FD8"/>
    <w:rsid w:val="580D3D8A"/>
    <w:rsid w:val="582165AC"/>
    <w:rsid w:val="58592953"/>
    <w:rsid w:val="58731D08"/>
    <w:rsid w:val="589D7786"/>
    <w:rsid w:val="58BE5CB3"/>
    <w:rsid w:val="58ED4F64"/>
    <w:rsid w:val="59126EAD"/>
    <w:rsid w:val="5919023C"/>
    <w:rsid w:val="59367040"/>
    <w:rsid w:val="593D4189"/>
    <w:rsid w:val="594F3329"/>
    <w:rsid w:val="598633F7"/>
    <w:rsid w:val="59B3123E"/>
    <w:rsid w:val="59B62116"/>
    <w:rsid w:val="59BE55B6"/>
    <w:rsid w:val="59DF76D7"/>
    <w:rsid w:val="5A2E7D17"/>
    <w:rsid w:val="5A3C747D"/>
    <w:rsid w:val="5A3F1F24"/>
    <w:rsid w:val="5A4620CF"/>
    <w:rsid w:val="5A4E4B19"/>
    <w:rsid w:val="5A6F20DD"/>
    <w:rsid w:val="5A796118"/>
    <w:rsid w:val="5ABE2233"/>
    <w:rsid w:val="5ACE2065"/>
    <w:rsid w:val="5AD50DCB"/>
    <w:rsid w:val="5AF32D0E"/>
    <w:rsid w:val="5AFF7905"/>
    <w:rsid w:val="5B0647F0"/>
    <w:rsid w:val="5B224E28"/>
    <w:rsid w:val="5B276D18"/>
    <w:rsid w:val="5B280C0A"/>
    <w:rsid w:val="5B5714EF"/>
    <w:rsid w:val="5B841BB9"/>
    <w:rsid w:val="5B842E95"/>
    <w:rsid w:val="5B8B2F47"/>
    <w:rsid w:val="5BA5225B"/>
    <w:rsid w:val="5BD04E69"/>
    <w:rsid w:val="5BDF5D95"/>
    <w:rsid w:val="5C036F81"/>
    <w:rsid w:val="5C207B33"/>
    <w:rsid w:val="5C2869E8"/>
    <w:rsid w:val="5C566F61"/>
    <w:rsid w:val="5C6A5252"/>
    <w:rsid w:val="5C734895"/>
    <w:rsid w:val="5C9B365E"/>
    <w:rsid w:val="5CB14C2F"/>
    <w:rsid w:val="5CCA40BB"/>
    <w:rsid w:val="5CE01ACD"/>
    <w:rsid w:val="5CF76AE6"/>
    <w:rsid w:val="5D3513BC"/>
    <w:rsid w:val="5DA622BA"/>
    <w:rsid w:val="5DD6354A"/>
    <w:rsid w:val="5DF87A0F"/>
    <w:rsid w:val="5E323B4E"/>
    <w:rsid w:val="5E437B09"/>
    <w:rsid w:val="5E8E347A"/>
    <w:rsid w:val="5ED31A7E"/>
    <w:rsid w:val="5EDD2E98"/>
    <w:rsid w:val="5EE66E12"/>
    <w:rsid w:val="5EFD2476"/>
    <w:rsid w:val="5F1A2B43"/>
    <w:rsid w:val="5F304531"/>
    <w:rsid w:val="5F7C67F0"/>
    <w:rsid w:val="5F8216C9"/>
    <w:rsid w:val="5F990611"/>
    <w:rsid w:val="5FB837BB"/>
    <w:rsid w:val="5FDF5233"/>
    <w:rsid w:val="5FF27A39"/>
    <w:rsid w:val="600F2399"/>
    <w:rsid w:val="60511E26"/>
    <w:rsid w:val="605B3C1F"/>
    <w:rsid w:val="60851D75"/>
    <w:rsid w:val="60BB7E2A"/>
    <w:rsid w:val="60E537B3"/>
    <w:rsid w:val="611539DF"/>
    <w:rsid w:val="611B3299"/>
    <w:rsid w:val="611C2FBF"/>
    <w:rsid w:val="612E2870"/>
    <w:rsid w:val="6132374E"/>
    <w:rsid w:val="617F354E"/>
    <w:rsid w:val="61840B64"/>
    <w:rsid w:val="618D7A19"/>
    <w:rsid w:val="61A37367"/>
    <w:rsid w:val="61AC1296"/>
    <w:rsid w:val="61F71336"/>
    <w:rsid w:val="62364782"/>
    <w:rsid w:val="62617CD5"/>
    <w:rsid w:val="62741294"/>
    <w:rsid w:val="628232F6"/>
    <w:rsid w:val="629E63D3"/>
    <w:rsid w:val="630A1AD1"/>
    <w:rsid w:val="630E2DDB"/>
    <w:rsid w:val="63133D3B"/>
    <w:rsid w:val="632C6D8E"/>
    <w:rsid w:val="634D48D9"/>
    <w:rsid w:val="635D341B"/>
    <w:rsid w:val="636724EC"/>
    <w:rsid w:val="636D667E"/>
    <w:rsid w:val="63A252D2"/>
    <w:rsid w:val="63BA1B63"/>
    <w:rsid w:val="63C17E4E"/>
    <w:rsid w:val="63C60C88"/>
    <w:rsid w:val="63C65464"/>
    <w:rsid w:val="63D37741"/>
    <w:rsid w:val="63D40BE9"/>
    <w:rsid w:val="63DB4953"/>
    <w:rsid w:val="63E0211F"/>
    <w:rsid w:val="63FE69AC"/>
    <w:rsid w:val="644338BB"/>
    <w:rsid w:val="64497C08"/>
    <w:rsid w:val="64722EF6"/>
    <w:rsid w:val="6484382A"/>
    <w:rsid w:val="64B232E9"/>
    <w:rsid w:val="64EA091A"/>
    <w:rsid w:val="65175354"/>
    <w:rsid w:val="652561BA"/>
    <w:rsid w:val="65373578"/>
    <w:rsid w:val="653F727C"/>
    <w:rsid w:val="65464435"/>
    <w:rsid w:val="65520A07"/>
    <w:rsid w:val="65574DC9"/>
    <w:rsid w:val="656767D3"/>
    <w:rsid w:val="65723276"/>
    <w:rsid w:val="6581192F"/>
    <w:rsid w:val="659D3FA3"/>
    <w:rsid w:val="65A57CE7"/>
    <w:rsid w:val="65C6028E"/>
    <w:rsid w:val="65D200F0"/>
    <w:rsid w:val="65E860BF"/>
    <w:rsid w:val="660E6C4E"/>
    <w:rsid w:val="66196FE6"/>
    <w:rsid w:val="662A1F26"/>
    <w:rsid w:val="664803B2"/>
    <w:rsid w:val="666E7EDF"/>
    <w:rsid w:val="66723681"/>
    <w:rsid w:val="66990B16"/>
    <w:rsid w:val="66C739CD"/>
    <w:rsid w:val="67136C12"/>
    <w:rsid w:val="671569C4"/>
    <w:rsid w:val="671D0A7A"/>
    <w:rsid w:val="67226E55"/>
    <w:rsid w:val="673F2C7A"/>
    <w:rsid w:val="674C7A2E"/>
    <w:rsid w:val="67796DED"/>
    <w:rsid w:val="67CD1DE2"/>
    <w:rsid w:val="680E73DA"/>
    <w:rsid w:val="68112A26"/>
    <w:rsid w:val="68185BEC"/>
    <w:rsid w:val="681F6961"/>
    <w:rsid w:val="68240D79"/>
    <w:rsid w:val="68481B34"/>
    <w:rsid w:val="68610A2F"/>
    <w:rsid w:val="68805514"/>
    <w:rsid w:val="68B27D65"/>
    <w:rsid w:val="68E41190"/>
    <w:rsid w:val="690158BE"/>
    <w:rsid w:val="69146C72"/>
    <w:rsid w:val="694E2071"/>
    <w:rsid w:val="697A3B33"/>
    <w:rsid w:val="69833C19"/>
    <w:rsid w:val="69977CA6"/>
    <w:rsid w:val="699E2456"/>
    <w:rsid w:val="69B16CFF"/>
    <w:rsid w:val="69B813AB"/>
    <w:rsid w:val="69DC778F"/>
    <w:rsid w:val="69F83CD4"/>
    <w:rsid w:val="6A1011E7"/>
    <w:rsid w:val="6A154A4F"/>
    <w:rsid w:val="6A31115D"/>
    <w:rsid w:val="6A4946F9"/>
    <w:rsid w:val="6A4F55F8"/>
    <w:rsid w:val="6A6E4160"/>
    <w:rsid w:val="6A815C41"/>
    <w:rsid w:val="6AB3773E"/>
    <w:rsid w:val="6AC45DE2"/>
    <w:rsid w:val="6ACF2350"/>
    <w:rsid w:val="6ACF672D"/>
    <w:rsid w:val="6AD0578E"/>
    <w:rsid w:val="6AE121A5"/>
    <w:rsid w:val="6B322639"/>
    <w:rsid w:val="6B376C47"/>
    <w:rsid w:val="6B43383E"/>
    <w:rsid w:val="6B5E6668"/>
    <w:rsid w:val="6B7320F8"/>
    <w:rsid w:val="6B7A4457"/>
    <w:rsid w:val="6B9419A4"/>
    <w:rsid w:val="6BCF6E80"/>
    <w:rsid w:val="6BEC7A32"/>
    <w:rsid w:val="6BF27EC6"/>
    <w:rsid w:val="6C270A6A"/>
    <w:rsid w:val="6C636C38"/>
    <w:rsid w:val="6C6574F7"/>
    <w:rsid w:val="6C7A3290"/>
    <w:rsid w:val="6CBD4F2A"/>
    <w:rsid w:val="6D1301DD"/>
    <w:rsid w:val="6D2A6A64"/>
    <w:rsid w:val="6D457D27"/>
    <w:rsid w:val="6D7F4976"/>
    <w:rsid w:val="6DB34098"/>
    <w:rsid w:val="6DB545B6"/>
    <w:rsid w:val="6DB620A5"/>
    <w:rsid w:val="6DE9247B"/>
    <w:rsid w:val="6DF606F4"/>
    <w:rsid w:val="6DF75589"/>
    <w:rsid w:val="6E0C7F17"/>
    <w:rsid w:val="6E182D60"/>
    <w:rsid w:val="6E22773B"/>
    <w:rsid w:val="6E4375A0"/>
    <w:rsid w:val="6E514CED"/>
    <w:rsid w:val="6E6565BB"/>
    <w:rsid w:val="6E79491A"/>
    <w:rsid w:val="6E800918"/>
    <w:rsid w:val="6E9028F6"/>
    <w:rsid w:val="6E964316"/>
    <w:rsid w:val="6E9E14B7"/>
    <w:rsid w:val="6EB563D5"/>
    <w:rsid w:val="6EB72579"/>
    <w:rsid w:val="6EB81E4D"/>
    <w:rsid w:val="6ED22F0F"/>
    <w:rsid w:val="6EF52827"/>
    <w:rsid w:val="6F225983"/>
    <w:rsid w:val="6F2B261F"/>
    <w:rsid w:val="6F347726"/>
    <w:rsid w:val="6F4615BE"/>
    <w:rsid w:val="6F6F66DE"/>
    <w:rsid w:val="6F742218"/>
    <w:rsid w:val="6F8911B4"/>
    <w:rsid w:val="6FCE7B7A"/>
    <w:rsid w:val="6FFC5590"/>
    <w:rsid w:val="6FFD4051"/>
    <w:rsid w:val="70301DA3"/>
    <w:rsid w:val="70650AD5"/>
    <w:rsid w:val="706A53C9"/>
    <w:rsid w:val="706D1DD0"/>
    <w:rsid w:val="70761FC0"/>
    <w:rsid w:val="707E38C7"/>
    <w:rsid w:val="70856B87"/>
    <w:rsid w:val="70A66401"/>
    <w:rsid w:val="70D171F6"/>
    <w:rsid w:val="70D527EE"/>
    <w:rsid w:val="71267542"/>
    <w:rsid w:val="715B5300"/>
    <w:rsid w:val="715F4BD7"/>
    <w:rsid w:val="71801CDF"/>
    <w:rsid w:val="71D04E8D"/>
    <w:rsid w:val="71D27F8A"/>
    <w:rsid w:val="71D62D16"/>
    <w:rsid w:val="71E73175"/>
    <w:rsid w:val="71F744C6"/>
    <w:rsid w:val="71F960CF"/>
    <w:rsid w:val="72404633"/>
    <w:rsid w:val="72772821"/>
    <w:rsid w:val="727F515C"/>
    <w:rsid w:val="72AC1ED3"/>
    <w:rsid w:val="72C74EA1"/>
    <w:rsid w:val="73051C88"/>
    <w:rsid w:val="73165394"/>
    <w:rsid w:val="731F5D5E"/>
    <w:rsid w:val="733046A8"/>
    <w:rsid w:val="73375A36"/>
    <w:rsid w:val="73397A01"/>
    <w:rsid w:val="73440153"/>
    <w:rsid w:val="73774085"/>
    <w:rsid w:val="738D3C94"/>
    <w:rsid w:val="73AB01D2"/>
    <w:rsid w:val="73CB289A"/>
    <w:rsid w:val="73D5156F"/>
    <w:rsid w:val="74003B5C"/>
    <w:rsid w:val="7414425C"/>
    <w:rsid w:val="741B2C62"/>
    <w:rsid w:val="741E793C"/>
    <w:rsid w:val="74254C10"/>
    <w:rsid w:val="74326410"/>
    <w:rsid w:val="7450329B"/>
    <w:rsid w:val="74512A0F"/>
    <w:rsid w:val="747405C4"/>
    <w:rsid w:val="74797C0D"/>
    <w:rsid w:val="748713D8"/>
    <w:rsid w:val="748B71CF"/>
    <w:rsid w:val="74A0585D"/>
    <w:rsid w:val="74AB5B98"/>
    <w:rsid w:val="74C27582"/>
    <w:rsid w:val="74D13C69"/>
    <w:rsid w:val="74E7523A"/>
    <w:rsid w:val="7534437F"/>
    <w:rsid w:val="753B43F0"/>
    <w:rsid w:val="75565B5A"/>
    <w:rsid w:val="755C1784"/>
    <w:rsid w:val="75671ED7"/>
    <w:rsid w:val="75750A98"/>
    <w:rsid w:val="757E794D"/>
    <w:rsid w:val="758D75E2"/>
    <w:rsid w:val="75A5137D"/>
    <w:rsid w:val="75A771F3"/>
    <w:rsid w:val="75D26B5C"/>
    <w:rsid w:val="75EF084A"/>
    <w:rsid w:val="75F6437C"/>
    <w:rsid w:val="761F5EF4"/>
    <w:rsid w:val="764F12E9"/>
    <w:rsid w:val="76760624"/>
    <w:rsid w:val="769D02A6"/>
    <w:rsid w:val="76AA0855"/>
    <w:rsid w:val="76AC04E9"/>
    <w:rsid w:val="76B247D5"/>
    <w:rsid w:val="76C738D8"/>
    <w:rsid w:val="76EA1012"/>
    <w:rsid w:val="77464FA3"/>
    <w:rsid w:val="775748F9"/>
    <w:rsid w:val="775C3CBE"/>
    <w:rsid w:val="77626DFA"/>
    <w:rsid w:val="77762421"/>
    <w:rsid w:val="779C67B0"/>
    <w:rsid w:val="77CB0E43"/>
    <w:rsid w:val="77D25D2E"/>
    <w:rsid w:val="77EF5926"/>
    <w:rsid w:val="77FC0FFD"/>
    <w:rsid w:val="780F09F4"/>
    <w:rsid w:val="78422EAA"/>
    <w:rsid w:val="785018C1"/>
    <w:rsid w:val="78570929"/>
    <w:rsid w:val="78592CEC"/>
    <w:rsid w:val="786C6182"/>
    <w:rsid w:val="786D5A56"/>
    <w:rsid w:val="787351AC"/>
    <w:rsid w:val="789C4F47"/>
    <w:rsid w:val="78A90480"/>
    <w:rsid w:val="78CF04BF"/>
    <w:rsid w:val="78E026CC"/>
    <w:rsid w:val="791800B8"/>
    <w:rsid w:val="791B1956"/>
    <w:rsid w:val="791F131F"/>
    <w:rsid w:val="79312F28"/>
    <w:rsid w:val="79700F04"/>
    <w:rsid w:val="797A07C3"/>
    <w:rsid w:val="79811327"/>
    <w:rsid w:val="798219D5"/>
    <w:rsid w:val="79921C19"/>
    <w:rsid w:val="79D42567"/>
    <w:rsid w:val="79FA77BE"/>
    <w:rsid w:val="79FC7E8B"/>
    <w:rsid w:val="7A13262E"/>
    <w:rsid w:val="7A182DD0"/>
    <w:rsid w:val="7A2B3E1B"/>
    <w:rsid w:val="7A364017"/>
    <w:rsid w:val="7A4A1840"/>
    <w:rsid w:val="7A513882"/>
    <w:rsid w:val="7A807CC3"/>
    <w:rsid w:val="7A8265E1"/>
    <w:rsid w:val="7A94551C"/>
    <w:rsid w:val="7ACB185B"/>
    <w:rsid w:val="7AF81F4F"/>
    <w:rsid w:val="7AF97A75"/>
    <w:rsid w:val="7B046089"/>
    <w:rsid w:val="7B120BD1"/>
    <w:rsid w:val="7B191EC6"/>
    <w:rsid w:val="7B3665D4"/>
    <w:rsid w:val="7B38234C"/>
    <w:rsid w:val="7B62561B"/>
    <w:rsid w:val="7B686D42"/>
    <w:rsid w:val="7B7535A0"/>
    <w:rsid w:val="7B7A4FEC"/>
    <w:rsid w:val="7B841746"/>
    <w:rsid w:val="7B8E4662"/>
    <w:rsid w:val="7B9F686F"/>
    <w:rsid w:val="7BC2337B"/>
    <w:rsid w:val="7BE61DA8"/>
    <w:rsid w:val="7BF02DB2"/>
    <w:rsid w:val="7C2E19A1"/>
    <w:rsid w:val="7C8D66C7"/>
    <w:rsid w:val="7C902F6B"/>
    <w:rsid w:val="7C97086B"/>
    <w:rsid w:val="7CBA0902"/>
    <w:rsid w:val="7CEB2378"/>
    <w:rsid w:val="7D0239FF"/>
    <w:rsid w:val="7D0746CC"/>
    <w:rsid w:val="7D133070"/>
    <w:rsid w:val="7D136291"/>
    <w:rsid w:val="7D272678"/>
    <w:rsid w:val="7D3D3460"/>
    <w:rsid w:val="7D5D078F"/>
    <w:rsid w:val="7D5E40CD"/>
    <w:rsid w:val="7D650B15"/>
    <w:rsid w:val="7D693BED"/>
    <w:rsid w:val="7DAB60D6"/>
    <w:rsid w:val="7DBF0B02"/>
    <w:rsid w:val="7DC3726C"/>
    <w:rsid w:val="7DE02BCB"/>
    <w:rsid w:val="7E1803F3"/>
    <w:rsid w:val="7E2D0162"/>
    <w:rsid w:val="7E682F48"/>
    <w:rsid w:val="7E8B6C36"/>
    <w:rsid w:val="7E97148B"/>
    <w:rsid w:val="7EA06B86"/>
    <w:rsid w:val="7EAE4BA1"/>
    <w:rsid w:val="7EB10D93"/>
    <w:rsid w:val="7EBC02D1"/>
    <w:rsid w:val="7EBE700C"/>
    <w:rsid w:val="7EBF4B32"/>
    <w:rsid w:val="7EE36A72"/>
    <w:rsid w:val="7EEC1E59"/>
    <w:rsid w:val="7F47040C"/>
    <w:rsid w:val="7F8F2756"/>
    <w:rsid w:val="7FBF303C"/>
    <w:rsid w:val="7FC06DB4"/>
    <w:rsid w:val="7FD46787"/>
    <w:rsid w:val="7FE47E50"/>
    <w:rsid w:val="7FEF6197"/>
    <w:rsid w:val="7FF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numPr>
        <w:ilvl w:val="1"/>
        <w:numId w:val="1"/>
      </w:numPr>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semiHidden/>
    <w:qFormat/>
    <w:uiPriority w:val="0"/>
    <w:rPr>
      <w:rFonts w:cs="宋体"/>
      <w:szCs w:val="20"/>
    </w:rPr>
  </w:style>
  <w:style w:type="paragraph" w:styleId="5">
    <w:name w:val="List 3"/>
    <w:basedOn w:val="1"/>
    <w:qFormat/>
    <w:uiPriority w:val="0"/>
    <w:pPr>
      <w:keepLines/>
      <w:kinsoku w:val="0"/>
      <w:overflowPunct w:val="0"/>
      <w:jc w:val="center"/>
      <w:textAlignment w:val="center"/>
    </w:pPr>
    <w:rPr>
      <w:rFonts w:eastAsia="仿宋_GB2312"/>
    </w:rPr>
  </w:style>
  <w:style w:type="paragraph" w:styleId="6">
    <w:name w:val="Normal Indent"/>
    <w:basedOn w:val="1"/>
    <w:qFormat/>
    <w:uiPriority w:val="0"/>
    <w:pPr>
      <w:ind w:firstLine="420" w:firstLineChars="200"/>
    </w:pPr>
    <w:rPr>
      <w:szCs w:val="20"/>
    </w:rPr>
  </w:style>
  <w:style w:type="paragraph" w:styleId="7">
    <w:name w:val="annotation text"/>
    <w:basedOn w:val="1"/>
    <w:link w:val="36"/>
    <w:semiHidden/>
    <w:qFormat/>
    <w:uiPriority w:val="0"/>
    <w:pPr>
      <w:jc w:val="left"/>
    </w:pPr>
    <w:rPr>
      <w:kern w:val="0"/>
      <w:sz w:val="20"/>
    </w:rPr>
  </w:style>
  <w:style w:type="paragraph" w:styleId="8">
    <w:name w:val="Body Text"/>
    <w:basedOn w:val="1"/>
    <w:link w:val="31"/>
    <w:qFormat/>
    <w:uiPriority w:val="0"/>
    <w:pPr>
      <w:widowControl/>
      <w:snapToGrid w:val="0"/>
      <w:spacing w:before="60" w:after="160" w:line="259" w:lineRule="auto"/>
      <w:ind w:right="113"/>
    </w:pPr>
    <w:rPr>
      <w:kern w:val="0"/>
      <w:sz w:val="18"/>
      <w:szCs w:val="18"/>
    </w:rPr>
  </w:style>
  <w:style w:type="paragraph" w:styleId="9">
    <w:name w:val="Body Text Indent"/>
    <w:basedOn w:val="1"/>
    <w:link w:val="32"/>
    <w:semiHidden/>
    <w:qFormat/>
    <w:uiPriority w:val="0"/>
    <w:pPr>
      <w:spacing w:after="120"/>
      <w:ind w:left="420" w:leftChars="200"/>
    </w:pPr>
  </w:style>
  <w:style w:type="paragraph" w:styleId="10">
    <w:name w:val="toc 3"/>
    <w:basedOn w:val="1"/>
    <w:next w:val="1"/>
    <w:unhideWhenUsed/>
    <w:qFormat/>
    <w:locked/>
    <w:uiPriority w:val="39"/>
    <w:pPr>
      <w:widowControl/>
      <w:spacing w:after="100" w:line="276" w:lineRule="auto"/>
      <w:ind w:left="440"/>
      <w:jc w:val="left"/>
    </w:pPr>
    <w:rPr>
      <w:rFonts w:ascii="Calibri" w:hAnsi="Calibri"/>
      <w:kern w:val="0"/>
      <w:sz w:val="22"/>
      <w:szCs w:val="22"/>
    </w:rPr>
  </w:style>
  <w:style w:type="paragraph" w:styleId="11">
    <w:name w:val="Date"/>
    <w:basedOn w:val="1"/>
    <w:next w:val="1"/>
    <w:link w:val="27"/>
    <w:qFormat/>
    <w:uiPriority w:val="0"/>
    <w:pPr>
      <w:ind w:left="100" w:leftChars="2500"/>
    </w:pPr>
    <w:rPr>
      <w:kern w:val="0"/>
      <w:sz w:val="20"/>
    </w:rPr>
  </w:style>
  <w:style w:type="paragraph" w:styleId="12">
    <w:name w:val="Balloon Text"/>
    <w:basedOn w:val="1"/>
    <w:link w:val="43"/>
    <w:semiHidden/>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locked/>
    <w:uiPriority w:val="39"/>
    <w:pPr>
      <w:widowControl/>
      <w:spacing w:after="100" w:line="276" w:lineRule="auto"/>
      <w:jc w:val="left"/>
    </w:pPr>
    <w:rPr>
      <w:rFonts w:ascii="Calibri" w:hAnsi="Calibri"/>
      <w:kern w:val="0"/>
      <w:sz w:val="22"/>
      <w:szCs w:val="22"/>
    </w:rPr>
  </w:style>
  <w:style w:type="paragraph" w:styleId="16">
    <w:name w:val="toc 2"/>
    <w:basedOn w:val="1"/>
    <w:next w:val="1"/>
    <w:unhideWhenUsed/>
    <w:qFormat/>
    <w:locked/>
    <w:uiPriority w:val="39"/>
    <w:pPr>
      <w:widowControl/>
      <w:spacing w:after="100" w:line="276" w:lineRule="auto"/>
      <w:ind w:left="220"/>
      <w:jc w:val="left"/>
    </w:pPr>
    <w:rPr>
      <w:rFonts w:ascii="Calibri" w:hAnsi="Calibri"/>
      <w:kern w:val="0"/>
      <w:sz w:val="22"/>
      <w:szCs w:val="22"/>
    </w:rPr>
  </w:style>
  <w:style w:type="paragraph" w:styleId="17">
    <w:name w:val="Normal (Web)"/>
    <w:basedOn w:val="1"/>
    <w:link w:val="45"/>
    <w:qFormat/>
    <w:uiPriority w:val="0"/>
    <w:pPr>
      <w:widowControl/>
      <w:spacing w:before="100" w:beforeAutospacing="1" w:after="100" w:afterAutospacing="1"/>
      <w:jc w:val="left"/>
    </w:pPr>
    <w:rPr>
      <w:rFonts w:ascii="宋体" w:hAnsi="宋体"/>
      <w:kern w:val="0"/>
      <w:sz w:val="24"/>
    </w:rPr>
  </w:style>
  <w:style w:type="paragraph" w:styleId="18">
    <w:name w:val="Title"/>
    <w:basedOn w:val="1"/>
    <w:next w:val="1"/>
    <w:link w:val="30"/>
    <w:qFormat/>
    <w:locked/>
    <w:uiPriority w:val="0"/>
    <w:pPr>
      <w:spacing w:before="240" w:after="60"/>
      <w:jc w:val="center"/>
      <w:outlineLvl w:val="0"/>
    </w:pPr>
    <w:rPr>
      <w:rFonts w:ascii="Cambria" w:hAnsi="Cambria"/>
      <w:b/>
      <w:bCs/>
      <w:sz w:val="32"/>
      <w:szCs w:val="32"/>
    </w:rPr>
  </w:style>
  <w:style w:type="paragraph" w:styleId="19">
    <w:name w:val="annotation subject"/>
    <w:basedOn w:val="7"/>
    <w:next w:val="7"/>
    <w:link w:val="34"/>
    <w:semiHidden/>
    <w:qFormat/>
    <w:uiPriority w:val="0"/>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unhideWhenUsed/>
    <w:qFormat/>
    <w:uiPriority w:val="99"/>
    <w:rPr>
      <w:color w:val="0000FF"/>
      <w:u w:val="single"/>
    </w:rPr>
  </w:style>
  <w:style w:type="character" w:styleId="25">
    <w:name w:val="annotation reference"/>
    <w:semiHidden/>
    <w:qFormat/>
    <w:uiPriority w:val="0"/>
    <w:rPr>
      <w:sz w:val="21"/>
    </w:rPr>
  </w:style>
  <w:style w:type="character" w:customStyle="1" w:styleId="26">
    <w:name w:val="日期 字符"/>
    <w:semiHidden/>
    <w:qFormat/>
    <w:uiPriority w:val="0"/>
    <w:rPr>
      <w:rFonts w:ascii="Times New Roman" w:hAnsi="Times New Roman" w:eastAsia="宋体" w:cs="Times New Roman"/>
      <w:sz w:val="24"/>
      <w:szCs w:val="24"/>
    </w:rPr>
  </w:style>
  <w:style w:type="character" w:customStyle="1" w:styleId="27">
    <w:name w:val="日期 字符1"/>
    <w:link w:val="11"/>
    <w:qFormat/>
    <w:locked/>
    <w:uiPriority w:val="0"/>
    <w:rPr>
      <w:rFonts w:ascii="Times New Roman" w:hAnsi="Times New Roman" w:eastAsia="宋体"/>
      <w:sz w:val="24"/>
    </w:rPr>
  </w:style>
  <w:style w:type="character" w:customStyle="1" w:styleId="28">
    <w:name w:val="页脚 Char"/>
    <w:qFormat/>
    <w:uiPriority w:val="99"/>
    <w:rPr>
      <w:rFonts w:eastAsia="Calibri"/>
      <w:sz w:val="21"/>
    </w:rPr>
  </w:style>
  <w:style w:type="character" w:customStyle="1" w:styleId="29">
    <w:name w:val="页眉 Char"/>
    <w:qFormat/>
    <w:uiPriority w:val="99"/>
  </w:style>
  <w:style w:type="character" w:customStyle="1" w:styleId="30">
    <w:name w:val="标题 字符"/>
    <w:link w:val="18"/>
    <w:qFormat/>
    <w:uiPriority w:val="0"/>
    <w:rPr>
      <w:rFonts w:ascii="Cambria" w:hAnsi="Cambria" w:cs="Times New Roman"/>
      <w:b/>
      <w:bCs/>
      <w:kern w:val="2"/>
      <w:sz w:val="32"/>
      <w:szCs w:val="32"/>
    </w:rPr>
  </w:style>
  <w:style w:type="character" w:customStyle="1" w:styleId="31">
    <w:name w:val="正文文本 字符"/>
    <w:link w:val="8"/>
    <w:qFormat/>
    <w:locked/>
    <w:uiPriority w:val="0"/>
    <w:rPr>
      <w:sz w:val="18"/>
    </w:rPr>
  </w:style>
  <w:style w:type="character" w:customStyle="1" w:styleId="32">
    <w:name w:val="正文文本缩进 字符"/>
    <w:link w:val="9"/>
    <w:semiHidden/>
    <w:qFormat/>
    <w:locked/>
    <w:uiPriority w:val="0"/>
    <w:rPr>
      <w:rFonts w:ascii="Times New Roman" w:hAnsi="Times New Roman" w:eastAsia="宋体" w:cs="Times New Roman"/>
      <w:sz w:val="24"/>
      <w:szCs w:val="24"/>
    </w:rPr>
  </w:style>
  <w:style w:type="character" w:customStyle="1" w:styleId="33">
    <w:name w:val="页脚 字符"/>
    <w:link w:val="13"/>
    <w:qFormat/>
    <w:locked/>
    <w:uiPriority w:val="0"/>
    <w:rPr>
      <w:rFonts w:cs="Times New Roman"/>
      <w:sz w:val="18"/>
      <w:szCs w:val="18"/>
    </w:rPr>
  </w:style>
  <w:style w:type="character" w:customStyle="1" w:styleId="34">
    <w:name w:val="批注主题 字符"/>
    <w:link w:val="19"/>
    <w:semiHidden/>
    <w:qFormat/>
    <w:locked/>
    <w:uiPriority w:val="0"/>
    <w:rPr>
      <w:rFonts w:cs="Times New Roman"/>
      <w:b/>
      <w:bCs/>
      <w:kern w:val="2"/>
      <w:szCs w:val="24"/>
    </w:rPr>
  </w:style>
  <w:style w:type="character" w:customStyle="1" w:styleId="35">
    <w:name w:val="普通(网站) Char"/>
    <w:qFormat/>
    <w:locked/>
    <w:uiPriority w:val="0"/>
    <w:rPr>
      <w:rFonts w:ascii="宋体" w:hAnsi="宋体" w:eastAsia="宋体"/>
      <w:sz w:val="24"/>
    </w:rPr>
  </w:style>
  <w:style w:type="character" w:customStyle="1" w:styleId="36">
    <w:name w:val="批注文字 字符"/>
    <w:link w:val="7"/>
    <w:qFormat/>
    <w:locked/>
    <w:uiPriority w:val="0"/>
    <w:rPr>
      <w:rFonts w:ascii="Times New Roman" w:hAnsi="Times New Roman" w:eastAsia="宋体"/>
      <w:sz w:val="24"/>
    </w:rPr>
  </w:style>
  <w:style w:type="character" w:customStyle="1" w:styleId="37">
    <w:name w:val="1-正文 Char"/>
    <w:link w:val="38"/>
    <w:qFormat/>
    <w:uiPriority w:val="0"/>
    <w:rPr>
      <w:rFonts w:ascii="宋体" w:hAnsi="宋体" w:eastAsia="宋体" w:cs="宋体"/>
      <w:kern w:val="2"/>
      <w:sz w:val="24"/>
      <w:szCs w:val="24"/>
    </w:rPr>
  </w:style>
  <w:style w:type="paragraph" w:customStyle="1" w:styleId="38">
    <w:name w:val="1-正文"/>
    <w:basedOn w:val="1"/>
    <w:next w:val="1"/>
    <w:link w:val="37"/>
    <w:qFormat/>
    <w:uiPriority w:val="0"/>
    <w:pPr>
      <w:spacing w:line="360" w:lineRule="auto"/>
      <w:ind w:firstLine="480" w:firstLineChars="200"/>
      <w:jc w:val="left"/>
    </w:pPr>
    <w:rPr>
      <w:rFonts w:ascii="宋体" w:hAnsi="宋体" w:cs="宋体"/>
      <w:sz w:val="24"/>
    </w:rPr>
  </w:style>
  <w:style w:type="character" w:customStyle="1" w:styleId="39">
    <w:name w:val="列表段落 字符"/>
    <w:link w:val="40"/>
    <w:qFormat/>
    <w:uiPriority w:val="34"/>
    <w:rPr>
      <w:kern w:val="2"/>
      <w:sz w:val="21"/>
      <w:szCs w:val="24"/>
    </w:rPr>
  </w:style>
  <w:style w:type="paragraph" w:styleId="40">
    <w:name w:val="List Paragraph"/>
    <w:basedOn w:val="1"/>
    <w:link w:val="39"/>
    <w:qFormat/>
    <w:uiPriority w:val="34"/>
    <w:pPr>
      <w:ind w:firstLine="420" w:firstLineChars="200"/>
    </w:pPr>
  </w:style>
  <w:style w:type="character" w:customStyle="1" w:styleId="41">
    <w:name w:val="表格 Char"/>
    <w:link w:val="42"/>
    <w:qFormat/>
    <w:locked/>
    <w:uiPriority w:val="0"/>
    <w:rPr>
      <w:rFonts w:ascii="宋体"/>
      <w:sz w:val="21"/>
    </w:rPr>
  </w:style>
  <w:style w:type="paragraph" w:customStyle="1" w:styleId="42">
    <w:name w:val="表格"/>
    <w:basedOn w:val="1"/>
    <w:next w:val="1"/>
    <w:link w:val="41"/>
    <w:qFormat/>
    <w:uiPriority w:val="0"/>
    <w:pPr>
      <w:adjustRightInd w:val="0"/>
      <w:snapToGrid w:val="0"/>
      <w:spacing w:beforeLines="10" w:afterLines="10" w:line="259" w:lineRule="auto"/>
      <w:jc w:val="center"/>
    </w:pPr>
    <w:rPr>
      <w:rFonts w:ascii="宋体"/>
      <w:kern w:val="0"/>
      <w:sz w:val="20"/>
      <w:szCs w:val="21"/>
    </w:rPr>
  </w:style>
  <w:style w:type="character" w:customStyle="1" w:styleId="43">
    <w:name w:val="批注框文本 字符"/>
    <w:link w:val="12"/>
    <w:semiHidden/>
    <w:qFormat/>
    <w:locked/>
    <w:uiPriority w:val="0"/>
    <w:rPr>
      <w:rFonts w:ascii="Times New Roman" w:hAnsi="Times New Roman" w:eastAsia="宋体" w:cs="Times New Roman"/>
      <w:sz w:val="18"/>
      <w:szCs w:val="18"/>
    </w:rPr>
  </w:style>
  <w:style w:type="character" w:customStyle="1" w:styleId="44">
    <w:name w:val="正文文本 字符1"/>
    <w:semiHidden/>
    <w:qFormat/>
    <w:uiPriority w:val="0"/>
    <w:rPr>
      <w:rFonts w:ascii="Times New Roman" w:hAnsi="Times New Roman" w:eastAsia="宋体" w:cs="Times New Roman"/>
      <w:sz w:val="24"/>
      <w:szCs w:val="24"/>
    </w:rPr>
  </w:style>
  <w:style w:type="character" w:customStyle="1" w:styleId="45">
    <w:name w:val="普通(网站) 字符"/>
    <w:link w:val="17"/>
    <w:qFormat/>
    <w:locked/>
    <w:uiPriority w:val="0"/>
    <w:rPr>
      <w:rFonts w:ascii="宋体" w:hAnsi="宋体" w:eastAsia="宋体"/>
      <w:sz w:val="24"/>
    </w:rPr>
  </w:style>
  <w:style w:type="character" w:customStyle="1" w:styleId="46">
    <w:name w:val="页眉 字符"/>
    <w:link w:val="14"/>
    <w:qFormat/>
    <w:locked/>
    <w:uiPriority w:val="0"/>
    <w:rPr>
      <w:rFonts w:cs="Times New Roman"/>
      <w:sz w:val="18"/>
      <w:szCs w:val="18"/>
    </w:rPr>
  </w:style>
  <w:style w:type="character" w:customStyle="1" w:styleId="47">
    <w:name w:val="批注文字 字符1"/>
    <w:semiHidden/>
    <w:qFormat/>
    <w:uiPriority w:val="0"/>
    <w:rPr>
      <w:rFonts w:ascii="Times New Roman" w:hAnsi="Times New Roman" w:eastAsia="宋体" w:cs="Times New Roman"/>
      <w:sz w:val="24"/>
      <w:szCs w:val="24"/>
    </w:rPr>
  </w:style>
  <w:style w:type="paragraph" w:customStyle="1" w:styleId="48">
    <w:name w:val="引文目录标题1"/>
    <w:basedOn w:val="1"/>
    <w:next w:val="1"/>
    <w:qFormat/>
    <w:uiPriority w:val="0"/>
    <w:pPr>
      <w:spacing w:line="360" w:lineRule="auto"/>
    </w:pPr>
    <w:rPr>
      <w:rFonts w:eastAsia="仿宋_GB2312"/>
    </w:rPr>
  </w:style>
  <w:style w:type="paragraph" w:customStyle="1" w:styleId="49">
    <w:name w:val="Table Paragraph"/>
    <w:basedOn w:val="1"/>
    <w:qFormat/>
    <w:uiPriority w:val="1"/>
    <w:rPr>
      <w:rFonts w:ascii="华文仿宋" w:hAnsi="华文仿宋" w:eastAsia="华文仿宋" w:cs="华文仿宋"/>
      <w:lang w:val="zh-CN" w:bidi="zh-CN"/>
    </w:rPr>
  </w:style>
  <w:style w:type="paragraph" w:customStyle="1" w:styleId="5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1">
    <w:name w:val="表格正文居中"/>
    <w:basedOn w:val="1"/>
    <w:qFormat/>
    <w:uiPriority w:val="0"/>
    <w:pPr>
      <w:spacing w:line="460" w:lineRule="exact"/>
      <w:jc w:val="center"/>
    </w:pPr>
    <w:rPr>
      <w:position w:val="-4"/>
      <w:szCs w:val="21"/>
    </w:rPr>
  </w:style>
  <w:style w:type="paragraph" w:customStyle="1" w:styleId="5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4"/>
      <w:lang w:val="en-US" w:eastAsia="zh-CN" w:bidi="ar-SA"/>
    </w:rPr>
  </w:style>
  <w:style w:type="paragraph" w:customStyle="1" w:styleId="53">
    <w:name w:val="正文文本 23"/>
    <w:basedOn w:val="1"/>
    <w:qFormat/>
    <w:uiPriority w:val="0"/>
    <w:pPr>
      <w:autoSpaceDE w:val="0"/>
      <w:autoSpaceDN w:val="0"/>
      <w:adjustRightInd w:val="0"/>
      <w:spacing w:line="480" w:lineRule="atLeast"/>
      <w:ind w:firstLine="570"/>
      <w:textAlignment w:val="baseline"/>
    </w:pPr>
    <w:rPr>
      <w:rFonts w:ascii="宋体" w:hAnsi="Tms Rmn"/>
      <w:kern w:val="0"/>
      <w:sz w:val="28"/>
      <w:szCs w:val="20"/>
    </w:rPr>
  </w:style>
  <w:style w:type="paragraph" w:customStyle="1" w:styleId="54">
    <w:name w:val="默认段落字体 Para Char Char Char Char"/>
    <w:basedOn w:val="1"/>
    <w:qFormat/>
    <w:uiPriority w:val="0"/>
    <w:pPr>
      <w:adjustRightInd w:val="0"/>
      <w:ind w:left="-45" w:leftChars="-45"/>
      <w:jc w:val="center"/>
      <w:textAlignment w:val="baseline"/>
    </w:pPr>
    <w:rPr>
      <w:rFonts w:ascii="宋体" w:hAnsi="宋体"/>
      <w:sz w:val="24"/>
    </w:rPr>
  </w:style>
  <w:style w:type="paragraph" w:customStyle="1" w:styleId="55">
    <w:name w:val="2级"/>
    <w:basedOn w:val="4"/>
    <w:qFormat/>
    <w:uiPriority w:val="0"/>
    <w:pPr>
      <w:widowControl/>
      <w:numPr>
        <w:ilvl w:val="0"/>
        <w:numId w:val="0"/>
      </w:numPr>
      <w:adjustRightInd w:val="0"/>
      <w:snapToGrid w:val="0"/>
      <w:spacing w:before="0" w:after="0" w:line="360" w:lineRule="auto"/>
      <w:ind w:left="567" w:hanging="567"/>
    </w:pPr>
    <w:rPr>
      <w:rFonts w:ascii="Times New Roman" w:hAnsi="Times New Roman"/>
      <w:bCs w:val="0"/>
      <w:sz w:val="30"/>
      <w:szCs w:val="30"/>
    </w:rPr>
  </w:style>
  <w:style w:type="paragraph" w:customStyle="1" w:styleId="56">
    <w:name w:val="TOC Heading"/>
    <w:basedOn w:val="3"/>
    <w:next w:val="1"/>
    <w:qFormat/>
    <w:uiPriority w:val="39"/>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6.png"/><Relationship Id="rId17" Type="http://schemas.openxmlformats.org/officeDocument/2006/relationships/image" Target="media/image5.emf"/><Relationship Id="rId16" Type="http://schemas.openxmlformats.org/officeDocument/2006/relationships/oleObject" Target="embeddings/oleObject4.bin"/><Relationship Id="rId15" Type="http://schemas.openxmlformats.org/officeDocument/2006/relationships/image" Target="media/image4.emf"/><Relationship Id="rId14" Type="http://schemas.openxmlformats.org/officeDocument/2006/relationships/package" Target="embeddings/Microsoft_Visio___1.vsdx"/><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46430</Words>
  <Characters>51034</Characters>
  <Lines>548</Lines>
  <Paragraphs>154</Paragraphs>
  <TotalTime>15</TotalTime>
  <ScaleCrop>false</ScaleCrop>
  <LinksUpToDate>false</LinksUpToDate>
  <CharactersWithSpaces>51291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2022-12-02T05:48:00Z</dcterms:created>
  <dc:creator>ls</dc:creator>
  <cp:lastModifiedBy>周律</cp:lastModifiedBy>
  <cp:lastPrinted>2022-12-05T07:16:00Z</cp:lastPrinted>
  <dcterms:modified xsi:type="dcterms:W3CDTF">2023-09-07T09:31:16Z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901D06DFE1774A04B0F704EB8723B9CC</vt:lpwstr>
  </property>
</Properties>
</file>