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olor w:val="auto"/>
          <w:sz w:val="36"/>
          <w:szCs w:val="36"/>
        </w:rPr>
      </w:pPr>
      <w:bookmarkStart w:id="10" w:name="_GoBack"/>
      <w:bookmarkEnd w:id="10"/>
      <w:r>
        <w:rPr>
          <w:rFonts w:hint="eastAsia" w:eastAsia="仿宋_GB2312"/>
          <w:color w:val="auto"/>
          <w:sz w:val="36"/>
          <w:szCs w:val="36"/>
        </w:rPr>
        <w:t xml:space="preserve">                                                                                                                                                                                                                                                                                                                                                                                                                                                                                                                                                                                                                                                                                          </w:t>
      </w:r>
    </w:p>
    <w:p>
      <w:pPr>
        <w:rPr>
          <w:rFonts w:eastAsia="仿宋_GB2312"/>
          <w:color w:val="auto"/>
          <w:sz w:val="36"/>
          <w:szCs w:val="36"/>
        </w:rPr>
      </w:pPr>
    </w:p>
    <w:p>
      <w:pPr>
        <w:pStyle w:val="24"/>
        <w:ind w:firstLine="210"/>
        <w:rPr>
          <w:color w:val="auto"/>
        </w:rPr>
      </w:pPr>
    </w:p>
    <w:p>
      <w:pPr>
        <w:adjustRightInd w:val="0"/>
        <w:snapToGrid w:val="0"/>
        <w:jc w:val="center"/>
        <w:outlineLvl w:val="0"/>
        <w:rPr>
          <w:rFonts w:eastAsia="方正小标宋_GBK"/>
          <w:bCs/>
          <w:color w:val="auto"/>
          <w:sz w:val="72"/>
          <w:szCs w:val="72"/>
        </w:rPr>
      </w:pPr>
      <w:bookmarkStart w:id="0" w:name="_Toc23051"/>
      <w:r>
        <w:rPr>
          <w:rFonts w:eastAsia="方正小标宋_GBK"/>
          <w:bCs/>
          <w:color w:val="auto"/>
          <w:sz w:val="72"/>
          <w:szCs w:val="72"/>
        </w:rPr>
        <w:t>建设项目环境影响报告表</w:t>
      </w:r>
      <w:bookmarkEnd w:id="0"/>
    </w:p>
    <w:p>
      <w:pPr>
        <w:adjustRightInd w:val="0"/>
        <w:snapToGrid w:val="0"/>
        <w:spacing w:before="192" w:beforeLines="80"/>
        <w:jc w:val="center"/>
        <w:rPr>
          <w:rFonts w:eastAsia="楷体_GB2312"/>
          <w:bCs/>
          <w:color w:val="auto"/>
          <w:sz w:val="48"/>
          <w:szCs w:val="48"/>
        </w:rPr>
      </w:pPr>
      <w:r>
        <w:rPr>
          <w:rFonts w:eastAsia="楷体_GB2312"/>
          <w:bCs/>
          <w:color w:val="auto"/>
          <w:sz w:val="48"/>
          <w:szCs w:val="48"/>
        </w:rPr>
        <w:t>（污染影响类）</w:t>
      </w:r>
    </w:p>
    <w:p>
      <w:pPr>
        <w:rPr>
          <w:color w:val="auto"/>
        </w:rPr>
      </w:pPr>
    </w:p>
    <w:p>
      <w:pPr>
        <w:jc w:val="center"/>
        <w:rPr>
          <w:rFonts w:eastAsia="仿宋"/>
          <w:color w:val="auto"/>
          <w:sz w:val="52"/>
          <w:szCs w:val="52"/>
        </w:rPr>
      </w:pPr>
    </w:p>
    <w:p>
      <w:pPr>
        <w:ind w:firstLine="1040"/>
        <w:rPr>
          <w:rFonts w:eastAsia="仿宋"/>
          <w:color w:val="auto"/>
          <w:sz w:val="44"/>
          <w:szCs w:val="44"/>
        </w:rPr>
      </w:pPr>
      <w:r>
        <w:rPr>
          <w:rFonts w:hint="eastAsia" w:eastAsia="仿宋"/>
          <w:color w:val="auto"/>
          <w:sz w:val="44"/>
          <w:szCs w:val="44"/>
        </w:rPr>
        <w:t xml:space="preserve">                                                                                                                                                                                                                                                    </w:t>
      </w:r>
    </w:p>
    <w:p>
      <w:pPr>
        <w:ind w:firstLine="1040"/>
        <w:rPr>
          <w:rFonts w:eastAsia="仿宋"/>
          <w:color w:val="auto"/>
          <w:sz w:val="44"/>
          <w:szCs w:val="44"/>
        </w:rPr>
      </w:pPr>
      <w:r>
        <w:rPr>
          <w:rFonts w:hint="eastAsia" w:eastAsia="仿宋"/>
          <w:color w:val="auto"/>
          <w:sz w:val="44"/>
          <w:szCs w:val="44"/>
        </w:rPr>
        <w:t xml:space="preserve">                                                       </w:t>
      </w:r>
    </w:p>
    <w:p>
      <w:pPr>
        <w:ind w:firstLine="1040"/>
        <w:rPr>
          <w:color w:val="auto"/>
        </w:rPr>
      </w:pPr>
    </w:p>
    <w:p>
      <w:pPr>
        <w:pStyle w:val="7"/>
        <w:rPr>
          <w:rFonts w:ascii="Times New Roman" w:hAnsi="Times New Roman" w:cs="Times New Roman"/>
          <w:color w:val="auto"/>
        </w:rPr>
      </w:pPr>
    </w:p>
    <w:p>
      <w:pPr>
        <w:ind w:firstLine="1040"/>
        <w:rPr>
          <w:rFonts w:eastAsia="仿宋"/>
          <w:color w:val="auto"/>
          <w:sz w:val="48"/>
          <w:szCs w:val="48"/>
        </w:rPr>
      </w:pPr>
    </w:p>
    <w:p>
      <w:pPr>
        <w:pStyle w:val="24"/>
        <w:ind w:firstLine="480"/>
        <w:rPr>
          <w:rFonts w:eastAsia="仿宋"/>
          <w:color w:val="auto"/>
          <w:sz w:val="48"/>
          <w:szCs w:val="48"/>
        </w:rPr>
      </w:pPr>
    </w:p>
    <w:p>
      <w:pPr>
        <w:rPr>
          <w:color w:val="auto"/>
        </w:rPr>
      </w:pPr>
    </w:p>
    <w:p>
      <w:pPr>
        <w:adjustRightInd w:val="0"/>
        <w:snapToGrid w:val="0"/>
        <w:spacing w:line="360" w:lineRule="auto"/>
        <w:ind w:firstLine="640" w:firstLineChars="200"/>
        <w:jc w:val="center"/>
        <w:rPr>
          <w:rFonts w:eastAsia="仿宋_GB2312"/>
          <w:color w:val="auto"/>
          <w:sz w:val="32"/>
          <w:szCs w:val="32"/>
        </w:rPr>
      </w:pPr>
      <w:r>
        <w:rPr>
          <w:rFonts w:eastAsia="仿宋_GB2312"/>
          <w:color w:val="auto"/>
          <w:sz w:val="32"/>
          <w:szCs w:val="32"/>
        </w:rPr>
        <w:t>项目名称：</w:t>
      </w:r>
      <w:r>
        <w:rPr>
          <w:rFonts w:hint="eastAsia" w:eastAsia="仿宋_GB2312"/>
          <w:color w:val="auto"/>
          <w:sz w:val="32"/>
          <w:szCs w:val="32"/>
          <w:u w:val="single"/>
        </w:rPr>
        <w:t>昆明市东川区精神病院整体迁建建设项目</w:t>
      </w:r>
    </w:p>
    <w:p>
      <w:pPr>
        <w:adjustRightInd w:val="0"/>
        <w:snapToGrid w:val="0"/>
        <w:spacing w:line="360" w:lineRule="auto"/>
        <w:ind w:firstLine="640" w:firstLineChars="200"/>
        <w:jc w:val="center"/>
        <w:rPr>
          <w:rFonts w:hint="eastAsia" w:eastAsia="仿宋_GB2312"/>
          <w:color w:val="auto"/>
          <w:sz w:val="32"/>
          <w:szCs w:val="32"/>
          <w:u w:val="single"/>
        </w:rPr>
      </w:pPr>
      <w:r>
        <w:rPr>
          <w:rFonts w:eastAsia="仿宋_GB2312"/>
          <w:color w:val="auto"/>
          <w:sz w:val="32"/>
          <w:szCs w:val="32"/>
        </w:rPr>
        <w:t>建设单位（盖章）：</w:t>
      </w:r>
      <w:r>
        <w:rPr>
          <w:rFonts w:hint="eastAsia" w:eastAsia="仿宋_GB2312"/>
          <w:color w:val="auto"/>
          <w:sz w:val="32"/>
          <w:szCs w:val="32"/>
          <w:u w:val="single"/>
        </w:rPr>
        <w:t>昆明市东川区精神病院</w:t>
      </w:r>
    </w:p>
    <w:p>
      <w:pPr>
        <w:adjustRightInd w:val="0"/>
        <w:snapToGrid w:val="0"/>
        <w:spacing w:line="360" w:lineRule="auto"/>
        <w:ind w:firstLine="640" w:firstLineChars="200"/>
        <w:jc w:val="center"/>
        <w:rPr>
          <w:rFonts w:eastAsia="仿宋_GB2312"/>
          <w:color w:val="auto"/>
          <w:sz w:val="32"/>
          <w:szCs w:val="32"/>
          <w:u w:val="single"/>
        </w:rPr>
      </w:pPr>
      <w:r>
        <w:rPr>
          <w:rFonts w:eastAsia="仿宋_GB2312"/>
          <w:color w:val="auto"/>
          <w:sz w:val="32"/>
          <w:szCs w:val="32"/>
        </w:rPr>
        <w:t>编制日期：</w:t>
      </w:r>
      <w:r>
        <w:rPr>
          <w:rFonts w:eastAsia="仿宋_GB2312"/>
          <w:color w:val="auto"/>
          <w:sz w:val="32"/>
          <w:szCs w:val="32"/>
          <w:u w:val="single"/>
        </w:rPr>
        <w:t xml:space="preserve"> 2023年</w:t>
      </w:r>
      <w:r>
        <w:rPr>
          <w:rFonts w:hint="default" w:eastAsia="仿宋_GB2312"/>
          <w:color w:val="auto"/>
          <w:sz w:val="32"/>
          <w:szCs w:val="32"/>
          <w:u w:val="single"/>
          <w:lang w:val="en-US"/>
        </w:rPr>
        <w:t>8</w:t>
      </w:r>
      <w:r>
        <w:rPr>
          <w:rFonts w:eastAsia="仿宋_GB2312"/>
          <w:color w:val="auto"/>
          <w:sz w:val="32"/>
          <w:szCs w:val="32"/>
          <w:u w:val="single"/>
        </w:rPr>
        <w:t>月</w:t>
      </w:r>
    </w:p>
    <w:p>
      <w:pPr>
        <w:adjustRightInd w:val="0"/>
        <w:snapToGrid w:val="0"/>
        <w:spacing w:line="288" w:lineRule="auto"/>
        <w:ind w:firstLine="1040"/>
        <w:rPr>
          <w:rFonts w:eastAsia="仿宋_GB2312"/>
          <w:color w:val="auto"/>
          <w:sz w:val="36"/>
          <w:szCs w:val="36"/>
          <w:u w:val="single"/>
        </w:rPr>
      </w:pPr>
      <w:bookmarkStart w:id="1" w:name="_Hlk57884087"/>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pStyle w:val="2"/>
        <w:rPr>
          <w:rFonts w:eastAsia="仿宋_GB2312"/>
          <w:color w:val="auto"/>
          <w:sz w:val="36"/>
          <w:szCs w:val="36"/>
        </w:rPr>
      </w:pPr>
    </w:p>
    <w:p>
      <w:pPr>
        <w:rPr>
          <w:color w:val="auto"/>
        </w:rPr>
      </w:pPr>
    </w:p>
    <w:p>
      <w:pPr>
        <w:ind w:firstLine="1040"/>
        <w:rPr>
          <w:color w:val="auto"/>
        </w:rPr>
      </w:pPr>
    </w:p>
    <w:p>
      <w:pPr>
        <w:adjustRightInd w:val="0"/>
        <w:snapToGrid w:val="0"/>
        <w:spacing w:line="288" w:lineRule="auto"/>
        <w:ind w:firstLine="1040"/>
        <w:rPr>
          <w:rFonts w:eastAsia="仿宋_GB2312"/>
          <w:color w:val="auto"/>
          <w:sz w:val="36"/>
          <w:szCs w:val="36"/>
        </w:rPr>
      </w:pPr>
    </w:p>
    <w:bookmarkEnd w:id="1"/>
    <w:p>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tbl>
      <w:tblPr>
        <w:tblStyle w:val="26"/>
        <w:tblpPr w:leftFromText="180" w:rightFromText="180" w:vertAnchor="page" w:horzAnchor="page" w:tblpX="1800" w:tblpY="19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21585" cy="1417955"/>
                  <wp:effectExtent l="0" t="0" r="12065" b="10795"/>
                  <wp:docPr id="2" name="图片 1" descr="精神病院现场照片IMG_20230228_10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精神病院现场照片IMG_20230228_101453"/>
                          <pic:cNvPicPr>
                            <a:picLocks noChangeAspect="1"/>
                          </pic:cNvPicPr>
                        </pic:nvPicPr>
                        <pic:blipFill>
                          <a:blip r:embed="rId9"/>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21585" cy="1417955"/>
                  <wp:effectExtent l="0" t="0" r="12065" b="10795"/>
                  <wp:docPr id="3" name="图片 2" descr="精神病院现场照片IMG_20230228_10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精神病院现场照片IMG_20230228_102953"/>
                          <pic:cNvPicPr>
                            <a:picLocks noChangeAspect="1"/>
                          </pic:cNvPicPr>
                        </pic:nvPicPr>
                        <pic:blipFill>
                          <a:blip r:embed="rId10"/>
                          <a:stretch>
                            <a:fillRect/>
                          </a:stretch>
                        </pic:blipFill>
                        <pic:spPr>
                          <a:xfrm>
                            <a:off x="0" y="0"/>
                            <a:ext cx="2521585" cy="14179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rPr>
              <w:t>原项目照片</w:t>
            </w:r>
          </w:p>
        </w:tc>
        <w:tc>
          <w:tcPr>
            <w:tcW w:w="4261" w:type="dxa"/>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rPr>
              <w:t>场地现状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21585" cy="1417955"/>
                  <wp:effectExtent l="0" t="0" r="12065" b="10795"/>
                  <wp:docPr id="4" name="图片 3" descr="精神病院现场照片IMG_20230228_10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精神病院现场照片IMG_20230228_102956"/>
                          <pic:cNvPicPr>
                            <a:picLocks noChangeAspect="1"/>
                          </pic:cNvPicPr>
                        </pic:nvPicPr>
                        <pic:blipFill>
                          <a:blip r:embed="rId11"/>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21585" cy="1417955"/>
                  <wp:effectExtent l="0" t="0" r="12065" b="10795"/>
                  <wp:docPr id="5" name="图片 4" descr="精神病院现场照片IMG_20230228_10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精神病院现场照片IMG_20230228_103638"/>
                          <pic:cNvPicPr>
                            <a:picLocks noChangeAspect="1"/>
                          </pic:cNvPicPr>
                        </pic:nvPicPr>
                        <pic:blipFill>
                          <a:blip r:embed="rId12"/>
                          <a:stretch>
                            <a:fillRect/>
                          </a:stretch>
                        </pic:blipFill>
                        <pic:spPr>
                          <a:xfrm>
                            <a:off x="0" y="0"/>
                            <a:ext cx="2521585" cy="14179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21585" cy="1417955"/>
                  <wp:effectExtent l="0" t="0" r="12065" b="10795"/>
                  <wp:docPr id="6" name="图片 5" descr="精神病院现场照片IMG_20230228_1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精神病院现场照片IMG_20230228_103001"/>
                          <pic:cNvPicPr>
                            <a:picLocks noChangeAspect="1"/>
                          </pic:cNvPicPr>
                        </pic:nvPicPr>
                        <pic:blipFill>
                          <a:blip r:embed="rId13"/>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21585" cy="1417955"/>
                  <wp:effectExtent l="0" t="0" r="12065" b="10795"/>
                  <wp:docPr id="7" name="图片 6" descr="精神病院现场照片IMG_20230228_10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精神病院现场照片IMG_20230228_104352"/>
                          <pic:cNvPicPr>
                            <a:picLocks noChangeAspect="1"/>
                          </pic:cNvPicPr>
                        </pic:nvPicPr>
                        <pic:blipFill>
                          <a:blip r:embed="rId14"/>
                          <a:stretch>
                            <a:fillRect/>
                          </a:stretch>
                        </pic:blipFill>
                        <pic:spPr>
                          <a:xfrm>
                            <a:off x="0" y="0"/>
                            <a:ext cx="2521585" cy="14179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21585" cy="1417955"/>
                  <wp:effectExtent l="0" t="0" r="12065" b="10795"/>
                  <wp:docPr id="8" name="图片 7" descr="精神病院现场照片IMG_20230228_10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精神病院现场照片IMG_20230228_103740"/>
                          <pic:cNvPicPr>
                            <a:picLocks noChangeAspect="1"/>
                          </pic:cNvPicPr>
                        </pic:nvPicPr>
                        <pic:blipFill>
                          <a:blip r:embed="rId15"/>
                          <a:stretch>
                            <a:fillRect/>
                          </a:stretch>
                        </pic:blipFill>
                        <pic:spPr>
                          <a:xfrm>
                            <a:off x="0" y="0"/>
                            <a:ext cx="2521585" cy="1417955"/>
                          </a:xfrm>
                          <a:prstGeom prst="rect">
                            <a:avLst/>
                          </a:prstGeom>
                          <a:noFill/>
                          <a:ln>
                            <a:noFill/>
                          </a:ln>
                        </pic:spPr>
                      </pic:pic>
                    </a:graphicData>
                  </a:graphic>
                </wp:inline>
              </w:drawing>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drawing>
                <wp:inline distT="0" distB="0" distL="114300" distR="114300">
                  <wp:extent cx="2548890" cy="1433830"/>
                  <wp:effectExtent l="0" t="0" r="3810" b="13970"/>
                  <wp:docPr id="9" name="图片 8" descr="精神病院现场照片IMG_20230228_10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精神病院现场照片IMG_20230228_103825"/>
                          <pic:cNvPicPr>
                            <a:picLocks noChangeAspect="1"/>
                          </pic:cNvPicPr>
                        </pic:nvPicPr>
                        <pic:blipFill>
                          <a:blip r:embed="rId16"/>
                          <a:stretch>
                            <a:fillRect/>
                          </a:stretch>
                        </pic:blipFill>
                        <pic:spPr>
                          <a:xfrm>
                            <a:off x="0" y="0"/>
                            <a:ext cx="2548890" cy="1433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c>
          <w:tcPr>
            <w:tcW w:w="4261" w:type="dxa"/>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场地现状</w:t>
            </w:r>
          </w:p>
        </w:tc>
      </w:tr>
    </w:tbl>
    <w:p>
      <w:pPr>
        <w:jc w:val="center"/>
        <w:rPr>
          <w:rFonts w:hint="eastAsia" w:ascii="宋体" w:hAnsi="宋体" w:cs="宋体"/>
          <w:color w:val="auto"/>
          <w:sz w:val="24"/>
          <w:szCs w:val="24"/>
        </w:rPr>
      </w:pPr>
      <w:r>
        <w:rPr>
          <w:rFonts w:hint="eastAsia" w:ascii="宋体" w:hAnsi="宋体" w:cs="宋体"/>
          <w:color w:val="auto"/>
          <w:sz w:val="24"/>
          <w:szCs w:val="24"/>
        </w:rPr>
        <w:t>现场照片</w:t>
      </w:r>
    </w:p>
    <w:p>
      <w:pPr>
        <w:adjustRightInd w:val="0"/>
        <w:snapToGrid w:val="0"/>
        <w:spacing w:line="288" w:lineRule="auto"/>
        <w:jc w:val="center"/>
        <w:rPr>
          <w:rFonts w:eastAsia="仿宋_GB2312"/>
          <w:b/>
          <w:bCs/>
          <w:color w:val="auto"/>
          <w:sz w:val="36"/>
          <w:szCs w:val="36"/>
        </w:rPr>
      </w:pPr>
      <w:r>
        <w:rPr>
          <w:rFonts w:eastAsia="仿宋_GB2312"/>
          <w:b/>
          <w:bCs/>
          <w:color w:val="auto"/>
          <w:sz w:val="36"/>
          <w:szCs w:val="36"/>
        </w:rPr>
        <w:br w:type="page"/>
      </w:r>
      <w:r>
        <w:rPr>
          <w:rFonts w:eastAsia="仿宋_GB2312"/>
          <w:b/>
          <w:bCs/>
          <w:color w:val="auto"/>
          <w:sz w:val="36"/>
          <w:szCs w:val="36"/>
        </w:rPr>
        <w:t>目   录</w:t>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TOC \o "1-1" \h \u </w:instrText>
      </w:r>
      <w:r>
        <w:rPr>
          <w:b/>
          <w:bCs/>
          <w:color w:val="auto"/>
          <w:sz w:val="24"/>
          <w:szCs w:val="24"/>
        </w:rPr>
        <w:fldChar w:fldCharType="separate"/>
      </w:r>
      <w:r>
        <w:rPr>
          <w:b/>
          <w:bCs/>
          <w:color w:val="auto"/>
          <w:sz w:val="24"/>
          <w:szCs w:val="24"/>
        </w:rPr>
        <w:fldChar w:fldCharType="begin"/>
      </w:r>
      <w:r>
        <w:rPr>
          <w:b/>
          <w:bCs/>
          <w:color w:val="auto"/>
          <w:sz w:val="24"/>
          <w:szCs w:val="24"/>
        </w:rPr>
        <w:instrText xml:space="preserve"> HYPERLINK \l _Toc14128 </w:instrText>
      </w:r>
      <w:r>
        <w:rPr>
          <w:b/>
          <w:bCs/>
          <w:color w:val="auto"/>
          <w:sz w:val="24"/>
          <w:szCs w:val="24"/>
        </w:rPr>
        <w:fldChar w:fldCharType="separate"/>
      </w:r>
      <w:r>
        <w:rPr>
          <w:b/>
          <w:bCs/>
          <w:snapToGrid w:val="0"/>
          <w:color w:val="auto"/>
          <w:sz w:val="24"/>
          <w:szCs w:val="24"/>
        </w:rPr>
        <w:t>一、建设项目基本情况</w:t>
      </w:r>
      <w:r>
        <w:rPr>
          <w:b/>
          <w:bCs/>
          <w:color w:val="auto"/>
          <w:sz w:val="24"/>
          <w:szCs w:val="24"/>
        </w:rPr>
        <w:tab/>
      </w:r>
      <w:r>
        <w:rPr>
          <w:b/>
          <w:bCs/>
          <w:color w:val="auto"/>
          <w:sz w:val="24"/>
          <w:szCs w:val="24"/>
        </w:rPr>
        <w:fldChar w:fldCharType="begin"/>
      </w:r>
      <w:r>
        <w:rPr>
          <w:b/>
          <w:bCs/>
          <w:color w:val="auto"/>
          <w:sz w:val="24"/>
          <w:szCs w:val="24"/>
        </w:rPr>
        <w:instrText xml:space="preserve"> PAGEREF _Toc14128 </w:instrText>
      </w:r>
      <w:r>
        <w:rPr>
          <w:b/>
          <w:bCs/>
          <w:color w:val="auto"/>
          <w:sz w:val="24"/>
          <w:szCs w:val="24"/>
        </w:rPr>
        <w:fldChar w:fldCharType="separate"/>
      </w:r>
      <w:r>
        <w:rPr>
          <w:b/>
          <w:bCs/>
          <w:color w:val="auto"/>
          <w:sz w:val="24"/>
          <w:szCs w:val="24"/>
        </w:rPr>
        <w:t>5</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_Toc16928 </w:instrText>
      </w:r>
      <w:r>
        <w:rPr>
          <w:b/>
          <w:bCs/>
          <w:color w:val="auto"/>
          <w:sz w:val="24"/>
          <w:szCs w:val="24"/>
        </w:rPr>
        <w:fldChar w:fldCharType="separate"/>
      </w:r>
      <w:r>
        <w:rPr>
          <w:b/>
          <w:bCs/>
          <w:snapToGrid w:val="0"/>
          <w:color w:val="auto"/>
          <w:sz w:val="24"/>
          <w:szCs w:val="24"/>
        </w:rPr>
        <w:t>二、建设项目工程分析</w:t>
      </w:r>
      <w:r>
        <w:rPr>
          <w:b/>
          <w:bCs/>
          <w:color w:val="auto"/>
          <w:sz w:val="24"/>
          <w:szCs w:val="24"/>
        </w:rPr>
        <w:tab/>
      </w:r>
      <w:r>
        <w:rPr>
          <w:b/>
          <w:bCs/>
          <w:color w:val="auto"/>
          <w:sz w:val="24"/>
          <w:szCs w:val="24"/>
        </w:rPr>
        <w:fldChar w:fldCharType="begin"/>
      </w:r>
      <w:r>
        <w:rPr>
          <w:b/>
          <w:bCs/>
          <w:color w:val="auto"/>
          <w:sz w:val="24"/>
          <w:szCs w:val="24"/>
        </w:rPr>
        <w:instrText xml:space="preserve"> PAGEREF _Toc16928 </w:instrText>
      </w:r>
      <w:r>
        <w:rPr>
          <w:b/>
          <w:bCs/>
          <w:color w:val="auto"/>
          <w:sz w:val="24"/>
          <w:szCs w:val="24"/>
        </w:rPr>
        <w:fldChar w:fldCharType="separate"/>
      </w:r>
      <w:r>
        <w:rPr>
          <w:b/>
          <w:bCs/>
          <w:color w:val="auto"/>
          <w:sz w:val="24"/>
          <w:szCs w:val="24"/>
        </w:rPr>
        <w:t>16</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_Toc16870 </w:instrText>
      </w:r>
      <w:r>
        <w:rPr>
          <w:b/>
          <w:bCs/>
          <w:color w:val="auto"/>
          <w:sz w:val="24"/>
          <w:szCs w:val="24"/>
        </w:rPr>
        <w:fldChar w:fldCharType="separate"/>
      </w:r>
      <w:r>
        <w:rPr>
          <w:b/>
          <w:bCs/>
          <w:snapToGrid w:val="0"/>
          <w:color w:val="auto"/>
          <w:sz w:val="24"/>
          <w:szCs w:val="24"/>
        </w:rPr>
        <w:t>三、区域环境质量现状、环境保护目标及评价标准</w:t>
      </w:r>
      <w:r>
        <w:rPr>
          <w:b/>
          <w:bCs/>
          <w:color w:val="auto"/>
          <w:sz w:val="24"/>
          <w:szCs w:val="24"/>
        </w:rPr>
        <w:tab/>
      </w:r>
      <w:r>
        <w:rPr>
          <w:b/>
          <w:bCs/>
          <w:color w:val="auto"/>
          <w:sz w:val="24"/>
          <w:szCs w:val="24"/>
        </w:rPr>
        <w:fldChar w:fldCharType="begin"/>
      </w:r>
      <w:r>
        <w:rPr>
          <w:b/>
          <w:bCs/>
          <w:color w:val="auto"/>
          <w:sz w:val="24"/>
          <w:szCs w:val="24"/>
        </w:rPr>
        <w:instrText xml:space="preserve"> PAGEREF _Toc16870 </w:instrText>
      </w:r>
      <w:r>
        <w:rPr>
          <w:b/>
          <w:bCs/>
          <w:color w:val="auto"/>
          <w:sz w:val="24"/>
          <w:szCs w:val="24"/>
        </w:rPr>
        <w:fldChar w:fldCharType="separate"/>
      </w:r>
      <w:r>
        <w:rPr>
          <w:b/>
          <w:bCs/>
          <w:color w:val="auto"/>
          <w:sz w:val="24"/>
          <w:szCs w:val="24"/>
        </w:rPr>
        <w:t>27</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_Toc2499 </w:instrText>
      </w:r>
      <w:r>
        <w:rPr>
          <w:b/>
          <w:bCs/>
          <w:color w:val="auto"/>
          <w:sz w:val="24"/>
          <w:szCs w:val="24"/>
        </w:rPr>
        <w:fldChar w:fldCharType="separate"/>
      </w:r>
      <w:r>
        <w:rPr>
          <w:b/>
          <w:bCs/>
          <w:snapToGrid w:val="0"/>
          <w:color w:val="auto"/>
          <w:sz w:val="24"/>
          <w:szCs w:val="24"/>
        </w:rPr>
        <w:t>四、主要环境影响和保护措施</w:t>
      </w:r>
      <w:r>
        <w:rPr>
          <w:b/>
          <w:bCs/>
          <w:color w:val="auto"/>
          <w:sz w:val="24"/>
          <w:szCs w:val="24"/>
        </w:rPr>
        <w:tab/>
      </w:r>
      <w:r>
        <w:rPr>
          <w:b/>
          <w:bCs/>
          <w:color w:val="auto"/>
          <w:sz w:val="24"/>
          <w:szCs w:val="24"/>
        </w:rPr>
        <w:fldChar w:fldCharType="begin"/>
      </w:r>
      <w:r>
        <w:rPr>
          <w:b/>
          <w:bCs/>
          <w:color w:val="auto"/>
          <w:sz w:val="24"/>
          <w:szCs w:val="24"/>
        </w:rPr>
        <w:instrText xml:space="preserve"> PAGEREF _Toc2499 </w:instrText>
      </w:r>
      <w:r>
        <w:rPr>
          <w:b/>
          <w:bCs/>
          <w:color w:val="auto"/>
          <w:sz w:val="24"/>
          <w:szCs w:val="24"/>
        </w:rPr>
        <w:fldChar w:fldCharType="separate"/>
      </w:r>
      <w:r>
        <w:rPr>
          <w:b/>
          <w:bCs/>
          <w:color w:val="auto"/>
          <w:sz w:val="24"/>
          <w:szCs w:val="24"/>
        </w:rPr>
        <w:t>34</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_Toc305 </w:instrText>
      </w:r>
      <w:r>
        <w:rPr>
          <w:b/>
          <w:bCs/>
          <w:color w:val="auto"/>
          <w:sz w:val="24"/>
          <w:szCs w:val="24"/>
        </w:rPr>
        <w:fldChar w:fldCharType="separate"/>
      </w:r>
      <w:r>
        <w:rPr>
          <w:b/>
          <w:bCs/>
          <w:snapToGrid w:val="0"/>
          <w:color w:val="auto"/>
          <w:sz w:val="24"/>
          <w:szCs w:val="24"/>
        </w:rPr>
        <w:t>五、环境保护措施监督检查清单</w:t>
      </w:r>
      <w:r>
        <w:rPr>
          <w:b/>
          <w:bCs/>
          <w:color w:val="auto"/>
          <w:sz w:val="24"/>
          <w:szCs w:val="24"/>
        </w:rPr>
        <w:tab/>
      </w:r>
      <w:r>
        <w:rPr>
          <w:b/>
          <w:bCs/>
          <w:color w:val="auto"/>
          <w:sz w:val="24"/>
          <w:szCs w:val="24"/>
        </w:rPr>
        <w:fldChar w:fldCharType="begin"/>
      </w:r>
      <w:r>
        <w:rPr>
          <w:b/>
          <w:bCs/>
          <w:color w:val="auto"/>
          <w:sz w:val="24"/>
          <w:szCs w:val="24"/>
        </w:rPr>
        <w:instrText xml:space="preserve"> PAGEREF _Toc305 </w:instrText>
      </w:r>
      <w:r>
        <w:rPr>
          <w:b/>
          <w:bCs/>
          <w:color w:val="auto"/>
          <w:sz w:val="24"/>
          <w:szCs w:val="24"/>
        </w:rPr>
        <w:fldChar w:fldCharType="separate"/>
      </w:r>
      <w:r>
        <w:rPr>
          <w:b/>
          <w:bCs/>
          <w:color w:val="auto"/>
          <w:sz w:val="24"/>
          <w:szCs w:val="24"/>
        </w:rPr>
        <w:t>59</w:t>
      </w:r>
      <w:r>
        <w:rPr>
          <w:b/>
          <w:bCs/>
          <w:color w:val="auto"/>
          <w:sz w:val="24"/>
          <w:szCs w:val="24"/>
        </w:rPr>
        <w:fldChar w:fldCharType="end"/>
      </w:r>
      <w:r>
        <w:rPr>
          <w:b/>
          <w:bCs/>
          <w:color w:val="auto"/>
          <w:sz w:val="24"/>
          <w:szCs w:val="24"/>
        </w:rPr>
        <w:fldChar w:fldCharType="end"/>
      </w:r>
    </w:p>
    <w:p>
      <w:pPr>
        <w:pStyle w:val="14"/>
        <w:tabs>
          <w:tab w:val="right" w:leader="dot" w:pos="8844"/>
        </w:tabs>
        <w:spacing w:line="360" w:lineRule="auto"/>
        <w:rPr>
          <w:b/>
          <w:bCs/>
          <w:color w:val="auto"/>
          <w:sz w:val="24"/>
          <w:szCs w:val="24"/>
        </w:rPr>
      </w:pPr>
      <w:r>
        <w:rPr>
          <w:b/>
          <w:bCs/>
          <w:color w:val="auto"/>
          <w:sz w:val="24"/>
          <w:szCs w:val="24"/>
        </w:rPr>
        <w:fldChar w:fldCharType="begin"/>
      </w:r>
      <w:r>
        <w:rPr>
          <w:b/>
          <w:bCs/>
          <w:color w:val="auto"/>
          <w:sz w:val="24"/>
          <w:szCs w:val="24"/>
        </w:rPr>
        <w:instrText xml:space="preserve"> HYPERLINK \l _Toc14062 </w:instrText>
      </w:r>
      <w:r>
        <w:rPr>
          <w:b/>
          <w:bCs/>
          <w:color w:val="auto"/>
          <w:sz w:val="24"/>
          <w:szCs w:val="24"/>
        </w:rPr>
        <w:fldChar w:fldCharType="separate"/>
      </w:r>
      <w:r>
        <w:rPr>
          <w:b/>
          <w:bCs/>
          <w:snapToGrid w:val="0"/>
          <w:color w:val="auto"/>
          <w:sz w:val="24"/>
          <w:szCs w:val="24"/>
        </w:rPr>
        <w:t>六、结论</w:t>
      </w:r>
      <w:r>
        <w:rPr>
          <w:b/>
          <w:bCs/>
          <w:color w:val="auto"/>
          <w:sz w:val="24"/>
          <w:szCs w:val="24"/>
        </w:rPr>
        <w:tab/>
      </w:r>
      <w:r>
        <w:rPr>
          <w:b/>
          <w:bCs/>
          <w:color w:val="auto"/>
          <w:sz w:val="24"/>
          <w:szCs w:val="24"/>
        </w:rPr>
        <w:fldChar w:fldCharType="begin"/>
      </w:r>
      <w:r>
        <w:rPr>
          <w:b/>
          <w:bCs/>
          <w:color w:val="auto"/>
          <w:sz w:val="24"/>
          <w:szCs w:val="24"/>
        </w:rPr>
        <w:instrText xml:space="preserve"> PAGEREF _Toc14062 </w:instrText>
      </w:r>
      <w:r>
        <w:rPr>
          <w:b/>
          <w:bCs/>
          <w:color w:val="auto"/>
          <w:sz w:val="24"/>
          <w:szCs w:val="24"/>
        </w:rPr>
        <w:fldChar w:fldCharType="separate"/>
      </w:r>
      <w:r>
        <w:rPr>
          <w:b/>
          <w:bCs/>
          <w:color w:val="auto"/>
          <w:sz w:val="24"/>
          <w:szCs w:val="24"/>
        </w:rPr>
        <w:t>61</w:t>
      </w:r>
      <w:r>
        <w:rPr>
          <w:b/>
          <w:bCs/>
          <w:color w:val="auto"/>
          <w:sz w:val="24"/>
          <w:szCs w:val="24"/>
        </w:rPr>
        <w:fldChar w:fldCharType="end"/>
      </w:r>
      <w:r>
        <w:rPr>
          <w:b/>
          <w:bCs/>
          <w:color w:val="auto"/>
          <w:sz w:val="24"/>
          <w:szCs w:val="24"/>
        </w:rPr>
        <w:fldChar w:fldCharType="end"/>
      </w:r>
    </w:p>
    <w:p>
      <w:pPr>
        <w:spacing w:line="360" w:lineRule="auto"/>
        <w:rPr>
          <w:rFonts w:hint="eastAsia"/>
          <w:color w:val="auto"/>
        </w:rPr>
      </w:pPr>
      <w:r>
        <w:rPr>
          <w:b/>
          <w:bCs/>
          <w:color w:val="auto"/>
          <w:sz w:val="24"/>
          <w:szCs w:val="24"/>
        </w:rPr>
        <w:fldChar w:fldCharType="end"/>
      </w:r>
      <w:bookmarkStart w:id="2" w:name="_Toc14128"/>
    </w:p>
    <w:p>
      <w:pPr>
        <w:adjustRightInd w:val="0"/>
        <w:snapToGrid w:val="0"/>
        <w:rPr>
          <w:b/>
          <w:color w:val="auto"/>
          <w:sz w:val="24"/>
          <w:szCs w:val="24"/>
        </w:rPr>
      </w:pPr>
      <w:r>
        <w:rPr>
          <w:b/>
          <w:color w:val="auto"/>
          <w:sz w:val="24"/>
          <w:szCs w:val="24"/>
        </w:rPr>
        <w:t xml:space="preserve">附件： </w:t>
      </w:r>
    </w:p>
    <w:p>
      <w:pPr>
        <w:rPr>
          <w:rFonts w:hint="eastAsia"/>
          <w:color w:val="auto"/>
          <w:sz w:val="24"/>
          <w:szCs w:val="24"/>
        </w:rPr>
      </w:pPr>
      <w:r>
        <w:rPr>
          <w:rFonts w:hint="eastAsia"/>
          <w:color w:val="auto"/>
          <w:sz w:val="24"/>
          <w:szCs w:val="24"/>
        </w:rPr>
        <w:t>附件1：委托书</w:t>
      </w:r>
    </w:p>
    <w:p>
      <w:pPr>
        <w:rPr>
          <w:rFonts w:hint="eastAsia"/>
          <w:color w:val="auto"/>
          <w:sz w:val="24"/>
          <w:szCs w:val="24"/>
        </w:rPr>
      </w:pPr>
      <w:r>
        <w:rPr>
          <w:rFonts w:hint="eastAsia"/>
          <w:color w:val="auto"/>
          <w:sz w:val="24"/>
          <w:szCs w:val="24"/>
        </w:rPr>
        <w:t>附件2：可研批复</w:t>
      </w:r>
    </w:p>
    <w:p>
      <w:pPr>
        <w:rPr>
          <w:rFonts w:hint="eastAsia"/>
          <w:color w:val="auto"/>
          <w:sz w:val="24"/>
          <w:szCs w:val="24"/>
        </w:rPr>
      </w:pPr>
      <w:r>
        <w:rPr>
          <w:rFonts w:hint="eastAsia"/>
          <w:color w:val="auto"/>
          <w:sz w:val="24"/>
          <w:szCs w:val="24"/>
        </w:rPr>
        <w:t>附件</w:t>
      </w:r>
      <w:r>
        <w:rPr>
          <w:color w:val="auto"/>
          <w:sz w:val="24"/>
          <w:szCs w:val="24"/>
        </w:rPr>
        <w:t>3</w:t>
      </w:r>
      <w:r>
        <w:rPr>
          <w:rFonts w:hint="eastAsia"/>
          <w:color w:val="auto"/>
          <w:sz w:val="24"/>
          <w:szCs w:val="24"/>
        </w:rPr>
        <w:t>：用地预审和选址意见书</w:t>
      </w:r>
    </w:p>
    <w:p>
      <w:pPr>
        <w:rPr>
          <w:rFonts w:hint="eastAsia"/>
          <w:color w:val="auto"/>
          <w:sz w:val="24"/>
          <w:szCs w:val="24"/>
        </w:rPr>
      </w:pPr>
      <w:r>
        <w:rPr>
          <w:rFonts w:hint="eastAsia"/>
          <w:color w:val="auto"/>
          <w:sz w:val="24"/>
          <w:szCs w:val="24"/>
        </w:rPr>
        <w:t>附件</w:t>
      </w:r>
      <w:r>
        <w:rPr>
          <w:color w:val="auto"/>
          <w:sz w:val="24"/>
          <w:szCs w:val="24"/>
        </w:rPr>
        <w:t>4</w:t>
      </w:r>
      <w:r>
        <w:rPr>
          <w:rFonts w:hint="eastAsia"/>
          <w:color w:val="auto"/>
          <w:sz w:val="24"/>
          <w:szCs w:val="24"/>
        </w:rPr>
        <w:t xml:space="preserve">：区发改局东发改复[2022]197号 </w:t>
      </w:r>
    </w:p>
    <w:p>
      <w:pPr>
        <w:rPr>
          <w:rFonts w:hint="eastAsia"/>
          <w:color w:val="auto"/>
          <w:sz w:val="24"/>
          <w:szCs w:val="24"/>
        </w:rPr>
      </w:pPr>
      <w:r>
        <w:rPr>
          <w:rFonts w:hint="eastAsia"/>
          <w:color w:val="auto"/>
          <w:sz w:val="24"/>
          <w:szCs w:val="24"/>
        </w:rPr>
        <w:t>附件</w:t>
      </w:r>
      <w:r>
        <w:rPr>
          <w:color w:val="auto"/>
          <w:sz w:val="24"/>
          <w:szCs w:val="24"/>
        </w:rPr>
        <w:t>5</w:t>
      </w:r>
      <w:r>
        <w:rPr>
          <w:rFonts w:hint="eastAsia"/>
          <w:color w:val="auto"/>
          <w:sz w:val="24"/>
          <w:szCs w:val="24"/>
        </w:rPr>
        <w:t xml:space="preserve">：生态红线查询证明 </w:t>
      </w:r>
    </w:p>
    <w:p>
      <w:pPr>
        <w:rPr>
          <w:rFonts w:hint="eastAsia"/>
          <w:color w:val="auto"/>
          <w:sz w:val="24"/>
          <w:szCs w:val="24"/>
        </w:rPr>
      </w:pPr>
      <w:r>
        <w:rPr>
          <w:rFonts w:hint="eastAsia"/>
          <w:color w:val="auto"/>
          <w:sz w:val="24"/>
          <w:szCs w:val="24"/>
        </w:rPr>
        <w:t>附件</w:t>
      </w:r>
      <w:r>
        <w:rPr>
          <w:color w:val="auto"/>
          <w:sz w:val="24"/>
          <w:szCs w:val="24"/>
        </w:rPr>
        <w:t>6</w:t>
      </w:r>
      <w:r>
        <w:rPr>
          <w:rFonts w:hint="eastAsia"/>
          <w:color w:val="auto"/>
          <w:sz w:val="24"/>
          <w:szCs w:val="24"/>
        </w:rPr>
        <w:t>：规划条件</w:t>
      </w:r>
    </w:p>
    <w:p>
      <w:pPr>
        <w:rPr>
          <w:rFonts w:hint="eastAsia"/>
          <w:color w:val="auto"/>
          <w:sz w:val="24"/>
          <w:szCs w:val="24"/>
        </w:rPr>
      </w:pPr>
      <w:r>
        <w:rPr>
          <w:rFonts w:hint="eastAsia"/>
          <w:color w:val="auto"/>
          <w:sz w:val="24"/>
          <w:szCs w:val="24"/>
        </w:rPr>
        <w:t>附件</w:t>
      </w:r>
      <w:r>
        <w:rPr>
          <w:color w:val="auto"/>
          <w:sz w:val="24"/>
          <w:szCs w:val="24"/>
        </w:rPr>
        <w:t>7</w:t>
      </w:r>
      <w:r>
        <w:rPr>
          <w:rFonts w:hint="eastAsia"/>
          <w:color w:val="auto"/>
          <w:sz w:val="24"/>
          <w:szCs w:val="24"/>
        </w:rPr>
        <w:t>：类比项目自行监测报告</w:t>
      </w:r>
    </w:p>
    <w:p>
      <w:pPr>
        <w:rPr>
          <w:rFonts w:hint="eastAsia"/>
          <w:color w:val="auto"/>
          <w:sz w:val="24"/>
          <w:szCs w:val="24"/>
        </w:rPr>
      </w:pPr>
      <w:r>
        <w:rPr>
          <w:rFonts w:hint="eastAsia"/>
          <w:color w:val="auto"/>
          <w:sz w:val="24"/>
          <w:szCs w:val="24"/>
        </w:rPr>
        <w:t>附件</w:t>
      </w:r>
      <w:r>
        <w:rPr>
          <w:color w:val="auto"/>
          <w:sz w:val="24"/>
          <w:szCs w:val="24"/>
        </w:rPr>
        <w:t>8</w:t>
      </w:r>
      <w:r>
        <w:rPr>
          <w:rFonts w:hint="eastAsia"/>
          <w:color w:val="auto"/>
          <w:sz w:val="24"/>
          <w:szCs w:val="24"/>
        </w:rPr>
        <w:t>：现状监测报告</w:t>
      </w:r>
    </w:p>
    <w:p>
      <w:pPr>
        <w:rPr>
          <w:rFonts w:hint="eastAsia"/>
          <w:b/>
          <w:bCs/>
          <w:color w:val="auto"/>
          <w:sz w:val="24"/>
          <w:szCs w:val="24"/>
        </w:rPr>
      </w:pPr>
      <w:r>
        <w:rPr>
          <w:rFonts w:hint="eastAsia"/>
          <w:b/>
          <w:bCs/>
          <w:color w:val="auto"/>
          <w:sz w:val="24"/>
          <w:szCs w:val="24"/>
        </w:rPr>
        <w:t>附图：</w:t>
      </w:r>
    </w:p>
    <w:p>
      <w:pPr>
        <w:rPr>
          <w:b/>
          <w:bCs/>
          <w:color w:val="auto"/>
          <w:sz w:val="24"/>
          <w:szCs w:val="24"/>
        </w:rPr>
      </w:pPr>
      <w:r>
        <w:rPr>
          <w:rFonts w:hint="eastAsia"/>
          <w:color w:val="auto"/>
          <w:sz w:val="24"/>
          <w:szCs w:val="24"/>
        </w:rPr>
        <w:t>附图1：项目地理位置图</w:t>
      </w:r>
    </w:p>
    <w:p>
      <w:pPr>
        <w:adjustRightInd w:val="0"/>
        <w:snapToGrid w:val="0"/>
        <w:rPr>
          <w:color w:val="auto"/>
          <w:sz w:val="24"/>
          <w:szCs w:val="24"/>
        </w:rPr>
      </w:pPr>
      <w:r>
        <w:rPr>
          <w:rFonts w:hint="eastAsia"/>
          <w:color w:val="auto"/>
          <w:sz w:val="24"/>
          <w:szCs w:val="24"/>
        </w:rPr>
        <w:t>附图2：</w:t>
      </w:r>
      <w:r>
        <w:rPr>
          <w:color w:val="auto"/>
          <w:sz w:val="24"/>
          <w:szCs w:val="24"/>
        </w:rPr>
        <w:t>项目</w:t>
      </w:r>
      <w:r>
        <w:rPr>
          <w:rFonts w:hint="eastAsia"/>
          <w:color w:val="auto"/>
          <w:sz w:val="24"/>
          <w:szCs w:val="24"/>
        </w:rPr>
        <w:t>总平面布置图</w:t>
      </w:r>
    </w:p>
    <w:p>
      <w:pPr>
        <w:adjustRightInd w:val="0"/>
        <w:snapToGrid w:val="0"/>
        <w:rPr>
          <w:color w:val="auto"/>
          <w:sz w:val="24"/>
          <w:szCs w:val="24"/>
        </w:rPr>
      </w:pPr>
      <w:r>
        <w:rPr>
          <w:rFonts w:hint="eastAsia"/>
          <w:color w:val="auto"/>
          <w:sz w:val="24"/>
          <w:szCs w:val="24"/>
        </w:rPr>
        <w:t>附图3：项目水系图</w:t>
      </w:r>
    </w:p>
    <w:p>
      <w:pPr>
        <w:adjustRightInd w:val="0"/>
        <w:snapToGrid w:val="0"/>
        <w:rPr>
          <w:color w:val="auto"/>
          <w:sz w:val="24"/>
          <w:szCs w:val="24"/>
        </w:rPr>
      </w:pPr>
      <w:r>
        <w:rPr>
          <w:rFonts w:hint="eastAsia"/>
          <w:color w:val="auto"/>
          <w:sz w:val="24"/>
          <w:szCs w:val="24"/>
        </w:rPr>
        <w:t>附图4：项目周边环境关系图</w:t>
      </w:r>
    </w:p>
    <w:p>
      <w:pPr>
        <w:pStyle w:val="9"/>
        <w:rPr>
          <w:color w:val="auto"/>
        </w:rPr>
      </w:pPr>
    </w:p>
    <w:p>
      <w:pPr>
        <w:pStyle w:val="2"/>
        <w:spacing w:after="0" w:line="240" w:lineRule="auto"/>
        <w:rPr>
          <w:rFonts w:hint="eastAsia" w:ascii="宋体" w:hAnsi="宋体" w:cs="宋体"/>
          <w:bCs/>
          <w:color w:val="auto"/>
          <w:sz w:val="24"/>
        </w:rPr>
      </w:pPr>
    </w:p>
    <w:p>
      <w:pPr>
        <w:pStyle w:val="2"/>
        <w:spacing w:after="0" w:line="240" w:lineRule="auto"/>
        <w:rPr>
          <w:rFonts w:hint="eastAsia" w:ascii="宋体" w:hAnsi="宋体" w:cs="宋体"/>
          <w:bCs/>
          <w:color w:val="auto"/>
          <w:sz w:val="24"/>
        </w:rPr>
      </w:pPr>
    </w:p>
    <w:p>
      <w:pPr>
        <w:pStyle w:val="2"/>
        <w:spacing w:after="0" w:line="240" w:lineRule="auto"/>
        <w:rPr>
          <w:rFonts w:hint="eastAsia" w:ascii="宋体" w:hAnsi="宋体" w:cs="宋体"/>
          <w:bCs/>
          <w:color w:val="auto"/>
          <w:sz w:val="24"/>
        </w:rPr>
      </w:pPr>
    </w:p>
    <w:p>
      <w:pPr>
        <w:pStyle w:val="2"/>
        <w:spacing w:after="0" w:line="240" w:lineRule="auto"/>
        <w:rPr>
          <w:rFonts w:hint="eastAsia" w:ascii="宋体" w:hAnsi="宋体" w:cs="宋体"/>
          <w:bCs/>
          <w:color w:val="auto"/>
          <w:sz w:val="24"/>
        </w:rPr>
      </w:pPr>
    </w:p>
    <w:p>
      <w:pPr>
        <w:pStyle w:val="2"/>
        <w:spacing w:after="0" w:line="240" w:lineRule="auto"/>
        <w:rPr>
          <w:rFonts w:hint="eastAsia" w:ascii="宋体" w:hAnsi="宋体" w:cs="宋体"/>
          <w:bCs/>
          <w:color w:val="auto"/>
          <w:sz w:val="24"/>
        </w:rPr>
      </w:pPr>
    </w:p>
    <w:p>
      <w:pPr>
        <w:pStyle w:val="2"/>
        <w:spacing w:after="0" w:line="240" w:lineRule="auto"/>
        <w:rPr>
          <w:rFonts w:hint="eastAsia" w:ascii="宋体" w:hAnsi="宋体" w:cs="宋体"/>
          <w:bCs/>
          <w:color w:val="auto"/>
          <w:sz w:val="24"/>
        </w:rPr>
      </w:pPr>
    </w:p>
    <w:p>
      <w:pPr>
        <w:pStyle w:val="2"/>
        <w:spacing w:after="0" w:line="240" w:lineRule="auto"/>
        <w:rPr>
          <w:rFonts w:ascii="宋体" w:hAnsi="宋体" w:cs="宋体"/>
          <w:bCs/>
          <w:color w:val="auto"/>
          <w:sz w:val="24"/>
        </w:rPr>
      </w:pPr>
    </w:p>
    <w:p>
      <w:pPr>
        <w:rPr>
          <w:rFonts w:hint="eastAsia" w:ascii="宋体" w:hAnsi="宋体" w:cs="宋体"/>
          <w:bCs/>
          <w:color w:val="auto"/>
          <w:sz w:val="24"/>
        </w:rPr>
      </w:pPr>
    </w:p>
    <w:p>
      <w:pPr>
        <w:rPr>
          <w:rFonts w:hint="eastAsia"/>
          <w:color w:val="auto"/>
        </w:rPr>
      </w:pPr>
    </w:p>
    <w:p>
      <w:pPr>
        <w:rPr>
          <w:rFonts w:hint="eastAsia" w:ascii="宋体" w:hAnsi="宋体" w:cs="宋体"/>
          <w:color w:val="auto"/>
        </w:rPr>
      </w:pPr>
    </w:p>
    <w:p>
      <w:pPr>
        <w:pStyle w:val="3"/>
        <w:jc w:val="center"/>
        <w:rPr>
          <w:rFonts w:hint="eastAsia"/>
          <w:color w:val="auto"/>
        </w:rPr>
        <w:sectPr>
          <w:footerReference r:id="rId5" w:type="default"/>
          <w:pgSz w:w="11906" w:h="16838"/>
          <w:pgMar w:top="1304" w:right="1134" w:bottom="1304" w:left="1531" w:header="851" w:footer="851" w:gutter="0"/>
          <w:cols w:space="720" w:num="1"/>
          <w:docGrid w:linePitch="312" w:charSpace="0"/>
        </w:sectPr>
      </w:pPr>
    </w:p>
    <w:p>
      <w:pPr>
        <w:pStyle w:val="3"/>
        <w:jc w:val="center"/>
        <w:rPr>
          <w:rFonts w:hint="eastAsia"/>
          <w:color w:val="auto"/>
        </w:rPr>
      </w:pPr>
      <w:r>
        <w:rPr>
          <w:rFonts w:hint="eastAsia"/>
          <w:color w:val="auto"/>
        </w:rPr>
        <w:t>一、建设项目基本情况</w:t>
      </w:r>
    </w:p>
    <w:tbl>
      <w:tblPr>
        <w:tblStyle w:val="26"/>
        <w:tblW w:w="97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84"/>
        <w:gridCol w:w="2741"/>
        <w:gridCol w:w="1753"/>
        <w:gridCol w:w="3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584" w:type="dxa"/>
            <w:noWrap w:val="0"/>
            <w:tcMar>
              <w:top w:w="16" w:type="dxa"/>
              <w:left w:w="16" w:type="dxa"/>
              <w:right w:w="16" w:type="dxa"/>
            </w:tcMar>
            <w:vAlign w:val="center"/>
          </w:tcPr>
          <w:p>
            <w:pPr>
              <w:pStyle w:val="22"/>
              <w:keepNext w:val="0"/>
              <w:keepLines w:val="0"/>
              <w:suppressLineNumbers w:val="0"/>
              <w:ind w:left="0" w:right="0"/>
              <w:jc w:val="center"/>
              <w:outlineLvl w:val="0"/>
              <w:rPr>
                <w:rFonts w:hint="eastAsia" w:cs="宋体"/>
                <w:color w:val="auto"/>
                <w:szCs w:val="24"/>
              </w:rPr>
            </w:pPr>
            <w:r>
              <w:rPr>
                <w:rFonts w:hint="eastAsia" w:cs="宋体"/>
                <w:color w:val="auto"/>
                <w:szCs w:val="24"/>
              </w:rPr>
              <w:t>建设项目名称</w:t>
            </w:r>
          </w:p>
        </w:tc>
        <w:tc>
          <w:tcPr>
            <w:tcW w:w="8161"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昆明市东川区精神病院整体迁建建设项目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项目代码</w:t>
            </w:r>
          </w:p>
        </w:tc>
        <w:tc>
          <w:tcPr>
            <w:tcW w:w="8161"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default" w:ascii="宋体" w:hAnsi="宋体" w:cs="宋体"/>
                <w:color w:val="auto"/>
                <w:kern w:val="0"/>
                <w:sz w:val="24"/>
                <w:szCs w:val="24"/>
              </w:rPr>
              <w:t>2019-</w:t>
            </w:r>
            <w:r>
              <w:rPr>
                <w:rFonts w:hint="eastAsia" w:ascii="宋体" w:hAnsi="宋体" w:cs="宋体"/>
                <w:color w:val="auto"/>
                <w:kern w:val="0"/>
                <w:sz w:val="24"/>
                <w:szCs w:val="24"/>
                <w:lang w:eastAsia="zh-CN"/>
              </w:rPr>
              <w:t>******</w:t>
            </w:r>
            <w:r>
              <w:rPr>
                <w:rFonts w:hint="default" w:ascii="宋体" w:hAnsi="宋体" w:cs="宋体"/>
                <w:color w:val="auto"/>
                <w:kern w:val="0"/>
                <w:sz w:val="24"/>
                <w:szCs w:val="24"/>
              </w:rPr>
              <w:t>-84-01-</w:t>
            </w:r>
            <w:r>
              <w:rPr>
                <w:rFonts w:hint="eastAsia" w:ascii="宋体" w:hAnsi="宋体" w:cs="宋体"/>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建设单位联系人</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汤</w:t>
            </w:r>
            <w:r>
              <w:rPr>
                <w:rFonts w:hint="eastAsia" w:ascii="宋体" w:hAnsi="宋体" w:cs="宋体"/>
                <w:color w:val="auto"/>
                <w:kern w:val="0"/>
                <w:sz w:val="24"/>
                <w:szCs w:val="24"/>
                <w:lang w:val="en-US" w:eastAsia="zh-CN"/>
              </w:rPr>
              <w:t>**</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联系方式</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建设地点</w:t>
            </w:r>
          </w:p>
        </w:tc>
        <w:tc>
          <w:tcPr>
            <w:tcW w:w="8161"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云南省昆明市东川区城区西南角，规划道路东海路南延长线东侧，兴铜路西延长线南侧交汇路口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地理坐标</w:t>
            </w:r>
          </w:p>
        </w:tc>
        <w:tc>
          <w:tcPr>
            <w:tcW w:w="8161"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（中心坐标：经度10</w:t>
            </w:r>
            <w:r>
              <w:rPr>
                <w:rFonts w:hint="default" w:ascii="宋体" w:hAnsi="宋体" w:cs="宋体"/>
                <w:color w:val="auto"/>
                <w:sz w:val="24"/>
                <w:szCs w:val="24"/>
              </w:rPr>
              <w:t>3</w:t>
            </w:r>
            <w:r>
              <w:rPr>
                <w:rFonts w:hint="eastAsia" w:ascii="宋体" w:hAnsi="宋体" w:cs="宋体"/>
                <w:color w:val="auto"/>
                <w:sz w:val="24"/>
                <w:szCs w:val="24"/>
              </w:rPr>
              <w:t>°1</w:t>
            </w:r>
            <w:r>
              <w:rPr>
                <w:rFonts w:hint="default" w:ascii="宋体" w:hAnsi="宋体" w:cs="宋体"/>
                <w:color w:val="auto"/>
                <w:sz w:val="24"/>
                <w:szCs w:val="24"/>
              </w:rPr>
              <w:t>0</w:t>
            </w:r>
            <w:r>
              <w:rPr>
                <w:rFonts w:hint="eastAsia" w:ascii="宋体" w:hAnsi="宋体" w:cs="宋体"/>
                <w:color w:val="auto"/>
                <w:sz w:val="24"/>
                <w:szCs w:val="24"/>
              </w:rPr>
              <w:t>′</w:t>
            </w:r>
            <w:r>
              <w:rPr>
                <w:rFonts w:hint="default" w:ascii="宋体" w:hAnsi="宋体" w:cs="宋体"/>
                <w:color w:val="auto"/>
                <w:sz w:val="24"/>
                <w:szCs w:val="24"/>
              </w:rPr>
              <w:t>42.608</w:t>
            </w:r>
            <w:r>
              <w:rPr>
                <w:rFonts w:hint="eastAsia" w:ascii="宋体" w:hAnsi="宋体" w:cs="宋体"/>
                <w:color w:val="auto"/>
                <w:sz w:val="24"/>
                <w:szCs w:val="24"/>
              </w:rPr>
              <w:t>″，纬度：2</w:t>
            </w:r>
            <w:r>
              <w:rPr>
                <w:rFonts w:hint="default" w:ascii="宋体" w:hAnsi="宋体" w:cs="宋体"/>
                <w:color w:val="auto"/>
                <w:sz w:val="24"/>
                <w:szCs w:val="24"/>
              </w:rPr>
              <w:t>6</w:t>
            </w:r>
            <w:r>
              <w:rPr>
                <w:rFonts w:hint="eastAsia" w:ascii="宋体" w:hAnsi="宋体" w:cs="宋体"/>
                <w:color w:val="auto"/>
                <w:sz w:val="24"/>
                <w:szCs w:val="24"/>
              </w:rPr>
              <w:t>°</w:t>
            </w:r>
            <w:r>
              <w:rPr>
                <w:rFonts w:hint="default" w:ascii="宋体" w:hAnsi="宋体" w:cs="宋体"/>
                <w:color w:val="auto"/>
                <w:sz w:val="24"/>
                <w:szCs w:val="24"/>
              </w:rPr>
              <w:t>4</w:t>
            </w:r>
            <w:r>
              <w:rPr>
                <w:rFonts w:hint="eastAsia" w:ascii="宋体" w:hAnsi="宋体" w:cs="宋体"/>
                <w:color w:val="auto"/>
                <w:sz w:val="24"/>
                <w:szCs w:val="24"/>
              </w:rPr>
              <w:t>′</w:t>
            </w:r>
            <w:r>
              <w:rPr>
                <w:rFonts w:hint="default" w:ascii="宋体" w:hAnsi="宋体" w:cs="宋体"/>
                <w:color w:val="auto"/>
                <w:sz w:val="24"/>
                <w:szCs w:val="24"/>
              </w:rPr>
              <w:t>9.695</w:t>
            </w:r>
            <w:r>
              <w:rPr>
                <w:rFonts w:hint="eastAsia" w:ascii="宋体" w:hAnsi="宋体" w:cs="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国民经济</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行业类别</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default" w:ascii="宋体" w:hAnsi="宋体" w:cs="宋体"/>
                <w:color w:val="auto"/>
                <w:sz w:val="24"/>
                <w:szCs w:val="24"/>
                <w:lang w:val="en-US"/>
              </w:rPr>
              <w:t>Q</w:t>
            </w:r>
            <w:r>
              <w:rPr>
                <w:rFonts w:hint="eastAsia" w:ascii="宋体" w:hAnsi="宋体" w:cs="宋体"/>
                <w:color w:val="auto"/>
                <w:sz w:val="24"/>
                <w:szCs w:val="24"/>
              </w:rPr>
              <w:t>8432专科疾病防治院（所、站）</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bookmarkStart w:id="3" w:name="_Hlk49843745"/>
            <w:r>
              <w:rPr>
                <w:rFonts w:hint="eastAsia" w:ascii="宋体" w:hAnsi="宋体" w:cs="宋体"/>
                <w:color w:val="auto"/>
                <w:sz w:val="24"/>
                <w:szCs w:val="24"/>
              </w:rPr>
              <w:t>建设项目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行业类别</w:t>
            </w:r>
            <w:bookmarkEnd w:id="3"/>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四十九、卫生</w:t>
            </w:r>
            <w:r>
              <w:rPr>
                <w:rFonts w:hint="default" w:ascii="宋体" w:hAnsi="宋体" w:cs="宋体"/>
                <w:color w:val="auto"/>
                <w:sz w:val="24"/>
                <w:szCs w:val="24"/>
                <w:lang w:val="en-US" w:eastAsia="zh-CN"/>
              </w:rPr>
              <w:t>108</w:t>
            </w:r>
            <w:r>
              <w:rPr>
                <w:rFonts w:hint="eastAsia" w:ascii="宋体" w:hAnsi="宋体" w:cs="宋体"/>
                <w:color w:val="auto"/>
                <w:sz w:val="24"/>
                <w:szCs w:val="24"/>
                <w:lang w:val="en-US" w:eastAsia="zh-CN"/>
              </w:rPr>
              <w:t>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3"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建设性质</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新建（迁建）</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改建</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扩建</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技术改造</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建设项目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申报情形</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首次申报项目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不予批准后再次申报项目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超五年重新审核项目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项目审批（核准/备案）部门</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昆明市东川区发展和改革局</w:t>
            </w:r>
          </w:p>
        </w:tc>
        <w:tc>
          <w:tcPr>
            <w:tcW w:w="17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项目审批（核准/</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备案）文号</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东发改复</w:t>
            </w:r>
            <w:r>
              <w:rPr>
                <w:rFonts w:hint="default" w:ascii="宋体" w:hAnsi="宋体" w:cs="宋体"/>
                <w:color w:val="auto"/>
                <w:sz w:val="24"/>
                <w:szCs w:val="24"/>
              </w:rPr>
              <w:t>[2022]197</w:t>
            </w:r>
            <w:r>
              <w:rPr>
                <w:rFonts w:hint="eastAsia" w:ascii="宋体" w:hAnsi="宋体" w:cs="宋体"/>
                <w:color w:val="auto"/>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总投资（万元）</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default" w:ascii="宋体" w:hAnsi="宋体" w:cs="宋体"/>
                <w:color w:val="auto"/>
                <w:sz w:val="24"/>
                <w:szCs w:val="24"/>
              </w:rPr>
              <w:t>21000</w:t>
            </w:r>
          </w:p>
        </w:tc>
        <w:tc>
          <w:tcPr>
            <w:tcW w:w="1753"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环保投资（万元）</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default" w:ascii="宋体" w:hAnsi="宋体" w:cs="宋体"/>
                <w:color w:val="auto"/>
                <w:sz w:val="24"/>
                <w:szCs w:val="24"/>
              </w:rPr>
              <w:t>78.6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环保投资占比</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rPr>
            </w:pPr>
            <w:r>
              <w:rPr>
                <w:rFonts w:hint="default" w:ascii="宋体" w:hAnsi="宋体" w:cs="宋体"/>
                <w:color w:val="auto"/>
                <w:sz w:val="24"/>
                <w:szCs w:val="24"/>
              </w:rPr>
              <w:t>0.4</w:t>
            </w:r>
          </w:p>
        </w:tc>
        <w:tc>
          <w:tcPr>
            <w:tcW w:w="1753"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施工工期</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default" w:ascii="宋体" w:hAnsi="宋体" w:cs="宋体"/>
                <w:color w:val="auto"/>
                <w:sz w:val="24"/>
                <w:szCs w:val="24"/>
                <w:lang w:val="en-US"/>
              </w:rPr>
              <w:t>24</w:t>
            </w:r>
            <w:r>
              <w:rPr>
                <w:rFonts w:hint="eastAsia" w:ascii="宋体" w:hAnsi="宋体" w:cs="宋体"/>
                <w:color w:val="auto"/>
                <w:sz w:val="24"/>
                <w:szCs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1584"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t>是否开工建设</w:t>
            </w:r>
          </w:p>
        </w:tc>
        <w:tc>
          <w:tcPr>
            <w:tcW w:w="2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否</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u w:val="single"/>
              </w:rPr>
            </w:pPr>
            <w:r>
              <w:rPr>
                <w:rFonts w:hint="eastAsia" w:ascii="宋体" w:hAnsi="宋体" w:cs="宋体"/>
                <w:color w:val="auto"/>
                <w:sz w:val="24"/>
                <w:szCs w:val="24"/>
              </w:rPr>
              <w:t xml:space="preserve">  </w:t>
            </w:r>
            <w:r>
              <w:rPr>
                <w:rFonts w:hint="eastAsia" w:ascii="宋体" w:hAnsi="宋体" w:cs="宋体"/>
                <w:color w:val="auto"/>
                <w:sz w:val="24"/>
                <w:szCs w:val="24"/>
              </w:rPr>
              <w:sym w:font="Wingdings 2" w:char="00A3"/>
            </w:r>
            <w:r>
              <w:rPr>
                <w:rFonts w:hint="eastAsia" w:ascii="宋体" w:hAnsi="宋体" w:cs="宋体"/>
                <w:color w:val="auto"/>
                <w:sz w:val="24"/>
                <w:szCs w:val="24"/>
              </w:rPr>
              <w:t>是：</w:t>
            </w:r>
            <w:r>
              <w:rPr>
                <w:rFonts w:hint="eastAsia" w:ascii="宋体" w:hAnsi="宋体" w:cs="宋体"/>
                <w:color w:val="auto"/>
                <w:sz w:val="24"/>
                <w:szCs w:val="24"/>
                <w:u w:val="single"/>
              </w:rPr>
              <w:t xml:space="preserve">    </w:t>
            </w:r>
          </w:p>
        </w:tc>
        <w:tc>
          <w:tcPr>
            <w:tcW w:w="1753"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pacing w:val="-6"/>
                <w:sz w:val="24"/>
                <w:szCs w:val="24"/>
              </w:rPr>
            </w:pPr>
            <w:r>
              <w:rPr>
                <w:rFonts w:hint="eastAsia" w:ascii="宋体" w:hAnsi="宋体" w:cs="宋体"/>
                <w:color w:val="auto"/>
                <w:spacing w:val="-6"/>
                <w:sz w:val="24"/>
                <w:szCs w:val="24"/>
              </w:rPr>
              <w:t>用地（用海）</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szCs w:val="24"/>
              </w:rPr>
            </w:pPr>
            <w:r>
              <w:rPr>
                <w:rFonts w:hint="eastAsia" w:ascii="宋体" w:hAnsi="宋体" w:cs="宋体"/>
                <w:color w:val="auto"/>
                <w:spacing w:val="-6"/>
                <w:sz w:val="24"/>
                <w:szCs w:val="24"/>
              </w:rPr>
              <w:t>面积（m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rPr>
              <w:t>）</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default" w:ascii="宋体" w:hAnsi="宋体" w:cs="宋体"/>
                <w:color w:val="auto"/>
                <w:sz w:val="24"/>
                <w:szCs w:val="24"/>
                <w:lang w:val="en-US"/>
              </w:rPr>
              <w:t>13215.92</w:t>
            </w:r>
            <w:r>
              <w:rPr>
                <w:rFonts w:hint="eastAsia" w:ascii="宋体" w:hAnsi="宋体" w:cs="宋体"/>
                <w:color w:val="auto"/>
                <w:sz w:val="24"/>
                <w:szCs w:val="24"/>
                <w:lang w:val="en-US" w:eastAsia="zh-CN"/>
              </w:rPr>
              <w:t>（选址时用地面积为</w:t>
            </w:r>
            <w:r>
              <w:rPr>
                <w:rFonts w:hint="default" w:ascii="宋体" w:hAnsi="宋体" w:cs="宋体"/>
                <w:color w:val="auto"/>
                <w:sz w:val="24"/>
                <w:szCs w:val="24"/>
                <w:lang w:val="en-US" w:eastAsia="zh-CN"/>
              </w:rPr>
              <w:t>13332.99</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，因东海路和兴铜路延长线道路平面线形调整，机动车停车位由</w:t>
            </w:r>
            <w:r>
              <w:rPr>
                <w:rFonts w:hint="default" w:ascii="宋体" w:hAnsi="宋体" w:cs="宋体"/>
                <w:color w:val="auto"/>
                <w:spacing w:val="-6"/>
                <w:sz w:val="24"/>
                <w:szCs w:val="24"/>
                <w:vertAlign w:val="baseline"/>
                <w:lang w:val="en-US" w:eastAsia="zh-CN"/>
              </w:rPr>
              <w:t>167</w:t>
            </w:r>
            <w:r>
              <w:rPr>
                <w:rFonts w:hint="eastAsia" w:ascii="宋体" w:hAnsi="宋体" w:cs="宋体"/>
                <w:color w:val="auto"/>
                <w:spacing w:val="-6"/>
                <w:sz w:val="24"/>
                <w:szCs w:val="24"/>
                <w:vertAlign w:val="baseline"/>
                <w:lang w:val="en-US" w:eastAsia="zh-CN"/>
              </w:rPr>
              <w:t>个减少为</w:t>
            </w:r>
            <w:r>
              <w:rPr>
                <w:rFonts w:hint="default" w:ascii="宋体" w:hAnsi="宋体" w:cs="宋体"/>
                <w:color w:val="auto"/>
                <w:spacing w:val="-6"/>
                <w:sz w:val="24"/>
                <w:szCs w:val="24"/>
                <w:vertAlign w:val="baseline"/>
                <w:lang w:val="en-US" w:eastAsia="zh-CN"/>
              </w:rPr>
              <w:t>154</w:t>
            </w:r>
            <w:r>
              <w:rPr>
                <w:rFonts w:hint="eastAsia" w:ascii="宋体" w:hAnsi="宋体" w:cs="宋体"/>
                <w:color w:val="auto"/>
                <w:spacing w:val="-6"/>
                <w:sz w:val="24"/>
                <w:szCs w:val="24"/>
                <w:vertAlign w:val="baseline"/>
                <w:lang w:val="en-US" w:eastAsia="zh-CN"/>
              </w:rPr>
              <w:t>个，面积减少</w:t>
            </w:r>
            <w:r>
              <w:rPr>
                <w:rFonts w:hint="default" w:ascii="宋体" w:hAnsi="宋体" w:cs="宋体"/>
                <w:color w:val="auto"/>
                <w:spacing w:val="-6"/>
                <w:sz w:val="24"/>
                <w:szCs w:val="24"/>
                <w:vertAlign w:val="baseline"/>
                <w:lang w:val="en-US" w:eastAsia="zh-CN"/>
              </w:rPr>
              <w:t>117.07</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84"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专项评价设置情况</w:t>
            </w:r>
          </w:p>
        </w:tc>
        <w:tc>
          <w:tcPr>
            <w:tcW w:w="8161" w:type="dxa"/>
            <w:gridSpan w:val="3"/>
            <w:noWrap w:val="0"/>
            <w:vAlign w:val="center"/>
          </w:tcPr>
          <w:p>
            <w:pPr>
              <w:keepNext w:val="0"/>
              <w:keepLines w:val="0"/>
              <w:suppressLineNumbers w:val="0"/>
              <w:adjustRightInd w:val="0"/>
              <w:snapToGrid w:val="0"/>
              <w:spacing w:before="0" w:beforeAutospacing="0" w:after="0" w:afterAutospacing="0"/>
              <w:ind w:left="0" w:right="0"/>
              <w:rPr>
                <w:rFonts w:hint="eastAsia" w:ascii="Calibri" w:hAnsi="Calibri" w:cs="Times New Roman"/>
                <w:color w:val="auto"/>
              </w:rPr>
            </w:pPr>
          </w:p>
          <w:p>
            <w:pPr>
              <w:pStyle w:val="9"/>
              <w:keepNext w:val="0"/>
              <w:keepLines w:val="0"/>
              <w:widowControl w:val="0"/>
              <w:suppressLineNumbers w:val="0"/>
              <w:adjustRightInd w:val="0"/>
              <w:spacing w:before="0" w:beforeAutospacing="0" w:after="0" w:afterAutospacing="0" w:line="240" w:lineRule="auto"/>
              <w:ind w:left="0" w:right="0"/>
              <w:jc w:val="center"/>
              <w:rPr>
                <w:rFonts w:hint="eastAsia" w:ascii="Calibri" w:hAnsi="Calibri" w:cs="Times New Roman"/>
                <w:color w:val="auto"/>
                <w:kern w:val="0"/>
                <w:sz w:val="18"/>
                <w:szCs w:val="20"/>
              </w:rPr>
            </w:pPr>
            <w:r>
              <w:rPr>
                <w:rFonts w:hint="default" w:ascii="Times New Roman" w:hAnsi="Times New Roman" w:cs="Times New Roman"/>
                <w:b/>
                <w:bCs/>
                <w:color w:val="auto"/>
                <w:kern w:val="0"/>
                <w:sz w:val="24"/>
              </w:rPr>
              <w:t>表1-1</w:t>
            </w:r>
            <w:r>
              <w:rPr>
                <w:rFonts w:hint="eastAsia" w:ascii="Times New Roman" w:hAnsi="Times New Roman" w:cs="Times New Roman"/>
                <w:b/>
                <w:bCs/>
                <w:color w:val="auto"/>
                <w:kern w:val="0"/>
                <w:sz w:val="24"/>
              </w:rPr>
              <w:t xml:space="preserve">  </w:t>
            </w:r>
            <w:r>
              <w:rPr>
                <w:rFonts w:hint="default" w:ascii="Times New Roman" w:hAnsi="Times New Roman" w:cs="Times New Roman"/>
                <w:b/>
                <w:bCs/>
                <w:color w:val="auto"/>
                <w:kern w:val="0"/>
                <w:sz w:val="24"/>
              </w:rPr>
              <w:t>专项评价设置原则表</w:t>
            </w:r>
          </w:p>
          <w:tbl>
            <w:tblPr>
              <w:tblStyle w:val="26"/>
              <w:tblpPr w:leftFromText="180" w:rightFromText="180" w:vertAnchor="text" w:horzAnchor="page" w:tblpX="143" w:tblpY="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3237"/>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专项评价原则</w:t>
                  </w:r>
                </w:p>
              </w:tc>
              <w:tc>
                <w:tcPr>
                  <w:tcW w:w="3237"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设置原则</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大气</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default" w:ascii="Times New Roman" w:hAnsi="Times New Roman" w:cs="Times New Roman"/>
                      <w:color w:val="auto"/>
                      <w:kern w:val="21"/>
                    </w:rPr>
                    <w:t>排放废气含有毒有害污染物</w:t>
                  </w:r>
                  <w:r>
                    <w:rPr>
                      <w:rFonts w:hint="default" w:ascii="Times New Roman" w:hAnsi="Times New Roman" w:cs="Times New Roman"/>
                      <w:color w:val="auto"/>
                      <w:kern w:val="21"/>
                      <w:vertAlign w:val="superscript"/>
                    </w:rPr>
                    <w:t>1</w:t>
                  </w:r>
                  <w:r>
                    <w:rPr>
                      <w:rFonts w:hint="default" w:ascii="Times New Roman" w:hAnsi="Times New Roman" w:cs="Times New Roman"/>
                      <w:color w:val="auto"/>
                      <w:kern w:val="21"/>
                    </w:rPr>
                    <w:t>、二噁英、苯并[a]芘、氰化物、氯气且厂界外500米范围内有环境空气保护目标</w:t>
                  </w:r>
                  <w:r>
                    <w:rPr>
                      <w:rFonts w:hint="default" w:ascii="Times New Roman" w:hAnsi="Times New Roman" w:cs="Times New Roman"/>
                      <w:color w:val="auto"/>
                      <w:kern w:val="21"/>
                      <w:vertAlign w:val="superscript"/>
                    </w:rPr>
                    <w:t>2</w:t>
                  </w:r>
                  <w:r>
                    <w:rPr>
                      <w:rFonts w:hint="default" w:ascii="Times New Roman" w:hAnsi="Times New Roman" w:cs="Times New Roman"/>
                      <w:color w:val="auto"/>
                      <w:kern w:val="21"/>
                    </w:rPr>
                    <w:t>的建设项目</w:t>
                  </w:r>
                  <w:r>
                    <w:rPr>
                      <w:rFonts w:hint="eastAsia" w:ascii="Times New Roman" w:hAnsi="Times New Roman" w:cs="Times New Roman"/>
                      <w:color w:val="auto"/>
                      <w:kern w:val="21"/>
                    </w:rPr>
                    <w:t>。</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left"/>
                    <w:rPr>
                      <w:rFonts w:hint="eastAsia" w:ascii="Times New Roman" w:hAnsi="Times New Roman" w:cs="Times New Roman"/>
                      <w:color w:val="auto"/>
                      <w:kern w:val="0"/>
                      <w:szCs w:val="21"/>
                    </w:rPr>
                  </w:pPr>
                  <w:r>
                    <w:rPr>
                      <w:rFonts w:hint="default" w:ascii="Times New Roman" w:hAnsi="Times New Roman" w:cs="Times New Roman"/>
                      <w:color w:val="auto"/>
                      <w:kern w:val="0"/>
                      <w:szCs w:val="21"/>
                    </w:rPr>
                    <w:t>本项目不涉及</w:t>
                  </w:r>
                  <w:r>
                    <w:rPr>
                      <w:rFonts w:hint="default" w:ascii="Times New Roman" w:hAnsi="Times New Roman" w:cs="Times New Roman"/>
                      <w:color w:val="auto"/>
                      <w:kern w:val="21"/>
                      <w:szCs w:val="21"/>
                    </w:rPr>
                    <w:t>有毒有害污染物</w:t>
                  </w:r>
                  <w:r>
                    <w:rPr>
                      <w:rFonts w:hint="default" w:ascii="Times New Roman" w:hAnsi="Times New Roman" w:cs="Times New Roman"/>
                      <w:color w:val="auto"/>
                      <w:kern w:val="0"/>
                      <w:szCs w:val="21"/>
                    </w:rPr>
                    <w:t>，因此无需开展大气专项评价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地表水</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default" w:ascii="Times New Roman" w:hAnsi="Times New Roman" w:cs="Times New Roman"/>
                      <w:color w:val="auto"/>
                      <w:kern w:val="21"/>
                    </w:rPr>
                    <w:t>新增工业废水直排建设项目（槽罐车外送污水处理厂的除外）；新增废水直排的污水集中处理厂</w:t>
                  </w:r>
                  <w:r>
                    <w:rPr>
                      <w:rFonts w:hint="eastAsia" w:ascii="Times New Roman" w:hAnsi="Times New Roman" w:cs="Times New Roman"/>
                      <w:color w:val="auto"/>
                      <w:kern w:val="21"/>
                    </w:rPr>
                    <w:t>。</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本项目废水</w:t>
                  </w:r>
                  <w:r>
                    <w:rPr>
                      <w:rFonts w:hint="eastAsia" w:ascii="Times New Roman" w:hAnsi="Times New Roman" w:cs="Times New Roman"/>
                      <w:color w:val="auto"/>
                      <w:kern w:val="0"/>
                      <w:szCs w:val="21"/>
                    </w:rPr>
                    <w:t>进入市政污水管网，不直接排放</w:t>
                  </w:r>
                  <w:r>
                    <w:rPr>
                      <w:rFonts w:hint="default" w:ascii="Times New Roman" w:hAnsi="Times New Roman" w:cs="Times New Roman"/>
                      <w:color w:val="auto"/>
                      <w:kern w:val="0"/>
                      <w:szCs w:val="21"/>
                    </w:rPr>
                    <w:t>，因此无需开展地表水专项评价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环境风险</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kern w:val="21"/>
                    </w:rPr>
                    <w:t>有毒有害和易燃易爆危险物质存储量超过临界量</w:t>
                  </w:r>
                  <w:r>
                    <w:rPr>
                      <w:rFonts w:hint="default" w:ascii="Times New Roman" w:hAnsi="Times New Roman" w:cs="Times New Roman"/>
                      <w:color w:val="auto"/>
                      <w:kern w:val="21"/>
                      <w:vertAlign w:val="superscript"/>
                    </w:rPr>
                    <w:t>3</w:t>
                  </w:r>
                  <w:r>
                    <w:rPr>
                      <w:rFonts w:hint="default" w:ascii="Times New Roman" w:hAnsi="Times New Roman" w:cs="Times New Roman"/>
                      <w:color w:val="auto"/>
                      <w:kern w:val="21"/>
                    </w:rPr>
                    <w:t>的建设项目</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left"/>
                    <w:rPr>
                      <w:rFonts w:hint="default" w:ascii="Times New Roman" w:hAnsi="Times New Roman" w:cs="Times New Roman"/>
                      <w:color w:val="auto"/>
                      <w:kern w:val="0"/>
                      <w:szCs w:val="21"/>
                    </w:rPr>
                  </w:pPr>
                  <w:r>
                    <w:rPr>
                      <w:rFonts w:hint="default" w:ascii="Times New Roman" w:hAnsi="Times New Roman" w:cs="Times New Roman"/>
                      <w:color w:val="auto"/>
                      <w:spacing w:val="19"/>
                      <w:kern w:val="0"/>
                      <w:szCs w:val="21"/>
                    </w:rPr>
                    <w:t>本项目</w:t>
                  </w:r>
                  <w:r>
                    <w:rPr>
                      <w:rFonts w:hint="eastAsia" w:ascii="Times New Roman" w:hAnsi="Times New Roman" w:cs="Times New Roman"/>
                      <w:color w:val="auto"/>
                      <w:spacing w:val="19"/>
                      <w:kern w:val="0"/>
                      <w:szCs w:val="21"/>
                    </w:rPr>
                    <w:t>涉及的</w:t>
                  </w:r>
                  <w:r>
                    <w:rPr>
                      <w:rFonts w:hint="default" w:ascii="Times New Roman" w:hAnsi="Times New Roman" w:cs="Times New Roman"/>
                      <w:color w:val="auto"/>
                      <w:spacing w:val="19"/>
                      <w:kern w:val="0"/>
                      <w:szCs w:val="21"/>
                    </w:rPr>
                    <w:t>有毒有害和易燃易爆危险物质存储</w:t>
                  </w:r>
                  <w:r>
                    <w:rPr>
                      <w:rFonts w:hint="default" w:ascii="Times New Roman" w:hAnsi="Times New Roman" w:cs="Times New Roman"/>
                      <w:color w:val="auto"/>
                      <w:spacing w:val="-5"/>
                      <w:kern w:val="0"/>
                      <w:szCs w:val="21"/>
                    </w:rPr>
                    <w:t>量未超过临界量，因此</w:t>
                  </w:r>
                  <w:r>
                    <w:rPr>
                      <w:rFonts w:hint="default" w:ascii="Times New Roman" w:hAnsi="Times New Roman" w:cs="Times New Roman"/>
                      <w:color w:val="auto"/>
                      <w:spacing w:val="19"/>
                      <w:kern w:val="0"/>
                      <w:szCs w:val="21"/>
                    </w:rPr>
                    <w:t>无需开展环境风险专</w:t>
                  </w:r>
                  <w:r>
                    <w:rPr>
                      <w:rFonts w:hint="default" w:ascii="Times New Roman" w:hAnsi="Times New Roman" w:cs="Times New Roman"/>
                      <w:color w:val="auto"/>
                      <w:kern w:val="0"/>
                      <w:szCs w:val="21"/>
                    </w:rPr>
                    <w:t>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w:t>
                  </w:r>
                </w:p>
              </w:tc>
              <w:tc>
                <w:tcPr>
                  <w:tcW w:w="3237" w:type="dxa"/>
                  <w:noWrap w:val="0"/>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kern w:val="21"/>
                    </w:rPr>
                    <w:t>取水口下游500米范围内有重要水生生物的自然产卵场、索饵场、越冬场和洄游通道的新增河道取水的污染类建设项目</w:t>
                  </w:r>
                </w:p>
              </w:tc>
              <w:tc>
                <w:tcPr>
                  <w:tcW w:w="3019" w:type="dxa"/>
                  <w:noWrap w:val="0"/>
                  <w:vAlign w:val="center"/>
                </w:tcPr>
                <w:p>
                  <w:pPr>
                    <w:pStyle w:val="9"/>
                    <w:keepNext w:val="0"/>
                    <w:keepLines w:val="0"/>
                    <w:widowControl w:val="0"/>
                    <w:suppressLineNumbers w:val="0"/>
                    <w:snapToGrid/>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本项目不涉及河道取水，因此无需开展生态专项评价</w:t>
                  </w:r>
                </w:p>
              </w:tc>
            </w:tr>
          </w:tbl>
          <w:p>
            <w:pPr>
              <w:pStyle w:val="82"/>
              <w:keepNext w:val="0"/>
              <w:keepLines w:val="0"/>
              <w:suppressLineNumbers w:val="0"/>
              <w:spacing w:before="0" w:beforeAutospacing="0" w:after="0" w:afterAutospacing="0"/>
              <w:ind w:left="0" w:right="0"/>
              <w:rPr>
                <w:rFonts w:hint="default" w:ascii="Times New Roman" w:hAnsi="Times New Roman" w:cs="Times New Roman"/>
                <w:color w:val="auto"/>
                <w:kern w:val="21"/>
                <w:sz w:val="21"/>
                <w:szCs w:val="21"/>
              </w:rPr>
            </w:pPr>
            <w:r>
              <w:rPr>
                <w:rFonts w:hint="default" w:ascii="Times New Roman" w:hAnsi="Times New Roman" w:cs="Times New Roman"/>
                <w:color w:val="auto"/>
                <w:kern w:val="21"/>
                <w:sz w:val="21"/>
                <w:szCs w:val="21"/>
              </w:rPr>
              <w:t>注：</w:t>
            </w:r>
            <w:r>
              <w:rPr>
                <w:rFonts w:ascii="Times New Roman" w:hAnsi="Times New Roman" w:cs="Times New Roman"/>
                <w:color w:val="auto"/>
                <w:kern w:val="21"/>
                <w:sz w:val="21"/>
                <w:szCs w:val="21"/>
              </w:rPr>
              <w:t>1.</w:t>
            </w:r>
            <w:r>
              <w:rPr>
                <w:rFonts w:hint="default" w:ascii="Times New Roman" w:hAnsi="Times New Roman" w:cs="Times New Roman"/>
                <w:color w:val="auto"/>
                <w:kern w:val="21"/>
                <w:sz w:val="21"/>
                <w:szCs w:val="21"/>
              </w:rPr>
              <w:t>废气中有毒有害污染物指纳入《有毒有害大气污染物名录》的污染物（不包括无排放标准的污染物）。</w:t>
            </w:r>
          </w:p>
          <w:p>
            <w:pPr>
              <w:pStyle w:val="82"/>
              <w:keepNext w:val="0"/>
              <w:keepLines w:val="0"/>
              <w:suppressLineNumbers w:val="0"/>
              <w:tabs>
                <w:tab w:val="left" w:pos="272"/>
              </w:tabs>
              <w:spacing w:before="0" w:beforeAutospacing="0" w:after="0" w:afterAutospacing="0"/>
              <w:ind w:left="0" w:right="0" w:firstLine="420" w:firstLineChars="200"/>
              <w:jc w:val="left"/>
              <w:rPr>
                <w:rFonts w:hint="default" w:ascii="Times New Roman" w:hAnsi="Times New Roman" w:cs="Times New Roman"/>
                <w:color w:val="auto"/>
                <w:kern w:val="21"/>
                <w:sz w:val="21"/>
                <w:szCs w:val="21"/>
              </w:rPr>
            </w:pPr>
            <w:r>
              <w:rPr>
                <w:rFonts w:ascii="Times New Roman" w:hAnsi="Times New Roman" w:cs="Times New Roman"/>
                <w:color w:val="auto"/>
                <w:kern w:val="21"/>
                <w:sz w:val="21"/>
                <w:szCs w:val="21"/>
              </w:rPr>
              <w:t>2.</w:t>
            </w:r>
            <w:r>
              <w:rPr>
                <w:rFonts w:hint="default" w:ascii="Times New Roman" w:hAnsi="Times New Roman" w:cs="Times New Roman"/>
                <w:color w:val="auto"/>
                <w:kern w:val="21"/>
                <w:sz w:val="21"/>
                <w:szCs w:val="21"/>
              </w:rPr>
              <w:t>环境空气保护目标指自然保护区、风景名胜区、居住区、文化区和农村地区中人群较集中的区域。</w:t>
            </w:r>
          </w:p>
          <w:p>
            <w:pPr>
              <w:pStyle w:val="82"/>
              <w:keepNext w:val="0"/>
              <w:keepLines w:val="0"/>
              <w:suppressLineNumbers w:val="0"/>
              <w:tabs>
                <w:tab w:val="left" w:pos="272"/>
              </w:tabs>
              <w:spacing w:before="0" w:beforeAutospacing="0" w:after="0" w:afterAutospacing="0"/>
              <w:ind w:left="0" w:right="0" w:firstLine="420" w:firstLineChars="200"/>
              <w:rPr>
                <w:rFonts w:hint="default" w:ascii="Times New Roman" w:hAnsi="Times New Roman" w:cs="Times New Roman"/>
                <w:color w:val="auto"/>
                <w:kern w:val="21"/>
                <w:sz w:val="21"/>
                <w:szCs w:val="21"/>
              </w:rPr>
            </w:pPr>
            <w:r>
              <w:rPr>
                <w:rFonts w:ascii="Times New Roman" w:hAnsi="Times New Roman" w:cs="Times New Roman"/>
                <w:color w:val="auto"/>
                <w:kern w:val="21"/>
                <w:sz w:val="21"/>
                <w:szCs w:val="21"/>
              </w:rPr>
              <w:t>3.</w:t>
            </w:r>
            <w:r>
              <w:rPr>
                <w:rFonts w:hint="default" w:ascii="Times New Roman" w:hAnsi="Times New Roman" w:cs="Times New Roman"/>
                <w:color w:val="auto"/>
                <w:kern w:val="21"/>
                <w:sz w:val="21"/>
                <w:szCs w:val="21"/>
              </w:rPr>
              <w:t>临界量及其计算方法可参考《建设项目环境风险评价技术导则》（HJ</w:t>
            </w:r>
            <w:r>
              <w:rPr>
                <w:rFonts w:ascii="Times New Roman" w:hAnsi="Times New Roman" w:cs="Times New Roman"/>
                <w:color w:val="auto"/>
                <w:kern w:val="21"/>
                <w:sz w:val="21"/>
                <w:szCs w:val="21"/>
              </w:rPr>
              <w:t xml:space="preserve"> </w:t>
            </w:r>
            <w:r>
              <w:rPr>
                <w:rFonts w:hint="eastAsia" w:cs="Times New Roman"/>
                <w:color w:val="auto"/>
                <w:kern w:val="21"/>
                <w:sz w:val="21"/>
                <w:szCs w:val="21"/>
                <w:lang w:eastAsia="zh-CN"/>
              </w:rPr>
              <w:t>***</w:t>
            </w:r>
            <w:r>
              <w:rPr>
                <w:rFonts w:hint="default" w:ascii="Times New Roman" w:hAnsi="Times New Roman" w:cs="Times New Roman"/>
                <w:color w:val="auto"/>
                <w:kern w:val="21"/>
                <w:sz w:val="21"/>
                <w:szCs w:val="21"/>
              </w:rPr>
              <w:t>）附录B、附录C。</w:t>
            </w:r>
          </w:p>
          <w:p>
            <w:pPr>
              <w:pStyle w:val="13"/>
              <w:keepNext w:val="0"/>
              <w:keepLines w:val="0"/>
              <w:suppressLineNumbers w:val="0"/>
              <w:spacing w:before="0" w:beforeAutospacing="0" w:after="0" w:afterAutospacing="0"/>
              <w:ind w:left="0" w:right="0" w:firstLine="480" w:firstLineChars="200"/>
              <w:rPr>
                <w:rFonts w:cs="Times New Roman"/>
                <w:color w:val="auto"/>
                <w:sz w:val="28"/>
              </w:rPr>
            </w:pPr>
            <w:r>
              <w:rPr>
                <w:rFonts w:hint="default" w:ascii="Times New Roman" w:hAnsi="Times New Roman" w:cs="Times New Roman"/>
                <w:color w:val="auto"/>
                <w:kern w:val="0"/>
                <w:sz w:val="24"/>
                <w:szCs w:val="20"/>
              </w:rPr>
              <w:t>综上所述，本项目无需设置专项评价。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4"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
                <w:bCs/>
                <w:color w:val="auto"/>
                <w:kern w:val="0"/>
                <w:sz w:val="24"/>
                <w:szCs w:val="24"/>
                <w:highlight w:val="yellow"/>
              </w:rPr>
            </w:pPr>
            <w:r>
              <w:rPr>
                <w:rFonts w:hint="eastAsia" w:ascii="宋体" w:hAnsi="宋体" w:cs="宋体"/>
                <w:b/>
                <w:bCs/>
                <w:color w:val="auto"/>
                <w:sz w:val="24"/>
                <w:szCs w:val="24"/>
              </w:rPr>
              <w:t>规划情况</w:t>
            </w:r>
          </w:p>
        </w:tc>
        <w:tc>
          <w:tcPr>
            <w:tcW w:w="8161" w:type="dxa"/>
            <w:gridSpan w:val="3"/>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cs="Times New Roman"/>
                <w:color w:val="auto"/>
                <w:kern w:val="0"/>
                <w:sz w:val="24"/>
              </w:rPr>
            </w:pPr>
            <w:r>
              <w:rPr>
                <w:rFonts w:hint="eastAsia" w:ascii="Times New Roman" w:hAnsi="Times New Roman" w:eastAsia="宋体" w:cs="Times New Roman"/>
                <w:color w:val="auto"/>
                <w:kern w:val="2"/>
                <w:sz w:val="24"/>
                <w:szCs w:val="21"/>
                <w:lang w:val="en-US" w:eastAsia="zh-CN" w:bidi="ar-SA"/>
              </w:rPr>
              <w:t>《</w:t>
            </w:r>
            <w:r>
              <w:rPr>
                <w:rFonts w:hint="default" w:ascii="Times New Roman" w:hAnsi="Times New Roman" w:eastAsia="宋体" w:cs="Times New Roman"/>
                <w:color w:val="auto"/>
                <w:kern w:val="2"/>
                <w:sz w:val="24"/>
                <w:szCs w:val="21"/>
                <w:lang w:val="en-US" w:eastAsia="zh-CN" w:bidi="ar-SA"/>
              </w:rPr>
              <w:t>云南省</w:t>
            </w:r>
            <w:r>
              <w:rPr>
                <w:rFonts w:hint="eastAsia" w:ascii="Times New Roman" w:hAnsi="Times New Roman" w:eastAsia="宋体" w:cs="Times New Roman"/>
                <w:color w:val="auto"/>
                <w:kern w:val="2"/>
                <w:sz w:val="24"/>
                <w:szCs w:val="21"/>
                <w:lang w:val="en-US" w:eastAsia="zh-CN" w:bidi="ar-SA"/>
              </w:rPr>
              <w:t>“</w:t>
            </w:r>
            <w:r>
              <w:rPr>
                <w:rFonts w:hint="default" w:ascii="Times New Roman" w:hAnsi="Times New Roman" w:eastAsia="宋体" w:cs="Times New Roman"/>
                <w:color w:val="auto"/>
                <w:kern w:val="2"/>
                <w:sz w:val="24"/>
                <w:szCs w:val="21"/>
                <w:lang w:val="en-US" w:eastAsia="zh-CN" w:bidi="ar-SA"/>
              </w:rPr>
              <w:t>十四五</w:t>
            </w:r>
            <w:r>
              <w:rPr>
                <w:rFonts w:hint="eastAsia" w:ascii="Times New Roman" w:hAnsi="Times New Roman" w:eastAsia="宋体" w:cs="Times New Roman"/>
                <w:color w:val="auto"/>
                <w:kern w:val="2"/>
                <w:sz w:val="24"/>
                <w:szCs w:val="21"/>
                <w:lang w:val="en-US" w:eastAsia="zh-CN" w:bidi="ar-SA"/>
              </w:rPr>
              <w:t>”</w:t>
            </w:r>
            <w:r>
              <w:rPr>
                <w:rFonts w:hint="default" w:ascii="Times New Roman" w:hAnsi="Times New Roman" w:eastAsia="宋体" w:cs="Times New Roman"/>
                <w:color w:val="auto"/>
                <w:kern w:val="2"/>
                <w:sz w:val="24"/>
                <w:szCs w:val="21"/>
                <w:lang w:val="en-US" w:eastAsia="zh-CN" w:bidi="ar-SA"/>
              </w:rPr>
              <w:t>医疗卫生服务体系规划</w:t>
            </w:r>
            <w:r>
              <w:rPr>
                <w:rFonts w:hint="eastAsia" w:ascii="Times New Roman" w:hAnsi="Times New Roman" w:eastAsia="宋体" w:cs="Times New Roman"/>
                <w:color w:val="auto"/>
                <w:kern w:val="2"/>
                <w:sz w:val="24"/>
                <w:szCs w:val="21"/>
                <w:lang w:val="en-US" w:eastAsia="zh-CN" w:bidi="ar-SA"/>
              </w:rPr>
              <w:t>》（</w:t>
            </w:r>
            <w:r>
              <w:rPr>
                <w:rFonts w:hint="default" w:ascii="Times New Roman" w:hAnsi="Times New Roman" w:eastAsia="宋体" w:cs="Times New Roman"/>
                <w:color w:val="auto"/>
                <w:kern w:val="2"/>
                <w:sz w:val="24"/>
                <w:szCs w:val="21"/>
                <w:lang w:val="en-US" w:eastAsia="zh-CN" w:bidi="ar-SA"/>
              </w:rPr>
              <w:t>云政发〔2022〕48号</w:t>
            </w:r>
            <w:r>
              <w:rPr>
                <w:rFonts w:hint="eastAsia" w:ascii="Times New Roman" w:hAnsi="Times New Roman" w:eastAsia="宋体" w:cs="Times New Roman"/>
                <w:color w:val="auto"/>
                <w:kern w:val="2"/>
                <w:sz w:val="24"/>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8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sz w:val="24"/>
                <w:szCs w:val="24"/>
              </w:rPr>
              <w:t>规划环境影响评价情况</w:t>
            </w:r>
          </w:p>
        </w:tc>
        <w:tc>
          <w:tcPr>
            <w:tcW w:w="8161" w:type="dxa"/>
            <w:gridSpan w:val="3"/>
            <w:noWrap w:val="0"/>
            <w:vAlign w:val="center"/>
          </w:tcPr>
          <w:p>
            <w:pPr>
              <w:pStyle w:val="9"/>
              <w:keepNext w:val="0"/>
              <w:keepLines w:val="0"/>
              <w:suppressLineNumbers w:val="0"/>
              <w:adjustRightInd w:val="0"/>
              <w:spacing w:beforeAutospacing="0" w:afterAutospacing="0" w:line="360" w:lineRule="auto"/>
              <w:ind w:left="0" w:right="0"/>
              <w:jc w:val="center"/>
              <w:rPr>
                <w:rFonts w:hint="eastAsia" w:ascii="Calibri" w:hAnsi="Calibri" w:cs="Times New Roman"/>
                <w:color w:val="auto"/>
                <w:kern w:val="0"/>
                <w:sz w:val="24"/>
              </w:rPr>
            </w:pPr>
            <w:r>
              <w:rPr>
                <w:rFonts w:hint="eastAsia" w:ascii="Calibri" w:hAnsi="Calibri" w:cs="Times New Roman"/>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58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规划及规划环境影响评价符合性分析</w:t>
            </w:r>
          </w:p>
        </w:tc>
        <w:tc>
          <w:tcPr>
            <w:tcW w:w="8161" w:type="dxa"/>
            <w:gridSpan w:val="3"/>
            <w:noWrap w:val="0"/>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eastAsia="zh-CN"/>
              </w:rPr>
              <w:t>项目</w:t>
            </w:r>
            <w:r>
              <w:rPr>
                <w:rFonts w:hint="default" w:ascii="Times New Roman" w:hAnsi="Times New Roman" w:eastAsia="宋体" w:cs="Times New Roman"/>
                <w:b/>
                <w:bCs/>
                <w:color w:val="auto"/>
                <w:sz w:val="24"/>
                <w:szCs w:val="24"/>
              </w:rPr>
              <w:t>与《云南省</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十四五</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医疗卫生服务体系规划》的符合性</w:t>
            </w:r>
            <w:r>
              <w:rPr>
                <w:rFonts w:hint="default" w:ascii="Times New Roman" w:hAnsi="Times New Roman" w:eastAsia="宋体" w:cs="Times New Roman"/>
                <w:b/>
                <w:bCs/>
                <w:color w:val="auto"/>
                <w:sz w:val="24"/>
                <w:szCs w:val="24"/>
                <w:lang w:eastAsia="zh-CN"/>
              </w:rPr>
              <w:t>见下表。</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表</w:t>
            </w:r>
            <w:r>
              <w:rPr>
                <w:rFonts w:hint="default" w:ascii="Times New Roman" w:hAnsi="Times New Roman" w:eastAsia="宋体" w:cs="Times New Roman"/>
                <w:b/>
                <w:bCs/>
                <w:color w:val="auto"/>
                <w:sz w:val="24"/>
                <w:szCs w:val="24"/>
                <w:lang w:val="en-US" w:eastAsia="zh-CN"/>
              </w:rPr>
              <w:t xml:space="preserve">1-2 </w:t>
            </w:r>
            <w:r>
              <w:rPr>
                <w:rFonts w:hint="default" w:ascii="Times New Roman" w:hAnsi="Times New Roman" w:eastAsia="宋体" w:cs="Times New Roman"/>
                <w:b/>
                <w:bCs/>
                <w:color w:val="auto"/>
                <w:sz w:val="24"/>
                <w:szCs w:val="24"/>
                <w:lang w:eastAsia="zh-CN"/>
              </w:rPr>
              <w:t>项目</w:t>
            </w:r>
            <w:r>
              <w:rPr>
                <w:rFonts w:hint="default" w:ascii="Times New Roman" w:hAnsi="Times New Roman" w:eastAsia="宋体" w:cs="Times New Roman"/>
                <w:b/>
                <w:bCs/>
                <w:color w:val="auto"/>
                <w:sz w:val="24"/>
                <w:szCs w:val="24"/>
              </w:rPr>
              <w:t>与《云南省</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十四五</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医疗卫生服务体系规划》的符合性</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1"/>
              <w:gridCol w:w="295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规划情况</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本项目情况</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aps w:val="0"/>
                      <w:color w:val="auto"/>
                      <w:spacing w:val="0"/>
                      <w:sz w:val="21"/>
                      <w:szCs w:val="21"/>
                      <w:shd w:val="clear" w:color="auto" w:fill="FFFFFF"/>
                    </w:rPr>
                    <w:t>健全以省级中医医院为龙头，各级各类中医类医院和其他医疗机构中医科室为骨干，基层医疗卫生机构为基础，融预防、保健、疾病治疗和康复为一体的中医药服务体系。</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eastAsia="zh-CN"/>
                    </w:rPr>
                    <w:t>本项目设置中医科，位于门诊楼</w:t>
                  </w:r>
                  <w:r>
                    <w:rPr>
                      <w:rFonts w:hint="default" w:ascii="Times New Roman" w:hAnsi="Times New Roman" w:eastAsia="宋体" w:cs="Times New Roman"/>
                      <w:color w:val="auto"/>
                      <w:sz w:val="21"/>
                      <w:szCs w:val="21"/>
                      <w:vertAlign w:val="baseline"/>
                      <w:lang w:val="en-US" w:eastAsia="zh-CN"/>
                    </w:rPr>
                    <w:t>4F</w:t>
                  </w:r>
                  <w:r>
                    <w:rPr>
                      <w:rFonts w:hint="eastAsia" w:ascii="Times New Roman" w:hAnsi="Times New Roman" w:eastAsia="宋体" w:cs="Times New Roman"/>
                      <w:color w:val="auto"/>
                      <w:sz w:val="21"/>
                      <w:szCs w:val="21"/>
                      <w:vertAlign w:val="baseline"/>
                      <w:lang w:val="en-US" w:eastAsia="zh-CN"/>
                    </w:rPr>
                    <w:t>。</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aps w:val="0"/>
                      <w:color w:val="auto"/>
                      <w:spacing w:val="0"/>
                      <w:sz w:val="21"/>
                      <w:szCs w:val="21"/>
                      <w:shd w:val="clear" w:color="auto" w:fill="FFFFFF"/>
                    </w:rPr>
                    <w:t>提升精神卫生服务能力。争取建设精神心理疾病领域国家临床医学研究分中心。鼓励精神专科医院组建或参与建设专科联盟。鼓励符合条件的精神科医师全职或者兼职开办精神专科诊所。乡镇卫生院、社区卫生服务中心（站）要设立精神（心理）科门诊，提高基层精神（心理）卫生服务能力。健全精神卫生专业机构、社区康复机构及社会组织、家庭相互支持的精神障碍社区康复体系。鼓励社会力量在精神专科医疗服务资源薄弱地区举办非营利性精神病医院、开设精神心理门诊。</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本项目为公立的精神病专科医院，项目建成后能</w:t>
                  </w:r>
                  <w:r>
                    <w:rPr>
                      <w:rFonts w:hint="default" w:ascii="Times New Roman" w:hAnsi="Times New Roman" w:eastAsia="宋体" w:cs="Times New Roman"/>
                      <w:i w:val="0"/>
                      <w:iCs w:val="0"/>
                      <w:caps w:val="0"/>
                      <w:color w:val="auto"/>
                      <w:spacing w:val="0"/>
                      <w:sz w:val="21"/>
                      <w:szCs w:val="21"/>
                      <w:shd w:val="clear" w:color="auto" w:fill="FFFFFF"/>
                    </w:rPr>
                    <w:t>健全精神卫生专业机构、社区康复机构及社会组织、家庭相互支持的精神障碍社区康复体系。</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1"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i w:val="0"/>
                      <w:iCs w:val="0"/>
                      <w:caps w:val="0"/>
                      <w:color w:val="auto"/>
                      <w:spacing w:val="0"/>
                      <w:sz w:val="21"/>
                      <w:szCs w:val="21"/>
                      <w:shd w:val="clear" w:color="auto" w:fill="FFFFFF"/>
                    </w:rPr>
                    <w:t>建立覆盖城乡的社会心理健康服务网络。依托省心理卫生中心和各州、市有条件的精神专科医院或综合医院精神科成立公共卫生应急心理救援中心，建立省、州市、县三级突发公共事件心理救援队伍。加强医疗卫生机构心理健康服务能力。依托城乡社区综合服务设施或基层综治中心，规范设置心理咨询（辅导）室或社会工作室（站），配备心理辅导人员或社会工作者。支持培育专业化、规范化的心理咨询、辅导机构，承担心理健康服务。</w:t>
                  </w:r>
                </w:p>
              </w:tc>
              <w:tc>
                <w:tcPr>
                  <w:tcW w:w="2950"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vertAlign w:val="baseline"/>
                      <w:lang w:eastAsia="zh-CN"/>
                    </w:rPr>
                    <w:t>本项目为公立的精神病专科医院，项目建成后能</w:t>
                  </w:r>
                  <w:r>
                    <w:rPr>
                      <w:rFonts w:hint="default" w:ascii="Times New Roman" w:hAnsi="Times New Roman" w:eastAsia="宋体" w:cs="Times New Roman"/>
                      <w:i w:val="0"/>
                      <w:iCs w:val="0"/>
                      <w:caps w:val="0"/>
                      <w:color w:val="auto"/>
                      <w:spacing w:val="0"/>
                      <w:sz w:val="21"/>
                      <w:szCs w:val="21"/>
                      <w:shd w:val="clear" w:color="auto" w:fill="FFFFFF"/>
                    </w:rPr>
                    <w:t>加强医疗卫生机构心理健康服务能力。</w:t>
                  </w:r>
                </w:p>
              </w:tc>
              <w:tc>
                <w:tcPr>
                  <w:tcW w:w="1254" w:type="dxa"/>
                  <w:noWrap w:val="0"/>
                  <w:vAlign w:val="center"/>
                </w:tcPr>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符合</w:t>
                  </w:r>
                </w:p>
              </w:tc>
            </w:tr>
          </w:tbl>
          <w:p>
            <w:pPr>
              <w:pStyle w:val="9"/>
              <w:keepNext w:val="0"/>
              <w:keepLines w:val="0"/>
              <w:suppressLineNumbers w:val="0"/>
              <w:spacing w:beforeAutospacing="0" w:afterAutospacing="0"/>
              <w:ind w:left="0"/>
              <w:rPr>
                <w:rFonts w:hint="eastAsia" w:ascii="Calibri" w:hAnsi="Calibri"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584"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其他符合性分析</w:t>
            </w:r>
          </w:p>
        </w:tc>
        <w:tc>
          <w:tcPr>
            <w:tcW w:w="8161" w:type="dxa"/>
            <w:gridSpan w:val="3"/>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b/>
                <w:color w:val="auto"/>
                <w:sz w:val="24"/>
                <w:szCs w:val="24"/>
              </w:rPr>
            </w:pPr>
            <w:r>
              <w:rPr>
                <w:rFonts w:hint="default" w:ascii="Calibri" w:hAnsi="Calibri" w:cs="Times New Roman"/>
                <w:b/>
                <w:bCs/>
                <w:color w:val="auto"/>
                <w:sz w:val="24"/>
                <w:szCs w:val="24"/>
              </w:rPr>
              <w:t>1、</w:t>
            </w:r>
            <w:r>
              <w:rPr>
                <w:rFonts w:hint="default" w:ascii="Times New Roman" w:hAnsi="Times New Roman" w:cs="Times New Roman"/>
                <w:b/>
                <w:color w:val="auto"/>
                <w:sz w:val="24"/>
                <w:szCs w:val="24"/>
              </w:rPr>
              <w:t>“三线一单”符合性分析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昆明市人民政府已发布《昆明市人民政府关于昆明市“三线一单” 生态环境分区管控的实施意见》，该项目符合性分析具体如下：</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1</w:t>
            </w: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生态保护红线和一般生态空间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，属于城市建成区域，不涉及生态红线。《昆明市人民政府关于昆明市“三线一单”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根据调查，该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，项目所在地属于东川区县城重点管控单元，因此项目不属于优先保护单元。</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2</w:t>
            </w:r>
            <w:r>
              <w:rPr>
                <w:rFonts w:hint="eastAsia" w:ascii="Times New Roman" w:hAnsi="Times New Roman" w:cs="Times New Roman"/>
                <w:b/>
                <w:color w:val="auto"/>
                <w:sz w:val="24"/>
                <w:szCs w:val="24"/>
              </w:rPr>
              <w:t>）</w:t>
            </w:r>
            <w:r>
              <w:rPr>
                <w:rFonts w:hint="default" w:ascii="Times New Roman" w:hAnsi="Times New Roman" w:cs="Times New Roman"/>
                <w:b/>
                <w:color w:val="auto"/>
                <w:sz w:val="24"/>
                <w:szCs w:val="24"/>
              </w:rPr>
              <w:t>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《昆明市人民政府关于昆明市“三线一单” 生态环境分区管控的实施意见》对环境质量底线设定了2025年和2035年两个目标，该项目位于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，环境质量底线和该项目相关的要求及符合性分析如下：</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color w:val="auto"/>
                <w:sz w:val="24"/>
              </w:rPr>
              <w:t>（</w:t>
            </w:r>
            <w:r>
              <w:rPr>
                <w:rFonts w:hint="default" w:ascii="Times New Roman" w:hAnsi="Times New Roman" w:cs="Times New Roman"/>
                <w:b/>
                <w:color w:val="auto"/>
                <w:sz w:val="24"/>
              </w:rPr>
              <w:t>3</w:t>
            </w:r>
            <w:r>
              <w:rPr>
                <w:rFonts w:hint="eastAsia" w:ascii="Times New Roman" w:hAnsi="Times New Roman" w:cs="Times New Roman"/>
                <w:b/>
                <w:color w:val="auto"/>
                <w:sz w:val="24"/>
              </w:rPr>
              <w:t>）</w:t>
            </w:r>
            <w:r>
              <w:rPr>
                <w:rFonts w:hint="default" w:ascii="Times New Roman" w:hAnsi="Times New Roman" w:cs="Times New Roman"/>
                <w:b/>
                <w:color w:val="auto"/>
                <w:sz w:val="24"/>
              </w:rPr>
              <w:t>生态环境质量底线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根据调查，项目的建设不涉及到生态保护红线和一般生态空间，因此项目建设和生态环境质量底线不冲突。因此，项目建设不会改变区域生态环境质量功能要求。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color w:val="auto"/>
                <w:sz w:val="24"/>
              </w:rPr>
              <w:t>（</w:t>
            </w:r>
            <w:r>
              <w:rPr>
                <w:rFonts w:hint="default" w:ascii="Times New Roman" w:hAnsi="Times New Roman" w:cs="Times New Roman"/>
                <w:b/>
                <w:color w:val="auto"/>
                <w:sz w:val="24"/>
              </w:rPr>
              <w:t>4</w:t>
            </w:r>
            <w:r>
              <w:rPr>
                <w:rFonts w:hint="eastAsia" w:ascii="Times New Roman" w:hAnsi="Times New Roman" w:cs="Times New Roman"/>
                <w:b/>
                <w:color w:val="auto"/>
                <w:sz w:val="24"/>
              </w:rPr>
              <w:t>）</w:t>
            </w:r>
            <w:r>
              <w:rPr>
                <w:rFonts w:hint="default" w:ascii="Times New Roman" w:hAnsi="Times New Roman" w:cs="Times New Roman"/>
                <w:b/>
                <w:color w:val="auto"/>
                <w:sz w:val="24"/>
              </w:rPr>
              <w:t>环境空气环境质量底线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“实施意见”要求：到2025年，全市环境空气质量总体保持优良，主城建成区空气质量优良天数占比达99%以上，二氧化硫（SO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）和氮氧化物（NOx）排放总量控制在省下达的目标以内，主城区空气中颗粒物（PM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）稳定达《环境空气质量标准》二级标准以上。到2035年，全市环境空气质量全面改善，各县（市）区、开发（度假）区环境空气质量稳定达到国家二级标准。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根据调查，现目选址区域空气环境可达到《环境空气质量标准》（GB</w:t>
            </w:r>
            <w:r>
              <w:rPr>
                <w:rFonts w:hint="eastAsia" w:cs="Times New Roman"/>
                <w:color w:val="auto"/>
                <w:sz w:val="24"/>
                <w:lang w:eastAsia="zh-CN"/>
              </w:rPr>
              <w:t>****</w:t>
            </w:r>
            <w:r>
              <w:rPr>
                <w:rFonts w:hint="default" w:ascii="Times New Roman" w:hAnsi="Times New Roman" w:cs="Times New Roman"/>
                <w:color w:val="auto"/>
                <w:sz w:val="24"/>
              </w:rPr>
              <w:t>-2012）二级标准，属于空气达标区，且该项目的建设不会改变区域环境空气质量功能要求。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color w:val="auto"/>
                <w:sz w:val="24"/>
              </w:rPr>
              <w:t>（</w:t>
            </w:r>
            <w:r>
              <w:rPr>
                <w:rFonts w:hint="default" w:ascii="Times New Roman" w:hAnsi="Times New Roman" w:cs="Times New Roman"/>
                <w:b/>
                <w:color w:val="auto"/>
                <w:sz w:val="24"/>
              </w:rPr>
              <w:t>5</w:t>
            </w:r>
            <w:r>
              <w:rPr>
                <w:rFonts w:hint="eastAsia" w:ascii="Times New Roman" w:hAnsi="Times New Roman" w:cs="Times New Roman"/>
                <w:b/>
                <w:color w:val="auto"/>
                <w:sz w:val="24"/>
              </w:rPr>
              <w:t>）</w:t>
            </w:r>
            <w:r>
              <w:rPr>
                <w:rFonts w:hint="default" w:ascii="Times New Roman" w:hAnsi="Times New Roman" w:cs="Times New Roman"/>
                <w:b/>
                <w:color w:val="auto"/>
                <w:sz w:val="24"/>
              </w:rPr>
              <w:t>地表水环境质量底线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“实施意见”要求：到2025年，纳入国家和省级考核的地表水监测断面水质优良率稳步提升，滇池流域、阳宗海流域水环境质量明显改善，水生态系统功能逐步恢复，滇池草海水质达</w:t>
            </w:r>
            <w:r>
              <w:rPr>
                <w:rFonts w:hint="default" w:ascii="Times New Roman" w:hAnsi="宋体" w:cs="Times New Roman"/>
                <w:color w:val="auto"/>
                <w:sz w:val="24"/>
              </w:rPr>
              <w:t>Ⅳ</w:t>
            </w:r>
            <w:r>
              <w:rPr>
                <w:rFonts w:hint="default" w:ascii="Times New Roman" w:hAnsi="Times New Roman" w:cs="Times New Roman"/>
                <w:color w:val="auto"/>
                <w:sz w:val="24"/>
              </w:rPr>
              <w:t>类，滇池外海水质达</w:t>
            </w:r>
            <w:r>
              <w:rPr>
                <w:rFonts w:hint="default" w:ascii="Times New Roman" w:hAnsi="宋体" w:cs="Times New Roman"/>
                <w:color w:val="auto"/>
                <w:sz w:val="24"/>
              </w:rPr>
              <w:t>Ⅳ</w:t>
            </w:r>
            <w:r>
              <w:rPr>
                <w:rFonts w:hint="default" w:ascii="Times New Roman" w:hAnsi="Times New Roman" w:cs="Times New Roman"/>
                <w:color w:val="auto"/>
                <w:sz w:val="24"/>
              </w:rPr>
              <w:t>类（化学需氧量≤40毫克/升），阳宗海水质达</w:t>
            </w:r>
            <w:r>
              <w:rPr>
                <w:rFonts w:hint="default" w:ascii="Times New Roman" w:hAnsi="宋体" w:cs="Times New Roman"/>
                <w:color w:val="auto"/>
                <w:sz w:val="24"/>
              </w:rPr>
              <w:t>Ⅲ</w:t>
            </w:r>
            <w:r>
              <w:rPr>
                <w:rFonts w:hint="default" w:ascii="Times New Roman" w:hAnsi="Times New Roman" w:cs="Times New Roman"/>
                <w:color w:val="auto"/>
                <w:sz w:val="24"/>
              </w:rPr>
              <w:t>类，集中式饮用水源水质巩固改善。到2035年，地表水体水质优良率全面提升，各监测断面水质达到水环境功能要求，消除劣V类水体，集中式饮用水水源水质稳定达标。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根据调查，该项目地表水体小江板河口断面水质可达到《地表水环境质量标准》（GB</w:t>
            </w:r>
            <w:r>
              <w:rPr>
                <w:rFonts w:hint="eastAsia" w:cs="Times New Roman"/>
                <w:color w:val="auto"/>
                <w:sz w:val="24"/>
                <w:lang w:eastAsia="zh-CN"/>
              </w:rPr>
              <w:t>****</w:t>
            </w:r>
            <w:r>
              <w:rPr>
                <w:rFonts w:hint="default" w:ascii="Times New Roman" w:hAnsi="Times New Roman" w:cs="Times New Roman"/>
                <w:color w:val="auto"/>
                <w:sz w:val="24"/>
              </w:rPr>
              <w:t>-2002）III类标准；项目区废水经调节池、污水处理设施处理达到</w:t>
            </w:r>
            <w:r>
              <w:rPr>
                <w:rFonts w:hint="eastAsia" w:ascii="宋体" w:hAnsi="宋体" w:cs="宋体"/>
                <w:color w:val="auto"/>
                <w:sz w:val="24"/>
              </w:rPr>
              <w:t>《医疗机构水污染物排放标准》（GB</w:t>
            </w:r>
            <w:r>
              <w:rPr>
                <w:rFonts w:hint="eastAsia" w:ascii="宋体" w:hAnsi="宋体" w:cs="宋体"/>
                <w:color w:val="auto"/>
                <w:sz w:val="24"/>
                <w:lang w:eastAsia="zh-CN"/>
              </w:rPr>
              <w:t>*****</w:t>
            </w:r>
            <w:r>
              <w:rPr>
                <w:rFonts w:hint="eastAsia" w:ascii="宋体" w:hAnsi="宋体" w:cs="宋体"/>
                <w:color w:val="auto"/>
                <w:sz w:val="24"/>
              </w:rPr>
              <w:t>-2005）表2中预处理标准和《污水排入城镇下水道水质标准》（GB/T</w:t>
            </w:r>
            <w:r>
              <w:rPr>
                <w:rFonts w:hint="eastAsia" w:ascii="宋体" w:hAnsi="宋体" w:cs="宋体"/>
                <w:color w:val="auto"/>
                <w:sz w:val="24"/>
                <w:lang w:eastAsia="zh-CN"/>
              </w:rPr>
              <w:t>*****</w:t>
            </w:r>
            <w:r>
              <w:rPr>
                <w:rFonts w:hint="eastAsia" w:ascii="宋体" w:hAnsi="宋体" w:cs="宋体"/>
                <w:color w:val="auto"/>
                <w:sz w:val="24"/>
              </w:rPr>
              <w:t>-2015）中A等级标准后排入市政污水管网，最终进入东川区污水处理厂</w:t>
            </w:r>
            <w:r>
              <w:rPr>
                <w:rFonts w:hint="default" w:ascii="Times New Roman" w:hAnsi="Times New Roman" w:cs="Times New Roman"/>
                <w:color w:val="auto"/>
                <w:sz w:val="24"/>
              </w:rPr>
              <w:t>；不会改变区域地表水环境质量功能要求。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color w:val="auto"/>
                <w:sz w:val="24"/>
              </w:rPr>
              <w:t>（</w:t>
            </w:r>
            <w:r>
              <w:rPr>
                <w:rFonts w:hint="default" w:ascii="Times New Roman" w:hAnsi="Times New Roman" w:cs="Times New Roman"/>
                <w:b/>
                <w:color w:val="auto"/>
                <w:sz w:val="24"/>
              </w:rPr>
              <w:t>6</w:t>
            </w:r>
            <w:r>
              <w:rPr>
                <w:rFonts w:hint="eastAsia" w:ascii="Times New Roman" w:hAnsi="Times New Roman" w:cs="Times New Roman"/>
                <w:b/>
                <w:color w:val="auto"/>
                <w:sz w:val="24"/>
              </w:rPr>
              <w:t>）</w:t>
            </w:r>
            <w:r>
              <w:rPr>
                <w:rFonts w:hint="default" w:ascii="Times New Roman" w:hAnsi="Times New Roman" w:cs="Times New Roman"/>
                <w:b/>
                <w:color w:val="auto"/>
                <w:sz w:val="24"/>
              </w:rPr>
              <w:t>土壤环境质量底线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该项目属于</w:t>
            </w:r>
            <w:r>
              <w:rPr>
                <w:rFonts w:hint="eastAsia" w:ascii="Times New Roman" w:hAnsi="Times New Roman" w:cs="Times New Roman"/>
                <w:color w:val="auto"/>
                <w:sz w:val="24"/>
              </w:rPr>
              <w:t>医院</w:t>
            </w:r>
            <w:r>
              <w:rPr>
                <w:rFonts w:hint="default" w:ascii="Times New Roman" w:hAnsi="Times New Roman" w:cs="Times New Roman"/>
                <w:color w:val="auto"/>
                <w:sz w:val="24"/>
              </w:rPr>
              <w:t>建设项目，只要严格执行相应的土壤环境保护措施，项目建设不会改变区域土壤环境质量功能要求。</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宋体" w:cs="Times New Roman"/>
                <w:b/>
                <w:color w:val="auto"/>
                <w:sz w:val="24"/>
                <w:szCs w:val="24"/>
              </w:rPr>
              <w:t>（</w:t>
            </w:r>
            <w:r>
              <w:rPr>
                <w:rFonts w:hint="default" w:ascii="Times New Roman" w:hAnsi="宋体" w:cs="Times New Roman"/>
                <w:b/>
                <w:color w:val="auto"/>
                <w:sz w:val="24"/>
                <w:szCs w:val="24"/>
              </w:rPr>
              <w:t>7</w:t>
            </w:r>
            <w:r>
              <w:rPr>
                <w:rFonts w:hint="eastAsia" w:ascii="Times New Roman" w:hAnsi="宋体" w:cs="Times New Roman"/>
                <w:b/>
                <w:color w:val="auto"/>
                <w:sz w:val="24"/>
                <w:szCs w:val="24"/>
              </w:rPr>
              <w:t>）</w:t>
            </w:r>
            <w:r>
              <w:rPr>
                <w:rFonts w:hint="default" w:ascii="Times New Roman" w:hAnsi="Times New Roman" w:cs="Times New Roman"/>
                <w:b/>
                <w:color w:val="auto"/>
                <w:sz w:val="24"/>
                <w:szCs w:val="24"/>
              </w:rPr>
              <w:t>资源利用上线</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本项目运营过程中消耗一定量的电源、水资源等资源消耗项目资源消耗量相对区域资源利用总量较少，符合资源利用上限要求</w:t>
            </w:r>
            <w:r>
              <w:rPr>
                <w:rFonts w:hint="default" w:ascii="Times New Roman" w:hAnsi="Times New Roman" w:cs="Times New Roman"/>
                <w:color w:val="auto"/>
                <w:sz w:val="24"/>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color w:val="auto"/>
                <w:sz w:val="24"/>
                <w:szCs w:val="24"/>
              </w:rPr>
            </w:pPr>
            <w:r>
              <w:rPr>
                <w:rFonts w:hint="eastAsia" w:ascii="宋体" w:hAnsi="宋体" w:cs="Times New Roman"/>
                <w:b/>
                <w:color w:val="auto"/>
                <w:sz w:val="24"/>
                <w:szCs w:val="24"/>
              </w:rPr>
              <w:t>（</w:t>
            </w:r>
            <w:r>
              <w:rPr>
                <w:rFonts w:hint="default" w:ascii="宋体" w:hAnsi="宋体" w:cs="Times New Roman"/>
                <w:b/>
                <w:color w:val="auto"/>
                <w:sz w:val="24"/>
                <w:szCs w:val="24"/>
              </w:rPr>
              <w:t>8</w:t>
            </w:r>
            <w:r>
              <w:rPr>
                <w:rFonts w:hint="eastAsia" w:ascii="宋体" w:hAnsi="宋体" w:cs="Times New Roman"/>
                <w:b/>
                <w:color w:val="auto"/>
                <w:sz w:val="24"/>
                <w:szCs w:val="24"/>
              </w:rPr>
              <w:t>）</w:t>
            </w:r>
            <w:r>
              <w:rPr>
                <w:rFonts w:hint="default" w:ascii="Times New Roman" w:hAnsi="Times New Roman" w:cs="Times New Roman"/>
                <w:b/>
                <w:color w:val="auto"/>
                <w:sz w:val="24"/>
              </w:rPr>
              <w:t>环境准入负面清单</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根据调查，该项目位于</w:t>
            </w:r>
            <w:r>
              <w:rPr>
                <w:rFonts w:hint="eastAsia" w:ascii="宋体" w:hAnsi="宋体" w:cs="宋体"/>
                <w:color w:val="auto"/>
                <w:kern w:val="0"/>
                <w:sz w:val="24"/>
                <w:szCs w:val="24"/>
              </w:rPr>
              <w:t>东川区城区西南角，规划道路东海路南延长线东侧，兴铜路西延长线南侧交汇路口</w:t>
            </w:r>
            <w:r>
              <w:rPr>
                <w:rFonts w:hint="default" w:ascii="Times New Roman" w:hAnsi="Times New Roman" w:cs="Times New Roman"/>
                <w:color w:val="auto"/>
                <w:sz w:val="24"/>
              </w:rPr>
              <w:t>，项目所在地属于东川区县城重点管控单元，根据东川区环境管控单元生态环境准入清单的管理要求，该项目环境准入负面清单符合性具体下表所示。</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表1-</w:t>
            </w:r>
            <w:r>
              <w:rPr>
                <w:rFonts w:hint="default" w:ascii="Times New Roman" w:hAnsi="Times New Roman" w:cs="Times New Roman"/>
                <w:b/>
                <w:color w:val="auto"/>
                <w:sz w:val="24"/>
                <w:szCs w:val="24"/>
                <w:lang w:val="en-US"/>
              </w:rPr>
              <w:t>3</w:t>
            </w:r>
            <w:r>
              <w:rPr>
                <w:rFonts w:hint="default" w:ascii="Times New Roman" w:hAnsi="Times New Roman" w:cs="Times New Roman"/>
                <w:b/>
                <w:color w:val="auto"/>
                <w:sz w:val="24"/>
                <w:szCs w:val="24"/>
              </w:rPr>
              <w:t xml:space="preserve"> 与东川区环境管控单元生态环境准入清单符合性分析一览表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593"/>
              <w:gridCol w:w="2960"/>
              <w:gridCol w:w="3048"/>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6"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单元名称</w:t>
                  </w:r>
                </w:p>
              </w:tc>
              <w:tc>
                <w:tcPr>
                  <w:tcW w:w="3954" w:type="dxa"/>
                  <w:gridSpan w:val="2"/>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管控要求</w:t>
                  </w:r>
                </w:p>
              </w:tc>
              <w:tc>
                <w:tcPr>
                  <w:tcW w:w="3226"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项目实际情况</w:t>
                  </w:r>
                </w:p>
              </w:tc>
              <w:tc>
                <w:tcPr>
                  <w:tcW w:w="712"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6" w:type="dxa"/>
                  <w:vMerge w:val="restart"/>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东川区县城重点管控单元</w:t>
                  </w:r>
                </w:p>
              </w:tc>
              <w:tc>
                <w:tcPr>
                  <w:tcW w:w="625"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329" w:type="dxa"/>
                  <w:noWrap w:val="0"/>
                  <w:vAlign w:val="center"/>
                </w:tcPr>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1.限制新建、改扩建各类畜禽养殖场，已建的应配套建设粪便污水贮存、处理、利用设施实现粪污综合利用。</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2.现有散、小规模养殖场（户）应限期实现退养或标准化改造。</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3.污水收集管网范围内除相关法律法规和标准规定必须单独设置排污口的情况外应全部纳入污水管网集中处理，现有的入河排污口应限期纳入污水管网。</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4.城镇生活污水集中处理率达到80%以上，生活污水处理达标率达到100%。</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5.按国家、省、市相关标准要求建设、改造、提升满足实际需求的生活垃圾处理厂（场）、粪便处理厂、厨余垃圾处理厂、建筑垃圾（渣土）处理场、垃圾转运站、公共厕所、生活垃圾分类设施等环卫基础设施。</w:t>
                  </w:r>
                </w:p>
              </w:tc>
              <w:tc>
                <w:tcPr>
                  <w:tcW w:w="3226" w:type="dxa"/>
                  <w:noWrap w:val="0"/>
                  <w:vAlign w:val="center"/>
                </w:tcPr>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1、该项目为医院项目，不属于畜禽养殖场类项目。</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2、项目区废水经调节池、污水处理设施处理达到《医疗机构水污染物排放标准》（GB</w:t>
                  </w:r>
                  <w:r>
                    <w:rPr>
                      <w:rFonts w:hint="eastAsia" w:cs="Times New Roman"/>
                      <w:color w:val="auto"/>
                      <w:lang w:eastAsia="zh-CN"/>
                    </w:rPr>
                    <w:t>*****</w:t>
                  </w:r>
                  <w:r>
                    <w:rPr>
                      <w:rFonts w:hint="default" w:ascii="Times New Roman" w:hAnsi="Times New Roman" w:cs="Times New Roman"/>
                      <w:color w:val="auto"/>
                    </w:rPr>
                    <w:t>-2005）表2中预处理标准和《污水排入城镇下水道水质标准》（GB/T</w:t>
                  </w:r>
                  <w:r>
                    <w:rPr>
                      <w:rFonts w:hint="eastAsia" w:cs="Times New Roman"/>
                      <w:color w:val="auto"/>
                      <w:lang w:eastAsia="zh-CN"/>
                    </w:rPr>
                    <w:t>*****</w:t>
                  </w:r>
                  <w:r>
                    <w:rPr>
                      <w:rFonts w:hint="default" w:ascii="Times New Roman" w:hAnsi="Times New Roman" w:cs="Times New Roman"/>
                      <w:color w:val="auto"/>
                    </w:rPr>
                    <w:t>-2015）中</w:t>
                  </w:r>
                  <w:r>
                    <w:rPr>
                      <w:rFonts w:hint="default" w:ascii="Times New Roman" w:hAnsi="Times New Roman" w:cs="Times New Roman"/>
                      <w:color w:val="auto"/>
                      <w:lang w:val="en-US"/>
                    </w:rPr>
                    <w:t>A</w:t>
                  </w:r>
                  <w:r>
                    <w:rPr>
                      <w:rFonts w:hint="default" w:ascii="Times New Roman" w:hAnsi="Times New Roman" w:cs="Times New Roman"/>
                      <w:color w:val="auto"/>
                    </w:rPr>
                    <w:t>等级标准后排入市政污水管网，最终进入东川区污水处理厂。</w:t>
                  </w:r>
                </w:p>
              </w:tc>
              <w:tc>
                <w:tcPr>
                  <w:tcW w:w="712"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6" w:type="dxa"/>
                  <w:vMerge w:val="continue"/>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p>
              </w:tc>
              <w:tc>
                <w:tcPr>
                  <w:tcW w:w="625"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环境风险防控</w:t>
                  </w:r>
                </w:p>
              </w:tc>
              <w:tc>
                <w:tcPr>
                  <w:tcW w:w="3329" w:type="dxa"/>
                  <w:noWrap w:val="0"/>
                  <w:vAlign w:val="center"/>
                </w:tcPr>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禁止在居民区、学校、医疗和养老机构等周边新建有色金属冶炼、焦化等行业企业。</w:t>
                  </w:r>
                </w:p>
              </w:tc>
              <w:tc>
                <w:tcPr>
                  <w:tcW w:w="3226" w:type="dxa"/>
                  <w:noWrap w:val="0"/>
                  <w:vAlign w:val="center"/>
                </w:tcPr>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该项目为医院项目，不属于有色金属冶炼、焦化等行业企业。</w:t>
                  </w:r>
                </w:p>
              </w:tc>
              <w:tc>
                <w:tcPr>
                  <w:tcW w:w="712"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6" w:type="dxa"/>
                  <w:vMerge w:val="continue"/>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p>
              </w:tc>
              <w:tc>
                <w:tcPr>
                  <w:tcW w:w="625"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资源开发效率要求</w:t>
                  </w:r>
                </w:p>
              </w:tc>
              <w:tc>
                <w:tcPr>
                  <w:tcW w:w="3329" w:type="dxa"/>
                  <w:noWrap w:val="0"/>
                  <w:vAlign w:val="center"/>
                </w:tcPr>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1.按照《城市新区设立审核办法》，严格审核城市新区规划建设用地规模和布局。</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2.禁止建设不符合《云南省用水定额》标准的项目。</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3.城市污水再生利用率达到20%以上。</w:t>
                  </w:r>
                </w:p>
              </w:tc>
              <w:tc>
                <w:tcPr>
                  <w:tcW w:w="3226" w:type="dxa"/>
                  <w:noWrap w:val="0"/>
                  <w:vAlign w:val="center"/>
                </w:tcPr>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1、项目不涉及。</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2、该项目为医院项目，项目符合《云南省用水定额》标准。</w:t>
                  </w:r>
                </w:p>
                <w:p>
                  <w:pPr>
                    <w:pStyle w:val="58"/>
                    <w:keepNext w:val="0"/>
                    <w:keepLines w:val="0"/>
                    <w:suppressLineNumbers w:val="0"/>
                    <w:snapToGrid w:val="0"/>
                    <w:spacing w:before="0" w:beforeAutospacing="0" w:after="0" w:afterAutospacing="0" w:line="240" w:lineRule="auto"/>
                    <w:ind w:left="0" w:right="0"/>
                    <w:jc w:val="both"/>
                    <w:rPr>
                      <w:rFonts w:hint="default" w:ascii="Times New Roman" w:hAnsi="Times New Roman" w:cs="Times New Roman"/>
                      <w:color w:val="auto"/>
                    </w:rPr>
                  </w:pPr>
                  <w:r>
                    <w:rPr>
                      <w:rFonts w:hint="default" w:ascii="Times New Roman" w:hAnsi="Times New Roman" w:cs="Times New Roman"/>
                      <w:color w:val="auto"/>
                    </w:rPr>
                    <w:t>3、项目产生的综合废水经处理后排入市政污水管网，最终进入东川区污水处理厂。</w:t>
                  </w:r>
                </w:p>
              </w:tc>
              <w:tc>
                <w:tcPr>
                  <w:tcW w:w="712" w:type="dxa"/>
                  <w:noWrap w:val="0"/>
                  <w:vAlign w:val="center"/>
                </w:tcPr>
                <w:p>
                  <w:pPr>
                    <w:pStyle w:val="58"/>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auto"/>
                    </w:rPr>
                  </w:pPr>
                  <w:r>
                    <w:rPr>
                      <w:rFonts w:hint="default" w:ascii="Times New Roman" w:hAnsi="Times New Roman" w:cs="Times New Roman"/>
                      <w:color w:val="auto"/>
                    </w:rPr>
                    <w:t>符合</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由上表可知，项目建设满足东川区环境管控单元生态环境准入清单的相关要求。</w:t>
            </w:r>
          </w:p>
          <w:p>
            <w:pPr>
              <w:pStyle w:val="9"/>
              <w:keepNext w:val="0"/>
              <w:keepLines w:val="0"/>
              <w:widowControl w:val="0"/>
              <w:suppressLineNumbers w:val="0"/>
              <w:adjustRightInd w:val="0"/>
              <w:spacing w:before="0" w:beforeAutospacing="0" w:after="0" w:afterAutospacing="0" w:line="360" w:lineRule="auto"/>
              <w:ind w:left="0" w:right="0" w:firstLine="480" w:firstLineChars="200"/>
              <w:rPr>
                <w:rFonts w:hint="default" w:ascii="Calibri" w:hAnsi="Calibri" w:cs="Times New Roman"/>
                <w:color w:val="auto"/>
                <w:kern w:val="0"/>
                <w:sz w:val="24"/>
                <w:szCs w:val="20"/>
              </w:rPr>
            </w:pPr>
            <w:r>
              <w:rPr>
                <w:rFonts w:hint="default" w:ascii="Times New Roman" w:hAnsi="Times New Roman" w:cs="Times New Roman"/>
                <w:color w:val="auto"/>
                <w:kern w:val="0"/>
                <w:sz w:val="24"/>
                <w:szCs w:val="20"/>
              </w:rPr>
              <w:t>综上分析，项目建设符合“三线一单”要求。</w:t>
            </w:r>
          </w:p>
          <w:p>
            <w:pPr>
              <w:keepNext w:val="0"/>
              <w:keepLines w:val="0"/>
              <w:suppressLineNumbers w:val="0"/>
              <w:adjustRightInd w:val="0"/>
              <w:snapToGrid w:val="0"/>
              <w:spacing w:before="0" w:beforeAutospacing="0" w:after="0" w:afterAutospacing="0" w:line="360" w:lineRule="auto"/>
              <w:ind w:left="0" w:right="0"/>
              <w:textAlignment w:val="baseline"/>
              <w:rPr>
                <w:rFonts w:hint="default" w:ascii="Calibri" w:hAnsi="Calibri" w:cs="Times New Roman"/>
                <w:b/>
                <w:color w:val="auto"/>
                <w:sz w:val="24"/>
                <w:szCs w:val="20"/>
              </w:rPr>
            </w:pPr>
            <w:r>
              <w:rPr>
                <w:rFonts w:hint="eastAsia" w:ascii="Times New Roman" w:hAnsi="Times New Roman" w:cs="Times New Roman"/>
                <w:b/>
                <w:bCs/>
                <w:color w:val="auto"/>
                <w:sz w:val="24"/>
              </w:rPr>
              <w:t>2、</w:t>
            </w:r>
            <w:r>
              <w:rPr>
                <w:rFonts w:hint="default" w:ascii="Calibri" w:hAnsi="Calibri" w:cs="Times New Roman"/>
                <w:b/>
                <w:color w:val="auto"/>
                <w:sz w:val="24"/>
                <w:szCs w:val="20"/>
              </w:rPr>
              <w:t>项目与《长江经济带发展负面清单指南（试行</w:t>
            </w:r>
            <w:r>
              <w:rPr>
                <w:rFonts w:hint="eastAsia" w:ascii="Calibri" w:hAnsi="Calibri" w:cs="Times New Roman"/>
                <w:b/>
                <w:color w:val="auto"/>
                <w:sz w:val="24"/>
                <w:szCs w:val="20"/>
              </w:rPr>
              <w:t>，2022年版</w:t>
            </w:r>
            <w:r>
              <w:rPr>
                <w:rFonts w:hint="default" w:ascii="Calibri" w:hAnsi="Calibri" w:cs="Times New Roman"/>
                <w:b/>
                <w:color w:val="auto"/>
                <w:sz w:val="24"/>
                <w:szCs w:val="20"/>
              </w:rPr>
              <w:t>）》的符合性分析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default" w:ascii="Calibri" w:hAnsi="Calibri" w:cs="Times New Roman"/>
                <w:color w:val="auto"/>
                <w:kern w:val="0"/>
                <w:sz w:val="24"/>
                <w:szCs w:val="20"/>
              </w:rPr>
            </w:pPr>
            <w:r>
              <w:rPr>
                <w:rFonts w:hint="default" w:ascii="Calibri" w:hAnsi="Calibri" w:cs="Times New Roman"/>
                <w:color w:val="auto"/>
                <w:kern w:val="0"/>
                <w:sz w:val="24"/>
                <w:szCs w:val="20"/>
              </w:rPr>
              <w:t>项目与《长江经济带发展负面清单指南（试行</w:t>
            </w:r>
            <w:r>
              <w:rPr>
                <w:rFonts w:hint="eastAsia" w:ascii="Calibri" w:hAnsi="Calibri" w:cs="Times New Roman"/>
                <w:color w:val="auto"/>
                <w:kern w:val="0"/>
                <w:sz w:val="24"/>
                <w:szCs w:val="20"/>
              </w:rPr>
              <w:t>，202</w:t>
            </w:r>
            <w:r>
              <w:rPr>
                <w:rFonts w:hint="default" w:ascii="Calibri" w:hAnsi="Calibri" w:cs="Times New Roman"/>
                <w:color w:val="auto"/>
                <w:kern w:val="0"/>
                <w:sz w:val="24"/>
                <w:szCs w:val="20"/>
              </w:rPr>
              <w:t>2</w:t>
            </w:r>
            <w:r>
              <w:rPr>
                <w:rFonts w:hint="eastAsia" w:ascii="Calibri" w:hAnsi="Calibri" w:cs="Times New Roman"/>
                <w:color w:val="auto"/>
                <w:kern w:val="0"/>
                <w:sz w:val="24"/>
                <w:szCs w:val="20"/>
              </w:rPr>
              <w:t>年版</w:t>
            </w:r>
            <w:r>
              <w:rPr>
                <w:rFonts w:hint="default" w:ascii="Calibri" w:hAnsi="Calibri" w:cs="Times New Roman"/>
                <w:color w:val="auto"/>
                <w:kern w:val="0"/>
                <w:sz w:val="24"/>
                <w:szCs w:val="20"/>
              </w:rPr>
              <w:t>）》的符合性分析如下表所示：</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Calibri" w:hAnsi="Calibri" w:cs="Times New Roman"/>
                <w:b/>
                <w:color w:val="auto"/>
                <w:sz w:val="24"/>
                <w:szCs w:val="24"/>
              </w:rPr>
            </w:pPr>
            <w:r>
              <w:rPr>
                <w:rFonts w:hint="default" w:ascii="Calibri" w:hAnsi="Calibri" w:cs="Times New Roman"/>
                <w:b/>
                <w:color w:val="auto"/>
                <w:kern w:val="0"/>
                <w:sz w:val="24"/>
                <w:szCs w:val="24"/>
              </w:rPr>
              <w:t>表1-</w:t>
            </w:r>
            <w:r>
              <w:rPr>
                <w:rFonts w:hint="default" w:ascii="Calibri" w:hAnsi="Calibri" w:cs="Times New Roman"/>
                <w:b/>
                <w:color w:val="auto"/>
                <w:kern w:val="0"/>
                <w:sz w:val="24"/>
                <w:szCs w:val="24"/>
                <w:lang w:val="en-US"/>
              </w:rPr>
              <w:t>4</w:t>
            </w:r>
            <w:r>
              <w:rPr>
                <w:rFonts w:hint="default" w:ascii="Calibri" w:hAnsi="Calibri" w:cs="Times New Roman"/>
                <w:b/>
                <w:color w:val="auto"/>
                <w:kern w:val="0"/>
                <w:sz w:val="24"/>
                <w:szCs w:val="24"/>
              </w:rPr>
              <w:t xml:space="preserve"> </w:t>
            </w:r>
            <w:r>
              <w:rPr>
                <w:rFonts w:hint="default" w:ascii="Calibri" w:hAnsi="Calibri" w:cs="Times New Roman"/>
                <w:b/>
                <w:color w:val="auto"/>
                <w:sz w:val="24"/>
                <w:szCs w:val="24"/>
              </w:rPr>
              <w:t>与《长江经济带发展负面清单指南（试行</w:t>
            </w:r>
            <w:r>
              <w:rPr>
                <w:rFonts w:hint="eastAsia" w:ascii="Calibri" w:hAnsi="Calibri" w:cs="Times New Roman"/>
                <w:b/>
                <w:color w:val="auto"/>
                <w:sz w:val="24"/>
                <w:szCs w:val="24"/>
              </w:rPr>
              <w:t>，2022年版</w:t>
            </w:r>
            <w:r>
              <w:rPr>
                <w:rFonts w:hint="default" w:ascii="Calibri" w:hAnsi="Calibri" w:cs="Times New Roman"/>
                <w:b/>
                <w:color w:val="auto"/>
                <w:sz w:val="24"/>
                <w:szCs w:val="24"/>
              </w:rPr>
              <w:t>）》的符合性分析一览表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226"/>
              <w:gridCol w:w="302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序号</w:t>
                  </w:r>
                </w:p>
              </w:tc>
              <w:tc>
                <w:tcPr>
                  <w:tcW w:w="203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要求</w:t>
                  </w:r>
                </w:p>
              </w:tc>
              <w:tc>
                <w:tcPr>
                  <w:tcW w:w="1907"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项目情况</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rPr>
                  </w:pPr>
                  <w:r>
                    <w:rPr>
                      <w:rFonts w:hint="default" w:ascii="Times New Roman" w:hAnsi="Times New Roman" w:cs="Times New Roman"/>
                      <w:b/>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禁止建设不符合全国和省级港口布局规划以及港口总体规划的码头项目，禁止建设不符合《长江干线过江通道布局规划》的过</w:t>
                  </w:r>
                  <w:r>
                    <w:rPr>
                      <w:rFonts w:hint="eastAsia" w:ascii="Times New Roman" w:hAnsi="Times New Roman" w:cs="Times New Roman"/>
                      <w:color w:val="auto"/>
                      <w:kern w:val="0"/>
                    </w:rPr>
                    <w:t>长</w:t>
                  </w:r>
                  <w:r>
                    <w:rPr>
                      <w:rFonts w:hint="default" w:ascii="Times New Roman" w:hAnsi="Times New Roman" w:cs="Times New Roman"/>
                      <w:color w:val="auto"/>
                      <w:kern w:val="0"/>
                    </w:rPr>
                    <w:t>江通道项目。</w:t>
                  </w:r>
                </w:p>
              </w:tc>
              <w:tc>
                <w:tcPr>
                  <w:tcW w:w="1907"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rPr>
                  </w:pPr>
                  <w:r>
                    <w:rPr>
                      <w:rFonts w:hint="default" w:ascii="Times New Roman" w:hAnsi="Times New Roman" w:cs="Times New Roman"/>
                      <w:color w:val="auto"/>
                      <w:kern w:val="0"/>
                    </w:rPr>
                    <w:t>项目不涉及码头及过江通道。</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2</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禁止在自然保护区核心区、缓冲区的岸线和河段范围内投资建设旅游和生产经营项目。禁止在风景名胜区核心景区的岸线和河段范围内投资建设与风景名胜资源保护无关的项目。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项目不涉及自然保护区核心区、风景名胜区等特殊敏感区。</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3</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rPr>
                    <w:t>项目</w:t>
                  </w:r>
                  <w:r>
                    <w:rPr>
                      <w:rFonts w:hint="default" w:ascii="Times New Roman" w:hAnsi="Times New Roman" w:cs="Times New Roman"/>
                      <w:color w:val="auto"/>
                      <w:kern w:val="0"/>
                    </w:rPr>
                    <w:t>不涉及饮用水水源地。</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4</w:t>
                  </w:r>
                </w:p>
              </w:tc>
              <w:tc>
                <w:tcPr>
                  <w:tcW w:w="2033" w:type="pct"/>
                  <w:noWrap w:val="0"/>
                  <w:vAlign w:val="center"/>
                </w:tcPr>
                <w:p>
                  <w:pPr>
                    <w:pStyle w:val="8"/>
                    <w:keepNext w:val="0"/>
                    <w:keepLines w:val="0"/>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禁止在水产种质资源保护区的岸线和河段范围内新建围湖造田、围海造地或围填海等投资建设项目。</w:t>
                  </w:r>
                  <w:r>
                    <w:rPr>
                      <w:rFonts w:hint="default" w:ascii="Times New Roman" w:hAnsi="Times New Roman" w:cs="Times New Roman"/>
                      <w:color w:val="auto"/>
                      <w:sz w:val="21"/>
                      <w:szCs w:val="21"/>
                    </w:rPr>
                    <w:t>禁止在国家湿地公园的岸线和河段范围内挖沙、采矿，以及任何不符合主体功能定位的投资建设项目。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本项目不</w:t>
                  </w:r>
                  <w:r>
                    <w:rPr>
                      <w:rFonts w:hint="eastAsia" w:ascii="Times New Roman" w:hAnsi="Times New Roman" w:cs="Times New Roman"/>
                      <w:color w:val="auto"/>
                      <w:kern w:val="0"/>
                    </w:rPr>
                    <w:t>在</w:t>
                  </w:r>
                  <w:r>
                    <w:rPr>
                      <w:rFonts w:hint="default" w:ascii="Times New Roman" w:hAnsi="Times New Roman" w:cs="Times New Roman"/>
                      <w:color w:val="auto"/>
                      <w:kern w:val="0"/>
                    </w:rPr>
                    <w:t>水产种植资源保护区、国家湿地公园的岸线和河段范围。</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5</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w:t>
                  </w:r>
                  <w:r>
                    <w:rPr>
                      <w:rFonts w:hint="eastAsia" w:ascii="Times New Roman" w:hAnsi="Times New Roman" w:cs="Times New Roman"/>
                      <w:color w:val="auto"/>
                      <w:kern w:val="0"/>
                    </w:rPr>
                    <w:t>违法</w:t>
                  </w:r>
                  <w:r>
                    <w:rPr>
                      <w:rFonts w:hint="default" w:ascii="Times New Roman" w:hAnsi="Times New Roman" w:cs="Times New Roman"/>
                      <w:color w:val="auto"/>
                      <w:kern w:val="0"/>
                    </w:rPr>
                    <w:t>利用、占用长江流域河湖岸线。禁止在《长江岸线保护和开发利用总体规划》划定的岸线保护区内投资建设除事关公共安全及公众利益的防洪护岸、河道整治、供水、生态环境保护、航道整治、国家重要基础设施以外的项目。禁止在《全国重要江河湖泊水功能区划》划定的河段</w:t>
                  </w:r>
                  <w:r>
                    <w:rPr>
                      <w:rFonts w:hint="eastAsia" w:ascii="Times New Roman" w:hAnsi="Times New Roman" w:cs="Times New Roman"/>
                      <w:color w:val="auto"/>
                      <w:kern w:val="0"/>
                    </w:rPr>
                    <w:t>及湖泊</w:t>
                  </w:r>
                  <w:r>
                    <w:rPr>
                      <w:rFonts w:hint="default" w:ascii="Times New Roman" w:hAnsi="Times New Roman" w:cs="Times New Roman"/>
                      <w:color w:val="auto"/>
                      <w:kern w:val="0"/>
                    </w:rPr>
                    <w:t>保护区、保留区内投资建设不利于水资源及自然生态保护的项目。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本项目不在《长江岸线保护和开发利用总体规划》划定的岸线保护区和《全国重要江河湖泊水功能区划》划定的河段保护区、保留区。</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6</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禁止未经许可在长江干支流及湖泊新设、改设或扩大排污口</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本项目</w:t>
                  </w:r>
                  <w:r>
                    <w:rPr>
                      <w:rFonts w:hint="eastAsia" w:ascii="Times New Roman" w:hAnsi="Times New Roman" w:cs="Times New Roman"/>
                      <w:color w:val="auto"/>
                      <w:kern w:val="0"/>
                    </w:rPr>
                    <w:t>废水为间接排放。</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7</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禁止在“一江一口两湖七河”和322个水生生物保护区开展生产性捕捞</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项目不涉及“一江一口两湖七河”和322个水生生物保护区。</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8</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eastAsia" w:ascii="Times New Roman" w:hAnsi="Times New Roman" w:cs="Times New Roman"/>
                      <w:color w:val="auto"/>
                      <w:kern w:val="0"/>
                    </w:rPr>
                    <w:t>本项目不属于化工项目，不属于</w:t>
                  </w:r>
                  <w:r>
                    <w:rPr>
                      <w:rFonts w:hint="default" w:ascii="Times New Roman" w:hAnsi="Times New Roman" w:cs="Times New Roman"/>
                      <w:color w:val="auto"/>
                      <w:kern w:val="0"/>
                    </w:rPr>
                    <w:t>矿库、冶炼渣库和磷石膏库。</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9</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禁止在合规园区外新建、扩建钢铁、石化、化工、焦化、建材、有色、制浆造纸等高污染项目。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eastAsia" w:ascii="Times New Roman" w:hAnsi="Times New Roman" w:cs="Times New Roman"/>
                      <w:color w:val="auto"/>
                    </w:rPr>
                    <w:t>本项目不属于</w:t>
                  </w:r>
                  <w:r>
                    <w:rPr>
                      <w:rFonts w:hint="default" w:ascii="Times New Roman" w:hAnsi="Times New Roman" w:cs="Times New Roman"/>
                      <w:color w:val="auto"/>
                      <w:kern w:val="0"/>
                    </w:rPr>
                    <w:t>钢铁、石化、化工、焦化、建材、有色、制浆造纸等高污染项目。</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10</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禁止新建、扩建不符合国家石化、现代煤化工等产业布局规划的项目。</w:t>
                  </w:r>
                </w:p>
              </w:tc>
              <w:tc>
                <w:tcPr>
                  <w:tcW w:w="1907"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rPr>
                  </w:pPr>
                  <w:r>
                    <w:rPr>
                      <w:rFonts w:hint="default" w:ascii="Times New Roman" w:hAnsi="Times New Roman" w:cs="Times New Roman"/>
                      <w:color w:val="auto"/>
                    </w:rPr>
                    <w:t>项目不属于</w:t>
                  </w:r>
                  <w:r>
                    <w:rPr>
                      <w:rFonts w:hint="default" w:ascii="Times New Roman" w:hAnsi="Times New Roman" w:cs="Times New Roman"/>
                      <w:color w:val="auto"/>
                      <w:kern w:val="0"/>
                    </w:rPr>
                    <w:t>不符合国家石化、现代煤化工等产业布局规划的项目。</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11</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禁止新建、扩建法律法规和相关政策命令禁止的落后产能项目。禁止新建、扩建不符合国家产能置换要求的严重过剩产能行业的项目。禁止新建、扩建不符合要求的高能耗高排放项目。</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项目工艺、设备符合国家产业政策，不属于法律法规和相关政策命令禁止的落后产能项目，不属于产能过剩行业，亦不属于高能耗高排污项目。</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12</w:t>
                  </w:r>
                </w:p>
              </w:tc>
              <w:tc>
                <w:tcPr>
                  <w:tcW w:w="2033"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法律法规及相关产业政策文件更加严格的从其规定。</w:t>
                  </w:r>
                </w:p>
              </w:tc>
              <w:tc>
                <w:tcPr>
                  <w:tcW w:w="190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rPr>
                  </w:pPr>
                  <w:r>
                    <w:rPr>
                      <w:rFonts w:hint="default" w:ascii="Times New Roman" w:hAnsi="Times New Roman" w:cs="Times New Roman"/>
                      <w:color w:val="auto"/>
                      <w:kern w:val="0"/>
                    </w:rPr>
                    <w:t>/</w:t>
                  </w:r>
                </w:p>
              </w:tc>
              <w:tc>
                <w:tcPr>
                  <w:tcW w:w="593"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rPr>
                  </w:pPr>
                  <w:r>
                    <w:rPr>
                      <w:rFonts w:hint="default" w:ascii="Times New Roman" w:hAnsi="Times New Roman" w:cs="Times New Roman"/>
                      <w:color w:val="auto"/>
                    </w:rPr>
                    <w:t>不涉及</w:t>
                  </w:r>
                </w:p>
              </w:tc>
            </w:tr>
          </w:tbl>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Calibri" w:hAnsi="Calibri" w:cs="Times New Roman"/>
                <w:color w:val="auto"/>
                <w:kern w:val="0"/>
                <w:sz w:val="24"/>
                <w:szCs w:val="20"/>
              </w:rPr>
            </w:pPr>
            <w:r>
              <w:rPr>
                <w:rFonts w:hint="default" w:ascii="Calibri" w:hAnsi="Calibri" w:cs="Times New Roman"/>
                <w:color w:val="auto"/>
                <w:kern w:val="0"/>
                <w:sz w:val="24"/>
                <w:szCs w:val="20"/>
              </w:rPr>
              <w:t>由上表可知，本项目的建设符合《长江经济带发展负面清单指南（试</w:t>
            </w:r>
          </w:p>
          <w:p>
            <w:pPr>
              <w:keepNext w:val="0"/>
              <w:keepLines w:val="0"/>
              <w:suppressLineNumbers w:val="0"/>
              <w:adjustRightInd w:val="0"/>
              <w:snapToGrid w:val="0"/>
              <w:spacing w:before="0" w:beforeAutospacing="0" w:after="0" w:afterAutospacing="0" w:line="360" w:lineRule="auto"/>
              <w:ind w:left="0" w:right="0"/>
              <w:textAlignment w:val="baseline"/>
              <w:rPr>
                <w:rFonts w:hint="default" w:ascii="Calibri" w:hAnsi="Calibri" w:cs="Times New Roman"/>
                <w:color w:val="auto"/>
                <w:kern w:val="0"/>
                <w:sz w:val="24"/>
                <w:szCs w:val="20"/>
              </w:rPr>
            </w:pPr>
            <w:r>
              <w:rPr>
                <w:rFonts w:hint="default" w:ascii="Calibri" w:hAnsi="Calibri" w:cs="Times New Roman"/>
                <w:color w:val="auto"/>
                <w:kern w:val="0"/>
                <w:sz w:val="24"/>
                <w:szCs w:val="20"/>
              </w:rPr>
              <w:t>行</w:t>
            </w:r>
            <w:r>
              <w:rPr>
                <w:rFonts w:hint="eastAsia" w:ascii="Calibri" w:hAnsi="Calibri" w:cs="Times New Roman"/>
                <w:color w:val="auto"/>
                <w:kern w:val="0"/>
                <w:sz w:val="24"/>
                <w:szCs w:val="20"/>
              </w:rPr>
              <w:t>，2022年版</w:t>
            </w:r>
            <w:r>
              <w:rPr>
                <w:rFonts w:hint="default" w:ascii="Calibri" w:hAnsi="Calibri" w:cs="Times New Roman"/>
                <w:color w:val="auto"/>
                <w:kern w:val="0"/>
                <w:sz w:val="24"/>
                <w:szCs w:val="20"/>
              </w:rPr>
              <w:t>）》的要求。</w:t>
            </w:r>
          </w:p>
          <w:p>
            <w:pPr>
              <w:keepNext w:val="0"/>
              <w:keepLines w:val="0"/>
              <w:widowControl/>
              <w:suppressLineNumbers w:val="0"/>
              <w:spacing w:before="0" w:beforeAutospacing="0" w:after="0" w:afterAutospacing="0" w:line="360" w:lineRule="auto"/>
              <w:ind w:left="0" w:right="0"/>
              <w:rPr>
                <w:rFonts w:hint="default" w:ascii="Calibri" w:hAnsi="Calibri" w:cs="Times New Roman"/>
                <w:b/>
                <w:color w:val="auto"/>
                <w:sz w:val="24"/>
                <w:szCs w:val="20"/>
              </w:rPr>
            </w:pPr>
            <w:r>
              <w:rPr>
                <w:rFonts w:hint="default" w:ascii="Times New Roman" w:hAnsi="Times New Roman" w:cs="Times New Roman"/>
                <w:b/>
                <w:color w:val="auto"/>
                <w:sz w:val="24"/>
                <w:szCs w:val="24"/>
              </w:rPr>
              <w:t>3、</w:t>
            </w:r>
            <w:r>
              <w:rPr>
                <w:rFonts w:hint="eastAsia" w:ascii="Calibri" w:hAnsi="Calibri" w:cs="Times New Roman"/>
                <w:b/>
                <w:color w:val="auto"/>
                <w:sz w:val="24"/>
                <w:szCs w:val="20"/>
              </w:rPr>
              <w:t>与《云南省长江经济带发展负面清单指南实施细则（试行，</w:t>
            </w:r>
            <w:r>
              <w:rPr>
                <w:rFonts w:hint="default" w:ascii="Calibri" w:hAnsi="Calibri" w:cs="Times New Roman"/>
                <w:b/>
                <w:color w:val="auto"/>
                <w:sz w:val="24"/>
                <w:szCs w:val="20"/>
              </w:rPr>
              <w:t>2022</w:t>
            </w:r>
            <w:r>
              <w:rPr>
                <w:rFonts w:hint="eastAsia" w:ascii="Calibri" w:hAnsi="Calibri" w:cs="Times New Roman"/>
                <w:b/>
                <w:color w:val="auto"/>
                <w:sz w:val="24"/>
                <w:szCs w:val="20"/>
              </w:rPr>
              <w:t>年版）》相符性分析</w:t>
            </w:r>
          </w:p>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Calibri" w:hAnsi="Calibri" w:cs="Times New Roman"/>
                <w:b/>
                <w:color w:val="auto"/>
                <w:sz w:val="24"/>
                <w:szCs w:val="24"/>
              </w:rPr>
            </w:pPr>
            <w:r>
              <w:rPr>
                <w:rFonts w:hint="default" w:ascii="Calibri" w:hAnsi="Calibri" w:cs="Times New Roman"/>
                <w:b/>
                <w:color w:val="auto"/>
                <w:kern w:val="0"/>
                <w:sz w:val="24"/>
                <w:szCs w:val="24"/>
              </w:rPr>
              <w:t xml:space="preserve">表1-5 </w:t>
            </w:r>
            <w:r>
              <w:rPr>
                <w:rFonts w:hint="default" w:ascii="Calibri" w:hAnsi="Calibri" w:cs="Times New Roman"/>
                <w:b/>
                <w:color w:val="auto"/>
                <w:sz w:val="24"/>
                <w:szCs w:val="24"/>
              </w:rPr>
              <w:t>与《</w:t>
            </w:r>
            <w:r>
              <w:rPr>
                <w:rFonts w:hint="eastAsia" w:ascii="Calibri" w:hAnsi="Calibri" w:cs="Times New Roman"/>
                <w:b/>
                <w:color w:val="auto"/>
                <w:sz w:val="24"/>
                <w:szCs w:val="24"/>
              </w:rPr>
              <w:t>云南省长江经济带发展负面清单指南实施细则（试行，</w:t>
            </w:r>
            <w:r>
              <w:rPr>
                <w:rFonts w:hint="default" w:ascii="Calibri" w:hAnsi="Calibri" w:cs="Times New Roman"/>
                <w:b/>
                <w:color w:val="auto"/>
                <w:sz w:val="24"/>
                <w:szCs w:val="24"/>
              </w:rPr>
              <w:t>2022</w:t>
            </w:r>
            <w:r>
              <w:rPr>
                <w:rFonts w:hint="eastAsia" w:ascii="Calibri" w:hAnsi="Calibri" w:cs="Times New Roman"/>
                <w:b/>
                <w:color w:val="auto"/>
                <w:sz w:val="24"/>
                <w:szCs w:val="24"/>
              </w:rPr>
              <w:t>年版）</w:t>
            </w:r>
            <w:r>
              <w:rPr>
                <w:rFonts w:hint="default" w:ascii="Calibri" w:hAnsi="Calibri" w:cs="Times New Roman"/>
                <w:b/>
                <w:color w:val="auto"/>
                <w:sz w:val="24"/>
                <w:szCs w:val="24"/>
              </w:rPr>
              <w:t>》的符合性分析一览表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821"/>
              <w:gridCol w:w="2458"/>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2408"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tc>
              <w:tc>
                <w:tcPr>
                  <w:tcW w:w="1549"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项目情况</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改建和扩建不符合《全国内河航道与港口布局规划》等全国港口规划和《昭通市港口码头岸线规划(金沙江段2019年—2035年）》、《景洪港总体规划（2019—2035年)》等州(市）级以上港口布局规划以及港口总体规划的码头</w:t>
                  </w:r>
                </w:p>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p>
              </w:tc>
              <w:tc>
                <w:tcPr>
                  <w:tcW w:w="1549"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不涉及</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在自然保护区内</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在风景名胜区内</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不在饮用水水源一级保护区内</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不涉及水产种质资源保护区</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eastAsia"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r>
                    <w:rPr>
                      <w:rFonts w:hint="eastAsia" w:ascii="Times New Roman" w:hAnsi="Times New Roman" w:cs="Times New Roman"/>
                      <w:color w:val="auto"/>
                      <w:kern w:val="0"/>
                      <w:sz w:val="21"/>
                      <w:szCs w:val="21"/>
                    </w:rPr>
                    <w:t>。</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本项目不</w:t>
                  </w:r>
                  <w:r>
                    <w:rPr>
                      <w:rFonts w:hint="default" w:ascii="Times New Roman" w:hAnsi="Times New Roman" w:cs="Times New Roman"/>
                      <w:color w:val="auto"/>
                      <w:kern w:val="0"/>
                      <w:sz w:val="21"/>
                      <w:szCs w:val="21"/>
                    </w:rPr>
                    <w:t>利用、占用长江流域河湖岸线。</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属于</w:t>
                  </w:r>
                  <w:r>
                    <w:rPr>
                      <w:rFonts w:hint="default" w:ascii="Times New Roman" w:hAnsi="Times New Roman" w:cs="Times New Roman"/>
                      <w:color w:val="auto"/>
                      <w:kern w:val="0"/>
                      <w:sz w:val="21"/>
                      <w:szCs w:val="21"/>
                    </w:rPr>
                    <w:t>过江基础设施项目</w:t>
                  </w:r>
                  <w:r>
                    <w:rPr>
                      <w:rFonts w:hint="eastAsia" w:ascii="Times New Roman" w:hAnsi="Times New Roman" w:cs="Times New Roman"/>
                      <w:color w:val="auto"/>
                      <w:kern w:val="0"/>
                      <w:sz w:val="21"/>
                      <w:szCs w:val="21"/>
                    </w:rPr>
                    <w:t>，项目废水为间接排放</w:t>
                  </w:r>
                  <w:r>
                    <w:rPr>
                      <w:rFonts w:hint="default" w:ascii="Times New Roman" w:hAnsi="Times New Roman" w:cs="Times New Roman"/>
                      <w:color w:val="auto"/>
                      <w:kern w:val="0"/>
                      <w:sz w:val="21"/>
                      <w:szCs w:val="21"/>
                    </w:rPr>
                    <w:t>。</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禁止在金沙江干流、长江一级支流、水生生物保护区和长江流域禁捕水域开展天然渔业资源生产性捕捞。</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属于医院项目，不</w:t>
                  </w:r>
                  <w:r>
                    <w:rPr>
                      <w:rFonts w:hint="default" w:ascii="Times New Roman" w:hAnsi="Times New Roman" w:cs="Times New Roman"/>
                      <w:color w:val="auto"/>
                      <w:kern w:val="0"/>
                      <w:sz w:val="21"/>
                      <w:szCs w:val="21"/>
                    </w:rPr>
                    <w:t>开展天然渔业资源生产性捕捞。</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w:t>
                  </w:r>
                  <w:r>
                    <w:rPr>
                      <w:rFonts w:hint="eastAsia" w:ascii="Times New Roman" w:hAnsi="Times New Roman" w:cs="Times New Roman"/>
                      <w:color w:val="auto"/>
                      <w:kern w:val="0"/>
                      <w:sz w:val="21"/>
                      <w:szCs w:val="21"/>
                    </w:rPr>
                    <w:t>属于</w:t>
                  </w:r>
                  <w:r>
                    <w:rPr>
                      <w:rFonts w:hint="default" w:ascii="Times New Roman" w:hAnsi="Times New Roman" w:cs="Times New Roman"/>
                      <w:color w:val="auto"/>
                      <w:kern w:val="0"/>
                      <w:sz w:val="21"/>
                      <w:szCs w:val="21"/>
                    </w:rPr>
                    <w:t>化工园区和化工项目</w:t>
                  </w:r>
                  <w:r>
                    <w:rPr>
                      <w:rFonts w:hint="eastAsia" w:ascii="Times New Roman" w:hAnsi="Times New Roman" w:cs="Times New Roman"/>
                      <w:color w:val="auto"/>
                      <w:kern w:val="0"/>
                      <w:sz w:val="21"/>
                      <w:szCs w:val="21"/>
                    </w:rPr>
                    <w:t>，不属于</w:t>
                  </w:r>
                  <w:r>
                    <w:rPr>
                      <w:rFonts w:hint="default" w:ascii="Times New Roman" w:hAnsi="Times New Roman" w:cs="Times New Roman"/>
                      <w:color w:val="auto"/>
                      <w:kern w:val="0"/>
                      <w:sz w:val="21"/>
                      <w:szCs w:val="21"/>
                    </w:rPr>
                    <w:t>尾矿库、冶炼渣库和磷石膏库。</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禁止在合规园区外新建、扩建钢铁、石化、化工、焦化、建材、有色、制浆造纸行业中的高污染项目。</w:t>
                  </w:r>
                </w:p>
              </w:tc>
              <w:tc>
                <w:tcPr>
                  <w:tcW w:w="1549" w:type="pct"/>
                  <w:noWrap w:val="0"/>
                  <w:vAlign w:val="center"/>
                </w:tcPr>
                <w:p>
                  <w:pPr>
                    <w:keepNext w:val="0"/>
                    <w:keepLines w:val="0"/>
                    <w:widowControl/>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项目</w:t>
                  </w:r>
                  <w:r>
                    <w:rPr>
                      <w:rFonts w:hint="eastAsia" w:ascii="Times New Roman" w:hAnsi="Times New Roman" w:cs="Times New Roman"/>
                      <w:color w:val="auto"/>
                      <w:kern w:val="0"/>
                      <w:sz w:val="21"/>
                      <w:szCs w:val="21"/>
                    </w:rPr>
                    <w:t>不属于</w:t>
                  </w:r>
                  <w:r>
                    <w:rPr>
                      <w:rFonts w:hint="default" w:ascii="Times New Roman" w:hAnsi="Times New Roman" w:cs="Times New Roman"/>
                      <w:color w:val="auto"/>
                      <w:kern w:val="0"/>
                      <w:sz w:val="21"/>
                      <w:szCs w:val="21"/>
                    </w:rPr>
                    <w:t>钢铁、石化、化工、焦化、建材、有色、制浆造纸行业中的高污染项目。</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禁止新建、扩建不符合国家石化、现代煤化工等产业布局规划的项目。禁止列入《云南省城镇人口密集区危险化学品生产企业搬迁改造名单》的搬迁改造企业在原址新建、扩建危险化学品生产项目。</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项目不</w:t>
                  </w:r>
                  <w:r>
                    <w:rPr>
                      <w:rFonts w:hint="eastAsia" w:ascii="Times New Roman" w:hAnsi="Times New Roman" w:cs="Times New Roman"/>
                      <w:color w:val="auto"/>
                      <w:sz w:val="21"/>
                      <w:szCs w:val="21"/>
                    </w:rPr>
                    <w:t>属于</w:t>
                  </w:r>
                  <w:r>
                    <w:rPr>
                      <w:rFonts w:hint="default" w:ascii="Times New Roman" w:hAnsi="Times New Roman" w:cs="Times New Roman"/>
                      <w:color w:val="auto"/>
                      <w:kern w:val="0"/>
                      <w:sz w:val="21"/>
                      <w:szCs w:val="21"/>
                    </w:rPr>
                    <w:t>国家石化、现代煤化工等产业。</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408"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电石、焦炭、黄磷、烧碱、纯碱、聚氧乙烯等行业新增产能。</w:t>
                  </w:r>
                </w:p>
              </w:tc>
              <w:tc>
                <w:tcPr>
                  <w:tcW w:w="1549"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项目不属于所列建设项目类型。</w:t>
                  </w:r>
                </w:p>
              </w:tc>
              <w:tc>
                <w:tcPr>
                  <w:tcW w:w="586"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bl>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cs="Times New Roman"/>
                <w:b/>
                <w:color w:val="auto"/>
                <w:sz w:val="24"/>
                <w:szCs w:val="24"/>
              </w:rPr>
            </w:pPr>
            <w:r>
              <w:rPr>
                <w:rFonts w:hint="default" w:ascii="Calibri" w:hAnsi="Calibri" w:cs="Times New Roman"/>
                <w:color w:val="auto"/>
                <w:sz w:val="24"/>
              </w:rPr>
              <w:t>由上表可知，本项目的建设符合</w:t>
            </w:r>
            <w:r>
              <w:rPr>
                <w:rFonts w:hint="default" w:ascii="Calibri" w:hAnsi="Calibri" w:cs="Times New Roman"/>
                <w:bCs/>
                <w:color w:val="auto"/>
                <w:sz w:val="24"/>
                <w:szCs w:val="24"/>
              </w:rPr>
              <w:t>《</w:t>
            </w:r>
            <w:r>
              <w:rPr>
                <w:rFonts w:hint="eastAsia" w:ascii="Calibri" w:hAnsi="Calibri" w:cs="Times New Roman"/>
                <w:bCs/>
                <w:color w:val="auto"/>
                <w:sz w:val="24"/>
                <w:szCs w:val="24"/>
              </w:rPr>
              <w:t>云南省长江经济带发展负面清单指南实施细则（试行，</w:t>
            </w:r>
            <w:r>
              <w:rPr>
                <w:rFonts w:hint="default" w:ascii="Calibri" w:hAnsi="Calibri" w:cs="Times New Roman"/>
                <w:bCs/>
                <w:color w:val="auto"/>
                <w:sz w:val="24"/>
                <w:szCs w:val="24"/>
              </w:rPr>
              <w:t>2022</w:t>
            </w:r>
            <w:r>
              <w:rPr>
                <w:rFonts w:hint="eastAsia" w:ascii="Calibri" w:hAnsi="Calibri" w:cs="Times New Roman"/>
                <w:bCs/>
                <w:color w:val="auto"/>
                <w:sz w:val="24"/>
                <w:szCs w:val="24"/>
              </w:rPr>
              <w:t>年版）</w:t>
            </w:r>
            <w:r>
              <w:rPr>
                <w:rFonts w:hint="default" w:ascii="Calibri" w:hAnsi="Calibri" w:cs="Times New Roman"/>
                <w:bCs/>
                <w:color w:val="auto"/>
                <w:sz w:val="24"/>
                <w:szCs w:val="24"/>
              </w:rPr>
              <w:t>》</w:t>
            </w:r>
            <w:r>
              <w:rPr>
                <w:rFonts w:hint="default" w:ascii="Calibri" w:hAnsi="Calibri" w:cs="Times New Roman"/>
                <w:color w:val="auto"/>
                <w:sz w:val="24"/>
              </w:rPr>
              <w:t>的要求</w:t>
            </w:r>
            <w:r>
              <w:rPr>
                <w:rFonts w:hint="eastAsia" w:ascii="Calibri" w:hAnsi="Calibri" w:cs="Times New Roman"/>
                <w:color w:val="auto"/>
                <w:sz w:val="24"/>
              </w:rPr>
              <w:t>。</w:t>
            </w:r>
          </w:p>
          <w:p>
            <w:pPr>
              <w:pStyle w:val="6"/>
              <w:keepNext w:val="0"/>
              <w:keepLines w:val="0"/>
              <w:numPr>
                <w:ilvl w:val="0"/>
                <w:numId w:val="0"/>
              </w:numPr>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rPr>
              <w:t>4</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与《医疗污水处理工程技术规范》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项目与</w:t>
            </w:r>
            <w:r>
              <w:rPr>
                <w:rFonts w:hint="default" w:ascii="Times New Roman" w:hAnsi="Times New Roman" w:eastAsia="宋体" w:cs="Times New Roman"/>
                <w:color w:val="auto"/>
                <w:sz w:val="24"/>
                <w:szCs w:val="24"/>
              </w:rPr>
              <w:t>《医疗污水处理工程技术规范》</w:t>
            </w:r>
            <w:r>
              <w:rPr>
                <w:rFonts w:hint="default" w:ascii="Times New Roman" w:hAnsi="Times New Roman" w:eastAsia="宋体" w:cs="Times New Roman"/>
                <w:color w:val="auto"/>
                <w:sz w:val="24"/>
                <w:szCs w:val="24"/>
                <w:lang w:eastAsia="zh-CN"/>
              </w:rPr>
              <w:t>相符性分析见表。</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表</w:t>
            </w:r>
            <w:r>
              <w:rPr>
                <w:rFonts w:hint="default" w:ascii="Times New Roman" w:hAnsi="Times New Roman" w:eastAsia="宋体" w:cs="Times New Roman"/>
                <w:b/>
                <w:bCs/>
                <w:color w:val="auto"/>
                <w:sz w:val="24"/>
                <w:szCs w:val="24"/>
                <w:lang w:val="en-US" w:eastAsia="zh-CN"/>
              </w:rPr>
              <w:t xml:space="preserve">1-6 </w:t>
            </w:r>
            <w:r>
              <w:rPr>
                <w:rFonts w:hint="default" w:ascii="Times New Roman" w:hAnsi="Times New Roman" w:eastAsia="宋体" w:cs="Times New Roman"/>
                <w:b/>
                <w:bCs/>
                <w:color w:val="auto"/>
                <w:sz w:val="24"/>
                <w:szCs w:val="24"/>
                <w:lang w:eastAsia="zh-CN"/>
              </w:rPr>
              <w:t>与</w:t>
            </w:r>
            <w:r>
              <w:rPr>
                <w:rFonts w:hint="default" w:ascii="Times New Roman" w:hAnsi="Times New Roman" w:eastAsia="宋体" w:cs="Times New Roman"/>
                <w:b/>
                <w:bCs/>
                <w:color w:val="auto"/>
                <w:sz w:val="24"/>
                <w:szCs w:val="24"/>
              </w:rPr>
              <w:t>《医疗污水处理工程技术规范》</w:t>
            </w:r>
            <w:r>
              <w:rPr>
                <w:rFonts w:hint="default" w:ascii="Times New Roman" w:hAnsi="Times New Roman" w:eastAsia="宋体" w:cs="Times New Roman"/>
                <w:b/>
                <w:bCs/>
                <w:color w:val="auto"/>
                <w:sz w:val="24"/>
                <w:szCs w:val="24"/>
                <w:lang w:eastAsia="zh-CN"/>
              </w:rPr>
              <w:t>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6"/>
              <w:gridCol w:w="352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Calibri" w:hAnsi="Calibri" w:cs="Times New Roman"/>
                      <w:color w:val="auto"/>
                      <w:sz w:val="21"/>
                      <w:szCs w:val="21"/>
                    </w:rPr>
                    <w:t>《医疗污水处理工程技术规范》</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eastAsia" w:ascii="Calibri" w:hAnsi="Calibri" w:cs="Times New Roman"/>
                      <w:color w:val="auto"/>
                      <w:sz w:val="21"/>
                      <w:szCs w:val="21"/>
                      <w:vertAlign w:val="baseline"/>
                      <w:lang w:val="en-US" w:eastAsia="zh-CN"/>
                    </w:rPr>
                    <w:t>本项目情况</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eastAsia" w:ascii="Calibri" w:hAnsi="Calibri" w:cs="Times New Roman"/>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当医院污水直接排入水体时，其 水质必须处理，当硬水质均达到 国家排放标准时才可以排放。</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项目医疗废水和生活废水经自建的化粪池和污水处理站处理达标后排入市政污水管网，最终进入</w:t>
                  </w:r>
                  <w:r>
                    <w:rPr>
                      <w:rFonts w:hint="eastAsia" w:ascii="宋体" w:hAnsi="宋体" w:eastAsia="宋体" w:cs="宋体"/>
                      <w:color w:val="auto"/>
                      <w:sz w:val="21"/>
                      <w:szCs w:val="21"/>
                      <w:lang w:eastAsia="zh-CN"/>
                    </w:rPr>
                    <w:t>东川区污水处理厂</w:t>
                  </w:r>
                  <w:r>
                    <w:rPr>
                      <w:rFonts w:hint="default" w:ascii="宋体" w:hAnsi="宋体" w:eastAsia="宋体" w:cs="宋体"/>
                      <w:color w:val="auto"/>
                      <w:sz w:val="21"/>
                      <w:szCs w:val="21"/>
                    </w:rPr>
                    <w:t>进行处理，不直接排入水体。</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eastAsia" w:ascii="Calibri" w:hAnsi="Calibri"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对含有放射性、重金属及其他有 毒、有害的污水进行预处理，达 到相应标准后才可以达到污水处 理站或城市下水道。</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项目不涉及放射性、重金属及其他有 毒、有害废水；项目医疗废水和生活 废水经自建的化粪池和污水处理站处理达标后排入市政污水管网，最终进入</w:t>
                  </w:r>
                  <w:r>
                    <w:rPr>
                      <w:rFonts w:hint="eastAsia" w:ascii="宋体" w:hAnsi="宋体" w:eastAsia="宋体" w:cs="宋体"/>
                      <w:color w:val="auto"/>
                      <w:sz w:val="21"/>
                      <w:szCs w:val="21"/>
                      <w:lang w:eastAsia="zh-CN"/>
                    </w:rPr>
                    <w:t>东川区污水处理</w:t>
                  </w:r>
                  <w:r>
                    <w:rPr>
                      <w:rFonts w:hint="default" w:ascii="宋体" w:hAnsi="宋体" w:eastAsia="宋体" w:cs="宋体"/>
                      <w:color w:val="auto"/>
                      <w:sz w:val="21"/>
                      <w:szCs w:val="21"/>
                    </w:rPr>
                    <w:t>厂进行处理。</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经处理后的医院污水排入有污水 处理厂的市政排水系统时，应符 合现行国家标准《污水综合排放 标准》GB8978 规定的三级标准和 现行国家标准《医疗机构污水排 放要求》GB</w:t>
                  </w:r>
                  <w:r>
                    <w:rPr>
                      <w:rFonts w:hint="eastAsia" w:ascii="宋体" w:hAnsi="宋体" w:cs="宋体"/>
                      <w:color w:val="auto"/>
                      <w:sz w:val="21"/>
                      <w:szCs w:val="21"/>
                      <w:lang w:eastAsia="zh-CN"/>
                    </w:rPr>
                    <w:t>*****</w:t>
                  </w:r>
                  <w:r>
                    <w:rPr>
                      <w:rFonts w:hint="default" w:ascii="宋体" w:hAnsi="宋体" w:eastAsia="宋体" w:cs="宋体"/>
                      <w:color w:val="auto"/>
                      <w:sz w:val="21"/>
                      <w:szCs w:val="21"/>
                    </w:rPr>
                    <w:t>的规定。</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项目废水经自建化粪池、污水处理站 处理达到《医疗机构水污染物排放标准》（GB</w:t>
                  </w:r>
                  <w:r>
                    <w:rPr>
                      <w:rFonts w:hint="eastAsia" w:ascii="宋体" w:hAnsi="宋体" w:cs="宋体"/>
                      <w:color w:val="auto"/>
                      <w:sz w:val="21"/>
                      <w:szCs w:val="21"/>
                      <w:lang w:eastAsia="zh-CN"/>
                    </w:rPr>
                    <w:t>*****</w:t>
                  </w:r>
                  <w:r>
                    <w:rPr>
                      <w:rFonts w:hint="default" w:ascii="宋体" w:hAnsi="宋体" w:eastAsia="宋体" w:cs="宋体"/>
                      <w:color w:val="auto"/>
                      <w:sz w:val="21"/>
                      <w:szCs w:val="21"/>
                    </w:rPr>
                    <w:t xml:space="preserve">-2005）表2预处理标 准及《污水排入城镇下水道水质标 准》（GB/T </w:t>
                  </w:r>
                  <w:r>
                    <w:rPr>
                      <w:rFonts w:hint="eastAsia" w:ascii="宋体" w:hAnsi="宋体" w:cs="宋体"/>
                      <w:color w:val="auto"/>
                      <w:sz w:val="21"/>
                      <w:szCs w:val="21"/>
                      <w:lang w:eastAsia="zh-CN"/>
                    </w:rPr>
                    <w:t>*****</w:t>
                  </w:r>
                  <w:r>
                    <w:rPr>
                      <w:rFonts w:hint="default" w:ascii="宋体" w:hAnsi="宋体" w:eastAsia="宋体" w:cs="宋体"/>
                      <w:color w:val="auto"/>
                      <w:sz w:val="21"/>
                      <w:szCs w:val="21"/>
                    </w:rPr>
                    <w:t>－2015）表1中A等级标准限值后排入市政污水管网，最终进入</w:t>
                  </w:r>
                  <w:r>
                    <w:rPr>
                      <w:rFonts w:hint="eastAsia" w:ascii="宋体" w:hAnsi="宋体" w:eastAsia="宋体" w:cs="宋体"/>
                      <w:color w:val="auto"/>
                      <w:sz w:val="21"/>
                      <w:szCs w:val="21"/>
                      <w:lang w:eastAsia="zh-CN"/>
                    </w:rPr>
                    <w:t>东川区污水处理</w:t>
                  </w:r>
                  <w:r>
                    <w:rPr>
                      <w:rFonts w:hint="default" w:ascii="宋体" w:hAnsi="宋体" w:eastAsia="宋体" w:cs="宋体"/>
                      <w:color w:val="auto"/>
                      <w:sz w:val="21"/>
                      <w:szCs w:val="21"/>
                    </w:rPr>
                    <w:t>厂进行处理。</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排入未设置污水处理厂的市政排 水系统、地面水域时，应根据污 水受纳水体对生物学指标和有关 理化指标的要求，符合现行国家 标准《污水综合排放标准》 GB8978 规定的一级或二级标准的要求。</w:t>
                  </w:r>
                </w:p>
              </w:tc>
              <w:tc>
                <w:tcPr>
                  <w:tcW w:w="3525"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r>
                    <w:rPr>
                      <w:rFonts w:hint="default" w:ascii="宋体" w:hAnsi="宋体" w:eastAsia="宋体" w:cs="宋体"/>
                      <w:color w:val="auto"/>
                      <w:sz w:val="21"/>
                      <w:szCs w:val="21"/>
                    </w:rPr>
                    <w:t>项目周边已配套建设市政污水管网、 城市</w:t>
                  </w:r>
                  <w:r>
                    <w:rPr>
                      <w:rFonts w:hint="eastAsia" w:ascii="宋体" w:hAnsi="宋体" w:eastAsia="宋体" w:cs="宋体"/>
                      <w:color w:val="auto"/>
                      <w:sz w:val="21"/>
                      <w:szCs w:val="21"/>
                      <w:lang w:eastAsia="zh-CN"/>
                    </w:rPr>
                    <w:t>污水处理</w:t>
                  </w:r>
                  <w:r>
                    <w:rPr>
                      <w:rFonts w:hint="default" w:ascii="宋体" w:hAnsi="宋体" w:eastAsia="宋体" w:cs="宋体"/>
                      <w:color w:val="auto"/>
                      <w:sz w:val="21"/>
                      <w:szCs w:val="21"/>
                    </w:rPr>
                    <w:t>厂。</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Calibri" w:hAnsi="Calibri" w:cs="Times New Roman"/>
                      <w:color w:val="auto"/>
                      <w:sz w:val="21"/>
                      <w:szCs w:val="21"/>
                      <w:vertAlign w:val="baseline"/>
                      <w:lang w:val="en-US" w:eastAsia="zh-CN"/>
                    </w:rPr>
                  </w:pPr>
                </w:p>
              </w:tc>
            </w:tr>
          </w:tbl>
          <w:p>
            <w:pPr>
              <w:pStyle w:val="6"/>
              <w:keepNext w:val="0"/>
              <w:keepLines w:val="0"/>
              <w:numPr>
                <w:ilvl w:val="0"/>
                <w:numId w:val="0"/>
              </w:numPr>
              <w:suppressLineNumbers w:val="0"/>
              <w:spacing w:before="0" w:beforeAutospacing="0" w:after="0" w:afterAutospacing="0" w:line="360" w:lineRule="auto"/>
              <w:ind w:left="0" w:right="0" w:firstLine="480" w:firstLineChars="200"/>
              <w:rPr>
                <w:rFonts w:hint="default" w:ascii="Calibri" w:hAnsi="Calibri" w:cs="Times New Roman"/>
                <w:color w:val="auto"/>
                <w:lang w:val="en-US" w:eastAsia="zh-CN"/>
              </w:rPr>
            </w:pPr>
            <w:r>
              <w:rPr>
                <w:rFonts w:hint="default" w:ascii="宋体" w:hAnsi="宋体" w:eastAsia="宋体" w:cs="宋体"/>
                <w:color w:val="auto"/>
                <w:sz w:val="24"/>
                <w:szCs w:val="24"/>
              </w:rPr>
              <w:t>由上表可知，项目符合《医院污水处理设计规范》的相关要求。</w:t>
            </w:r>
          </w:p>
          <w:p>
            <w:pPr>
              <w:pStyle w:val="6"/>
              <w:keepNext w:val="0"/>
              <w:keepLines w:val="0"/>
              <w:numPr>
                <w:ilvl w:val="0"/>
                <w:numId w:val="0"/>
              </w:numPr>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4"/>
                <w:lang w:val="zh-CN"/>
              </w:rPr>
            </w:pPr>
            <w:r>
              <w:rPr>
                <w:rFonts w:hint="default" w:ascii="Times New Roman" w:hAnsi="Times New Roman" w:eastAsia="宋体" w:cs="Times New Roman"/>
                <w:b/>
                <w:bCs/>
                <w:color w:val="auto"/>
                <w:sz w:val="24"/>
                <w:szCs w:val="24"/>
                <w:lang w:val="en-US"/>
              </w:rPr>
              <w:t>5</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《关于印发医疗机构废弃物综合治理工作方案的通知》</w:t>
            </w:r>
            <w:r>
              <w:rPr>
                <w:rFonts w:hint="default" w:ascii="Times New Roman" w:hAnsi="Times New Roman" w:eastAsia="宋体" w:cs="Times New Roman"/>
                <w:b/>
                <w:bCs/>
                <w:i w:val="0"/>
                <w:iCs w:val="0"/>
                <w:caps w:val="0"/>
                <w:color w:val="auto"/>
                <w:spacing w:val="0"/>
                <w:sz w:val="24"/>
                <w:szCs w:val="24"/>
                <w:shd w:val="clear" w:color="auto" w:fill="FFFFFF"/>
              </w:rPr>
              <w:t>国卫医发〔2020〕3号</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项目与《关于印发医疗机构废弃物综合治理工作方案的通知》相符性分析见表</w:t>
            </w:r>
            <w:r>
              <w:rPr>
                <w:rFonts w:hint="eastAsia" w:ascii="Times New Roman" w:hAnsi="Times New Roman" w:eastAsia="宋体" w:cs="Times New Roman"/>
                <w:color w:val="auto"/>
                <w:sz w:val="24"/>
                <w:szCs w:val="24"/>
                <w:lang w:eastAsia="zh-CN"/>
              </w:rPr>
              <w:t>。</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表</w:t>
            </w:r>
            <w:r>
              <w:rPr>
                <w:rFonts w:hint="default" w:ascii="Times New Roman" w:hAnsi="Times New Roman" w:eastAsia="宋体" w:cs="Times New Roman"/>
                <w:b/>
                <w:bCs/>
                <w:color w:val="auto"/>
                <w:sz w:val="24"/>
                <w:szCs w:val="24"/>
                <w:lang w:val="en-US" w:eastAsia="zh-CN"/>
              </w:rPr>
              <w:t xml:space="preserve">1-7 </w:t>
            </w:r>
            <w:r>
              <w:rPr>
                <w:rFonts w:hint="default" w:ascii="Times New Roman" w:hAnsi="Times New Roman" w:eastAsia="宋体" w:cs="Times New Roman"/>
                <w:b/>
                <w:bCs/>
                <w:color w:val="auto"/>
                <w:sz w:val="24"/>
                <w:szCs w:val="24"/>
                <w:lang w:eastAsia="zh-CN"/>
              </w:rPr>
              <w:t>与</w:t>
            </w:r>
            <w:r>
              <w:rPr>
                <w:rFonts w:hint="default" w:ascii="Times New Roman" w:hAnsi="Times New Roman" w:eastAsia="宋体" w:cs="Times New Roman"/>
                <w:b/>
                <w:bCs/>
                <w:color w:val="auto"/>
                <w:sz w:val="24"/>
                <w:szCs w:val="24"/>
              </w:rPr>
              <w:t>《关于印发医疗机构废弃物综合治理工作方案的通知》</w:t>
            </w:r>
            <w:r>
              <w:rPr>
                <w:rFonts w:hint="default" w:ascii="Times New Roman" w:hAnsi="Times New Roman" w:eastAsia="宋体" w:cs="Times New Roman"/>
                <w:b/>
                <w:bCs/>
                <w:color w:val="auto"/>
                <w:sz w:val="24"/>
                <w:szCs w:val="24"/>
                <w:lang w:eastAsia="zh-CN"/>
              </w:rPr>
              <w:t>相符性分析</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3412"/>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i w:val="0"/>
                      <w:iCs w:val="0"/>
                      <w:caps w:val="0"/>
                      <w:color w:val="auto"/>
                      <w:spacing w:val="0"/>
                      <w:sz w:val="21"/>
                      <w:szCs w:val="21"/>
                      <w:shd w:val="clear" w:color="auto" w:fill="FFFFFF"/>
                      <w:lang w:val="zh-CN"/>
                    </w:rPr>
                  </w:pPr>
                  <w:r>
                    <w:rPr>
                      <w:rFonts w:hint="default" w:ascii="宋体" w:hAnsi="宋体" w:eastAsia="宋体" w:cs="宋体"/>
                      <w:color w:val="auto"/>
                      <w:sz w:val="21"/>
                      <w:szCs w:val="21"/>
                      <w:vertAlign w:val="baseline"/>
                      <w:lang w:val="zh-CN" w:eastAsia="zh-CN"/>
                    </w:rPr>
                    <w:t>《关于印发医疗机构废弃物综合治理工作方案的通知》</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本项目情况</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加强源头管理。医疗机构废弃物分为医疗废物、生活垃圾和输液瓶（袋）。通过规范分类和清晰流程，各医疗机构内形成分类投放、分类收集、分类贮存、分类交接、分类转运的废弃物管理系统。充分利用电子标签、二维码等信息化技术手段，对药品和医用耗材购入、使用和处置等环节进行精细化全程跟踪管理，鼓励医疗机构使用具有追溯功能的医疗用品、具有计数功能的可复用容器，确保医疗机构废弃物应分尽分和可追溯。</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本项目医疗废物分类规范。</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eastAsia="宋体" w:cs="宋体"/>
                      <w:i w:val="0"/>
                      <w:iCs w:val="0"/>
                      <w:caps w:val="0"/>
                      <w:color w:val="auto"/>
                      <w:spacing w:val="0"/>
                      <w:sz w:val="21"/>
                      <w:szCs w:val="21"/>
                      <w:shd w:val="clear" w:color="auto" w:fill="FFFFFF"/>
                    </w:rPr>
                    <w:t>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zh-CN"/>
                    </w:rPr>
                    <w:t>本项目医疗废物分类规范，设有医疗废物暂存间，医疗废物收集后交由有资质单位清运处置，资料保存</w:t>
                  </w:r>
                  <w:r>
                    <w:rPr>
                      <w:rFonts w:hint="default" w:ascii="宋体" w:hAnsi="宋体" w:cs="宋体"/>
                      <w:color w:val="auto"/>
                      <w:sz w:val="21"/>
                      <w:szCs w:val="21"/>
                      <w:vertAlign w:val="baseline"/>
                      <w:lang w:val="en-US"/>
                    </w:rPr>
                    <w:t>5</w:t>
                  </w:r>
                  <w:r>
                    <w:rPr>
                      <w:rFonts w:hint="eastAsia" w:ascii="宋体" w:hAnsi="宋体" w:cs="宋体"/>
                      <w:color w:val="auto"/>
                      <w:sz w:val="21"/>
                      <w:szCs w:val="21"/>
                      <w:vertAlign w:val="baseline"/>
                      <w:lang w:val="en-US" w:eastAsia="zh-CN"/>
                    </w:rPr>
                    <w:t>年。</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9"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eastAsia="宋体" w:cs="宋体"/>
                      <w:i w:val="0"/>
                      <w:iCs w:val="0"/>
                      <w:caps w:val="0"/>
                      <w:color w:val="auto"/>
                      <w:spacing w:val="0"/>
                      <w:sz w:val="21"/>
                      <w:szCs w:val="21"/>
                      <w:shd w:val="clear" w:color="auto" w:fill="FFFFFF"/>
                    </w:rPr>
                    <w:t>医疗机构要严格落实生活垃圾分类管理有关政策，将非传染病患者或家属在就诊过程中产生的生活垃圾，以及医疗机构职工非医疗活动产生的生活垃圾，与医疗活动中产生的医疗废物、输液瓶（袋）等区别管理。做好医疗机构生活垃圾的接收、运输和处理工作。</w:t>
                  </w:r>
                </w:p>
              </w:tc>
              <w:tc>
                <w:tcPr>
                  <w:tcW w:w="3412"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本项目医疗废物严格管理，医疗废物和生活垃圾分类处理。</w:t>
                  </w:r>
                </w:p>
              </w:tc>
              <w:tc>
                <w:tcPr>
                  <w:tcW w:w="904" w:type="dxa"/>
                  <w:noWrap w:val="0"/>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宋体" w:hAnsi="宋体" w:cs="宋体"/>
                      <w:color w:val="auto"/>
                      <w:sz w:val="21"/>
                      <w:szCs w:val="21"/>
                      <w:vertAlign w:val="baseline"/>
                      <w:lang w:val="zh-CN"/>
                    </w:rPr>
                  </w:pPr>
                  <w:r>
                    <w:rPr>
                      <w:rFonts w:hint="eastAsia" w:ascii="宋体" w:hAnsi="宋体" w:cs="宋体"/>
                      <w:color w:val="auto"/>
                      <w:sz w:val="21"/>
                      <w:szCs w:val="21"/>
                      <w:vertAlign w:val="baseline"/>
                      <w:lang w:val="zh-CN"/>
                    </w:rPr>
                    <w:t>符合</w:t>
                  </w:r>
                </w:p>
              </w:tc>
            </w:tr>
          </w:tbl>
          <w:p>
            <w:pPr>
              <w:pStyle w:val="6"/>
              <w:keepNext w:val="0"/>
              <w:keepLines w:val="0"/>
              <w:numPr>
                <w:ilvl w:val="0"/>
                <w:numId w:val="0"/>
              </w:numPr>
              <w:suppressLineNumbers w:val="0"/>
              <w:spacing w:before="0" w:beforeAutospacing="0" w:after="0" w:afterAutospacing="0" w:line="360" w:lineRule="auto"/>
              <w:ind w:left="0" w:right="0" w:firstLine="480" w:firstLineChars="200"/>
              <w:rPr>
                <w:rFonts w:hint="default" w:ascii="Calibri" w:hAnsi="Calibri" w:cs="Times New Roman"/>
                <w:color w:val="auto"/>
                <w:lang w:val="en-US" w:eastAsia="zh-CN"/>
              </w:rPr>
            </w:pPr>
            <w:r>
              <w:rPr>
                <w:rFonts w:hint="default" w:ascii="宋体" w:hAnsi="宋体" w:eastAsia="宋体" w:cs="宋体"/>
                <w:color w:val="auto"/>
                <w:sz w:val="24"/>
                <w:szCs w:val="24"/>
              </w:rPr>
              <w:t>由上表可知，项目符合《医院污水处理设计规范》的相关要求。</w:t>
            </w:r>
          </w:p>
          <w:p>
            <w:pPr>
              <w:pStyle w:val="96"/>
              <w:keepNext w:val="0"/>
              <w:keepLines w:val="0"/>
              <w:suppressLineNumbers w:val="0"/>
              <w:spacing w:before="0" w:beforeAutospacing="0" w:after="0" w:afterAutospacing="0"/>
              <w:ind w:left="0" w:right="0"/>
              <w:rPr>
                <w:rFonts w:hint="eastAsia" w:ascii="Calibri" w:hAnsi="Calibri" w:cs="Times New Roman"/>
                <w:b/>
                <w:color w:val="auto"/>
              </w:rPr>
            </w:pPr>
            <w:r>
              <w:rPr>
                <w:rFonts w:hint="default" w:ascii="Calibri" w:hAnsi="Calibri" w:cs="Times New Roman"/>
                <w:b/>
                <w:color w:val="auto"/>
                <w:lang w:val="en-US"/>
              </w:rPr>
              <w:t>6</w:t>
            </w:r>
            <w:r>
              <w:rPr>
                <w:rFonts w:hint="eastAsia" w:ascii="Calibri" w:hAnsi="Calibri" w:cs="Times New Roman"/>
                <w:b/>
                <w:color w:val="auto"/>
              </w:rPr>
              <w:t>、与</w:t>
            </w:r>
            <w:r>
              <w:rPr>
                <w:rFonts w:hint="default" w:ascii="Calibri" w:hAnsi="Calibri" w:cs="Times New Roman"/>
                <w:b/>
                <w:color w:val="auto"/>
              </w:rPr>
              <w:t>《昆明市医疗废物管理规定》</w:t>
            </w:r>
            <w:r>
              <w:rPr>
                <w:rFonts w:hint="eastAsia" w:ascii="Calibri" w:hAnsi="Calibri" w:cs="Times New Roman"/>
                <w:b/>
                <w:color w:val="auto"/>
              </w:rPr>
              <w:t>符合性分析</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8</w:t>
            </w:r>
            <w:r>
              <w:rPr>
                <w:rFonts w:hint="default" w:ascii="Calibri" w:hAnsi="Calibri" w:cs="Times New Roman"/>
                <w:b/>
                <w:color w:val="auto"/>
                <w:sz w:val="24"/>
              </w:rPr>
              <w:t xml:space="preserve"> 与《昆明市医疗废物管理规定》对照分析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3428"/>
              <w:gridCol w:w="281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序号</w:t>
                  </w:r>
                </w:p>
              </w:tc>
              <w:tc>
                <w:tcPr>
                  <w:tcW w:w="21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《昆明市医疗废物管理规定》要求</w:t>
                  </w:r>
                </w:p>
              </w:tc>
              <w:tc>
                <w:tcPr>
                  <w:tcW w:w="177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项目情况</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p>
              </w:tc>
              <w:tc>
                <w:tcPr>
                  <w:tcW w:w="2160"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bCs/>
                      <w:color w:val="auto"/>
                    </w:rPr>
                    <w:t xml:space="preserve">第七条 </w:t>
                  </w:r>
                  <w:r>
                    <w:rPr>
                      <w:rFonts w:hint="default" w:ascii="Times New Roman" w:hAnsi="Times New Roman" w:cs="Times New Roman"/>
                      <w:color w:val="auto"/>
                    </w:rPr>
                    <w:t>医疗卫生机构和医疗废物集中处置单位，应当确定医疗废物管理第三责任人，明确专门机构或者配备专兼职人员负责医疗废物的管理工作，并建立登记制度。</w:t>
                  </w:r>
                </w:p>
              </w:tc>
              <w:tc>
                <w:tcPr>
                  <w:tcW w:w="17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项目由专人负责医疗废物管理工作，建立管理台帐，转运过程中实行转移联单制度。</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w:t>
                  </w:r>
                </w:p>
              </w:tc>
              <w:tc>
                <w:tcPr>
                  <w:tcW w:w="2160"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bCs/>
                      <w:color w:val="auto"/>
                    </w:rPr>
                    <w:t>第十一条</w:t>
                  </w:r>
                  <w:r>
                    <w:rPr>
                      <w:rFonts w:hint="default" w:ascii="Times New Roman" w:hAnsi="Times New Roman" w:cs="Times New Roman"/>
                      <w:color w:val="auto"/>
                    </w:rPr>
                    <w:t xml:space="preserve"> 医疗卫生机构委托医疗废物集中处置单位处置医疗废物，应当签订医疗废物处置协议。</w:t>
                  </w:r>
                </w:p>
              </w:tc>
              <w:tc>
                <w:tcPr>
                  <w:tcW w:w="17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项目医疗废物使用医废收集桶分类收集后暂存于项目的医疗废物暂存间，委托有资质的公司清运处置。</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w:t>
                  </w:r>
                </w:p>
              </w:tc>
              <w:tc>
                <w:tcPr>
                  <w:tcW w:w="2160"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bCs/>
                      <w:color w:val="auto"/>
                    </w:rPr>
                    <w:t>第十二条</w:t>
                  </w:r>
                  <w:r>
                    <w:rPr>
                      <w:rFonts w:hint="default" w:ascii="Times New Roman" w:hAnsi="Times New Roman" w:cs="Times New Roman"/>
                      <w:color w:val="auto"/>
                    </w:rPr>
                    <w:t xml:space="preserve"> 医疗卫生机构在每次转移医疗废物时，应当与医疗废物集中处置单位办理交运手续，填写医疗废物转移联单，并各自保存五年。</w:t>
                  </w:r>
                </w:p>
              </w:tc>
              <w:tc>
                <w:tcPr>
                  <w:tcW w:w="17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项目每次进行医疗废物转移时均要求填写转移联单。</w:t>
                  </w:r>
                </w:p>
              </w:tc>
              <w:tc>
                <w:tcPr>
                  <w:tcW w:w="65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bl>
          <w:p>
            <w:pPr>
              <w:keepNext w:val="0"/>
              <w:keepLines w:val="0"/>
              <w:suppressLineNumbers w:val="0"/>
              <w:autoSpaceDE w:val="0"/>
              <w:autoSpaceDN w:val="0"/>
              <w:spacing w:before="0" w:beforeAutospacing="0" w:after="0" w:afterAutospacing="0" w:line="360" w:lineRule="auto"/>
              <w:ind w:left="0" w:right="0" w:firstLine="480" w:firstLineChars="200"/>
              <w:rPr>
                <w:rFonts w:hint="default" w:ascii="Calibri" w:hAnsi="Calibri" w:cs="Times New Roman"/>
                <w:b/>
                <w:color w:val="auto"/>
                <w:sz w:val="24"/>
              </w:rPr>
            </w:pPr>
            <w:r>
              <w:rPr>
                <w:rFonts w:hint="default" w:ascii="Calibri" w:hAnsi="Calibri" w:cs="Times New Roman"/>
                <w:color w:val="auto"/>
                <w:sz w:val="24"/>
              </w:rPr>
              <w:t>项目医疗废物的管理、处置符合《昆明市医疗固废管理规定》的相关要求。</w:t>
            </w:r>
          </w:p>
          <w:p>
            <w:pPr>
              <w:keepNext w:val="0"/>
              <w:keepLines w:val="0"/>
              <w:suppressLineNumbers w:val="0"/>
              <w:autoSpaceDE w:val="0"/>
              <w:autoSpaceDN w:val="0"/>
              <w:spacing w:before="0" w:beforeAutospacing="0" w:after="0" w:afterAutospacing="0" w:line="360" w:lineRule="auto"/>
              <w:ind w:left="0" w:right="0"/>
              <w:rPr>
                <w:rFonts w:hint="default" w:ascii="Calibri" w:hAnsi="Calibri" w:cs="Times New Roman"/>
                <w:b/>
                <w:color w:val="auto"/>
                <w:sz w:val="24"/>
              </w:rPr>
            </w:pPr>
            <w:r>
              <w:rPr>
                <w:rFonts w:hint="default" w:ascii="Calibri" w:hAnsi="Calibri" w:cs="Times New Roman"/>
                <w:b/>
                <w:color w:val="auto"/>
                <w:sz w:val="24"/>
                <w:lang w:val="en-US"/>
              </w:rPr>
              <w:t>7</w:t>
            </w:r>
            <w:r>
              <w:rPr>
                <w:rFonts w:hint="eastAsia" w:ascii="Calibri" w:hAnsi="Calibri" w:cs="Times New Roman"/>
                <w:b/>
                <w:color w:val="auto"/>
                <w:sz w:val="24"/>
              </w:rPr>
              <w:t>、与</w:t>
            </w:r>
            <w:r>
              <w:rPr>
                <w:rFonts w:hint="default" w:ascii="Calibri" w:hAnsi="Calibri" w:cs="Times New Roman"/>
                <w:b/>
                <w:color w:val="auto"/>
                <w:sz w:val="24"/>
              </w:rPr>
              <w:t>《医疗废物管理条例》对照分析</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9</w:t>
            </w:r>
            <w:r>
              <w:rPr>
                <w:rFonts w:hint="default" w:ascii="Calibri" w:hAnsi="Calibri" w:cs="Times New Roman"/>
                <w:b/>
                <w:color w:val="auto"/>
                <w:sz w:val="24"/>
              </w:rPr>
              <w:t xml:space="preserve"> 与《医疗废物管理条例》对照分析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3877"/>
              <w:gridCol w:w="280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序号</w:t>
                  </w:r>
                </w:p>
              </w:tc>
              <w:tc>
                <w:tcPr>
                  <w:tcW w:w="244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《医疗废物管理条例》要求</w:t>
                  </w:r>
                </w:p>
              </w:tc>
              <w:tc>
                <w:tcPr>
                  <w:tcW w:w="17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项目情况</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p>
              </w:tc>
              <w:tc>
                <w:tcPr>
                  <w:tcW w:w="2443"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 xml:space="preserve">第十六条 医疗卫生机构应当及时收集本单位产生的医疗废物，并按照类别分置于防渗漏、防锐器穿透的专用包装物或者密闭的容器内。医疗废物专用包装物、容器，应当有明显的警示标识和警示说明。 </w:t>
                  </w:r>
                </w:p>
              </w:tc>
              <w:tc>
                <w:tcPr>
                  <w:tcW w:w="176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项目内医疗废物随产随收，并按损伤性废物、感染性废物用专用容器分类收集，并且收集容器设有明显标志。</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w:t>
                  </w:r>
                </w:p>
              </w:tc>
              <w:tc>
                <w:tcPr>
                  <w:tcW w:w="2443"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第十七条 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6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项目内设置有独立医废暂存间及暂存设施，医疗废物密闭保存，并定期进行消毒和清洁，设置有明显的警示标识，远离医疗区、食品加工区和人员活动区以及生活垃圾存放场所，并委托有资质单位清运处</w:t>
                  </w:r>
                  <w:r>
                    <w:rPr>
                      <w:rFonts w:hint="default" w:ascii="Times New Roman" w:hAnsi="Times New Roman" w:cs="Times New Roman"/>
                      <w:bCs/>
                      <w:color w:val="auto"/>
                    </w:rPr>
                    <w:t>置。</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w:t>
                  </w:r>
                </w:p>
              </w:tc>
              <w:tc>
                <w:tcPr>
                  <w:tcW w:w="2443"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b/>
                      <w:color w:val="auto"/>
                      <w:kern w:val="0"/>
                    </w:rPr>
                    <w:t>第十九条</w:t>
                  </w:r>
                  <w:r>
                    <w:rPr>
                      <w:rFonts w:hint="default" w:ascii="Times New Roman" w:hAnsi="Times New Roman" w:cs="Times New Roman"/>
                      <w:color w:val="auto"/>
                      <w:kern w:val="0"/>
                    </w:rPr>
                    <w:t xml:space="preserve"> 医疗卫生机构应当根据就近集中处置的原则，及时将医疗废物交由医疗废物集中处置单位处置。</w:t>
                  </w:r>
                  <w:r>
                    <w:rPr>
                      <w:rFonts w:hint="default" w:ascii="Times New Roman" w:hAnsi="Times New Roman" w:cs="Times New Roman"/>
                      <w:color w:val="auto"/>
                    </w:rPr>
                    <w:t>对病理科、妇产科等产生的特殊有害的医疗固废需各科室预处理后进入项目内医废暂存间。</w:t>
                  </w:r>
                </w:p>
              </w:tc>
              <w:tc>
                <w:tcPr>
                  <w:tcW w:w="176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项目医废委托委托有资质单位清运处置。</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项目产生的医废通过污物通道进入污物打包间在打包间内对各类医疗废物进行分类打包后由专人转移到医废暂存间内暂存。</w:t>
                  </w:r>
                </w:p>
              </w:tc>
              <w:tc>
                <w:tcPr>
                  <w:tcW w:w="44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符合</w:t>
                  </w:r>
                </w:p>
              </w:tc>
            </w:tr>
          </w:tbl>
          <w:p>
            <w:pPr>
              <w:keepNext w:val="0"/>
              <w:keepLines w:val="0"/>
              <w:suppressLineNumbers w:val="0"/>
              <w:autoSpaceDE w:val="0"/>
              <w:autoSpaceDN w:val="0"/>
              <w:spacing w:before="0" w:beforeAutospacing="0" w:after="0" w:afterAutospacing="0" w:line="360" w:lineRule="auto"/>
              <w:ind w:left="0" w:right="0" w:firstLine="480" w:firstLineChars="200"/>
              <w:rPr>
                <w:rFonts w:hint="default" w:ascii="Calibri" w:hAnsi="Calibri" w:cs="Times New Roman"/>
                <w:color w:val="auto"/>
                <w:sz w:val="24"/>
              </w:rPr>
            </w:pPr>
            <w:r>
              <w:rPr>
                <w:rFonts w:hint="default" w:ascii="Calibri" w:hAnsi="Calibri" w:cs="Times New Roman"/>
                <w:color w:val="auto"/>
                <w:sz w:val="24"/>
              </w:rPr>
              <w:t>项目医疗废物的管理、处置符合《医疗废物管理条例》的相关要求。</w:t>
            </w:r>
          </w:p>
          <w:p>
            <w:pPr>
              <w:keepNext w:val="0"/>
              <w:keepLines w:val="0"/>
              <w:suppressLineNumbers w:val="0"/>
              <w:autoSpaceDE w:val="0"/>
              <w:autoSpaceDN w:val="0"/>
              <w:spacing w:before="0" w:beforeAutospacing="0" w:after="0" w:afterAutospacing="0" w:line="360" w:lineRule="auto"/>
              <w:ind w:left="0" w:right="0"/>
              <w:rPr>
                <w:rFonts w:hint="default" w:ascii="Calibri" w:hAnsi="Calibri" w:cs="Times New Roman"/>
                <w:b/>
                <w:color w:val="auto"/>
                <w:sz w:val="24"/>
              </w:rPr>
            </w:pPr>
            <w:r>
              <w:rPr>
                <w:rFonts w:hint="default" w:ascii="Calibri" w:hAnsi="Calibri" w:cs="Times New Roman"/>
                <w:b/>
                <w:color w:val="auto"/>
                <w:sz w:val="24"/>
                <w:lang w:val="en-US"/>
              </w:rPr>
              <w:t>8</w:t>
            </w:r>
            <w:r>
              <w:rPr>
                <w:rFonts w:hint="eastAsia" w:ascii="Calibri" w:hAnsi="Calibri" w:cs="Times New Roman"/>
                <w:b/>
                <w:color w:val="auto"/>
                <w:sz w:val="24"/>
              </w:rPr>
              <w:t>、</w:t>
            </w:r>
            <w:r>
              <w:rPr>
                <w:rFonts w:hint="eastAsia" w:ascii="Calibri" w:hAnsi="Calibri" w:cs="Times New Roman"/>
                <w:b/>
                <w:color w:val="auto"/>
                <w:sz w:val="24"/>
                <w:lang w:eastAsia="zh-CN"/>
              </w:rPr>
              <w:t>与</w:t>
            </w:r>
            <w:r>
              <w:rPr>
                <w:rFonts w:hint="default" w:ascii="Calibri" w:hAnsi="Calibri" w:cs="Times New Roman"/>
                <w:b/>
                <w:color w:val="auto"/>
                <w:sz w:val="24"/>
              </w:rPr>
              <w:t>《医疗卫生机构医疗废物管理办法》对照分析</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10</w:t>
            </w:r>
            <w:r>
              <w:rPr>
                <w:rFonts w:hint="eastAsia" w:ascii="Calibri" w:hAnsi="Calibri" w:cs="Times New Roman"/>
                <w:b/>
                <w:color w:val="auto"/>
                <w:sz w:val="24"/>
              </w:rPr>
              <w:t xml:space="preserve"> </w:t>
            </w:r>
            <w:r>
              <w:rPr>
                <w:rFonts w:hint="default" w:ascii="Calibri" w:hAnsi="Calibri" w:cs="Times New Roman"/>
                <w:b/>
                <w:color w:val="auto"/>
                <w:sz w:val="24"/>
              </w:rPr>
              <w:t>与《医疗卫生机构医疗废物管理办法》对照分析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3954"/>
              <w:gridCol w:w="233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序号</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《医疗卫生机构医疗废物管理办法》要求</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项目情况</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default" w:ascii="Calibri" w:hAnsi="Calibri" w:cs="Times New Roman"/>
                      <w:b/>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4551"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第十一条 医疗卫生机构应当按照以下要求，及时分类收集医疗废物：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（一）根据医疗废物的类别，将医疗废物分置于符合《医疗废物专用包装物、容器的标准和警示标识的规定》的包装物或者容器内；</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项目医疗废物</w:t>
                  </w:r>
                  <w:r>
                    <w:rPr>
                      <w:rFonts w:hint="eastAsia" w:ascii="Calibri" w:hAnsi="Calibri" w:cs="Times New Roman"/>
                      <w:color w:val="auto"/>
                    </w:rPr>
                    <w:t>使用专用医废收集桶分类</w:t>
                  </w:r>
                  <w:r>
                    <w:rPr>
                      <w:rFonts w:hint="default" w:ascii="Calibri" w:hAnsi="Calibri" w:cs="Times New Roman"/>
                      <w:color w:val="auto"/>
                    </w:rPr>
                    <w:t>盛装，并设有明显的标志。</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（二）在盛装医疗废物前，应当对医疗废物包装物或者容器进行认真检查，确保无破损、渗漏和其它缺陷；</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（三）感染性废物、病理性废物、损伤性废物、药物性废物及化学性废物不能混合收集。少量的药物性废物可以混入感染性废物，但应当在标签上注明；</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项目对医废进行分类收集，收集装置上设有明显的标志。</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（四）废弃的麻醉、精神、放射性、毒性等药品及其相关的废物的管理，依照有关法律、行政法规和国家有关规定、标准执行；</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（五）化学性废物中批量的废化学试剂、废消毒剂应当交由专门机构处置；</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项目医废</w:t>
                  </w:r>
                  <w:r>
                    <w:rPr>
                      <w:rFonts w:hint="eastAsia" w:ascii="Calibri" w:hAnsi="Calibri" w:cs="Times New Roman"/>
                      <w:color w:val="auto"/>
                    </w:rPr>
                    <w:t>委托有资质单位清运处置</w:t>
                  </w:r>
                  <w:r>
                    <w:rPr>
                      <w:rFonts w:hint="default" w:ascii="Calibri" w:hAnsi="Calibri" w:cs="Times New Roman"/>
                      <w:color w:val="auto"/>
                    </w:rPr>
                    <w:t>。</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（六）批量的含有汞的体温计、血压计等医疗器具报废时，应当交由专门机构处置；</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项目医废</w:t>
                  </w:r>
                  <w:r>
                    <w:rPr>
                      <w:rFonts w:hint="eastAsia" w:ascii="Calibri" w:hAnsi="Calibri" w:cs="Times New Roman"/>
                      <w:color w:val="auto"/>
                    </w:rPr>
                    <w:t>委托有资质单位清运处置</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（七）医疗废物中病原体的培养基、标本和菌种、毒种保存液等高危险废物，应当首先在产生地点进行压力蒸汽灭菌或者化学消毒处理，然后按感染性废物收集处理；</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项目按要求进行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（八）隔离的传染病病人或者疑似传染病病人产生的具有传染性的排泄物，应当按照国家规定严格消毒，达到国家规定的排放标准后方可排入污水处理系统；</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项目内不设传染病科</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（九）隔离的传染病病人或者疑似传染病病人产生的医疗废物应当使用双层包装物，并及时密封；</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项目内不设传染病科</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（十）放入包装物或者容器内的感染性废物、病理性废物、损伤性废物不得取出。</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b/>
                      <w:color w:val="auto"/>
                      <w:kern w:val="0"/>
                    </w:rPr>
                    <w:t>第十二条</w:t>
                  </w:r>
                  <w:r>
                    <w:rPr>
                      <w:rFonts w:hint="default" w:ascii="Calibri" w:hAnsi="Calibri" w:cs="Times New Roman"/>
                      <w:color w:val="auto"/>
                      <w:kern w:val="0"/>
                    </w:rPr>
                    <w:t xml:space="preserve"> 医疗卫生机构内医疗废物产生地点应当有医疗废物分类收集方法的示意图或者文字说明。</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项目各科室均张贴有相关知识的海报</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第十三条 盛装的医疗废物达到包装物或者容器的3/4时，应当使用有效的封口方式，使包装物或者容器的封口紧实、严密。</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项目按要求执行</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4</w:t>
                  </w:r>
                </w:p>
              </w:tc>
              <w:tc>
                <w:tcPr>
                  <w:tcW w:w="2492"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第十五条 盛装医疗废物的每个包装物、容器外表面应当有警示标识，在每个包装物、容器上应当系中文标签，中文标签的内容应当包括：医疗废物产生单位、产生日期、类别及需要的特别说明等。</w:t>
                  </w:r>
                </w:p>
              </w:tc>
              <w:tc>
                <w:tcPr>
                  <w:tcW w:w="147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项目医废储存装置均设有标志，转运时贴有相关的信息</w:t>
                  </w:r>
                </w:p>
              </w:tc>
              <w:tc>
                <w:tcPr>
                  <w:tcW w:w="5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符合</w:t>
                  </w:r>
                </w:p>
              </w:tc>
            </w:tr>
          </w:tbl>
          <w:p>
            <w:pPr>
              <w:keepNext w:val="0"/>
              <w:keepLines w:val="0"/>
              <w:suppressLineNumbers w:val="0"/>
              <w:spacing w:before="0" w:beforeAutospacing="0" w:after="0" w:afterAutospacing="0" w:line="360" w:lineRule="auto"/>
              <w:ind w:left="0" w:right="0" w:firstLine="480" w:firstLineChars="200"/>
              <w:rPr>
                <w:rFonts w:hint="default" w:ascii="Calibri" w:hAnsi="Calibri" w:cs="Times New Roman"/>
                <w:color w:val="auto"/>
                <w:sz w:val="24"/>
              </w:rPr>
            </w:pPr>
            <w:r>
              <w:rPr>
                <w:rFonts w:hint="default" w:ascii="Calibri" w:hAnsi="Calibri" w:cs="Times New Roman"/>
                <w:color w:val="auto"/>
                <w:sz w:val="24"/>
              </w:rPr>
              <w:t>项目医疗废物的管理、处置符合《医疗卫生机构医疗废物管理办法》的相关要求。</w:t>
            </w:r>
          </w:p>
          <w:p>
            <w:pPr>
              <w:keepNext w:val="0"/>
              <w:keepLines w:val="0"/>
              <w:suppressLineNumbers w:val="0"/>
              <w:spacing w:before="0" w:beforeAutospacing="0" w:after="0" w:afterAutospacing="0" w:line="360" w:lineRule="auto"/>
              <w:ind w:left="0" w:right="0"/>
              <w:rPr>
                <w:rFonts w:hint="eastAsia" w:ascii="Calibri" w:hAnsi="Calibri" w:cs="Times New Roman"/>
                <w:b/>
                <w:color w:val="auto"/>
                <w:sz w:val="24"/>
              </w:rPr>
            </w:pPr>
            <w:r>
              <w:rPr>
                <w:rFonts w:hint="default" w:ascii="Calibri" w:hAnsi="Calibri" w:cs="Times New Roman"/>
                <w:b/>
                <w:color w:val="auto"/>
                <w:sz w:val="24"/>
                <w:lang w:val="en-US"/>
              </w:rPr>
              <w:t>9</w:t>
            </w:r>
            <w:r>
              <w:rPr>
                <w:rFonts w:hint="eastAsia" w:ascii="Calibri" w:hAnsi="Calibri" w:cs="Times New Roman"/>
                <w:b/>
                <w:color w:val="auto"/>
                <w:sz w:val="24"/>
              </w:rPr>
              <w:t>、与《医疗废物处置污染控制标准》（GB39707-2020）符合性分析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cs="Times New Roman"/>
                <w:b/>
                <w:color w:val="auto"/>
                <w:sz w:val="24"/>
              </w:rPr>
            </w:pPr>
            <w:r>
              <w:rPr>
                <w:rFonts w:hint="default" w:ascii="Calibri" w:hAnsi="Calibri" w:cs="Times New Roman"/>
                <w:b/>
                <w:color w:val="auto"/>
                <w:sz w:val="24"/>
              </w:rPr>
              <w:t>表</w:t>
            </w:r>
            <w:r>
              <w:rPr>
                <w:rFonts w:hint="eastAsia" w:ascii="Calibri" w:hAnsi="Calibri" w:cs="Times New Roman"/>
                <w:b/>
                <w:color w:val="auto"/>
                <w:sz w:val="24"/>
              </w:rPr>
              <w:t>1-</w:t>
            </w:r>
            <w:r>
              <w:rPr>
                <w:rFonts w:hint="default" w:ascii="Calibri" w:hAnsi="Calibri" w:cs="Times New Roman"/>
                <w:b/>
                <w:color w:val="auto"/>
                <w:sz w:val="24"/>
                <w:lang w:val="en-US"/>
              </w:rPr>
              <w:t>11</w:t>
            </w:r>
            <w:r>
              <w:rPr>
                <w:rFonts w:hint="eastAsia" w:ascii="Calibri" w:hAnsi="Calibri" w:cs="Times New Roman"/>
                <w:b/>
                <w:color w:val="auto"/>
                <w:sz w:val="24"/>
              </w:rPr>
              <w:t xml:space="preserve"> </w:t>
            </w:r>
            <w:r>
              <w:rPr>
                <w:rFonts w:hint="default" w:ascii="Calibri" w:hAnsi="Calibri" w:cs="Times New Roman"/>
                <w:b/>
                <w:color w:val="auto"/>
                <w:sz w:val="24"/>
              </w:rPr>
              <w:t>与</w:t>
            </w:r>
            <w:r>
              <w:rPr>
                <w:rFonts w:hint="eastAsia" w:ascii="Calibri" w:hAnsi="Calibri" w:cs="Times New Roman"/>
                <w:b/>
                <w:color w:val="auto"/>
                <w:sz w:val="24"/>
              </w:rPr>
              <w:t>《医疗废物处置污染控制标准》</w:t>
            </w:r>
            <w:r>
              <w:rPr>
                <w:rFonts w:hint="default" w:ascii="Calibri" w:hAnsi="Calibri" w:cs="Times New Roman"/>
                <w:b/>
                <w:color w:val="auto"/>
                <w:sz w:val="24"/>
              </w:rPr>
              <w:t>对照分析</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1"/>
              <w:gridCol w:w="2666"/>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eastAsia" w:ascii="Calibri" w:hAnsi="Calibri" w:cs="Times New Roman"/>
                      <w:b/>
                      <w:color w:val="auto"/>
                    </w:rPr>
                    <w:t>医疗废物处置污染控制标准要求</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eastAsia" w:ascii="Calibri" w:hAnsi="Calibri" w:cs="Times New Roman"/>
                      <w:b/>
                      <w:color w:val="auto"/>
                    </w:rPr>
                    <w:t>项目设置情况</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color w:val="auto"/>
                    </w:rPr>
                  </w:pPr>
                  <w:r>
                    <w:rPr>
                      <w:rFonts w:hint="eastAsia" w:ascii="Calibri" w:hAnsi="Calibri" w:cs="Times New Roman"/>
                      <w:b/>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医疗废物处理处置单位应设置感染性、损伤性、病理性废物的贮存设施；若收集化学性、药物性废物还应设置专用贮存设施。贮存设施内设置不同类别医疗废物暂存区。</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项目产生的医疗废物采用专门的收集桶分开收集暂存</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贮存设施地面防渗应满足国家和地方有关重点污染源防渗要求。墙面应做防渗处理，感染性、损伤性、病理性废物贮存设施的地面、墙面材料应易于清洗和消毒。</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color w:val="auto"/>
                    </w:rPr>
                    <w:t>项目医疗废物暂存间需涂抹约2mm厚的防渗漆使得地面防渗系数≤1*10</w:t>
                  </w:r>
                  <w:r>
                    <w:rPr>
                      <w:rFonts w:hint="eastAsia" w:ascii="Calibri" w:hAnsi="Calibri" w:cs="Times New Roman"/>
                      <w:color w:val="auto"/>
                      <w:vertAlign w:val="superscript"/>
                    </w:rPr>
                    <w:t>-10</w:t>
                  </w:r>
                  <w:r>
                    <w:rPr>
                      <w:rFonts w:hint="eastAsia" w:ascii="Calibri" w:hAnsi="Calibri" w:cs="Times New Roman"/>
                      <w:color w:val="auto"/>
                    </w:rPr>
                    <w:t>cm/s</w:t>
                  </w:r>
                  <w:r>
                    <w:rPr>
                      <w:rFonts w:hint="default" w:ascii="Calibri" w:hAnsi="Calibri" w:cs="Times New Roman"/>
                      <w:bCs/>
                      <w:color w:val="auto"/>
                      <w:spacing w:val="10"/>
                      <w:kern w:val="0"/>
                    </w:rPr>
                    <w:t>；</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贮存设施应设置废水收集设施，收集的废水应导入废水处理设施。</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项目废水沿污水管道进入化粪池处理后排入污水处理站处理</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感染性、损伤性、病理性废物贮存设施应设置微负压及通风装置、制冷系统和设备，排风口设置废气净化装置</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感染性、损伤性、病理性废物采用冰箱收集暂存</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医疗废物不能及时处置时，应置于贮存设施内贮存。感染性、损伤性、病理性废物应盛装于医疗废物周转箱内/桶内一并贮存色是内暂时贮存。</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项目采用带盖的收集暂存</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处理处置单位对感染性、损伤性、病理性废物的贮存应符合一下要求：</w:t>
                  </w:r>
                  <w:r>
                    <w:rPr>
                      <w:rFonts w:hint="eastAsia" w:ascii="Calibri" w:hAnsi="Calibri" w:cs="宋体"/>
                      <w:bCs/>
                      <w:color w:val="auto"/>
                    </w:rPr>
                    <w:t>①贮存温度≥5℃，贮存时间不得超过24小时；②贮存温度&lt;5℃，贮存时间不得超过72小时；③偏远地区贮存温度&lt;5℃，并采取消毒措施时，可适当延长贮存时间，单不得超过</w:t>
                  </w:r>
                  <w:r>
                    <w:rPr>
                      <w:rFonts w:hint="eastAsia" w:ascii="Calibri" w:hAnsi="Calibri" w:cs="宋体"/>
                      <w:bCs/>
                      <w:color w:val="auto"/>
                      <w:lang w:eastAsia="zh-CN"/>
                    </w:rPr>
                    <w:t>***</w:t>
                  </w:r>
                  <w:r>
                    <w:rPr>
                      <w:rFonts w:hint="eastAsia" w:ascii="Calibri" w:hAnsi="Calibri" w:cs="宋体"/>
                      <w:bCs/>
                      <w:color w:val="auto"/>
                    </w:rPr>
                    <w:t>小时。</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项目感染性、损伤性、病理性废物采用冰箱贮存，医疗废物委托有资质单位清运处置在项目区贮存时间不超过2天</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化学性、药物性废物贮存应符合GB</w:t>
                  </w:r>
                  <w:r>
                    <w:rPr>
                      <w:rFonts w:hint="eastAsia" w:ascii="Calibri" w:hAnsi="Calibri" w:cs="Times New Roman"/>
                      <w:bCs/>
                      <w:color w:val="auto"/>
                      <w:lang w:eastAsia="zh-CN"/>
                    </w:rPr>
                    <w:t>*****</w:t>
                  </w:r>
                  <w:r>
                    <w:rPr>
                      <w:rFonts w:hint="eastAsia" w:ascii="Calibri" w:hAnsi="Calibri" w:cs="Times New Roman"/>
                      <w:bCs/>
                      <w:color w:val="auto"/>
                    </w:rPr>
                    <w:t>的要求。</w:t>
                  </w:r>
                </w:p>
              </w:tc>
              <w:tc>
                <w:tcPr>
                  <w:tcW w:w="168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Cs/>
                      <w:color w:val="auto"/>
                    </w:rPr>
                  </w:pPr>
                  <w:r>
                    <w:rPr>
                      <w:rFonts w:hint="eastAsia" w:ascii="Calibri" w:hAnsi="Calibri" w:cs="Times New Roman"/>
                      <w:bCs/>
                      <w:color w:val="auto"/>
                    </w:rPr>
                    <w:t>项目按照相关要求暂存，</w:t>
                  </w:r>
                  <w:r>
                    <w:rPr>
                      <w:rFonts w:hint="eastAsia" w:ascii="Calibri" w:hAnsi="Calibri" w:cs="Times New Roman"/>
                      <w:color w:val="auto"/>
                    </w:rPr>
                    <w:t>委托有资质单位清运处置</w:t>
                  </w:r>
                  <w:r>
                    <w:rPr>
                      <w:rFonts w:hint="default" w:ascii="Calibri" w:hAnsi="Calibri" w:cs="Times New Roman"/>
                      <w:color w:val="auto"/>
                    </w:rPr>
                    <w:t>。</w:t>
                  </w:r>
                </w:p>
              </w:tc>
              <w:tc>
                <w:tcPr>
                  <w:tcW w:w="841"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Cs/>
                      <w:color w:val="auto"/>
                    </w:rPr>
                  </w:pPr>
                  <w:r>
                    <w:rPr>
                      <w:rFonts w:hint="eastAsia" w:ascii="Calibri" w:hAnsi="Calibri" w:cs="Times New Roman"/>
                      <w:bCs/>
                      <w:color w:val="auto"/>
                    </w:rPr>
                    <w:t>符合</w:t>
                  </w:r>
                </w:p>
              </w:tc>
            </w:tr>
          </w:tbl>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b/>
                <w:color w:val="auto"/>
                <w:sz w:val="24"/>
                <w:szCs w:val="24"/>
              </w:rPr>
            </w:pPr>
            <w:r>
              <w:rPr>
                <w:rFonts w:hint="eastAsia" w:ascii="Calibri" w:hAnsi="Calibri" w:cs="Times New Roman"/>
                <w:bCs/>
                <w:color w:val="auto"/>
                <w:sz w:val="24"/>
              </w:rPr>
              <w:t>综上，项目与《医疗废物处置污染控制标准》（GB39707-2020）中贮存要求相符。</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lang w:val="en-US"/>
              </w:rPr>
              <w:t>10</w:t>
            </w:r>
            <w:r>
              <w:rPr>
                <w:rFonts w:hint="eastAsia" w:ascii="宋体" w:hAnsi="宋体" w:cs="宋体"/>
                <w:b/>
                <w:color w:val="auto"/>
                <w:sz w:val="24"/>
                <w:szCs w:val="24"/>
              </w:rPr>
              <w:t>、产业政策符合性分析</w:t>
            </w:r>
          </w:p>
          <w:p>
            <w:pPr>
              <w:pStyle w:val="6"/>
              <w:keepNext w:val="0"/>
              <w:keepLines w:val="0"/>
              <w:suppressLineNumbers w:val="0"/>
              <w:spacing w:before="0" w:beforeAutospacing="0" w:after="0" w:afterAutospacing="0" w:line="360" w:lineRule="auto"/>
              <w:ind w:left="0" w:right="0" w:firstLine="480"/>
              <w:rPr>
                <w:rFonts w:hint="eastAsia" w:ascii="宋体" w:hAnsi="宋体" w:cs="宋体"/>
                <w:color w:val="auto"/>
                <w:sz w:val="24"/>
                <w:szCs w:val="24"/>
              </w:rPr>
            </w:pPr>
            <w:r>
              <w:rPr>
                <w:rFonts w:hint="eastAsia" w:ascii="宋体" w:hAnsi="宋体" w:cs="宋体"/>
                <w:color w:val="auto"/>
                <w:sz w:val="24"/>
                <w:szCs w:val="24"/>
              </w:rPr>
              <w:t>对照</w:t>
            </w:r>
            <w:r>
              <w:rPr>
                <w:rFonts w:hint="eastAsia" w:ascii="宋体" w:hAnsi="宋体" w:cs="宋体"/>
                <w:color w:val="auto"/>
                <w:sz w:val="24"/>
                <w:szCs w:val="24"/>
                <w:lang w:val="zh-CN"/>
              </w:rPr>
              <w:t>《产业结构调整指导目录（2019年本）》（</w:t>
            </w:r>
            <w:r>
              <w:rPr>
                <w:rFonts w:hint="eastAsia" w:ascii="宋体" w:hAnsi="宋体" w:cs="宋体"/>
                <w:color w:val="auto"/>
                <w:sz w:val="24"/>
                <w:szCs w:val="24"/>
              </w:rPr>
              <w:t>简称“目录”</w:t>
            </w:r>
            <w:r>
              <w:rPr>
                <w:rFonts w:hint="eastAsia" w:ascii="宋体" w:hAnsi="宋体" w:cs="宋体"/>
                <w:color w:val="auto"/>
                <w:sz w:val="24"/>
                <w:szCs w:val="24"/>
                <w:lang w:val="zh-CN"/>
              </w:rPr>
              <w:t>），本项目</w:t>
            </w:r>
            <w:r>
              <w:rPr>
                <w:rFonts w:hint="eastAsia" w:ascii="宋体" w:hAnsi="宋体" w:cs="宋体"/>
                <w:color w:val="auto"/>
                <w:sz w:val="24"/>
                <w:szCs w:val="24"/>
              </w:rPr>
              <w:t>属于“目录”中第三十七条“卫生健康”中第6条传染病、儿童、精神卫生专科医院和康复医院(中心)、护理院(中心、站)、安宁疗护中心、全科医疗设施建设与服务，本项目属于鼓励类，符合国家产业政策</w:t>
            </w:r>
            <w:r>
              <w:rPr>
                <w:rFonts w:hint="eastAsia" w:ascii="宋体" w:hAnsi="宋体" w:cs="宋体"/>
                <w:bCs/>
                <w:color w:val="auto"/>
                <w:sz w:val="24"/>
                <w:szCs w:val="24"/>
              </w:rPr>
              <w:t>。</w:t>
            </w:r>
          </w:p>
          <w:p>
            <w:pPr>
              <w:pStyle w:val="6"/>
              <w:keepNext w:val="0"/>
              <w:keepLines w:val="0"/>
              <w:suppressLineNumbers w:val="0"/>
              <w:adjustRightInd/>
              <w:spacing w:before="0" w:beforeAutospacing="0" w:after="0" w:afterAutospacing="0" w:line="360" w:lineRule="auto"/>
              <w:ind w:left="0" w:right="0" w:firstLine="480"/>
              <w:rPr>
                <w:rFonts w:hint="eastAsia" w:ascii="宋体" w:hAnsi="宋体" w:cs="宋体"/>
                <w:bCs/>
                <w:color w:val="auto"/>
                <w:sz w:val="24"/>
                <w:szCs w:val="24"/>
              </w:rPr>
            </w:pPr>
            <w:r>
              <w:rPr>
                <w:rFonts w:hint="eastAsia" w:ascii="宋体" w:hAnsi="宋体" w:cs="宋体"/>
                <w:bCs/>
                <w:color w:val="auto"/>
                <w:sz w:val="24"/>
                <w:szCs w:val="24"/>
              </w:rPr>
              <w:t>因此，本项目符合现行的产业政策。</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1</w:t>
            </w:r>
            <w:r>
              <w:rPr>
                <w:rFonts w:hint="default" w:ascii="宋体" w:hAnsi="宋体" w:cs="宋体"/>
                <w:b/>
                <w:color w:val="auto"/>
                <w:sz w:val="24"/>
                <w:szCs w:val="24"/>
                <w:lang w:val="en-US"/>
              </w:rPr>
              <w:t>1</w:t>
            </w:r>
            <w:r>
              <w:rPr>
                <w:rFonts w:hint="eastAsia" w:ascii="宋体" w:hAnsi="宋体" w:cs="宋体"/>
                <w:b/>
                <w:color w:val="auto"/>
                <w:sz w:val="24"/>
                <w:szCs w:val="24"/>
              </w:rPr>
              <w:t>、项目环境相容性和选址合理性分析</w:t>
            </w:r>
          </w:p>
          <w:p>
            <w:pPr>
              <w:pStyle w:val="6"/>
              <w:keepNext w:val="0"/>
              <w:keepLines w:val="0"/>
              <w:suppressLineNumbers w:val="0"/>
              <w:spacing w:before="0" w:beforeAutospacing="0" w:after="0" w:afterAutospacing="0" w:line="360" w:lineRule="auto"/>
              <w:ind w:left="0" w:right="0" w:firstLine="480"/>
              <w:rPr>
                <w:rFonts w:hint="eastAsia" w:ascii="宋体" w:hAnsi="宋体" w:cs="宋体"/>
                <w:color w:val="auto"/>
                <w:sz w:val="24"/>
                <w:szCs w:val="24"/>
              </w:rPr>
            </w:pPr>
            <w:r>
              <w:rPr>
                <w:rFonts w:hint="eastAsia" w:ascii="宋体" w:hAnsi="宋体" w:cs="宋体"/>
                <w:color w:val="auto"/>
                <w:sz w:val="24"/>
                <w:szCs w:val="24"/>
              </w:rPr>
              <w:t>本项目</w:t>
            </w:r>
            <w:r>
              <w:rPr>
                <w:rFonts w:hint="default" w:ascii="Times New Roman" w:hAnsi="Times New Roman" w:cs="Times New Roman"/>
                <w:color w:val="auto"/>
                <w:sz w:val="24"/>
              </w:rPr>
              <w:t>位于</w:t>
            </w:r>
            <w:r>
              <w:rPr>
                <w:rFonts w:hint="eastAsia" w:ascii="宋体" w:hAnsi="宋体" w:cs="宋体"/>
                <w:color w:val="auto"/>
                <w:sz w:val="24"/>
                <w:szCs w:val="24"/>
              </w:rPr>
              <w:t>东川区城区西南角，规划道路东海路南延长线东侧，兴铜路西延长线南侧交汇路口，项目不在饮用水水源地、风景区、自然保护区等生态保护区内，不占用生态红线，评价区域无珍稀野生动植物分布。项目建设</w:t>
            </w:r>
            <w:r>
              <w:rPr>
                <w:rFonts w:hint="eastAsia" w:ascii="宋体" w:hAnsi="宋体" w:cs="宋体"/>
                <w:color w:val="auto"/>
                <w:sz w:val="24"/>
                <w:szCs w:val="24"/>
                <w:lang w:eastAsia="zh-CN"/>
              </w:rPr>
              <w:t>符合</w:t>
            </w:r>
            <w:r>
              <w:rPr>
                <w:rFonts w:hint="eastAsia" w:ascii="宋体" w:hAnsi="宋体" w:cs="宋体"/>
                <w:color w:val="auto"/>
                <w:sz w:val="24"/>
                <w:szCs w:val="24"/>
              </w:rPr>
              <w:t>《昆明市“三线一单”生态环境分区管控实施方案》，</w:t>
            </w:r>
            <w:r>
              <w:rPr>
                <w:rFonts w:hint="eastAsia" w:ascii="宋体" w:hAnsi="宋体" w:cs="宋体"/>
                <w:color w:val="auto"/>
                <w:sz w:val="24"/>
                <w:szCs w:val="24"/>
                <w:lang w:val="zh-CN"/>
              </w:rPr>
              <w:t>本项目与《长江经济带发展负面清单指南（</w:t>
            </w:r>
            <w:r>
              <w:rPr>
                <w:rFonts w:hint="default" w:ascii="宋体" w:hAnsi="宋体" w:cs="宋体"/>
                <w:color w:val="auto"/>
                <w:sz w:val="24"/>
                <w:szCs w:val="24"/>
                <w:lang w:val="en-US"/>
              </w:rPr>
              <w:t>2022</w:t>
            </w:r>
            <w:r>
              <w:rPr>
                <w:rFonts w:hint="eastAsia" w:ascii="宋体" w:hAnsi="宋体" w:cs="宋体"/>
                <w:color w:val="auto"/>
                <w:sz w:val="24"/>
                <w:szCs w:val="24"/>
                <w:lang w:val="en-US" w:eastAsia="zh-CN"/>
              </w:rPr>
              <w:t>年版</w:t>
            </w:r>
            <w:r>
              <w:rPr>
                <w:rFonts w:hint="eastAsia" w:ascii="宋体" w:hAnsi="宋体" w:cs="宋体"/>
                <w:color w:val="auto"/>
                <w:sz w:val="24"/>
                <w:szCs w:val="24"/>
                <w:lang w:val="zh-CN"/>
              </w:rPr>
              <w:t>）》符合。</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本项目产生的废水主要有医疗废水和生活污水，经医院自建的一套污水处理站处理达标后，排至市政污水管网，最终进入东川区污水处理厂，废水去向明确，处置合理。本项目产生的固废主要有生活垃圾、危险废物、医疗废物，其中生活垃圾使用垃圾桶收集后委托环卫部门清运；污泥消毒处理后委托有资质单位处置；医疗废物委托有资质的单位进行处置。噪声对周围环境和居民点影响小，异味对周围环境影响小，厨房油烟使用抽油烟机净化处理。项目环境风险影响程度可以接受。本项目对周围环境和保护目标影响轻微，项目建设不会改变区域环境功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本项目为医疗卫生服务机构，周围外环境噪声的传播受到建筑物的阻隔后，对住院区影响较小。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项目对周围环境和保护目标影响轻微，不会改变区域环境功能。本项目的建设可以增加区域基层医疗服务能力，提高区域医疗水平。</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本项目已取得选址意见书，详见附件</w:t>
            </w:r>
            <w:r>
              <w:rPr>
                <w:rFonts w:hint="default" w:ascii="宋体" w:hAnsi="宋体" w:cs="宋体"/>
                <w:color w:val="auto"/>
                <w:sz w:val="24"/>
                <w:szCs w:val="24"/>
                <w:lang w:val="en-US" w:eastAsia="zh-CN"/>
              </w:rPr>
              <w:t>3</w:t>
            </w:r>
            <w:r>
              <w:rPr>
                <w:rFonts w:hint="eastAsia" w:ascii="宋体" w:hAnsi="宋体" w:cs="宋体"/>
                <w:color w:val="auto"/>
                <w:sz w:val="24"/>
                <w:szCs w:val="24"/>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综上所述，本项目与周围环境相容，选址基本合理。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kern w:val="0"/>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kern w:val="0"/>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宋体" w:hAnsi="宋体" w:cs="宋体"/>
                <w:bCs/>
                <w:color w:val="auto"/>
                <w:sz w:val="24"/>
                <w:szCs w:val="24"/>
              </w:rPr>
            </w:pPr>
          </w:p>
          <w:p>
            <w:pPr>
              <w:keepNext w:val="0"/>
              <w:keepLines w:val="0"/>
              <w:suppressLineNumbers w:val="0"/>
              <w:spacing w:before="0" w:beforeAutospacing="0" w:after="0" w:afterAutospacing="0"/>
              <w:ind w:left="0" w:right="0"/>
              <w:rPr>
                <w:rFonts w:hint="eastAsia" w:ascii="宋体" w:hAnsi="宋体" w:cs="宋体"/>
                <w:bCs/>
                <w:color w:val="auto"/>
                <w:kern w:val="0"/>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宋体" w:hAnsi="宋体" w:cs="宋体"/>
                <w:bCs/>
                <w:color w:val="auto"/>
                <w:sz w:val="24"/>
                <w:szCs w:val="24"/>
              </w:rPr>
            </w:pPr>
          </w:p>
          <w:p>
            <w:pPr>
              <w:keepNext w:val="0"/>
              <w:keepLines w:val="0"/>
              <w:suppressLineNumbers w:val="0"/>
              <w:spacing w:before="0" w:beforeAutospacing="0" w:after="0" w:afterAutospacing="0"/>
              <w:ind w:left="0" w:right="0"/>
              <w:rPr>
                <w:rFonts w:hint="eastAsia" w:ascii="宋体" w:hAnsi="宋体" w:cs="宋体"/>
                <w:bCs/>
                <w:color w:val="auto"/>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宋体" w:hAnsi="宋体" w:cs="宋体"/>
                <w:bCs/>
                <w:color w:val="auto"/>
                <w:sz w:val="24"/>
                <w:szCs w:val="24"/>
              </w:rPr>
            </w:pPr>
          </w:p>
          <w:p>
            <w:pPr>
              <w:keepNext w:val="0"/>
              <w:keepLines w:val="0"/>
              <w:suppressLineNumbers w:val="0"/>
              <w:spacing w:before="0" w:beforeAutospacing="0" w:after="0" w:afterAutospacing="0"/>
              <w:ind w:left="0" w:right="0"/>
              <w:rPr>
                <w:rFonts w:hint="eastAsia" w:ascii="宋体" w:hAnsi="宋体" w:cs="宋体"/>
                <w:bCs/>
                <w:color w:val="auto"/>
                <w:sz w:val="24"/>
                <w:szCs w:val="24"/>
              </w:rPr>
            </w:pPr>
          </w:p>
          <w:p>
            <w:pPr>
              <w:pStyle w:val="9"/>
              <w:keepNext w:val="0"/>
              <w:keepLines w:val="0"/>
              <w:suppressLineNumbers w:val="0"/>
              <w:spacing w:beforeAutospacing="0" w:afterAutospacing="0"/>
              <w:ind w:left="0"/>
              <w:rPr>
                <w:rFonts w:hint="eastAsia" w:ascii="宋体" w:hAnsi="宋体" w:cs="宋体"/>
                <w:bCs/>
                <w:color w:val="auto"/>
                <w:kern w:val="0"/>
                <w:sz w:val="24"/>
              </w:rPr>
            </w:pPr>
          </w:p>
          <w:p>
            <w:pPr>
              <w:pStyle w:val="10"/>
              <w:keepNext w:val="0"/>
              <w:keepLines w:val="0"/>
              <w:widowControl/>
              <w:suppressLineNumbers w:val="0"/>
              <w:spacing w:beforeAutospacing="0" w:afterAutospacing="0"/>
              <w:rPr>
                <w:rFonts w:hint="eastAsia" w:ascii="Calibri" w:hAnsi="Calibri" w:cs="Times New Roman"/>
                <w:color w:val="auto"/>
                <w:szCs w:val="20"/>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kern w:val="0"/>
                <w:sz w:val="24"/>
                <w:szCs w:val="24"/>
              </w:rPr>
            </w:pP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kern w:val="0"/>
              </w:rPr>
            </w:pPr>
          </w:p>
        </w:tc>
      </w:tr>
      <w:bookmarkEnd w:id="2"/>
    </w:tbl>
    <w:p>
      <w:pPr>
        <w:pStyle w:val="3"/>
        <w:jc w:val="center"/>
        <w:rPr>
          <w:rFonts w:hint="eastAsia"/>
          <w:color w:val="auto"/>
        </w:rPr>
      </w:pPr>
      <w:bookmarkStart w:id="4" w:name="_Toc16928"/>
      <w:r>
        <w:rPr>
          <w:rFonts w:hint="eastAsia"/>
          <w:color w:val="auto"/>
        </w:rPr>
        <w:br w:type="page"/>
      </w:r>
      <w:r>
        <w:rPr>
          <w:rFonts w:hint="eastAsia"/>
          <w:color w:val="auto"/>
        </w:rPr>
        <w:t>二、建设项目工程分析</w:t>
      </w:r>
      <w:bookmarkEnd w:id="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0"/>
        <w:gridCol w:w="9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453" w:type="dxa"/>
            <w:tcBorders>
              <w:top w:val="single" w:color="auto" w:sz="8" w:space="0"/>
              <w:bottom w:val="single" w:color="auto" w:sz="4" w:space="0"/>
            </w:tcBorders>
            <w:noWrap w:val="0"/>
            <w:vAlign w:val="center"/>
          </w:tcPr>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szCs w:val="24"/>
              </w:rPr>
            </w:pPr>
            <w:r>
              <w:rPr>
                <w:rFonts w:hint="eastAsia" w:cs="宋体"/>
                <w:b/>
                <w:bCs/>
                <w:color w:val="auto"/>
                <w:szCs w:val="24"/>
              </w:rPr>
              <w:t>建设内容</w:t>
            </w:r>
          </w:p>
        </w:tc>
        <w:tc>
          <w:tcPr>
            <w:tcW w:w="9004" w:type="dxa"/>
            <w:tcBorders>
              <w:top w:val="single" w:color="auto" w:sz="8" w:space="0"/>
              <w:bottom w:val="single" w:color="auto" w:sz="4" w:space="0"/>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一、项目建设背景</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昆明市东川区精神病院是云南省内历史悠久的精神病二级医院之一，是东川区卫生系统直属差额拨款事业单位，目前是昆明市唯一的县区级公立精神病医院。承担着东川区31万人的精神疾病防治及心理卫生健康任务，主要承担着精神障碍患者的诊断、治疗、预防、康复、公共精神卫生、精神卫生健康教育宣传等职能，医院以公益性为主导。 </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东川区精神病院于2006年搬迁至东川区铜都街道凯通路延长线（石羊社区）现址，占地面积8亩，建筑面积1906平方米，其中住院部1006平方米，康复病区900平方米。因业务用房十分紧张，医院的办公、门诊、药房、医保、医技等的办公用房及业务用房均为租用医院附近廉租房小区一、二楼18间房屋使用。</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因床位紧张，有相当一部分病人无法收治住院，不够满足病人治疗需求。部分贫困患者得不到有效救治，依法被决定强制医疗和有肇事肇祸行为的患者收治困难。公众对焦虑症、抑郁症等常见精神障碍和心理行为问题认知率低，社会偏见和歧视广泛存在，讳疾忌医多，科学就诊少。加强软硬件设施，特别是专业技术人员培养、培训，改善病人就医条件，提升整体服务能力和水平，满足人民群众的服务需求，因此昆明市东川区精神病院整体迁建建设项目显得十分迫切。</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w:t>
            </w:r>
            <w:r>
              <w:rPr>
                <w:rFonts w:hint="eastAsia" w:ascii="Times New Roman" w:hAnsi="Times New Roman" w:cs="Times New Roman"/>
                <w:color w:val="auto"/>
                <w:sz w:val="24"/>
                <w:szCs w:val="24"/>
                <w:lang w:eastAsia="zh-CN"/>
              </w:rPr>
              <w:t>占地面积</w:t>
            </w:r>
            <w:r>
              <w:rPr>
                <w:rFonts w:hint="default" w:ascii="宋体" w:hAnsi="宋体" w:cs="宋体"/>
                <w:color w:val="auto"/>
                <w:sz w:val="24"/>
                <w:szCs w:val="24"/>
                <w:lang w:val="en-US"/>
              </w:rPr>
              <w:t>13215.92</w:t>
            </w:r>
            <w:r>
              <w:rPr>
                <w:rFonts w:hint="eastAsia" w:ascii="宋体" w:hAnsi="宋体" w:cs="宋体"/>
                <w:color w:val="auto"/>
                <w:sz w:val="24"/>
                <w:szCs w:val="24"/>
                <w:lang w:val="en-US" w:eastAsia="zh-CN"/>
              </w:rPr>
              <w:t>（选址时用地面积为</w:t>
            </w:r>
            <w:r>
              <w:rPr>
                <w:rFonts w:hint="default" w:ascii="宋体" w:hAnsi="宋体" w:cs="宋体"/>
                <w:color w:val="auto"/>
                <w:sz w:val="24"/>
                <w:szCs w:val="24"/>
                <w:lang w:val="en-US" w:eastAsia="zh-CN"/>
              </w:rPr>
              <w:t>13332.99</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，因东海路和兴铜路延长线道路平面线形调整，机动车停车位由</w:t>
            </w:r>
            <w:r>
              <w:rPr>
                <w:rFonts w:hint="default" w:ascii="宋体" w:hAnsi="宋体" w:cs="宋体"/>
                <w:color w:val="auto"/>
                <w:spacing w:val="-6"/>
                <w:sz w:val="24"/>
                <w:szCs w:val="24"/>
                <w:vertAlign w:val="baseline"/>
                <w:lang w:val="en-US" w:eastAsia="zh-CN"/>
              </w:rPr>
              <w:t>167</w:t>
            </w:r>
            <w:r>
              <w:rPr>
                <w:rFonts w:hint="eastAsia" w:ascii="宋体" w:hAnsi="宋体" w:cs="宋体"/>
                <w:color w:val="auto"/>
                <w:spacing w:val="-6"/>
                <w:sz w:val="24"/>
                <w:szCs w:val="24"/>
                <w:vertAlign w:val="baseline"/>
                <w:lang w:val="en-US" w:eastAsia="zh-CN"/>
              </w:rPr>
              <w:t>个减少为</w:t>
            </w:r>
            <w:r>
              <w:rPr>
                <w:rFonts w:hint="default" w:ascii="宋体" w:hAnsi="宋体" w:cs="宋体"/>
                <w:color w:val="auto"/>
                <w:spacing w:val="-6"/>
                <w:sz w:val="24"/>
                <w:szCs w:val="24"/>
                <w:vertAlign w:val="baseline"/>
                <w:lang w:val="en-US" w:eastAsia="zh-CN"/>
              </w:rPr>
              <w:t>154</w:t>
            </w:r>
            <w:r>
              <w:rPr>
                <w:rFonts w:hint="eastAsia" w:ascii="宋体" w:hAnsi="宋体" w:cs="宋体"/>
                <w:color w:val="auto"/>
                <w:spacing w:val="-6"/>
                <w:sz w:val="24"/>
                <w:szCs w:val="24"/>
                <w:vertAlign w:val="baseline"/>
                <w:lang w:val="en-US" w:eastAsia="zh-CN"/>
              </w:rPr>
              <w:t>个，面积减少</w:t>
            </w:r>
            <w:r>
              <w:rPr>
                <w:rFonts w:hint="default" w:ascii="宋体" w:hAnsi="宋体" w:cs="宋体"/>
                <w:color w:val="auto"/>
                <w:spacing w:val="-6"/>
                <w:sz w:val="24"/>
                <w:szCs w:val="24"/>
                <w:vertAlign w:val="baseline"/>
                <w:lang w:val="en-US" w:eastAsia="zh-CN"/>
              </w:rPr>
              <w:t>117.07</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w:t>
            </w:r>
            <w:r>
              <w:rPr>
                <w:rFonts w:hint="default" w:ascii="Times New Roman" w:hAnsi="Times New Roman" w:cs="Times New Roman"/>
                <w:color w:val="auto"/>
                <w:sz w:val="24"/>
                <w:szCs w:val="24"/>
              </w:rPr>
              <w:t>，建筑面积为</w:t>
            </w:r>
            <w:r>
              <w:rPr>
                <w:rFonts w:hint="eastAsia" w:cs="Times New Roman"/>
                <w:color w:val="auto"/>
                <w:sz w:val="24"/>
                <w:szCs w:val="24"/>
                <w:lang w:eastAsia="zh-CN"/>
              </w:rPr>
              <w:t>***</w:t>
            </w:r>
            <w:r>
              <w:rPr>
                <w:rFonts w:hint="default" w:ascii="Times New Roman" w:hAnsi="Times New Roman" w:cs="Times New Roman"/>
                <w:color w:val="auto"/>
                <w:sz w:val="24"/>
                <w:szCs w:val="24"/>
              </w:rPr>
              <w:t>78.82m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，设置床位2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0张。项目不设传染科，不设口腔科，另外辐射类设备不纳入本次评价，应单独办理相关环评手续。</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中华人民共和国环境保护法》、《中华人民共和国环境影响评价法》的规定，本项目应该进行环境影响评价。经查阅《建设项目环境影响评价分类管理名录》（2021年版），项目属于“专科疾病防治院（所、站）8432”中“其他（住院床位20张以下的除外）”，对应的环境影响文件类型为报告表。受昆明市东川区精神病院委托，我公司承担了该项目的环境影响评价工作，接受委托后，我公司组织有关技术人员进行现场踏勘和调查，并收集与本项目有关的资料，在此基础上按照环境影响评价导则的要求，本着“客观、公正、科学、规范”的原则，编制了《昆明市东川区精神病院整体迁建建设项目环境影响报告表》，供建设单位上报审批。</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二、项目建设内容</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1、项目名称、性质、建设地点</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项目名称：昆明市东川区精神病院整体迁建建设项目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建设单位：昆明市东川区精神病院</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r>
              <w:rPr>
                <w:rFonts w:hint="eastAsia" w:ascii="Times New Roman" w:hAnsi="Times New Roman" w:cs="Times New Roman"/>
                <w:color w:val="auto"/>
                <w:sz w:val="24"/>
                <w:szCs w:val="24"/>
                <w:lang w:eastAsia="zh-CN"/>
              </w:rPr>
              <w:t>迁</w:t>
            </w:r>
            <w:r>
              <w:rPr>
                <w:rFonts w:hint="default" w:ascii="Times New Roman" w:hAnsi="Times New Roman" w:cs="Times New Roman"/>
                <w:color w:val="auto"/>
                <w:sz w:val="24"/>
                <w:szCs w:val="24"/>
              </w:rPr>
              <w:t>建</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建设地点：云南省昆明市东川区城区西南角，规划道路东海路南延长线东侧，兴铜路西延长线南侧交汇路口，</w:t>
            </w:r>
            <w:r>
              <w:rPr>
                <w:rFonts w:hint="eastAsia" w:ascii="Times New Roman" w:hAnsi="Times New Roman" w:cs="Times New Roman"/>
                <w:color w:val="auto"/>
                <w:sz w:val="24"/>
                <w:szCs w:val="24"/>
                <w:lang w:eastAsia="zh-CN"/>
              </w:rPr>
              <w:t>占地面积</w:t>
            </w:r>
            <w:r>
              <w:rPr>
                <w:rFonts w:hint="default" w:ascii="宋体" w:hAnsi="宋体" w:cs="宋体"/>
                <w:color w:val="auto"/>
                <w:sz w:val="24"/>
                <w:szCs w:val="24"/>
                <w:lang w:val="en-US"/>
              </w:rPr>
              <w:t>13215.92</w:t>
            </w:r>
            <w:r>
              <w:rPr>
                <w:rFonts w:hint="eastAsia" w:ascii="宋体" w:hAnsi="宋体" w:cs="宋体"/>
                <w:color w:val="auto"/>
                <w:sz w:val="24"/>
                <w:szCs w:val="24"/>
                <w:lang w:val="en-US" w:eastAsia="zh-CN"/>
              </w:rPr>
              <w:t>（选址时用地面积为</w:t>
            </w:r>
            <w:r>
              <w:rPr>
                <w:rFonts w:hint="default" w:ascii="宋体" w:hAnsi="宋体" w:cs="宋体"/>
                <w:color w:val="auto"/>
                <w:sz w:val="24"/>
                <w:szCs w:val="24"/>
                <w:lang w:val="en-US" w:eastAsia="zh-CN"/>
              </w:rPr>
              <w:t>13332.99</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，因东海路和兴铜路延长线道路平面线形调整，机动车停车位由</w:t>
            </w:r>
            <w:r>
              <w:rPr>
                <w:rFonts w:hint="default" w:ascii="宋体" w:hAnsi="宋体" w:cs="宋体"/>
                <w:color w:val="auto"/>
                <w:spacing w:val="-6"/>
                <w:sz w:val="24"/>
                <w:szCs w:val="24"/>
                <w:vertAlign w:val="baseline"/>
                <w:lang w:val="en-US" w:eastAsia="zh-CN"/>
              </w:rPr>
              <w:t>167</w:t>
            </w:r>
            <w:r>
              <w:rPr>
                <w:rFonts w:hint="eastAsia" w:ascii="宋体" w:hAnsi="宋体" w:cs="宋体"/>
                <w:color w:val="auto"/>
                <w:spacing w:val="-6"/>
                <w:sz w:val="24"/>
                <w:szCs w:val="24"/>
                <w:vertAlign w:val="baseline"/>
                <w:lang w:val="en-US" w:eastAsia="zh-CN"/>
              </w:rPr>
              <w:t>个减少为</w:t>
            </w:r>
            <w:r>
              <w:rPr>
                <w:rFonts w:hint="default" w:ascii="宋体" w:hAnsi="宋体" w:cs="宋体"/>
                <w:color w:val="auto"/>
                <w:spacing w:val="-6"/>
                <w:sz w:val="24"/>
                <w:szCs w:val="24"/>
                <w:vertAlign w:val="baseline"/>
                <w:lang w:val="en-US" w:eastAsia="zh-CN"/>
              </w:rPr>
              <w:t>154</w:t>
            </w:r>
            <w:r>
              <w:rPr>
                <w:rFonts w:hint="eastAsia" w:ascii="宋体" w:hAnsi="宋体" w:cs="宋体"/>
                <w:color w:val="auto"/>
                <w:spacing w:val="-6"/>
                <w:sz w:val="24"/>
                <w:szCs w:val="24"/>
                <w:vertAlign w:val="baseline"/>
                <w:lang w:val="en-US" w:eastAsia="zh-CN"/>
              </w:rPr>
              <w:t>个，面积减少</w:t>
            </w:r>
            <w:r>
              <w:rPr>
                <w:rFonts w:hint="default" w:ascii="宋体" w:hAnsi="宋体" w:cs="宋体"/>
                <w:color w:val="auto"/>
                <w:spacing w:val="-6"/>
                <w:sz w:val="24"/>
                <w:szCs w:val="24"/>
                <w:vertAlign w:val="baseline"/>
                <w:lang w:val="en-US" w:eastAsia="zh-CN"/>
              </w:rPr>
              <w:t>117.07</w:t>
            </w:r>
            <w:r>
              <w:rPr>
                <w:rFonts w:hint="eastAsia" w:ascii="宋体" w:hAnsi="宋体" w:cs="宋体"/>
                <w:color w:val="auto"/>
                <w:spacing w:val="-6"/>
                <w:sz w:val="24"/>
                <w:szCs w:val="24"/>
              </w:rPr>
              <w:t>m</w:t>
            </w:r>
            <w:r>
              <w:rPr>
                <w:rFonts w:hint="eastAsia" w:ascii="宋体" w:hAnsi="宋体" w:cs="宋体"/>
                <w:color w:val="auto"/>
                <w:spacing w:val="-6"/>
                <w:sz w:val="24"/>
                <w:szCs w:val="24"/>
                <w:vertAlign w:val="superscript"/>
              </w:rPr>
              <w:t>2</w:t>
            </w:r>
            <w:r>
              <w:rPr>
                <w:rFonts w:hint="eastAsia" w:ascii="宋体" w:hAnsi="宋体" w:cs="宋体"/>
                <w:color w:val="auto"/>
                <w:spacing w:val="-6"/>
                <w:sz w:val="24"/>
                <w:szCs w:val="24"/>
                <w:vertAlign w:val="baseline"/>
                <w:lang w:eastAsia="zh-CN"/>
              </w:rPr>
              <w:t>）</w:t>
            </w:r>
            <w:r>
              <w:rPr>
                <w:rFonts w:hint="default" w:ascii="Times New Roman" w:hAnsi="Times New Roman" w:cs="Times New Roman"/>
                <w:color w:val="auto"/>
                <w:sz w:val="24"/>
                <w:szCs w:val="24"/>
              </w:rPr>
              <w:t>，建筑面积为</w:t>
            </w:r>
            <w:r>
              <w:rPr>
                <w:rFonts w:hint="eastAsia" w:cs="Times New Roman"/>
                <w:color w:val="auto"/>
                <w:sz w:val="24"/>
                <w:szCs w:val="24"/>
                <w:lang w:eastAsia="zh-CN"/>
              </w:rPr>
              <w:t>***</w:t>
            </w:r>
            <w:r>
              <w:rPr>
                <w:rFonts w:hint="default" w:ascii="Times New Roman" w:hAnsi="Times New Roman" w:cs="Times New Roman"/>
                <w:color w:val="auto"/>
                <w:sz w:val="24"/>
                <w:szCs w:val="24"/>
              </w:rPr>
              <w:t>78.82㎡。项目地理中心坐标为：经度经度103°10′42.608″，纬度：26°4′9.695″。</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本项目地理位置见附图1。</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2、建设内容</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据《国家卫生健康委办公厅关于取消部分医疗机构&lt;设置医疗机构批准书&gt;核发加强事中事后监管工作的通知》，“除三级医院、三级妇幼保健院、急救中心、急救站、临床检验</w:t>
            </w:r>
            <w:r>
              <w:rPr>
                <w:rFonts w:hint="default" w:ascii="Times New Roman" w:hAnsi="Times New Roman" w:cs="Times New Roman"/>
                <w:color w:val="auto"/>
                <w:sz w:val="24"/>
                <w:szCs w:val="24"/>
              </w:rPr>
              <w:t>中心、中外合资合作医疗机构、港澳台独资医疗机构外，举办其他医疗机构的，卫生健康行政部门不再核发《设置医疗机构批准书》，在执业登记时发放《医疗机构执业许可证》”。昆明市东川区精神病院为二级精神病医院，待项目建设完成后，经政府相关部门考察审核后下发正式《医疗机构执业许可证》。</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本项目科室设置包括：精神科(内含急诊室、心理咨询室)、 精神科男病区、精神科女病区、康复病区、隔离观察病区、工娱疗室、康复训练室、职业技能训练、磁疗室、生物反馈治疗室、集体教育室、康复社区手工艺术展示室、</w:t>
            </w:r>
            <w:r>
              <w:rPr>
                <w:rFonts w:hint="eastAsia" w:ascii="Times New Roman" w:hAnsi="Times New Roman" w:cs="Times New Roman"/>
                <w:color w:val="auto"/>
                <w:sz w:val="24"/>
                <w:szCs w:val="24"/>
                <w:lang w:eastAsia="zh-CN"/>
              </w:rPr>
              <w:t>中医科、</w:t>
            </w:r>
            <w:r>
              <w:rPr>
                <w:rFonts w:hint="default" w:ascii="Times New Roman" w:hAnsi="Times New Roman" w:cs="Times New Roman"/>
                <w:color w:val="auto"/>
                <w:sz w:val="24"/>
                <w:szCs w:val="24"/>
              </w:rPr>
              <w:t>预防保健室、会议室等。需设有药房、化验室、X光室、心电图、脑电图室、消毒供应室、资料室、病案室等。</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本项目建设内容包括主体工程、公用工程、辅助工程、环保工程。项目工程组成情况见表2-1。</w:t>
            </w:r>
          </w:p>
          <w:p>
            <w:pPr>
              <w:keepNext w:val="0"/>
              <w:keepLines w:val="0"/>
              <w:suppressLineNumbers w:val="0"/>
              <w:spacing w:before="0" w:beforeAutospacing="0" w:after="0" w:afterAutospacing="0"/>
              <w:ind w:left="0" w:right="0"/>
              <w:jc w:val="center"/>
              <w:rPr>
                <w:rFonts w:hint="eastAsia" w:ascii="Calibri" w:hAnsi="Calibri" w:cs="Times New Roman"/>
                <w:b/>
                <w:bCs/>
                <w:color w:val="auto"/>
                <w:sz w:val="24"/>
                <w:szCs w:val="24"/>
              </w:rPr>
            </w:pPr>
            <w:r>
              <w:rPr>
                <w:rFonts w:hint="eastAsia" w:ascii="Calibri" w:hAnsi="Calibri" w:cs="Times New Roman"/>
                <w:b/>
                <w:bCs/>
                <w:color w:val="auto"/>
                <w:sz w:val="24"/>
                <w:szCs w:val="24"/>
              </w:rPr>
              <w:t>表2-1 工程建设内容一览表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999"/>
              <w:gridCol w:w="613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427"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工程类型</w:t>
                  </w:r>
                </w:p>
              </w:tc>
              <w:tc>
                <w:tcPr>
                  <w:tcW w:w="4041" w:type="pct"/>
                  <w:gridSpan w:val="2"/>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建设内容/规模</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27"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主体工程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门诊楼</w:t>
                  </w:r>
                </w:p>
              </w:tc>
              <w:tc>
                <w:tcPr>
                  <w:tcW w:w="3475" w:type="pct"/>
                  <w:noWrap w:val="0"/>
                  <w:vAlign w:val="center"/>
                </w:tcPr>
                <w:p>
                  <w:pPr>
                    <w:pStyle w:val="2"/>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门诊楼为5F的框架结构建筑，1F设置诊室、输液室、抢救室、隔离室、西药房、药库、生活水泵房、消防控制室、变配电室、柴油发电机房、盥洗室、卫生间；2F设置检验科、办公室、会议室、候诊区、脑电图室、B超室、DR室、心电图室、观察室、NECT室、盥洗室、卫生间；3F设置消毒供应室、档案室、行为矫正室、团体心量治疗室、感觉综合治疗室、睡眠监测间、沙盘治疗间、心理测查间、个体心理治疗室、诊室、盥洗室、卫生间；4F设置诊室、中医康复室、脑生特反馈治疗室、经颅磁治疗室、熏蒸室、理疗室、中医诊室、煨药室、盥洗室、卫生间；5F设置行政办公区。</w:t>
                  </w:r>
                </w:p>
              </w:tc>
              <w:tc>
                <w:tcPr>
                  <w:tcW w:w="530"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住院楼</w:t>
                  </w:r>
                </w:p>
              </w:tc>
              <w:tc>
                <w:tcPr>
                  <w:tcW w:w="3475" w:type="pct"/>
                  <w:noWrap w:val="0"/>
                  <w:vAlign w:val="center"/>
                </w:tcPr>
                <w:p>
                  <w:pPr>
                    <w:pStyle w:val="2"/>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住院楼为6F的框架结构建筑，1F设置中心供氧机房、洗衣房、住院病房、住院部药房、功能检查科室、盥洗室、卫生间；2F-6F设置住院病房、餐厅、盥洗室、卫生间。</w:t>
                  </w:r>
                </w:p>
              </w:tc>
              <w:tc>
                <w:tcPr>
                  <w:tcW w:w="530"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后勤楼</w:t>
                  </w:r>
                </w:p>
              </w:tc>
              <w:tc>
                <w:tcPr>
                  <w:tcW w:w="3475" w:type="pct"/>
                  <w:noWrap w:val="0"/>
                  <w:vAlign w:val="center"/>
                </w:tcPr>
                <w:p>
                  <w:pPr>
                    <w:pStyle w:val="2"/>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后勤楼为3F的框架结构建筑，1F设置厨房、餐厅、卫生间；2F设置餐厅；3F设置大会议室。</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427"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公用工程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给水</w:t>
                  </w:r>
                </w:p>
              </w:tc>
              <w:tc>
                <w:tcPr>
                  <w:tcW w:w="3475" w:type="pct"/>
                  <w:noWrap w:val="0"/>
                  <w:vAlign w:val="center"/>
                </w:tcPr>
                <w:p>
                  <w:pPr>
                    <w:pStyle w:val="2"/>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由市政管网供给</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排水</w:t>
                  </w:r>
                </w:p>
              </w:tc>
              <w:tc>
                <w:tcPr>
                  <w:tcW w:w="34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排入市政污水管网</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供电</w:t>
                  </w:r>
                </w:p>
              </w:tc>
              <w:tc>
                <w:tcPr>
                  <w:tcW w:w="3475" w:type="pct"/>
                  <w:noWrap w:val="0"/>
                  <w:vAlign w:val="center"/>
                </w:tcPr>
                <w:p>
                  <w:pPr>
                    <w:pStyle w:val="2"/>
                    <w:keepNext w:val="0"/>
                    <w:keepLines w:val="0"/>
                    <w:suppressLineNumbers w:val="0"/>
                    <w:adjustRightInd w:val="0"/>
                    <w:snapToGrid w:val="0"/>
                    <w:spacing w:beforeAutospacing="0" w:after="0" w:afterAutospacing="0"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从市政电网引入，断电期间由项目备用发电机供电</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辅助工程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厨房</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餐厅</w:t>
                  </w:r>
                </w:p>
              </w:tc>
              <w:tc>
                <w:tcPr>
                  <w:tcW w:w="347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项目厨房布置在后勤楼1F，餐厅布置在后勤楼1F、2F。</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办公区</w:t>
                  </w:r>
                </w:p>
              </w:tc>
              <w:tc>
                <w:tcPr>
                  <w:tcW w:w="347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布置在门诊楼5F。项目区不设医护人员住宿。</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备用发电机房</w:t>
                  </w:r>
                </w:p>
              </w:tc>
              <w:tc>
                <w:tcPr>
                  <w:tcW w:w="347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放置1台备用发电机，柴油最大储存量1t。</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环保工程</w:t>
                  </w: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废水处理措施</w:t>
                  </w:r>
                </w:p>
              </w:tc>
              <w:tc>
                <w:tcPr>
                  <w:tcW w:w="347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①项目配备1个化粪池，布置在</w:t>
                  </w:r>
                  <w:r>
                    <w:rPr>
                      <w:rFonts w:hint="eastAsia" w:ascii="Times New Roman" w:hAnsi="Times New Roman" w:cs="Times New Roman"/>
                      <w:color w:val="auto"/>
                      <w:lang w:eastAsia="zh-CN"/>
                    </w:rPr>
                    <w:t>住院楼南侧</w:t>
                  </w:r>
                  <w:r>
                    <w:rPr>
                      <w:rFonts w:hint="default" w:ascii="Times New Roman" w:hAnsi="Times New Roman" w:cs="Times New Roman"/>
                      <w:color w:val="auto"/>
                    </w:rPr>
                    <w:t>，化粪池容积</w:t>
                  </w:r>
                  <w:r>
                    <w:rPr>
                      <w:rFonts w:hint="default" w:ascii="Times New Roman" w:hAnsi="Times New Roman" w:cs="Times New Roman"/>
                      <w:color w:val="auto"/>
                      <w:lang w:val="en-US"/>
                    </w:rPr>
                    <w:t>10</w:t>
                  </w:r>
                  <w:r>
                    <w:rPr>
                      <w:rFonts w:hint="default" w:ascii="Times New Roman" w:hAnsi="Times New Roman" w:cs="Times New Roman"/>
                      <w:color w:val="auto"/>
                    </w:rPr>
                    <w:t>0m²。</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②厨房外侧配备1个隔油池，用于厨房废水的隔油处理。</w:t>
                  </w:r>
                </w:p>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③新建1套</w:t>
                  </w:r>
                  <w:r>
                    <w:rPr>
                      <w:rFonts w:hint="default" w:ascii="Times New Roman" w:hAnsi="Times New Roman" w:cs="Times New Roman"/>
                      <w:color w:val="auto"/>
                      <w:lang w:val="en-US"/>
                    </w:rPr>
                    <w:t>130</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/d的一体化污水处理站进行处理，</w:t>
                  </w:r>
                  <w:r>
                    <w:rPr>
                      <w:rFonts w:hint="eastAsia" w:ascii="Times New Roman" w:hAnsi="Times New Roman" w:cs="Times New Roman"/>
                      <w:color w:val="auto"/>
                      <w:lang w:eastAsia="zh-CN"/>
                    </w:rPr>
                    <w:t>位于项目区西侧，</w:t>
                  </w:r>
                  <w:r>
                    <w:rPr>
                      <w:rFonts w:hint="default" w:ascii="Times New Roman" w:hAnsi="Times New Roman" w:cs="Times New Roman"/>
                      <w:color w:val="auto"/>
                    </w:rPr>
                    <w:t>采用SBR+次氯酸钠消毒工艺。</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废气污染物防治措施</w:t>
                  </w:r>
                </w:p>
              </w:tc>
              <w:tc>
                <w:tcPr>
                  <w:tcW w:w="347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生活垃圾使用带盖垃圾桶，及时收集清运；医疗废物袋装收集后放置在密闭的专用的医疗废物暂存间内；污水处理站SBR反应池采用全封闭建设；</w:t>
                  </w:r>
                </w:p>
                <w:p>
                  <w:pPr>
                    <w:pStyle w:val="62"/>
                    <w:keepNext w:val="0"/>
                    <w:keepLines w:val="0"/>
                    <w:suppressLineNumbers w:val="0"/>
                    <w:adjustRightInd w:val="0"/>
                    <w:snapToGrid w:val="0"/>
                    <w:spacing w:before="0" w:beforeAutospacing="0" w:after="0" w:afterAutospacing="0" w:line="240" w:lineRule="auto"/>
                    <w:ind w:left="0" w:right="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厨房使用电能等清洁能源作为燃料，油烟使用1套油烟净化器进行净化处理。</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固体废物防治设施</w:t>
                  </w:r>
                </w:p>
              </w:tc>
              <w:tc>
                <w:tcPr>
                  <w:tcW w:w="3475"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生活垃圾使用带盖垃圾桶集中收集。</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34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在项目东南角单独建设1栋医废楼，面积43.8m</w:t>
                  </w:r>
                  <w:r>
                    <w:rPr>
                      <w:rFonts w:hint="default" w:ascii="Times New Roman" w:hAnsi="Times New Roman" w:cs="Times New Roman"/>
                      <w:color w:val="auto"/>
                      <w:vertAlign w:val="superscript"/>
                    </w:rPr>
                    <w:t>2</w:t>
                  </w:r>
                  <w:r>
                    <w:rPr>
                      <w:rFonts w:hint="default" w:ascii="Times New Roman" w:hAnsi="Times New Roman" w:cs="Times New Roman"/>
                      <w:color w:val="auto"/>
                    </w:rPr>
                    <w:t>，暂存医疗废物，委托有资质单位定期处置。</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3475" w:type="pct"/>
                  <w:noWrap w:val="0"/>
                  <w:vAlign w:val="center"/>
                </w:tcPr>
                <w:p>
                  <w:pPr>
                    <w:pStyle w:val="9"/>
                    <w:keepNext w:val="0"/>
                    <w:keepLines w:val="0"/>
                    <w:suppressLineNumbers w:val="0"/>
                    <w:adjustRightInd w:val="0"/>
                    <w:spacing w:before="0" w:beforeAutospacing="0" w:after="0" w:afterAutospacing="0" w:line="240" w:lineRule="auto"/>
                    <w:ind w:left="0" w:right="0"/>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szCs w:val="21"/>
                    </w:rPr>
                    <w:t>格栅、化粪池及污水处理站污泥委托有资质单位进行处置</w:t>
                  </w:r>
                  <w:r>
                    <w:rPr>
                      <w:rFonts w:hint="eastAsia" w:ascii="Times New Roman" w:hAnsi="Times New Roman" w:cs="Times New Roman"/>
                      <w:color w:val="auto"/>
                      <w:szCs w:val="21"/>
                      <w:lang w:eastAsia="zh-CN"/>
                    </w:rPr>
                    <w:t>，污泥清掏后由有资质单位现场消毒、脱水后清运。</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噪声防治措施</w:t>
                  </w:r>
                </w:p>
              </w:tc>
              <w:tc>
                <w:tcPr>
                  <w:tcW w:w="34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1.调节池水泵设置为潜水泵，污水处理站水泵放置在</w:t>
                  </w:r>
                  <w:r>
                    <w:rPr>
                      <w:rFonts w:hint="eastAsia" w:ascii="Times New Roman" w:hAnsi="Times New Roman" w:cs="Times New Roman"/>
                      <w:color w:val="auto"/>
                      <w:lang w:eastAsia="zh-CN"/>
                    </w:rPr>
                    <w:t>地埋式池体内部</w:t>
                  </w:r>
                  <w:r>
                    <w:rPr>
                      <w:rFonts w:hint="default" w:ascii="Times New Roman" w:hAnsi="Times New Roman" w:cs="Times New Roman"/>
                      <w:color w:val="auto"/>
                    </w:rPr>
                    <w:t>。污水处理站利用建筑物隔声。</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2.在医院车流入口处放置提示标语院内禁止鸣笛或低速慢行等标语。</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3.医院内部贴标语“禁止大声喧哗”等，提醒病患和其他人员。</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4.备用发电机置于单独的发电室内，并采取基础减震、构筑设施隔声、距离衰减。</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5.在使用备用发电机时使用减震垫，在密闭的发电室内工作。</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环境风险防范措施</w:t>
                  </w:r>
                </w:p>
              </w:tc>
              <w:tc>
                <w:tcPr>
                  <w:tcW w:w="3475"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1.</w:t>
                  </w:r>
                  <w:r>
                    <w:rPr>
                      <w:rFonts w:hint="eastAsia" w:ascii="Times New Roman" w:hAnsi="Times New Roman" w:cs="Times New Roman"/>
                      <w:color w:val="auto"/>
                      <w:lang w:val="en-US" w:eastAsia="zh-CN"/>
                    </w:rPr>
                    <w:t>项目设置</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个事故应急池，容积为</w:t>
                  </w:r>
                  <w:r>
                    <w:rPr>
                      <w:rFonts w:hint="default" w:ascii="Times New Roman" w:hAnsi="Times New Roman" w:cs="Times New Roman"/>
                      <w:color w:val="auto"/>
                      <w:lang w:val="en-US" w:eastAsia="zh-CN"/>
                    </w:rPr>
                    <w:t>130m</w:t>
                  </w:r>
                  <w:r>
                    <w:rPr>
                      <w:rFonts w:hint="default"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，位于住院楼西南角。</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lang w:val="en-US"/>
                    </w:rPr>
                    <w:t>2.</w:t>
                  </w:r>
                  <w:r>
                    <w:rPr>
                      <w:rFonts w:hint="default" w:ascii="Times New Roman" w:hAnsi="Times New Roman" w:cs="Times New Roman"/>
                      <w:color w:val="auto"/>
                    </w:rPr>
                    <w:t>编制突发环境事件应急预案；消毒剂为次氯酸钠，专人管理，加强污水处理设施运行维护管理。</w:t>
                  </w:r>
                </w:p>
              </w:tc>
              <w:tc>
                <w:tcPr>
                  <w:tcW w:w="530" w:type="pc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 w:type="pct"/>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p>
              </w:tc>
              <w:tc>
                <w:tcPr>
                  <w:tcW w:w="566"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绿化</w:t>
                  </w:r>
                </w:p>
              </w:tc>
              <w:tc>
                <w:tcPr>
                  <w:tcW w:w="4005" w:type="pct"/>
                  <w:gridSpan w:val="2"/>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绿化面积3334.80㎡</w:t>
                  </w:r>
                </w:p>
              </w:tc>
            </w:tr>
          </w:tbl>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3、项目平面布置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本项目占地面积为13332.99㎡，建筑面积为</w:t>
            </w:r>
            <w:r>
              <w:rPr>
                <w:rFonts w:hint="eastAsia" w:cs="Times New Roman"/>
                <w:color w:val="auto"/>
                <w:sz w:val="24"/>
                <w:szCs w:val="24"/>
                <w:lang w:eastAsia="zh-CN"/>
              </w:rPr>
              <w:t>***</w:t>
            </w:r>
            <w:r>
              <w:rPr>
                <w:rFonts w:hint="default" w:ascii="Times New Roman" w:hAnsi="Times New Roman" w:cs="Times New Roman"/>
                <w:color w:val="auto"/>
                <w:sz w:val="24"/>
                <w:szCs w:val="24"/>
              </w:rPr>
              <w:t>78.82㎡。</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项目住院楼布置在项目北侧，门诊楼布置在项目南侧，后勤楼布置在项目东南侧。</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项目医废楼布置在院区东南角；</w:t>
            </w:r>
            <w:r>
              <w:rPr>
                <w:rFonts w:hint="eastAsia" w:ascii="Times New Roman" w:hAnsi="Times New Roman" w:cs="Times New Roman"/>
                <w:color w:val="auto"/>
                <w:sz w:val="24"/>
                <w:szCs w:val="24"/>
                <w:lang w:eastAsia="zh-CN"/>
              </w:rPr>
              <w:t>隔油池</w:t>
            </w:r>
            <w:r>
              <w:rPr>
                <w:rFonts w:hint="default" w:ascii="Times New Roman" w:hAnsi="Times New Roman" w:cs="Times New Roman"/>
                <w:color w:val="auto"/>
                <w:sz w:val="24"/>
                <w:szCs w:val="24"/>
              </w:rPr>
              <w:t>位于厨房外侧，污水处理站位于项目西侧院区地势最低处，便于废水通过密闭管道收集到污水处理设施。项目总平面布置图见图2。</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4、工作制度及劳动定员</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医护人员全年工作365天，实行8小时工作制，3班倒；管理人员年工作时间为300天，实行8小时工作制，每天一班。</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医护人员共计110名。据建设单位提供的资料，本工程建成运营后门诊接</w:t>
            </w:r>
            <w:r>
              <w:rPr>
                <w:rFonts w:hint="default" w:ascii="Times New Roman" w:hAnsi="Times New Roman" w:cs="Times New Roman"/>
                <w:color w:val="auto"/>
                <w:sz w:val="24"/>
                <w:szCs w:val="24"/>
                <w:highlight w:val="none"/>
              </w:rPr>
              <w:t>诊人数</w:t>
            </w:r>
            <w:r>
              <w:rPr>
                <w:rFonts w:hint="default" w:ascii="Times New Roman" w:hAnsi="Times New Roman" w:cs="Times New Roman"/>
                <w:color w:val="auto"/>
                <w:sz w:val="24"/>
                <w:szCs w:val="24"/>
                <w:highlight w:val="none"/>
                <w:lang w:val="en-US"/>
              </w:rPr>
              <w:t>80</w:t>
            </w:r>
            <w:r>
              <w:rPr>
                <w:rFonts w:hint="default" w:ascii="Times New Roman" w:hAnsi="Times New Roman" w:cs="Times New Roman"/>
                <w:color w:val="auto"/>
                <w:sz w:val="24"/>
                <w:szCs w:val="24"/>
                <w:highlight w:val="none"/>
              </w:rPr>
              <w:t>人/天</w:t>
            </w:r>
            <w:r>
              <w:rPr>
                <w:rFonts w:hint="default" w:ascii="Times New Roman" w:hAnsi="Times New Roman" w:cs="Times New Roman"/>
                <w:color w:val="auto"/>
                <w:sz w:val="24"/>
                <w:szCs w:val="24"/>
              </w:rPr>
              <w:t>。</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5、项目建设工期</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项目预计202</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rPr>
              <w:t>10</w:t>
            </w:r>
            <w:r>
              <w:rPr>
                <w:rFonts w:hint="default" w:ascii="Times New Roman" w:hAnsi="Times New Roman" w:cs="Times New Roman"/>
                <w:color w:val="auto"/>
                <w:sz w:val="24"/>
                <w:szCs w:val="24"/>
              </w:rPr>
              <w:t>月-2024年</w:t>
            </w:r>
            <w:r>
              <w:rPr>
                <w:rFonts w:hint="default" w:ascii="Times New Roman" w:hAnsi="Times New Roman" w:cs="Times New Roman"/>
                <w:color w:val="auto"/>
                <w:sz w:val="24"/>
                <w:szCs w:val="24"/>
                <w:lang w:val="en-US"/>
              </w:rPr>
              <w:t>10</w:t>
            </w:r>
            <w:r>
              <w:rPr>
                <w:rFonts w:hint="default" w:ascii="Times New Roman" w:hAnsi="Times New Roman" w:cs="Times New Roman"/>
                <w:color w:val="auto"/>
                <w:sz w:val="24"/>
                <w:szCs w:val="24"/>
              </w:rPr>
              <w:t>月开工建设，施工工期</w:t>
            </w:r>
            <w:r>
              <w:rPr>
                <w:rFonts w:hint="default" w:ascii="Times New Roman" w:hAnsi="Times New Roman" w:cs="Times New Roman"/>
                <w:color w:val="auto"/>
                <w:sz w:val="24"/>
                <w:szCs w:val="24"/>
                <w:lang w:val="en-US"/>
              </w:rPr>
              <w:t>24</w:t>
            </w:r>
            <w:r>
              <w:rPr>
                <w:rFonts w:hint="default" w:ascii="Times New Roman" w:hAnsi="Times New Roman" w:cs="Times New Roman"/>
                <w:color w:val="auto"/>
                <w:sz w:val="24"/>
                <w:szCs w:val="24"/>
              </w:rPr>
              <w:t>个月。</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6、公辅工程</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（1）供电</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从市政供电系统引入，设置1间变配电室供给各用电单元。</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（2）供水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项目用水从市政给水管网引入。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（3）排水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项目区采用雨污分流制度，雨水沿市区域雨水管网汇集后就近排入市政雨水管网。</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食堂废水经隔油池处理，生活污水和医疗废水经化粪池处理后，一并进入1套1</w:t>
            </w:r>
            <w:r>
              <w:rPr>
                <w:rFonts w:hint="default" w:ascii="Times New Roman" w:hAnsi="Times New Roman" w:cs="Times New Roman"/>
                <w:color w:val="auto"/>
                <w:sz w:val="24"/>
                <w:szCs w:val="24"/>
                <w:lang w:val="en-US"/>
              </w:rPr>
              <w:t>30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/d的一体化污水处理站进行处理，采用SBR+次氯酸钠消毒工艺，达标排入市政污水管网，最终进东川区污水处理厂进行处理。</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7、原辅料消耗</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本项目原辅材料消耗情况见下表。</w:t>
            </w:r>
          </w:p>
          <w:p>
            <w:pPr>
              <w:keepNext w:val="0"/>
              <w:keepLines w:val="0"/>
              <w:suppressLineNumbers w:val="0"/>
              <w:spacing w:before="0" w:beforeAutospacing="0" w:after="0" w:afterAutospacing="0"/>
              <w:ind w:left="0" w:right="0" w:firstLine="482"/>
              <w:jc w:val="center"/>
              <w:rPr>
                <w:rFonts w:hint="eastAsia" w:ascii="Calibri" w:hAnsi="Calibri" w:cs="Times New Roman"/>
                <w:b/>
                <w:bCs/>
                <w:color w:val="auto"/>
              </w:rPr>
            </w:pPr>
            <w:r>
              <w:rPr>
                <w:rFonts w:hint="eastAsia" w:ascii="Calibri" w:hAnsi="Calibri" w:cs="Times New Roman"/>
                <w:b/>
                <w:bCs/>
                <w:color w:val="auto"/>
                <w:sz w:val="24"/>
                <w:szCs w:val="24"/>
              </w:rPr>
              <w:t>表2-</w:t>
            </w:r>
            <w:r>
              <w:rPr>
                <w:rFonts w:hint="default" w:ascii="Calibri" w:hAnsi="Calibri" w:cs="Times New Roman"/>
                <w:b/>
                <w:bCs/>
                <w:color w:val="auto"/>
                <w:sz w:val="24"/>
                <w:szCs w:val="24"/>
              </w:rPr>
              <w:t>2</w:t>
            </w:r>
            <w:r>
              <w:rPr>
                <w:rFonts w:hint="eastAsia" w:ascii="Calibri" w:hAnsi="Calibri" w:cs="Times New Roman"/>
                <w:b/>
                <w:bCs/>
                <w:color w:val="auto"/>
                <w:sz w:val="24"/>
                <w:szCs w:val="24"/>
              </w:rPr>
              <w:t xml:space="preserve"> 项目原辅材料消耗情况一览表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3043"/>
              <w:gridCol w:w="234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名称</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用量</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来源/用途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针剂药品</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21900套/年</w:t>
                  </w:r>
                </w:p>
              </w:tc>
              <w:tc>
                <w:tcPr>
                  <w:tcW w:w="1233"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类比同类型医院折算，视具体经营情况而定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片剂药剂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328500片/年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胶囊药剂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219000片/年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溶液剂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600支/年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粉剂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800包/年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一次性空针、输液管</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22万套/年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7</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一次性垫单</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30000套/年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8</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一次性手套</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60000套/年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9</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一次性尿袋、尿管</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3000个/年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10</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碘酒</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300瓶/年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11</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双氧水</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300瓶/年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12</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纱布、绷带</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500包/年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13</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一次性真空采血管</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6000盒/年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14</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一次性空采血针</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14600套</w:t>
                  </w:r>
                  <w:r>
                    <w:rPr>
                      <w:rFonts w:hint="default" w:ascii="Times New Roman" w:hAnsi="Times New Roman" w:cs="Times New Roman"/>
                      <w:color w:val="auto"/>
                    </w:rPr>
                    <w:cr/>
                  </w:r>
                  <w:r>
                    <w:rPr>
                      <w:rFonts w:hint="default" w:ascii="Times New Roman" w:hAnsi="Times New Roman" w:cs="Times New Roman"/>
                      <w:color w:val="auto"/>
                    </w:rPr>
                    <w:t>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15</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样品杯</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1200个/年</w:t>
                  </w:r>
                </w:p>
              </w:tc>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16</w:t>
                  </w:r>
                </w:p>
              </w:tc>
              <w:tc>
                <w:tcPr>
                  <w:tcW w:w="172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检验试剂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1200</w:t>
                  </w:r>
                  <w:r>
                    <w:rPr>
                      <w:rFonts w:hint="eastAsia" w:ascii="Times New Roman" w:hAnsi="Times New Roman" w:cs="Times New Roman"/>
                      <w:color w:val="auto"/>
                      <w:lang w:val="en-US" w:eastAsia="zh-CN"/>
                    </w:rPr>
                    <w:t>套</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年</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eastAsia="zh-CN"/>
                    </w:rPr>
                    <w:t>外购，最大存储量</w:t>
                  </w:r>
                  <w:r>
                    <w:rPr>
                      <w:rFonts w:hint="default" w:ascii="Times New Roman" w:hAnsi="Times New Roman" w:cs="Times New Roman"/>
                      <w:color w:val="auto"/>
                      <w:lang w:val="en-US" w:eastAsia="zh-CN"/>
                    </w:rPr>
                    <w:t>0.1t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rPr>
                    <w:t>7</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次氯酸钠消毒剂</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1t/年</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外购，最大储存量0.5t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rPr>
                    <w:t>8</w:t>
                  </w:r>
                </w:p>
              </w:tc>
              <w:tc>
                <w:tcPr>
                  <w:tcW w:w="1725"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柴油</w:t>
                  </w:r>
                </w:p>
              </w:tc>
              <w:tc>
                <w:tcPr>
                  <w:tcW w:w="132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1t/年</w:t>
                  </w:r>
                </w:p>
              </w:tc>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外购，最大储存量</w:t>
                  </w:r>
                  <w:r>
                    <w:rPr>
                      <w:rFonts w:hint="default" w:ascii="Times New Roman" w:hAnsi="Times New Roman" w:cs="Times New Roman"/>
                      <w:color w:val="auto"/>
                      <w:lang w:val="en-US"/>
                    </w:rPr>
                    <w:t>0.2</w:t>
                  </w:r>
                  <w:r>
                    <w:rPr>
                      <w:rFonts w:hint="default" w:ascii="Times New Roman" w:hAnsi="Times New Roman" w:cs="Times New Roman"/>
                      <w:color w:val="auto"/>
                    </w:rPr>
                    <w:t>t</w:t>
                  </w:r>
                </w:p>
              </w:tc>
            </w:tr>
          </w:tbl>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8、主要设备</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本项目主要设备见表2-3。</w:t>
            </w:r>
          </w:p>
          <w:p>
            <w:pPr>
              <w:keepNext w:val="0"/>
              <w:keepLines w:val="0"/>
              <w:suppressLineNumbers w:val="0"/>
              <w:spacing w:before="0" w:beforeAutospacing="0" w:after="0" w:afterAutospacing="0"/>
              <w:ind w:left="0" w:right="0" w:firstLine="482"/>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表2-3 项目主要设备一览表</w:t>
            </w:r>
          </w:p>
          <w:tbl>
            <w:tblPr>
              <w:tblStyle w:val="26"/>
              <w:tblW w:w="109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8"/>
              <w:gridCol w:w="4081"/>
              <w:gridCol w:w="219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5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设备名称</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厂家</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全自动生化分析仪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CS-T300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全自动血液分析仪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尿液分析仪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时代北利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全自动电解质分析仪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梅州康利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K-Lite8H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纯水机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四川优普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UPS-I-20L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奥林巴斯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CX22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半自动血球仪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全自动化学法发光免疫分析仪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CM-180</w:t>
                  </w:r>
                </w:p>
              </w:tc>
            </w:tr>
          </w:tbl>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9、用水情况</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（1）门诊用水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据建设单位提供的资料，本项目建成运营后预计每日门诊量80人</w:t>
            </w:r>
            <w:r>
              <w:rPr>
                <w:rFonts w:hint="eastAsia" w:ascii="Times New Roman" w:hAnsi="Times New Roman" w:cs="Times New Roman"/>
                <w:color w:val="auto"/>
                <w:sz w:val="24"/>
                <w:szCs w:val="24"/>
                <w:lang w:eastAsia="zh-CN"/>
              </w:rPr>
              <w:t>（医护人员用水按住院病房用水核算）</w:t>
            </w:r>
            <w:r>
              <w:rPr>
                <w:rFonts w:hint="default" w:ascii="Times New Roman" w:hAnsi="Times New Roman" w:cs="Times New Roman"/>
                <w:color w:val="auto"/>
                <w:sz w:val="24"/>
                <w:szCs w:val="24"/>
              </w:rPr>
              <w:t xml:space="preserve">，据《云南省用水定额》（DB53/T </w:t>
            </w:r>
            <w:r>
              <w:rPr>
                <w:rFonts w:hint="eastAsia" w:cs="Times New Roman"/>
                <w:color w:val="auto"/>
                <w:sz w:val="24"/>
                <w:szCs w:val="24"/>
                <w:lang w:eastAsia="zh-CN"/>
              </w:rPr>
              <w:t>***</w:t>
            </w:r>
            <w:r>
              <w:rPr>
                <w:rFonts w:hint="default" w:ascii="Times New Roman" w:hAnsi="Times New Roman" w:cs="Times New Roman"/>
                <w:color w:val="auto"/>
                <w:sz w:val="24"/>
                <w:szCs w:val="24"/>
              </w:rPr>
              <w:t>-2019），用水量按20L/(人•次)计，则门诊用水量1.6m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（2）住院病房用水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本项目设有2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 xml:space="preserve">0床位，据《云南省用水定额》（DB53/T </w:t>
            </w:r>
            <w:r>
              <w:rPr>
                <w:rFonts w:hint="eastAsia" w:cs="Times New Roman"/>
                <w:color w:val="auto"/>
                <w:sz w:val="24"/>
                <w:szCs w:val="24"/>
                <w:lang w:eastAsia="zh-CN"/>
              </w:rPr>
              <w:t>***</w:t>
            </w:r>
            <w:r>
              <w:rPr>
                <w:rFonts w:hint="default" w:ascii="Times New Roman" w:hAnsi="Times New Roman" w:cs="Times New Roman"/>
                <w:color w:val="auto"/>
                <w:sz w:val="24"/>
                <w:szCs w:val="24"/>
              </w:rPr>
              <w:t>-2019），“病房内带洗浴（含行政及医护人员、附属设施等用水）”用水定额为300L/（床·d），住院病房用水量为7</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m³/d。</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（3）厨房用水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项目食堂设置于</w:t>
            </w:r>
            <w:r>
              <w:rPr>
                <w:rFonts w:hint="eastAsia" w:ascii="Times New Roman" w:hAnsi="Times New Roman" w:cs="Times New Roman"/>
                <w:color w:val="auto"/>
                <w:sz w:val="24"/>
                <w:szCs w:val="24"/>
                <w:lang w:eastAsia="zh-CN"/>
              </w:rPr>
              <w:t>后勤楼</w:t>
            </w:r>
            <w:r>
              <w:rPr>
                <w:rFonts w:hint="default" w:ascii="Times New Roman" w:hAnsi="Times New Roman" w:cs="Times New Roman"/>
                <w:color w:val="auto"/>
                <w:sz w:val="24"/>
                <w:szCs w:val="24"/>
                <w:lang w:val="en-US" w:eastAsia="zh-CN"/>
              </w:rPr>
              <w:t>1F</w:t>
            </w:r>
            <w:r>
              <w:rPr>
                <w:rFonts w:hint="default" w:ascii="Times New Roman" w:hAnsi="Times New Roman" w:cs="Times New Roman"/>
                <w:color w:val="auto"/>
                <w:sz w:val="24"/>
                <w:szCs w:val="24"/>
              </w:rPr>
              <w:t>，建筑面积98.28m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。根据《云南省地方标准用水定额》（DB53/T-2019）中规定的参考数据：“营业面积≤200m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的用水定额为35L/m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·d”，则食堂用水量为3.44m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（4）检验科用水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检验科需要进行血液、细菌等检验，使用检验试剂盒进行检验，使用药剂不涉及重金属，用水环节主要为检验设备的清洗。</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项目日接</w:t>
            </w:r>
            <w:r>
              <w:rPr>
                <w:rFonts w:hint="default" w:ascii="Times New Roman" w:hAnsi="Times New Roman" w:cs="Times New Roman"/>
                <w:color w:val="auto"/>
                <w:sz w:val="24"/>
                <w:szCs w:val="24"/>
                <w:highlight w:val="none"/>
              </w:rPr>
              <w:t>诊80人</w:t>
            </w:r>
            <w:r>
              <w:rPr>
                <w:rFonts w:hint="default" w:ascii="Times New Roman" w:hAnsi="Times New Roman" w:cs="Times New Roman"/>
                <w:color w:val="auto"/>
                <w:sz w:val="24"/>
                <w:szCs w:val="24"/>
              </w:rPr>
              <w:t>，根据经验数值约有30%的病人需要进行检验，检验科用水量按2L/人·次计算，则检验科用水量约为0.05m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（5）洗衣房用水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项目产生的床单及工作服在项目洗衣房进行清洗、消毒。根据建设方提供经验数据，医院洗衣量约2kg/床·d，用水量参照《综合医院建筑设计规范》GB 51039-2014医院生活用水定额，洗衣用水取80L/kg，按医院床位规</w:t>
            </w:r>
            <w:r>
              <w:rPr>
                <w:rFonts w:hint="default" w:ascii="Times New Roman" w:hAnsi="Times New Roman" w:cs="Times New Roman"/>
                <w:color w:val="auto"/>
                <w:sz w:val="24"/>
                <w:szCs w:val="24"/>
                <w:highlight w:val="none"/>
              </w:rPr>
              <w:t>模2</w:t>
            </w: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0</w:t>
            </w:r>
            <w:r>
              <w:rPr>
                <w:rFonts w:hint="default" w:ascii="Times New Roman" w:hAnsi="Times New Roman" w:cs="Times New Roman"/>
                <w:color w:val="auto"/>
                <w:sz w:val="24"/>
                <w:szCs w:val="24"/>
              </w:rPr>
              <w:t>床核算，洗衣房用水量为</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（6）绿化用水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项目建成后，绿化面积为3334.8m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，根据《云南省地方标准用水定额》（DB53/T</w:t>
            </w:r>
            <w:r>
              <w:rPr>
                <w:rFonts w:hint="eastAsia" w:cs="Times New Roman"/>
                <w:color w:val="auto"/>
                <w:sz w:val="24"/>
                <w:szCs w:val="24"/>
                <w:lang w:eastAsia="zh-CN"/>
              </w:rPr>
              <w:t>***</w:t>
            </w:r>
            <w:r>
              <w:rPr>
                <w:rFonts w:hint="default" w:ascii="Times New Roman" w:hAnsi="Times New Roman" w:cs="Times New Roman"/>
                <w:color w:val="auto"/>
                <w:sz w:val="24"/>
                <w:szCs w:val="24"/>
              </w:rPr>
              <w:t>-2019），绿化用水为3L/（m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·次），则项目绿化用水为10m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/d，根据气象局提供资料可知，东川区多年平均旱季天数为234天/年，则项目全年绿化用水量为2340m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pStyle w:val="9"/>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综上所述，项目非雨天用水量为</w:t>
            </w:r>
            <w:r>
              <w:rPr>
                <w:rFonts w:hint="default" w:ascii="Times New Roman" w:hAnsi="Times New Roman" w:cs="Times New Roman"/>
                <w:color w:val="auto"/>
                <w:kern w:val="0"/>
                <w:sz w:val="24"/>
                <w:lang w:val="en-US"/>
              </w:rPr>
              <w:t>130.09</w:t>
            </w:r>
            <w:r>
              <w:rPr>
                <w:rFonts w:hint="default" w:ascii="Times New Roman" w:hAnsi="Times New Roman" w:cs="Times New Roman"/>
                <w:color w:val="auto"/>
                <w:kern w:val="0"/>
                <w:sz w:val="24"/>
              </w:rPr>
              <w:t>m</w:t>
            </w:r>
            <w:r>
              <w:rPr>
                <w:rFonts w:hint="default" w:ascii="Times New Roman" w:hAnsi="Times New Roman" w:cs="Times New Roman"/>
                <w:color w:val="auto"/>
                <w:kern w:val="0"/>
                <w:sz w:val="24"/>
                <w:vertAlign w:val="superscript"/>
              </w:rPr>
              <w:t>3</w:t>
            </w:r>
            <w:r>
              <w:rPr>
                <w:rFonts w:hint="default" w:ascii="Times New Roman" w:hAnsi="Times New Roman" w:cs="Times New Roman"/>
                <w:color w:val="auto"/>
                <w:kern w:val="0"/>
                <w:sz w:val="24"/>
              </w:rPr>
              <w:t>/d，雨天用水量为</w:t>
            </w:r>
            <w:r>
              <w:rPr>
                <w:rFonts w:hint="default" w:ascii="Times New Roman" w:hAnsi="Times New Roman" w:cs="Times New Roman"/>
                <w:color w:val="auto"/>
                <w:kern w:val="0"/>
                <w:sz w:val="24"/>
                <w:lang w:val="en-US"/>
              </w:rPr>
              <w:t>120.09</w:t>
            </w:r>
            <w:r>
              <w:rPr>
                <w:rFonts w:hint="default" w:ascii="Times New Roman" w:hAnsi="Times New Roman" w:cs="Times New Roman"/>
                <w:color w:val="auto"/>
                <w:kern w:val="0"/>
                <w:sz w:val="24"/>
              </w:rPr>
              <w:t>m</w:t>
            </w:r>
            <w:r>
              <w:rPr>
                <w:rFonts w:hint="default" w:ascii="Times New Roman" w:hAnsi="Times New Roman" w:cs="Times New Roman"/>
                <w:color w:val="auto"/>
                <w:kern w:val="0"/>
                <w:sz w:val="24"/>
                <w:vertAlign w:val="superscript"/>
              </w:rPr>
              <w:t>3</w:t>
            </w:r>
            <w:r>
              <w:rPr>
                <w:rFonts w:hint="default" w:ascii="Times New Roman" w:hAnsi="Times New Roman" w:cs="Times New Roman"/>
                <w:color w:val="auto"/>
                <w:kern w:val="0"/>
                <w:sz w:val="24"/>
              </w:rPr>
              <w:t>/d。</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（7）排水情况</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1）门诊污水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本项目门诊用水量1.6m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/d，门诊废水排放量按用水量的</w:t>
            </w:r>
            <w:r>
              <w:rPr>
                <w:rFonts w:hint="default" w:ascii="Times New Roman" w:hAnsi="Times New Roman" w:cs="Times New Roman"/>
                <w:color w:val="auto"/>
                <w:sz w:val="24"/>
                <w:szCs w:val="24"/>
                <w:lang w:val="en-US"/>
              </w:rPr>
              <w:t>9</w:t>
            </w:r>
            <w:r>
              <w:rPr>
                <w:rFonts w:hint="default" w:ascii="Times New Roman" w:hAnsi="Times New Roman" w:cs="Times New Roman"/>
                <w:color w:val="auto"/>
                <w:sz w:val="24"/>
                <w:szCs w:val="24"/>
              </w:rPr>
              <w:t>0%计算，则排放量为1.</w:t>
            </w:r>
            <w:r>
              <w:rPr>
                <w:rFonts w:hint="default" w:ascii="Times New Roman" w:hAnsi="Times New Roman" w:cs="Times New Roman"/>
                <w:color w:val="auto"/>
                <w:sz w:val="24"/>
                <w:szCs w:val="24"/>
                <w:lang w:val="en-US"/>
              </w:rPr>
              <w:t>44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rPr>
              <w:t>525.6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2）住院病房污水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本项目有2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0个床位，住院病房用水量为7</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m³/d，废水排放量按用水量的</w:t>
            </w:r>
            <w:r>
              <w:rPr>
                <w:rFonts w:hint="default" w:ascii="Times New Roman" w:hAnsi="Times New Roman" w:cs="Times New Roman"/>
                <w:color w:val="auto"/>
                <w:sz w:val="24"/>
                <w:szCs w:val="24"/>
                <w:lang w:val="en-US"/>
              </w:rPr>
              <w:t>9</w:t>
            </w:r>
            <w:r>
              <w:rPr>
                <w:rFonts w:hint="default" w:ascii="Times New Roman" w:hAnsi="Times New Roman" w:cs="Times New Roman"/>
                <w:color w:val="auto"/>
                <w:sz w:val="24"/>
                <w:szCs w:val="24"/>
              </w:rPr>
              <w:t>0%计算，则排放量为</w:t>
            </w:r>
            <w:r>
              <w:rPr>
                <w:rFonts w:hint="default" w:ascii="Times New Roman" w:hAnsi="Times New Roman" w:cs="Times New Roman"/>
                <w:color w:val="auto"/>
                <w:sz w:val="24"/>
                <w:szCs w:val="24"/>
                <w:lang w:val="en-US"/>
              </w:rPr>
              <w:t>67.5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rPr>
              <w:t>24637.5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pStyle w:val="9"/>
              <w:keepNext w:val="0"/>
              <w:keepLines w:val="0"/>
              <w:suppressLineNumbers w:val="0"/>
              <w:adjustRightInd w:val="0"/>
              <w:spacing w:before="0" w:beforeAutospacing="0" w:after="0" w:afterAutospacing="0" w:line="360" w:lineRule="auto"/>
              <w:ind w:left="0" w:right="0"/>
              <w:rPr>
                <w:rFonts w:hint="default" w:ascii="Times New Roman" w:hAnsi="Times New Roman" w:cs="Times New Roman"/>
                <w:color w:val="auto"/>
                <w:kern w:val="0"/>
                <w:sz w:val="24"/>
              </w:rPr>
            </w:pPr>
            <w:r>
              <w:rPr>
                <w:rFonts w:hint="default" w:ascii="Times New Roman" w:hAnsi="Times New Roman" w:cs="Times New Roman"/>
                <w:color w:val="auto"/>
                <w:kern w:val="0"/>
                <w:sz w:val="24"/>
              </w:rPr>
              <w:t>3）厨房污水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厨房用水量为3.44m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/d，产污系数按90%计，污水排放量约为3.096m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/d，1130.04m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4）检验废水</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本项目检验科清洗用水量约为0.05m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/d，不涉及重金属，排污系数0.9，检验科污水产生量0.045m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/d，16.425m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pStyle w:val="9"/>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5）洗衣房废水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洗衣房用水量为</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/d，污水产生系数按0.</w:t>
            </w:r>
            <w:r>
              <w:rPr>
                <w:rFonts w:hint="default" w:ascii="Times New Roman" w:hAnsi="Times New Roman" w:cs="Times New Roman"/>
                <w:color w:val="auto"/>
                <w:sz w:val="24"/>
                <w:szCs w:val="24"/>
                <w:lang w:val="en-US"/>
              </w:rPr>
              <w:t>9</w:t>
            </w:r>
            <w:r>
              <w:rPr>
                <w:rFonts w:hint="default" w:ascii="Times New Roman" w:hAnsi="Times New Roman" w:cs="Times New Roman"/>
                <w:color w:val="auto"/>
                <w:sz w:val="24"/>
                <w:szCs w:val="24"/>
              </w:rPr>
              <w:t>计，产生的洗涤污水量为</w:t>
            </w:r>
            <w:r>
              <w:rPr>
                <w:rFonts w:hint="default" w:ascii="Times New Roman" w:hAnsi="Times New Roman" w:cs="Times New Roman"/>
                <w:color w:val="auto"/>
                <w:sz w:val="24"/>
                <w:szCs w:val="24"/>
                <w:lang w:val="en-US"/>
              </w:rPr>
              <w:t>36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rPr>
              <w:t>13140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项目用水、排水情况见表2-4。</w:t>
            </w:r>
          </w:p>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
                <w:bCs/>
                <w:color w:val="auto"/>
                <w:sz w:val="24"/>
                <w:szCs w:val="24"/>
              </w:rPr>
            </w:pPr>
            <w:r>
              <w:rPr>
                <w:rFonts w:hint="eastAsia" w:ascii="Calibri" w:hAnsi="Calibri" w:cs="Times New Roman"/>
                <w:b/>
                <w:bCs/>
                <w:color w:val="auto"/>
                <w:sz w:val="24"/>
                <w:szCs w:val="24"/>
              </w:rPr>
              <w:t>表2-</w:t>
            </w:r>
            <w:r>
              <w:rPr>
                <w:rFonts w:hint="default" w:ascii="Calibri" w:hAnsi="Calibri" w:cs="Times New Roman"/>
                <w:b/>
                <w:bCs/>
                <w:color w:val="auto"/>
                <w:sz w:val="24"/>
                <w:szCs w:val="24"/>
              </w:rPr>
              <w:t>4</w:t>
            </w:r>
            <w:r>
              <w:rPr>
                <w:rFonts w:hint="eastAsia" w:ascii="Calibri" w:hAnsi="Calibri" w:cs="Times New Roman"/>
                <w:b/>
                <w:bCs/>
                <w:color w:val="auto"/>
                <w:sz w:val="24"/>
                <w:szCs w:val="24"/>
              </w:rPr>
              <w:t xml:space="preserve"> 项目用排水情况统计表</w:t>
            </w:r>
          </w:p>
          <w:tbl>
            <w:tblPr>
              <w:tblStyle w:val="26"/>
              <w:tblpPr w:leftFromText="180" w:rightFromText="180" w:vertAnchor="text" w:horzAnchor="page" w:tblpXSpec="center" w:tblpY="148"/>
              <w:tblOverlap w:val="neve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6"/>
              <w:gridCol w:w="872"/>
              <w:gridCol w:w="1391"/>
              <w:gridCol w:w="1384"/>
              <w:gridCol w:w="1384"/>
              <w:gridCol w:w="1723"/>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用水项目</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规模</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用水量标准</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用水量（m</w:t>
                  </w:r>
                  <w:r>
                    <w:rPr>
                      <w:rFonts w:hint="default" w:ascii="Calibri" w:hAnsi="Calibri" w:cs="Times New Roman"/>
                      <w:color w:val="auto"/>
                      <w:vertAlign w:val="superscript"/>
                    </w:rPr>
                    <w:t>3</w:t>
                  </w:r>
                  <w:r>
                    <w:rPr>
                      <w:rFonts w:hint="default" w:ascii="Calibri" w:hAnsi="Calibri" w:cs="Times New Roman"/>
                      <w:color w:val="auto"/>
                    </w:rPr>
                    <w:t>/d）</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损耗</w:t>
                  </w:r>
                  <w:r>
                    <w:rPr>
                      <w:rFonts w:hint="default" w:ascii="Calibri" w:hAnsi="Calibri" w:cs="Times New Roman"/>
                      <w:color w:val="auto"/>
                    </w:rPr>
                    <w:t>量（m</w:t>
                  </w:r>
                  <w:r>
                    <w:rPr>
                      <w:rFonts w:hint="default" w:ascii="Calibri" w:hAnsi="Calibri" w:cs="Times New Roman"/>
                      <w:color w:val="auto"/>
                      <w:vertAlign w:val="superscript"/>
                    </w:rPr>
                    <w:t>3</w:t>
                  </w:r>
                  <w:r>
                    <w:rPr>
                      <w:rFonts w:hint="default" w:ascii="Calibri" w:hAnsi="Calibri" w:cs="Times New Roman"/>
                      <w:color w:val="auto"/>
                    </w:rPr>
                    <w:t>/d）</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废水产生量（m</w:t>
                  </w:r>
                  <w:r>
                    <w:rPr>
                      <w:rFonts w:hint="default" w:ascii="Calibri" w:hAnsi="Calibri" w:cs="Times New Roman"/>
                      <w:color w:val="auto"/>
                      <w:vertAlign w:val="superscript"/>
                    </w:rPr>
                    <w:t>3</w:t>
                  </w:r>
                  <w:r>
                    <w:rPr>
                      <w:rFonts w:hint="default" w:ascii="Calibri" w:hAnsi="Calibri" w:cs="Times New Roman"/>
                      <w:color w:val="auto"/>
                    </w:rPr>
                    <w:t>/d）</w:t>
                  </w:r>
                </w:p>
              </w:tc>
              <w:tc>
                <w:tcPr>
                  <w:tcW w:w="6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color w:val="auto"/>
                    </w:rPr>
                  </w:pPr>
                  <w:r>
                    <w:rPr>
                      <w:rFonts w:hint="default" w:ascii="Calibri" w:hAnsi="Calibri" w:cs="Times New Roman"/>
                      <w:color w:val="auto"/>
                    </w:rPr>
                    <w:t>门诊</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80人/d</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20L/（人·次）</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1.6</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0.16</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1.44</w:t>
                  </w:r>
                </w:p>
              </w:tc>
              <w:tc>
                <w:tcPr>
                  <w:tcW w:w="65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均来自 自来水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rPr>
                    <w:t>住院区废水</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w:t>
                  </w:r>
                  <w:r>
                    <w:rPr>
                      <w:rFonts w:hint="default" w:ascii="Calibri" w:hAnsi="Calibri" w:cs="Times New Roman"/>
                      <w:color w:val="auto"/>
                      <w:lang w:val="en-US"/>
                    </w:rPr>
                    <w:t>5</w:t>
                  </w:r>
                  <w:r>
                    <w:rPr>
                      <w:rFonts w:hint="default" w:ascii="Calibri" w:hAnsi="Calibri" w:cs="Times New Roman"/>
                      <w:color w:val="auto"/>
                    </w:rPr>
                    <w:t>0</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300L/（床·人）</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7</w:t>
                  </w:r>
                  <w:r>
                    <w:rPr>
                      <w:rFonts w:hint="default" w:ascii="Calibri" w:hAnsi="Calibri" w:cs="Times New Roman"/>
                      <w:color w:val="auto"/>
                      <w:lang w:val="en-US"/>
                    </w:rPr>
                    <w:t>5</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7.5</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67.5</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color w:val="auto"/>
                    </w:rPr>
                  </w:pPr>
                  <w:r>
                    <w:rPr>
                      <w:rFonts w:hint="default" w:ascii="Calibri" w:hAnsi="Calibri" w:cs="Times New Roman"/>
                      <w:color w:val="auto"/>
                    </w:rPr>
                    <w:t>检验科</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0.05</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0.005</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0.045</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食堂</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98.28m</w:t>
                  </w:r>
                  <w:r>
                    <w:rPr>
                      <w:rFonts w:hint="default" w:ascii="Calibri" w:hAnsi="Calibri" w:cs="Times New Roman"/>
                      <w:color w:val="auto"/>
                      <w:vertAlign w:val="superscript"/>
                    </w:rPr>
                    <w:t>2</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35L/m</w:t>
                  </w:r>
                  <w:r>
                    <w:rPr>
                      <w:rFonts w:hint="default" w:ascii="Calibri" w:hAnsi="Calibri" w:cs="Times New Roman"/>
                      <w:color w:val="auto"/>
                      <w:vertAlign w:val="superscript"/>
                    </w:rPr>
                    <w:t>2</w:t>
                  </w:r>
                  <w:r>
                    <w:rPr>
                      <w:rFonts w:hint="default" w:ascii="Calibri" w:hAnsi="Calibri" w:cs="Times New Roman"/>
                      <w:color w:val="auto"/>
                    </w:rPr>
                    <w:t>·d</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3.44</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0.344</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3.096</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洗衣间</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2</w:t>
                  </w:r>
                  <w:r>
                    <w:rPr>
                      <w:rFonts w:hint="default" w:ascii="Calibri" w:hAnsi="Calibri" w:cs="Times New Roman"/>
                      <w:color w:val="auto"/>
                      <w:lang w:val="en-US"/>
                    </w:rPr>
                    <w:t>5</w:t>
                  </w:r>
                  <w:r>
                    <w:rPr>
                      <w:rFonts w:hint="default" w:ascii="Calibri" w:hAnsi="Calibri" w:cs="Times New Roman"/>
                      <w:color w:val="auto"/>
                    </w:rPr>
                    <w:t>0床</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160L/床</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40</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lang w:val="en-US"/>
                    </w:rPr>
                    <w:t>4</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36</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绿化</w:t>
                  </w:r>
                </w:p>
              </w:tc>
              <w:tc>
                <w:tcPr>
                  <w:tcW w:w="49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3334.8m</w:t>
                  </w:r>
                  <w:r>
                    <w:rPr>
                      <w:rFonts w:hint="default" w:ascii="Calibri" w:hAnsi="Calibri" w:cs="Times New Roman"/>
                      <w:color w:val="auto"/>
                      <w:vertAlign w:val="superscript"/>
                    </w:rPr>
                    <w:t>2</w:t>
                  </w:r>
                </w:p>
              </w:tc>
              <w:tc>
                <w:tcPr>
                  <w:tcW w:w="7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3L/（m</w:t>
                  </w:r>
                  <w:r>
                    <w:rPr>
                      <w:rFonts w:hint="default" w:ascii="Calibri" w:hAnsi="Calibri" w:cs="Times New Roman"/>
                      <w:color w:val="auto"/>
                      <w:vertAlign w:val="superscript"/>
                    </w:rPr>
                    <w:t>2</w:t>
                  </w:r>
                  <w:r>
                    <w:rPr>
                      <w:rFonts w:hint="default" w:ascii="Calibri" w:hAnsi="Calibri" w:cs="Times New Roman"/>
                      <w:color w:val="auto"/>
                    </w:rPr>
                    <w:t>·次）</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10</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65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796"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合计</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rPr>
                    <w:t>旱季：</w:t>
                  </w:r>
                  <w:r>
                    <w:rPr>
                      <w:rFonts w:hint="default" w:ascii="Calibri" w:hAnsi="Calibri" w:cs="Times New Roman"/>
                      <w:color w:val="auto"/>
                      <w:lang w:val="en-US"/>
                    </w:rPr>
                    <w:t>130.09</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rPr>
                    <w:t>雨季：12</w:t>
                  </w:r>
                  <w:r>
                    <w:rPr>
                      <w:rFonts w:hint="default" w:ascii="Calibri" w:hAnsi="Calibri" w:cs="Times New Roman"/>
                      <w:color w:val="auto"/>
                      <w:lang w:val="en-US"/>
                    </w:rPr>
                    <w:t>0.09</w:t>
                  </w:r>
                </w:p>
              </w:tc>
              <w:tc>
                <w:tcPr>
                  <w:tcW w:w="7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c>
                <w:tcPr>
                  <w:tcW w:w="9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lang w:val="en-US"/>
                    </w:rPr>
                  </w:pPr>
                  <w:r>
                    <w:rPr>
                      <w:rFonts w:hint="default" w:ascii="Calibri" w:hAnsi="Calibri" w:cs="Times New Roman"/>
                      <w:color w:val="auto"/>
                      <w:lang w:val="en-US"/>
                    </w:rPr>
                    <w:t>108.081</w:t>
                  </w:r>
                </w:p>
              </w:tc>
              <w:tc>
                <w:tcPr>
                  <w:tcW w:w="65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w:t>
                  </w:r>
                </w:p>
              </w:tc>
            </w:tr>
          </w:tbl>
          <w:p>
            <w:pPr>
              <w:pStyle w:val="14"/>
              <w:keepNext w:val="0"/>
              <w:keepLines w:val="0"/>
              <w:suppressLineNumbers w:val="0"/>
              <w:spacing w:before="0" w:beforeAutospacing="0" w:after="0" w:afterAutospacing="0" w:line="360" w:lineRule="auto"/>
              <w:ind w:left="0" w:right="0" w:firstLine="480" w:firstLineChars="200"/>
              <w:rPr>
                <w:rFonts w:hint="eastAsia" w:ascii="Calibri" w:hAnsi="Calibri" w:cs="Times New Roman"/>
                <w:color w:val="auto"/>
                <w:sz w:val="24"/>
                <w:szCs w:val="24"/>
              </w:rPr>
            </w:pPr>
            <w:r>
              <w:rPr>
                <w:rFonts w:hint="eastAsia" w:ascii="Calibri" w:hAnsi="Calibri" w:cs="Times New Roman"/>
                <w:color w:val="auto"/>
                <w:sz w:val="24"/>
                <w:szCs w:val="24"/>
              </w:rPr>
              <w:t>本项目水量平衡图如下图所示：</w:t>
            </w:r>
          </w:p>
          <w:p>
            <w:pPr>
              <w:pStyle w:val="9"/>
              <w:keepNext w:val="0"/>
              <w:keepLines w:val="0"/>
              <w:suppressLineNumbers w:val="0"/>
              <w:spacing w:beforeAutospacing="0" w:afterAutospacing="0"/>
              <w:ind w:left="0"/>
              <w:jc w:val="center"/>
              <w:rPr>
                <w:rFonts w:hint="eastAsia" w:ascii="Calibri" w:hAnsi="Calibri" w:cs="Times New Roman"/>
                <w:color w:val="auto"/>
                <w:kern w:val="0"/>
                <w:sz w:val="18"/>
                <w:szCs w:val="20"/>
              </w:rPr>
            </w:pPr>
            <w:r>
              <w:rPr>
                <w:rFonts w:hint="default" w:ascii="Calibri" w:hAnsi="Calibri" w:cs="Times New Roman"/>
                <w:color w:val="auto"/>
                <w:kern w:val="0"/>
                <w:sz w:val="18"/>
                <w:szCs w:val="20"/>
              </w:rPr>
              <mc:AlternateContent>
                <mc:Choice Requires="wps">
                  <w:drawing>
                    <wp:anchor distT="0" distB="0" distL="114300" distR="114300" simplePos="0" relativeHeight="251659264" behindDoc="1" locked="0" layoutInCell="1" allowOverlap="1">
                      <wp:simplePos x="0" y="0"/>
                      <wp:positionH relativeFrom="column">
                        <wp:posOffset>2044065</wp:posOffset>
                      </wp:positionH>
                      <wp:positionV relativeFrom="paragraph">
                        <wp:posOffset>2082165</wp:posOffset>
                      </wp:positionV>
                      <wp:extent cx="524510" cy="243840"/>
                      <wp:effectExtent l="4445" t="4445" r="23495" b="18415"/>
                      <wp:wrapNone/>
                      <wp:docPr id="1" name="文本框 321"/>
                      <wp:cNvGraphicFramePr/>
                      <a:graphic xmlns:a="http://schemas.openxmlformats.org/drawingml/2006/main">
                        <a:graphicData uri="http://schemas.microsoft.com/office/word/2010/wordprocessingShape">
                          <wps:wsp>
                            <wps:cNvSpPr txBox="1"/>
                            <wps:spPr>
                              <a:xfrm>
                                <a:off x="0" y="0"/>
                                <a:ext cx="524510" cy="2438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321" o:spid="_x0000_s1026" o:spt="202" type="#_x0000_t202" style="position:absolute;left:0pt;margin-left:160.95pt;margin-top:163.95pt;height:19.2pt;width:41.3pt;z-index:-251657216;mso-width-relative:page;mso-height-relative:page;" fillcolor="#FFFFFF" filled="t" stroked="t" coordsize="21600,21600" o:gfxdata="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RioYdgAAAALAQAADwAAAAAA&#10;AAABACAAAAAiAAAAZHJzL2Rvd25yZXYueG1sUEsBAhQAFAAAAAgAh07iQE/G0asTAgAARQQAAA4A&#10;AAAAAAAAAQAgAAAAJwEAAGRycy9lMm9Eb2MueG1sUEsFBgAAAAAGAAYAWQEAAKwFAAAAAA==&#10;">
                      <v:fill on="t" focussize="0,0"/>
                      <v:stroke color="#FFFFFF" joinstyle="miter"/>
                      <v:imagedata o:title=""/>
                      <o:lock v:ext="edit" aspectratio="f"/>
                      <v:textbox>
                        <w:txbxContent>
                          <w:p/>
                        </w:txbxContent>
                      </v:textbox>
                    </v:shape>
                  </w:pict>
                </mc:Fallback>
              </mc:AlternateContent>
            </w:r>
            <w:r>
              <w:rPr>
                <w:rFonts w:hint="eastAsia" w:ascii="Calibri" w:hAnsi="Calibri" w:cs="Times New Roman"/>
                <w:color w:val="auto"/>
                <w:kern w:val="0"/>
                <w:sz w:val="18"/>
                <w:szCs w:val="20"/>
              </w:rPr>
              <w:object>
                <v:shape id="_x0000_i1025" o:spt="75" type="#_x0000_t75" style="height:244.3pt;width:429pt;" o:ole="t" filled="f" o:preferrelative="t" stroked="f" coordsize="21600,21600">
                  <v:path/>
                  <v:fill on="f" focussize="0,0"/>
                  <v:stroke on="f"/>
                  <v:imagedata r:id="rId18" o:title=""/>
                  <o:lock v:ext="edit" aspectratio="f"/>
                  <w10:wrap type="none"/>
                  <w10:anchorlock/>
                </v:shape>
                <o:OLEObject Type="Embed" ProgID="Visio.Drawing.15" ShapeID="_x0000_i1025" DrawAspect="Content" ObjectID="_1468075725" r:id="rId17">
                  <o:LockedField>false</o:LockedField>
                </o:OLEObject>
              </w:object>
            </w:r>
            <w:r>
              <w:rPr>
                <w:rFonts w:hint="eastAsia" w:ascii="Calibri" w:hAnsi="Calibri" w:cs="Times New Roman"/>
                <w:b/>
                <w:bCs/>
                <w:color w:val="auto"/>
                <w:kern w:val="0"/>
                <w:sz w:val="24"/>
              </w:rPr>
              <w:t>图2-1  本项目运营期非雨天水量平衡图 单位：m³/d</w:t>
            </w:r>
          </w:p>
          <w:p>
            <w:pPr>
              <w:pStyle w:val="9"/>
              <w:keepNext w:val="0"/>
              <w:keepLines w:val="0"/>
              <w:suppressLineNumbers w:val="0"/>
              <w:spacing w:beforeAutospacing="0" w:afterAutospacing="0"/>
              <w:ind w:left="0"/>
              <w:jc w:val="center"/>
              <w:rPr>
                <w:rFonts w:hint="default" w:ascii="Calibri" w:hAnsi="Calibri" w:cs="Times New Roman"/>
                <w:color w:val="auto"/>
                <w:kern w:val="0"/>
                <w:sz w:val="18"/>
                <w:szCs w:val="20"/>
              </w:rPr>
            </w:pPr>
            <w:r>
              <w:rPr>
                <w:rFonts w:hint="default" w:ascii="Calibri" w:hAnsi="Calibri" w:cs="Times New Roman"/>
                <w:color w:val="auto"/>
                <w:kern w:val="0"/>
                <w:sz w:val="18"/>
                <w:szCs w:val="20"/>
              </w:rPr>
              <w:object>
                <v:shape id="_x0000_i1026" o:spt="75" type="#_x0000_t75" style="height:198pt;width:429.7pt;" o:ole="t" filled="f" o:preferrelative="t" stroked="f" coordsize="21600,21600">
                  <v:path/>
                  <v:fill on="f" focussize="0,0"/>
                  <v:stroke on="f"/>
                  <v:imagedata r:id="rId20" o:title=""/>
                  <o:lock v:ext="edit" aspectratio="f"/>
                  <w10:wrap type="none"/>
                  <w10:anchorlock/>
                </v:shape>
                <o:OLEObject Type="Embed" ProgID="Visio.Drawing.15" ShapeID="_x0000_i1026" DrawAspect="Content" ObjectID="_1468075726" r:id="rId19">
                  <o:LockedField>false</o:LockedField>
                </o:OLEObject>
              </w:object>
            </w:r>
            <w:r>
              <w:rPr>
                <w:rFonts w:hint="eastAsia" w:ascii="Calibri" w:hAnsi="Calibri" w:cs="Times New Roman"/>
                <w:b/>
                <w:bCs/>
                <w:color w:val="auto"/>
                <w:kern w:val="0"/>
                <w:sz w:val="24"/>
              </w:rPr>
              <w:t>图2-</w:t>
            </w:r>
            <w:r>
              <w:rPr>
                <w:rFonts w:hint="default" w:ascii="Calibri" w:hAnsi="Calibri" w:cs="Times New Roman"/>
                <w:b/>
                <w:bCs/>
                <w:color w:val="auto"/>
                <w:kern w:val="0"/>
                <w:sz w:val="24"/>
              </w:rPr>
              <w:t>2</w:t>
            </w:r>
            <w:r>
              <w:rPr>
                <w:rFonts w:hint="eastAsia" w:ascii="Calibri" w:hAnsi="Calibri" w:cs="Times New Roman"/>
                <w:b/>
                <w:bCs/>
                <w:color w:val="auto"/>
                <w:kern w:val="0"/>
                <w:sz w:val="24"/>
              </w:rPr>
              <w:t xml:space="preserve">  本项目运营期雨天水量平衡图 单位：m³/d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dxa"/>
            <w:tcBorders>
              <w:top w:val="single" w:color="auto" w:sz="4" w:space="0"/>
              <w:bottom w:val="single" w:color="auto" w:sz="4" w:space="0"/>
            </w:tcBorders>
            <w:shd w:val="clear" w:color="auto" w:fill="auto"/>
            <w:noWrap w:val="0"/>
            <w:vAlign w:val="center"/>
          </w:tcPr>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szCs w:val="24"/>
              </w:rPr>
            </w:pPr>
            <w:r>
              <w:rPr>
                <w:rFonts w:hint="eastAsia" w:cs="宋体"/>
                <w:b/>
                <w:bCs/>
                <w:color w:val="auto"/>
                <w:szCs w:val="24"/>
              </w:rPr>
              <w:t>工艺流程和产排污环节</w:t>
            </w:r>
          </w:p>
        </w:tc>
        <w:tc>
          <w:tcPr>
            <w:tcW w:w="9004" w:type="dxa"/>
            <w:tcBorders>
              <w:top w:val="single" w:color="auto" w:sz="4" w:space="0"/>
              <w:bottom w:val="single" w:color="auto" w:sz="4" w:space="0"/>
            </w:tcBorders>
            <w:shd w:val="clear" w:color="auto" w:fill="FFFFFF"/>
            <w:noWrap w:val="0"/>
            <w:vAlign w:val="top"/>
          </w:tcPr>
          <w:p>
            <w:pPr>
              <w:pStyle w:val="9"/>
              <w:keepNext w:val="0"/>
              <w:keepLines w:val="0"/>
              <w:suppressLineNumbers w:val="0"/>
              <w:adjustRightInd w:val="0"/>
              <w:spacing w:beforeAutospacing="0" w:after="40" w:afterAutospacing="0" w:line="360" w:lineRule="auto"/>
              <w:ind w:left="0"/>
              <w:rPr>
                <w:rFonts w:hint="eastAsia" w:ascii="宋体" w:hAnsi="宋体" w:cs="宋体"/>
                <w:b/>
                <w:bCs/>
                <w:color w:val="auto"/>
                <w:kern w:val="0"/>
                <w:sz w:val="24"/>
              </w:rPr>
            </w:pPr>
            <w:r>
              <w:rPr>
                <w:rFonts w:hint="eastAsia" w:ascii="宋体" w:hAnsi="宋体" w:cs="宋体"/>
                <w:b/>
                <w:bCs/>
                <w:color w:val="auto"/>
                <w:kern w:val="0"/>
                <w:sz w:val="24"/>
              </w:rPr>
              <w:t>一、施工期</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本项目需要进行场地平整、地面建筑、房屋内外部装修和设备安装、绿化，</w:t>
            </w:r>
            <w:r>
              <w:rPr>
                <w:rFonts w:hint="eastAsia" w:ascii="宋体" w:hAnsi="宋体" w:cs="宋体"/>
                <w:bCs/>
                <w:color w:val="auto"/>
                <w:kern w:val="0"/>
                <w:sz w:val="24"/>
                <w:szCs w:val="24"/>
              </w:rPr>
              <w:t>施工期</w:t>
            </w:r>
            <w:r>
              <w:rPr>
                <w:rFonts w:hint="eastAsia" w:ascii="宋体" w:hAnsi="宋体" w:cs="宋体"/>
                <w:bCs/>
                <w:color w:val="auto"/>
                <w:sz w:val="24"/>
                <w:szCs w:val="24"/>
                <w:lang w:bidi="ar"/>
              </w:rPr>
              <w:t>主要产生施工废气、噪声、</w:t>
            </w:r>
            <w:r>
              <w:rPr>
                <w:rFonts w:hint="eastAsia" w:ascii="宋体" w:hAnsi="宋体" w:cs="宋体"/>
                <w:color w:val="auto"/>
                <w:sz w:val="24"/>
                <w:szCs w:val="24"/>
              </w:rPr>
              <w:t>生活垃圾、建筑垃圾、废弃土石方及生活污水等。</w:t>
            </w:r>
            <w:r>
              <w:rPr>
                <w:rFonts w:hint="eastAsia" w:ascii="宋体" w:hAnsi="宋体" w:cs="宋体"/>
                <w:bCs/>
                <w:color w:val="auto"/>
                <w:sz w:val="24"/>
                <w:szCs w:val="24"/>
              </w:rPr>
              <w:t xml:space="preserve"> </w:t>
            </w:r>
            <w:r>
              <w:rPr>
                <w:rFonts w:hint="eastAsia" w:ascii="宋体" w:hAnsi="宋体" w:cs="宋体"/>
                <w:color w:val="auto"/>
                <w:sz w:val="24"/>
                <w:szCs w:val="24"/>
              </w:rPr>
              <w:t>本工程施工期工艺流程及污染工序如下图所示。</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szCs w:val="24"/>
              </w:rPr>
            </w:pPr>
            <w:r>
              <w:rPr>
                <w:rFonts w:hint="eastAsia" w:ascii="宋体" w:hAnsi="宋体" w:cs="宋体"/>
                <w:color w:val="auto"/>
                <w:kern w:val="0"/>
                <w:sz w:val="24"/>
                <w:szCs w:val="24"/>
                <w:lang w:bidi="ar"/>
              </w:rPr>
              <w:object>
                <v:shape id="_x0000_i1027" o:spt="75" type="#_x0000_t75" style="height:141.05pt;width:255.55pt;" o:ole="t" filled="f" o:preferrelative="t" stroked="f" coordsize="21600,21600">
                  <v:path/>
                  <v:fill on="f" focussize="0,0"/>
                  <v:stroke on="f"/>
                  <v:imagedata r:id="rId22" o:title=""/>
                  <o:lock v:ext="edit" aspectratio="f"/>
                  <w10:wrap type="none"/>
                  <w10:anchorlock/>
                </v:shape>
                <o:OLEObject Type="Embed" ProgID="Visio.Drawing.15" ShapeID="_x0000_i1027" DrawAspect="Content" ObjectID="_1468075727" r:id="rId21">
                  <o:LockedField>false</o:LockedField>
                </o:OLEObject>
              </w:objec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b/>
                <w:bCs/>
                <w:color w:val="auto"/>
                <w:sz w:val="24"/>
                <w:szCs w:val="24"/>
              </w:rPr>
              <w:t>图2-</w:t>
            </w:r>
            <w:r>
              <w:rPr>
                <w:rFonts w:hint="default" w:ascii="宋体" w:hAnsi="宋体" w:cs="宋体"/>
                <w:b/>
                <w:bCs/>
                <w:color w:val="auto"/>
                <w:sz w:val="24"/>
                <w:szCs w:val="24"/>
              </w:rPr>
              <w:t xml:space="preserve">3 </w:t>
            </w:r>
            <w:r>
              <w:rPr>
                <w:rFonts w:hint="eastAsia" w:ascii="宋体" w:hAnsi="宋体" w:cs="宋体"/>
                <w:b/>
                <w:bCs/>
                <w:color w:val="auto"/>
                <w:sz w:val="24"/>
                <w:szCs w:val="24"/>
              </w:rPr>
              <w:t>施工期工艺流程及产污环节示意图</w:t>
            </w:r>
          </w:p>
          <w:p>
            <w:pPr>
              <w:pStyle w:val="9"/>
              <w:keepNext w:val="0"/>
              <w:keepLines w:val="0"/>
              <w:suppressLineNumbers w:val="0"/>
              <w:adjustRightInd w:val="0"/>
              <w:spacing w:beforeAutospacing="0" w:after="40" w:afterAutospacing="0" w:line="360" w:lineRule="auto"/>
              <w:ind w:left="0"/>
              <w:rPr>
                <w:rFonts w:hint="eastAsia" w:ascii="宋体" w:hAnsi="宋体" w:cs="宋体"/>
                <w:b/>
                <w:bCs/>
                <w:color w:val="auto"/>
                <w:kern w:val="0"/>
                <w:sz w:val="24"/>
              </w:rPr>
            </w:pPr>
            <w:r>
              <w:rPr>
                <w:rFonts w:hint="eastAsia" w:ascii="宋体" w:hAnsi="宋体" w:cs="宋体"/>
                <w:b/>
                <w:bCs/>
                <w:color w:val="auto"/>
                <w:kern w:val="0"/>
                <w:sz w:val="24"/>
              </w:rPr>
              <w:t>二、运行期</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（1）医院就医流程及产污环节</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本项目为精神病专科医院，在对就诊患者进行检查诊疗过程中，与污染物排放有关的时段主要在检验、检查及门诊、住院治疗期间的手术等阶段。运营期流程及产污环节见图2-3。</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color w:val="auto"/>
                <w:sz w:val="24"/>
                <w:szCs w:val="24"/>
              </w:rPr>
              <w:object>
                <v:shape id="_x0000_i1028" o:spt="75" type="#_x0000_t75" style="height:144.75pt;width:436.9pt;" o:ole="t" filled="f" o:preferrelative="t" stroked="f" coordsize="21600,21600">
                  <v:path/>
                  <v:fill on="f" focussize="0,0"/>
                  <v:stroke on="f"/>
                  <v:imagedata r:id="rId24" o:title=""/>
                  <o:lock v:ext="edit" aspectratio="f"/>
                  <w10:wrap type="none"/>
                  <w10:anchorlock/>
                </v:shape>
                <o:OLEObject Type="Embed" ProgID="Visio.Drawing.15" ShapeID="_x0000_i1028" DrawAspect="Content" ObjectID="_1468075728" r:id="rId23">
                  <o:LockedField>false</o:LockedField>
                </o:OLEObject>
              </w:object>
            </w:r>
            <w:r>
              <w:rPr>
                <w:rFonts w:hint="eastAsia" w:ascii="宋体" w:hAnsi="宋体" w:cs="宋体"/>
                <w:b/>
                <w:bCs/>
                <w:color w:val="auto"/>
                <w:sz w:val="24"/>
                <w:szCs w:val="24"/>
              </w:rPr>
              <w:t>图2-</w:t>
            </w:r>
            <w:r>
              <w:rPr>
                <w:rFonts w:hint="default" w:ascii="宋体" w:hAnsi="宋体" w:cs="宋体"/>
                <w:b/>
                <w:bCs/>
                <w:color w:val="auto"/>
                <w:sz w:val="24"/>
                <w:szCs w:val="24"/>
              </w:rPr>
              <w:t>4</w:t>
            </w:r>
            <w:r>
              <w:rPr>
                <w:rFonts w:hint="eastAsia" w:ascii="宋体" w:hAnsi="宋体" w:cs="宋体"/>
                <w:b/>
                <w:bCs/>
                <w:color w:val="auto"/>
                <w:sz w:val="24"/>
                <w:szCs w:val="24"/>
              </w:rPr>
              <w:t xml:space="preserve">  运行期就医流程图</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就诊患者前来接受医生的咨询、问诊等，必要时进行抽血检查化验，最终确定诊疗方案，在诊断室实施。</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运行期产物节点见下图。</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color w:val="auto"/>
                <w:sz w:val="24"/>
                <w:szCs w:val="24"/>
              </w:rPr>
              <w:object>
                <v:shape id="_x0000_i1029" o:spt="75" type="#_x0000_t75" style="height:435.05pt;width:442.1pt;" o:ole="t" filled="f" o:preferrelative="t" stroked="f" coordsize="21600,21600">
                  <v:path/>
                  <v:fill on="f" focussize="0,0"/>
                  <v:stroke on="f"/>
                  <v:imagedata r:id="rId26" o:title=""/>
                  <o:lock v:ext="edit" aspectratio="f"/>
                  <w10:wrap type="none"/>
                  <w10:anchorlock/>
                </v:shape>
                <o:OLEObject Type="Embed" ProgID="Visio.Drawing.15" ShapeID="_x0000_i1029" DrawAspect="Content" ObjectID="_1468075729" r:id="rId25">
                  <o:LockedField>false</o:LockedField>
                </o:OLEObject>
              </w:object>
            </w:r>
            <w:r>
              <w:rPr>
                <w:rFonts w:hint="eastAsia" w:ascii="宋体" w:hAnsi="宋体" w:cs="宋体"/>
                <w:b/>
                <w:bCs/>
                <w:color w:val="auto"/>
                <w:sz w:val="24"/>
                <w:szCs w:val="24"/>
              </w:rPr>
              <w:t>图2-</w:t>
            </w:r>
            <w:r>
              <w:rPr>
                <w:rFonts w:hint="default" w:ascii="宋体" w:hAnsi="宋体" w:cs="宋体"/>
                <w:b/>
                <w:bCs/>
                <w:color w:val="auto"/>
                <w:sz w:val="24"/>
                <w:szCs w:val="24"/>
              </w:rPr>
              <w:t>5</w:t>
            </w:r>
            <w:r>
              <w:rPr>
                <w:rFonts w:hint="eastAsia" w:ascii="宋体" w:hAnsi="宋体" w:cs="宋体"/>
                <w:b/>
                <w:bCs/>
                <w:color w:val="auto"/>
                <w:sz w:val="24"/>
                <w:szCs w:val="24"/>
              </w:rPr>
              <w:t xml:space="preserve">  运营期产污节点图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dxa"/>
            <w:tcBorders>
              <w:top w:val="single" w:color="auto" w:sz="4" w:space="0"/>
              <w:bottom w:val="single" w:color="auto" w:sz="4" w:space="0"/>
            </w:tcBorders>
            <w:shd w:val="clear" w:color="auto" w:fill="auto"/>
            <w:noWrap w:val="0"/>
            <w:vAlign w:val="center"/>
          </w:tcPr>
          <w:p>
            <w:pPr>
              <w:pStyle w:val="22"/>
              <w:keepNext w:val="0"/>
              <w:keepLines w:val="0"/>
              <w:suppressLineNumbers w:val="0"/>
              <w:adjustRightInd w:val="0"/>
              <w:snapToGrid w:val="0"/>
              <w:spacing w:before="0" w:beforeAutospacing="0" w:after="0" w:afterAutospacing="0"/>
              <w:ind w:left="0" w:right="0"/>
              <w:jc w:val="center"/>
              <w:rPr>
                <w:rFonts w:hint="eastAsia" w:eastAsia="宋体" w:cs="宋体"/>
                <w:b/>
                <w:bCs/>
                <w:color w:val="auto"/>
                <w:szCs w:val="24"/>
                <w:lang w:eastAsia="zh-CN"/>
              </w:rPr>
            </w:pPr>
            <w:r>
              <w:rPr>
                <w:rFonts w:hint="eastAsia" w:cs="宋体"/>
                <w:b/>
                <w:bCs/>
                <w:color w:val="auto"/>
                <w:szCs w:val="24"/>
                <w:lang w:eastAsia="zh-CN"/>
              </w:rPr>
              <w:t>与项目有关的原有环境污染问题</w:t>
            </w:r>
          </w:p>
        </w:tc>
        <w:tc>
          <w:tcPr>
            <w:tcW w:w="9004" w:type="dxa"/>
            <w:tcBorders>
              <w:top w:val="single" w:color="auto" w:sz="4" w:space="0"/>
              <w:bottom w:val="single" w:color="auto" w:sz="4" w:space="0"/>
            </w:tcBorders>
            <w:shd w:val="clear" w:color="auto" w:fill="FFFFFF"/>
            <w:noWrap w:val="0"/>
            <w:vAlign w:val="top"/>
          </w:tcPr>
          <w:p>
            <w:pPr>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eastAsia="宋体" w:cs="Times New Roman"/>
                <w:b w:val="0"/>
                <w:bCs w:val="0"/>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1、原项目名称、建设地点、规模</w:t>
            </w:r>
          </w:p>
          <w:p>
            <w:pPr>
              <w:pStyle w:val="9"/>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b w:val="0"/>
                <w:bCs w:val="0"/>
                <w:i w:val="0"/>
                <w:iCs w:val="0"/>
                <w:color w:val="auto"/>
                <w:sz w:val="24"/>
                <w:szCs w:val="24"/>
                <w:lang w:eastAsia="zh-CN"/>
              </w:rPr>
            </w:pPr>
            <w:r>
              <w:rPr>
                <w:rFonts w:hint="default" w:ascii="Times New Roman" w:hAnsi="Times New Roman" w:eastAsia="宋体" w:cs="Times New Roman"/>
                <w:b w:val="0"/>
                <w:bCs w:val="0"/>
                <w:i w:val="0"/>
                <w:iCs w:val="0"/>
                <w:color w:val="auto"/>
                <w:sz w:val="24"/>
                <w:szCs w:val="24"/>
                <w:lang w:eastAsia="zh-CN"/>
              </w:rPr>
              <w:t>项目名称：</w:t>
            </w:r>
            <w:r>
              <w:rPr>
                <w:rFonts w:hint="default" w:ascii="Times New Roman" w:hAnsi="Times New Roman" w:eastAsia="宋体" w:cs="Times New Roman"/>
                <w:i w:val="0"/>
                <w:iCs w:val="0"/>
                <w:color w:val="auto"/>
                <w:sz w:val="24"/>
                <w:szCs w:val="24"/>
              </w:rPr>
              <w:t>昆明市东川区精神病院</w:t>
            </w:r>
          </w:p>
          <w:p>
            <w:pPr>
              <w:pStyle w:val="10"/>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b w:val="0"/>
                <w:bCs w:val="0"/>
                <w:i w:val="0"/>
                <w:iCs w:val="0"/>
                <w:color w:val="auto"/>
                <w:sz w:val="24"/>
                <w:szCs w:val="24"/>
                <w:lang w:eastAsia="zh-CN"/>
              </w:rPr>
              <w:t>建设地点：</w:t>
            </w:r>
            <w:r>
              <w:rPr>
                <w:rFonts w:hint="default" w:ascii="Times New Roman" w:hAnsi="Times New Roman" w:eastAsia="宋体" w:cs="Times New Roman"/>
                <w:i w:val="0"/>
                <w:iCs w:val="0"/>
                <w:color w:val="auto"/>
                <w:sz w:val="24"/>
                <w:szCs w:val="24"/>
              </w:rPr>
              <w:t>东川区铜都街道凯通路延长线石羊社区</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eastAsia="zh-CN"/>
              </w:rPr>
              <w:t>规模：</w:t>
            </w:r>
            <w:r>
              <w:rPr>
                <w:rFonts w:hint="default" w:ascii="Times New Roman" w:hAnsi="Times New Roman" w:eastAsia="宋体" w:cs="Times New Roman"/>
                <w:i w:val="0"/>
                <w:iCs w:val="0"/>
                <w:color w:val="auto"/>
                <w:sz w:val="24"/>
                <w:szCs w:val="24"/>
                <w:lang w:val="en-US" w:eastAsia="zh-CN"/>
              </w:rPr>
              <w:t>105张床位</w:t>
            </w:r>
          </w:p>
          <w:p>
            <w:pPr>
              <w:pStyle w:val="10"/>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2、原项目主要设备</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 w:val="0"/>
                <w:iCs w:val="0"/>
                <w:color w:val="auto"/>
                <w:sz w:val="24"/>
                <w:szCs w:val="24"/>
                <w:lang w:eastAsia="zh-CN"/>
              </w:rPr>
            </w:pPr>
            <w:r>
              <w:rPr>
                <w:rFonts w:hint="default" w:ascii="Times New Roman" w:hAnsi="Times New Roman" w:eastAsia="宋体" w:cs="Times New Roman"/>
                <w:b w:val="0"/>
                <w:bCs w:val="0"/>
                <w:i w:val="0"/>
                <w:iCs w:val="0"/>
                <w:color w:val="auto"/>
                <w:sz w:val="24"/>
                <w:szCs w:val="24"/>
                <w:lang w:eastAsia="zh-CN"/>
              </w:rPr>
              <w:t>原项目主要设备见下表。</w:t>
            </w:r>
          </w:p>
          <w:p>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i w:val="0"/>
                <w:iCs w:val="0"/>
                <w:color w:val="auto"/>
                <w:sz w:val="24"/>
                <w:szCs w:val="24"/>
                <w:lang w:val="en-US" w:eastAsia="zh-CN"/>
              </w:rPr>
            </w:pPr>
            <w:r>
              <w:rPr>
                <w:rFonts w:hint="eastAsia" w:ascii="Times New Roman" w:hAnsi="Times New Roman" w:eastAsia="宋体" w:cs="Times New Roman"/>
                <w:b/>
                <w:bCs/>
                <w:i w:val="0"/>
                <w:iCs w:val="0"/>
                <w:color w:val="auto"/>
                <w:sz w:val="24"/>
                <w:szCs w:val="24"/>
                <w:lang w:eastAsia="zh-CN"/>
              </w:rPr>
              <w:t>表</w:t>
            </w:r>
            <w:r>
              <w:rPr>
                <w:rFonts w:hint="default" w:ascii="Times New Roman" w:hAnsi="Times New Roman" w:eastAsia="宋体" w:cs="Times New Roman"/>
                <w:b/>
                <w:bCs/>
                <w:i w:val="0"/>
                <w:iCs w:val="0"/>
                <w:color w:val="auto"/>
                <w:sz w:val="24"/>
                <w:szCs w:val="24"/>
                <w:lang w:val="en-US" w:eastAsia="zh-CN"/>
              </w:rPr>
              <w:t xml:space="preserve">2-5 </w:t>
            </w:r>
            <w:r>
              <w:rPr>
                <w:rFonts w:hint="eastAsia" w:ascii="Times New Roman" w:hAnsi="Times New Roman" w:eastAsia="宋体" w:cs="Times New Roman"/>
                <w:b/>
                <w:bCs/>
                <w:i w:val="0"/>
                <w:iCs w:val="0"/>
                <w:color w:val="auto"/>
                <w:sz w:val="24"/>
                <w:szCs w:val="24"/>
                <w:lang w:val="en-US" w:eastAsia="zh-CN"/>
              </w:rPr>
              <w:t>原项目主要设备表</w:t>
            </w:r>
          </w:p>
          <w:tbl>
            <w:tblPr>
              <w:tblStyle w:val="26"/>
              <w:tblW w:w="109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8"/>
              <w:gridCol w:w="4081"/>
              <w:gridCol w:w="219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5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设备名称</w:t>
                  </w:r>
                </w:p>
              </w:tc>
              <w:tc>
                <w:tcPr>
                  <w:tcW w:w="2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厂家</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全自动生化分析仪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CS-T300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全自动血液分析仪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尿液分析仪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优利特-180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时代北利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全自动电解质分析仪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梅州康利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K-Lite8H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纯水机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四川优普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UPS-I-20L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奥林巴斯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CX22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半自动血球仪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BC2900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全自动化学法发光免疫分析仪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迪瑞医疗科技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CM-180</w:t>
                  </w:r>
                </w:p>
              </w:tc>
            </w:tr>
          </w:tbl>
          <w:p>
            <w:pPr>
              <w:pStyle w:val="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3、原项目劳动定员</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医护人员全年工作365天，实行8小时工作制，3班倒；管理人员年工作时间为300天，实行8小时工作制，每天一班。</w:t>
            </w:r>
          </w:p>
          <w:p>
            <w:pPr>
              <w:pStyle w:val="9"/>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imes New Roman" w:hAnsi="Times New Roman" w:eastAsia="宋体" w:cs="Times New Roman"/>
                <w:b w:val="0"/>
                <w:bCs w:val="0"/>
                <w:i w:val="0"/>
                <w:iCs w:val="0"/>
                <w:color w:val="auto"/>
                <w:sz w:val="24"/>
                <w:szCs w:val="24"/>
                <w:lang w:val="en-US" w:eastAsia="zh-CN"/>
              </w:rPr>
            </w:pPr>
            <w:r>
              <w:rPr>
                <w:rFonts w:hint="default" w:ascii="Times New Roman" w:hAnsi="Times New Roman" w:cs="Times New Roman"/>
                <w:color w:val="auto"/>
                <w:sz w:val="24"/>
                <w:szCs w:val="24"/>
              </w:rPr>
              <w:t>医护人员共计</w:t>
            </w:r>
            <w:r>
              <w:rPr>
                <w:rFonts w:hint="default" w:ascii="Times New Roman" w:hAnsi="Times New Roman" w:cs="Times New Roman"/>
                <w:color w:val="auto"/>
                <w:sz w:val="24"/>
                <w:szCs w:val="24"/>
                <w:lang w:val="en-US"/>
              </w:rPr>
              <w:t>56</w:t>
            </w:r>
            <w:r>
              <w:rPr>
                <w:rFonts w:hint="default" w:ascii="Times New Roman" w:hAnsi="Times New Roman" w:cs="Times New Roman"/>
                <w:color w:val="auto"/>
                <w:sz w:val="24"/>
                <w:szCs w:val="24"/>
              </w:rPr>
              <w:t>名。据建设单位提供的资料，</w:t>
            </w:r>
            <w:r>
              <w:rPr>
                <w:rFonts w:hint="eastAsia" w:ascii="Times New Roman" w:hAnsi="Times New Roman" w:cs="Times New Roman"/>
                <w:color w:val="auto"/>
                <w:sz w:val="24"/>
                <w:szCs w:val="24"/>
                <w:lang w:eastAsia="zh-CN"/>
              </w:rPr>
              <w:t>原项目</w:t>
            </w:r>
            <w:r>
              <w:rPr>
                <w:rFonts w:hint="default" w:ascii="Times New Roman" w:hAnsi="Times New Roman" w:cs="Times New Roman"/>
                <w:color w:val="auto"/>
                <w:sz w:val="24"/>
                <w:szCs w:val="24"/>
              </w:rPr>
              <w:t>门诊接</w:t>
            </w:r>
            <w:r>
              <w:rPr>
                <w:rFonts w:hint="default" w:ascii="Times New Roman" w:hAnsi="Times New Roman" w:cs="Times New Roman"/>
                <w:color w:val="auto"/>
                <w:sz w:val="24"/>
                <w:szCs w:val="24"/>
                <w:highlight w:val="none"/>
              </w:rPr>
              <w:t>诊人数</w:t>
            </w:r>
            <w:r>
              <w:rPr>
                <w:rFonts w:hint="default" w:ascii="Times New Roman" w:hAnsi="Times New Roman" w:cs="Times New Roman"/>
                <w:color w:val="auto"/>
                <w:sz w:val="24"/>
                <w:szCs w:val="24"/>
                <w:highlight w:val="none"/>
                <w:lang w:val="en-US"/>
              </w:rPr>
              <w:t>35</w:t>
            </w:r>
            <w:r>
              <w:rPr>
                <w:rFonts w:hint="default" w:ascii="Times New Roman" w:hAnsi="Times New Roman" w:cs="Times New Roman"/>
                <w:color w:val="auto"/>
                <w:sz w:val="24"/>
                <w:szCs w:val="24"/>
                <w:highlight w:val="none"/>
              </w:rPr>
              <w:t>人/天</w:t>
            </w:r>
            <w:r>
              <w:rPr>
                <w:rFonts w:hint="eastAsia" w:ascii="Times New Roman" w:hAnsi="Times New Roman" w:cs="Times New Roman"/>
                <w:color w:val="auto"/>
                <w:sz w:val="24"/>
                <w:szCs w:val="24"/>
                <w:highlight w:val="none"/>
                <w:lang w:eastAsia="zh-CN"/>
              </w:rPr>
              <w:t>。</w:t>
            </w:r>
          </w:p>
          <w:p>
            <w:pPr>
              <w:pStyle w:val="9"/>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4</w:t>
            </w:r>
            <w:r>
              <w:rPr>
                <w:rFonts w:hint="eastAsia" w:ascii="Times New Roman" w:hAnsi="Times New Roman" w:eastAsia="宋体" w:cs="Times New Roman"/>
                <w:b/>
                <w:bCs/>
                <w:i w:val="0"/>
                <w:iCs w:val="0"/>
                <w:color w:val="auto"/>
                <w:sz w:val="24"/>
                <w:szCs w:val="24"/>
                <w:lang w:val="en-US" w:eastAsia="zh-CN"/>
              </w:rPr>
              <w:t>、</w:t>
            </w:r>
            <w:r>
              <w:rPr>
                <w:rFonts w:hint="default" w:ascii="Times New Roman" w:hAnsi="Times New Roman" w:eastAsia="宋体" w:cs="Times New Roman"/>
                <w:b/>
                <w:bCs/>
                <w:i w:val="0"/>
                <w:iCs w:val="0"/>
                <w:color w:val="auto"/>
                <w:sz w:val="24"/>
                <w:szCs w:val="24"/>
                <w:lang w:val="en-US" w:eastAsia="zh-CN"/>
              </w:rPr>
              <w:t>原项目工艺流程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原</w:t>
            </w:r>
            <w:r>
              <w:rPr>
                <w:rFonts w:hint="eastAsia" w:ascii="宋体" w:hAnsi="宋体" w:cs="宋体"/>
                <w:color w:val="auto"/>
                <w:sz w:val="24"/>
                <w:szCs w:val="24"/>
              </w:rPr>
              <w:t>项目为精神病专科医院，在对就诊患者进行检查诊疗过程中，与污染物排放有关的时段主要在检验、检查及门诊、住院治疗期间的手术等阶段。</w:t>
            </w:r>
            <w:r>
              <w:rPr>
                <w:rFonts w:hint="eastAsia" w:ascii="宋体" w:hAnsi="宋体" w:cs="宋体"/>
                <w:color w:val="auto"/>
                <w:sz w:val="24"/>
                <w:szCs w:val="24"/>
                <w:lang w:eastAsia="zh-CN"/>
              </w:rPr>
              <w:t>工艺</w:t>
            </w:r>
            <w:r>
              <w:rPr>
                <w:rFonts w:hint="eastAsia" w:ascii="宋体" w:hAnsi="宋体" w:cs="宋体"/>
                <w:color w:val="auto"/>
                <w:sz w:val="24"/>
                <w:szCs w:val="24"/>
              </w:rPr>
              <w:t>流程</w:t>
            </w:r>
            <w:r>
              <w:rPr>
                <w:rFonts w:hint="eastAsia" w:ascii="宋体" w:hAnsi="宋体" w:cs="宋体"/>
                <w:color w:val="auto"/>
                <w:sz w:val="24"/>
                <w:szCs w:val="24"/>
                <w:lang w:eastAsia="zh-CN"/>
              </w:rPr>
              <w:t>见下图</w:t>
            </w:r>
            <w:r>
              <w:rPr>
                <w:rFonts w:hint="eastAsia" w:ascii="宋体" w:hAnsi="宋体" w:cs="宋体"/>
                <w:color w:val="auto"/>
                <w:sz w:val="24"/>
                <w:szCs w:val="24"/>
              </w:rPr>
              <w:t>。</w:t>
            </w:r>
          </w:p>
          <w:p>
            <w:pPr>
              <w:keepNext w:val="0"/>
              <w:keepLines w:val="0"/>
              <w:suppressLineNumbers w:val="0"/>
              <w:snapToGrid w:val="0"/>
              <w:spacing w:before="0" w:beforeAutospacing="0" w:after="0" w:afterAutospacing="0" w:line="360" w:lineRule="auto"/>
              <w:ind w:left="0" w:right="0"/>
              <w:jc w:val="center"/>
              <w:rPr>
                <w:rFonts w:hint="eastAsia" w:ascii="宋体" w:hAnsi="宋体" w:cs="宋体"/>
                <w:b/>
                <w:bCs/>
                <w:color w:val="auto"/>
                <w:sz w:val="24"/>
                <w:szCs w:val="24"/>
              </w:rPr>
            </w:pPr>
            <w:r>
              <w:rPr>
                <w:rFonts w:hint="eastAsia" w:ascii="宋体" w:hAnsi="宋体" w:cs="宋体"/>
                <w:color w:val="auto"/>
                <w:sz w:val="24"/>
                <w:szCs w:val="24"/>
              </w:rPr>
              <w:object>
                <v:shape id="_x0000_i1030" o:spt="75" type="#_x0000_t75" style="height:144.75pt;width:436.9pt;" o:ole="t" filled="f" o:preferrelative="t" stroked="f" coordsize="21600,21600">
                  <v:path/>
                  <v:fill on="f" focussize="0,0"/>
                  <v:stroke on="f"/>
                  <v:imagedata r:id="rId24" o:title=""/>
                  <o:lock v:ext="edit" aspectratio="f"/>
                  <w10:wrap type="none"/>
                  <w10:anchorlock/>
                </v:shape>
                <o:OLEObject Type="Embed" ProgID="Visio.Drawing.15" ShapeID="_x0000_i1030" DrawAspect="Content" ObjectID="_1468075730" r:id="rId27">
                  <o:LockedField>false</o:LockedField>
                </o:OLEObject>
              </w:object>
            </w:r>
            <w:r>
              <w:rPr>
                <w:rFonts w:hint="eastAsia" w:ascii="宋体" w:hAnsi="宋体" w:cs="宋体"/>
                <w:b/>
                <w:bCs/>
                <w:color w:val="auto"/>
                <w:sz w:val="24"/>
                <w:szCs w:val="24"/>
              </w:rPr>
              <w:t>图2-</w:t>
            </w:r>
            <w:r>
              <w:rPr>
                <w:rFonts w:hint="default" w:ascii="宋体" w:hAnsi="宋体" w:cs="宋体"/>
                <w:b/>
                <w:bCs/>
                <w:color w:val="auto"/>
                <w:sz w:val="24"/>
                <w:szCs w:val="24"/>
                <w:lang w:val="en-US"/>
              </w:rPr>
              <w:t>6</w:t>
            </w:r>
            <w:r>
              <w:rPr>
                <w:rFonts w:hint="eastAsia" w:ascii="宋体" w:hAnsi="宋体" w:cs="宋体"/>
                <w:b/>
                <w:bCs/>
                <w:color w:val="auto"/>
                <w:sz w:val="24"/>
                <w:szCs w:val="24"/>
              </w:rPr>
              <w:t xml:space="preserve"> 运行期就医流程图</w:t>
            </w:r>
          </w:p>
          <w:p>
            <w:pPr>
              <w:pStyle w:val="10"/>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left"/>
              <w:textAlignment w:val="auto"/>
              <w:rPr>
                <w:rFonts w:hint="default" w:ascii="宋体" w:hAnsi="宋体" w:eastAsia="宋体" w:cs="宋体"/>
                <w:i w:val="0"/>
                <w:color w:val="auto"/>
                <w:kern w:val="2"/>
                <w:sz w:val="24"/>
                <w:szCs w:val="24"/>
                <w:lang w:val="en-US" w:eastAsia="zh-CN" w:bidi="ar-SA"/>
              </w:rPr>
            </w:pPr>
            <w:r>
              <w:rPr>
                <w:rFonts w:hint="eastAsia" w:ascii="宋体" w:hAnsi="宋体" w:eastAsia="宋体" w:cs="宋体"/>
                <w:i w:val="0"/>
                <w:color w:val="auto"/>
                <w:kern w:val="2"/>
                <w:sz w:val="24"/>
                <w:szCs w:val="24"/>
                <w:lang w:val="en-US" w:eastAsia="zh-CN" w:bidi="ar-SA"/>
              </w:rPr>
              <w:t>就诊患者前来接受医生的咨询、问诊等，必要时进行抽血检查化验，最终确定诊疗方案，在诊断室实施。</w:t>
            </w:r>
          </w:p>
          <w:p>
            <w:pPr>
              <w:pStyle w:val="10"/>
              <w:keepNext w:val="0"/>
              <w:keepLines w:val="0"/>
              <w:pageBreakBefore w:val="0"/>
              <w:widowControl/>
              <w:numPr>
                <w:ilvl w:val="0"/>
                <w:numId w:val="0"/>
              </w:numPr>
              <w:suppressLineNumbers w:val="0"/>
              <w:kinsoku/>
              <w:overflowPunct/>
              <w:topLinePunct w:val="0"/>
              <w:autoSpaceDE/>
              <w:autoSpaceDN/>
              <w:bidi w:val="0"/>
              <w:adjustRightInd w:val="0"/>
              <w:snapToGrid/>
              <w:spacing w:before="0" w:beforeAutospacing="0" w:after="0" w:afterAutospacing="0" w:line="360" w:lineRule="auto"/>
              <w:ind w:left="0" w:right="0" w:rightChars="0"/>
              <w:jc w:val="both"/>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5、原项目污染物产排情况</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val="0"/>
                <w:bCs w:val="0"/>
                <w:i w:val="0"/>
                <w:iCs w:val="0"/>
                <w:color w:val="auto"/>
                <w:sz w:val="24"/>
                <w:szCs w:val="24"/>
                <w:lang w:val="en-US" w:eastAsia="zh-CN"/>
              </w:rPr>
            </w:pPr>
            <w:r>
              <w:rPr>
                <w:rFonts w:hint="default" w:ascii="Times New Roman" w:hAnsi="Times New Roman" w:eastAsia="宋体" w:cs="Times New Roman"/>
                <w:b w:val="0"/>
                <w:bCs w:val="0"/>
                <w:i w:val="0"/>
                <w:iCs w:val="0"/>
                <w:color w:val="auto"/>
                <w:sz w:val="24"/>
                <w:szCs w:val="24"/>
                <w:lang w:val="en-US" w:eastAsia="zh-CN"/>
              </w:rPr>
              <w:t>（1）废水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1）门诊污水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本项目门诊用水量</w:t>
            </w:r>
            <w:r>
              <w:rPr>
                <w:rFonts w:hint="default" w:ascii="Times New Roman" w:hAnsi="Times New Roman" w:eastAsia="宋体" w:cs="Times New Roman"/>
                <w:i w:val="0"/>
                <w:iCs w:val="0"/>
                <w:color w:val="auto"/>
                <w:sz w:val="24"/>
                <w:szCs w:val="24"/>
                <w:lang w:val="en-US"/>
              </w:rPr>
              <w:t>0.7</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/d，门诊废水排放量按用水量的</w:t>
            </w:r>
            <w:r>
              <w:rPr>
                <w:rFonts w:hint="default" w:ascii="Times New Roman" w:hAnsi="Times New Roman" w:eastAsia="宋体" w:cs="Times New Roman"/>
                <w:i w:val="0"/>
                <w:iCs w:val="0"/>
                <w:color w:val="auto"/>
                <w:sz w:val="24"/>
                <w:szCs w:val="24"/>
                <w:lang w:val="en-US"/>
              </w:rPr>
              <w:t>9</w:t>
            </w:r>
            <w:r>
              <w:rPr>
                <w:rFonts w:hint="default" w:ascii="Times New Roman" w:hAnsi="Times New Roman" w:eastAsia="宋体" w:cs="Times New Roman"/>
                <w:i w:val="0"/>
                <w:iCs w:val="0"/>
                <w:color w:val="auto"/>
                <w:sz w:val="24"/>
                <w:szCs w:val="24"/>
              </w:rPr>
              <w:t>0%计算，则排放量为</w:t>
            </w:r>
            <w:r>
              <w:rPr>
                <w:rFonts w:hint="default" w:ascii="Times New Roman" w:hAnsi="Times New Roman" w:eastAsia="宋体" w:cs="Times New Roman"/>
                <w:i w:val="0"/>
                <w:iCs w:val="0"/>
                <w:color w:val="auto"/>
                <w:sz w:val="24"/>
                <w:szCs w:val="24"/>
                <w:lang w:val="en-US"/>
              </w:rPr>
              <w:t>0.63</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w:t>
            </w:r>
            <w:r>
              <w:rPr>
                <w:rFonts w:hint="default" w:ascii="Times New Roman" w:hAnsi="Times New Roman" w:eastAsia="宋体" w:cs="Times New Roman"/>
                <w:i w:val="0"/>
                <w:iCs w:val="0"/>
                <w:color w:val="auto"/>
                <w:sz w:val="24"/>
                <w:szCs w:val="24"/>
                <w:lang w:val="en-US"/>
              </w:rPr>
              <w:t>229.95</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/a。</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2）住院病房污水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lang w:eastAsia="zh-CN"/>
              </w:rPr>
              <w:t>原</w:t>
            </w:r>
            <w:r>
              <w:rPr>
                <w:rFonts w:hint="default" w:ascii="Times New Roman" w:hAnsi="Times New Roman" w:eastAsia="宋体" w:cs="Times New Roman"/>
                <w:i w:val="0"/>
                <w:iCs w:val="0"/>
                <w:color w:val="auto"/>
                <w:sz w:val="24"/>
                <w:szCs w:val="24"/>
              </w:rPr>
              <w:t>项目有</w:t>
            </w:r>
            <w:r>
              <w:rPr>
                <w:rFonts w:hint="default" w:ascii="Times New Roman" w:hAnsi="Times New Roman" w:eastAsia="宋体" w:cs="Times New Roman"/>
                <w:i w:val="0"/>
                <w:iCs w:val="0"/>
                <w:color w:val="auto"/>
                <w:sz w:val="24"/>
                <w:szCs w:val="24"/>
                <w:lang w:val="en-US"/>
              </w:rPr>
              <w:t>105</w:t>
            </w:r>
            <w:r>
              <w:rPr>
                <w:rFonts w:hint="default" w:ascii="Times New Roman" w:hAnsi="Times New Roman" w:eastAsia="宋体" w:cs="Times New Roman"/>
                <w:i w:val="0"/>
                <w:iCs w:val="0"/>
                <w:color w:val="auto"/>
                <w:sz w:val="24"/>
                <w:szCs w:val="24"/>
              </w:rPr>
              <w:t>个床位，住院病房用水量为</w:t>
            </w:r>
            <w:r>
              <w:rPr>
                <w:rFonts w:hint="default" w:ascii="Times New Roman" w:hAnsi="Times New Roman" w:eastAsia="宋体" w:cs="Times New Roman"/>
                <w:i w:val="0"/>
                <w:iCs w:val="0"/>
                <w:color w:val="auto"/>
                <w:sz w:val="24"/>
                <w:szCs w:val="24"/>
                <w:lang w:val="en-US"/>
              </w:rPr>
              <w:t>31.5</w:t>
            </w:r>
            <w:r>
              <w:rPr>
                <w:rFonts w:hint="default" w:ascii="Times New Roman" w:hAnsi="Times New Roman" w:eastAsia="宋体" w:cs="Times New Roman"/>
                <w:i w:val="0"/>
                <w:iCs w:val="0"/>
                <w:color w:val="auto"/>
                <w:sz w:val="24"/>
                <w:szCs w:val="24"/>
              </w:rPr>
              <w:t>m³/d，废水排放量按用水量的</w:t>
            </w:r>
            <w:r>
              <w:rPr>
                <w:rFonts w:hint="default" w:ascii="Times New Roman" w:hAnsi="Times New Roman" w:eastAsia="宋体" w:cs="Times New Roman"/>
                <w:i w:val="0"/>
                <w:iCs w:val="0"/>
                <w:color w:val="auto"/>
                <w:sz w:val="24"/>
                <w:szCs w:val="24"/>
                <w:lang w:val="en-US"/>
              </w:rPr>
              <w:t>9</w:t>
            </w:r>
            <w:r>
              <w:rPr>
                <w:rFonts w:hint="default" w:ascii="Times New Roman" w:hAnsi="Times New Roman" w:eastAsia="宋体" w:cs="Times New Roman"/>
                <w:i w:val="0"/>
                <w:iCs w:val="0"/>
                <w:color w:val="auto"/>
                <w:sz w:val="24"/>
                <w:szCs w:val="24"/>
              </w:rPr>
              <w:t>0%计算，则排放量为</w:t>
            </w:r>
            <w:r>
              <w:rPr>
                <w:rFonts w:hint="default" w:ascii="Times New Roman" w:hAnsi="Times New Roman" w:eastAsia="宋体" w:cs="Times New Roman"/>
                <w:i w:val="0"/>
                <w:iCs w:val="0"/>
                <w:color w:val="auto"/>
                <w:sz w:val="24"/>
                <w:szCs w:val="24"/>
                <w:lang w:val="en-US"/>
              </w:rPr>
              <w:t>28.35</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w:t>
            </w:r>
            <w:r>
              <w:rPr>
                <w:rFonts w:hint="default" w:ascii="Times New Roman" w:hAnsi="Times New Roman" w:eastAsia="宋体" w:cs="Times New Roman"/>
                <w:i w:val="0"/>
                <w:iCs w:val="0"/>
                <w:color w:val="auto"/>
                <w:sz w:val="24"/>
                <w:szCs w:val="24"/>
                <w:lang w:val="en-US"/>
              </w:rPr>
              <w:t>10347.75</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/a。</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i w:val="0"/>
                <w:iCs w:val="0"/>
                <w:color w:val="auto"/>
                <w:kern w:val="0"/>
                <w:sz w:val="24"/>
                <w:szCs w:val="24"/>
              </w:rPr>
            </w:pPr>
            <w:r>
              <w:rPr>
                <w:rFonts w:hint="default" w:ascii="Times New Roman" w:hAnsi="Times New Roman" w:eastAsia="宋体" w:cs="Times New Roman"/>
                <w:i w:val="0"/>
                <w:iCs w:val="0"/>
                <w:color w:val="auto"/>
                <w:kern w:val="0"/>
                <w:sz w:val="24"/>
                <w:szCs w:val="24"/>
              </w:rPr>
              <w:t>3）厨房污水</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厨房用水量为</w:t>
            </w:r>
            <w:r>
              <w:rPr>
                <w:rFonts w:hint="default" w:ascii="Times New Roman" w:hAnsi="Times New Roman" w:eastAsia="宋体" w:cs="Times New Roman"/>
                <w:i w:val="0"/>
                <w:iCs w:val="0"/>
                <w:color w:val="auto"/>
                <w:sz w:val="24"/>
                <w:szCs w:val="24"/>
                <w:lang w:val="en-US"/>
              </w:rPr>
              <w:t>2.6</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/d，产污系数按90%计，污水排放量约为</w:t>
            </w:r>
            <w:r>
              <w:rPr>
                <w:rFonts w:hint="default" w:ascii="Times New Roman" w:hAnsi="Times New Roman" w:eastAsia="宋体" w:cs="Times New Roman"/>
                <w:i w:val="0"/>
                <w:iCs w:val="0"/>
                <w:color w:val="auto"/>
                <w:sz w:val="24"/>
                <w:szCs w:val="24"/>
                <w:lang w:val="en-US"/>
              </w:rPr>
              <w:t>2.34</w:t>
            </w:r>
            <w:r>
              <w:rPr>
                <w:rFonts w:hint="default" w:ascii="Times New Roman" w:hAnsi="Times New Roman" w:eastAsia="宋体" w:cs="Times New Roman"/>
                <w:i w:val="0"/>
                <w:iCs w:val="0"/>
                <w:color w:val="auto"/>
                <w:sz w:val="24"/>
                <w:szCs w:val="24"/>
              </w:rPr>
              <w:t>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/d，1130.04m3/a。</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4）检验废水</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rPr>
            </w:pPr>
            <w:r>
              <w:rPr>
                <w:rFonts w:hint="default" w:ascii="Times New Roman" w:hAnsi="Times New Roman" w:eastAsia="宋体" w:cs="Times New Roman"/>
                <w:i w:val="0"/>
                <w:iCs w:val="0"/>
                <w:color w:val="auto"/>
                <w:sz w:val="24"/>
                <w:szCs w:val="24"/>
              </w:rPr>
              <w:t>本项目检验清洗用水量约为0.05m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/d，不涉及重金属，排污系数0.9，检验污水产生量0.045m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/d，16.425m</w:t>
            </w:r>
            <w:r>
              <w:rPr>
                <w:rFonts w:hint="default" w:ascii="Times New Roman" w:hAnsi="Times New Roman" w:eastAsia="宋体" w:cs="Times New Roman"/>
                <w:i w:val="0"/>
                <w:iCs w:val="0"/>
                <w:color w:val="auto"/>
                <w:sz w:val="24"/>
                <w:szCs w:val="24"/>
                <w:vertAlign w:val="superscript"/>
              </w:rPr>
              <w:t>3</w:t>
            </w:r>
            <w:r>
              <w:rPr>
                <w:rFonts w:hint="default" w:ascii="Times New Roman" w:hAnsi="Times New Roman" w:eastAsia="宋体" w:cs="Times New Roman"/>
                <w:i w:val="0"/>
                <w:iCs w:val="0"/>
                <w:color w:val="auto"/>
                <w:sz w:val="24"/>
                <w:szCs w:val="24"/>
              </w:rPr>
              <w:t>/a。</w:t>
            </w:r>
          </w:p>
          <w:p>
            <w:pPr>
              <w:pStyle w:val="10"/>
              <w:keepNext w:val="0"/>
              <w:keepLines w:val="0"/>
              <w:pageBreakBefore w:val="0"/>
              <w:widowControl/>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Chars="0" w:right="0" w:rightChars="0"/>
              <w:jc w:val="both"/>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（2）废气</w:t>
            </w:r>
          </w:p>
          <w:p>
            <w:pPr>
              <w:keepNext w:val="0"/>
              <w:keepLines w:val="0"/>
              <w:pageBreakBefore w:val="0"/>
              <w:numPr>
                <w:ilvl w:val="0"/>
                <w:numId w:val="0"/>
              </w:numPr>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原项目运营过程中产生的废气主要为污水处理站异味、厨房油烟和备用发电机尾气。废气产生量较小，无组织排放，根据东川精神病院2023年第一季度自行监测报告，项目污水处理站周界无组织废气满足</w:t>
            </w:r>
            <w:r>
              <w:rPr>
                <w:rFonts w:hint="default" w:ascii="Times New Roman" w:hAnsi="Times New Roman" w:eastAsia="宋体" w:cs="Times New Roman"/>
                <w:i w:val="0"/>
                <w:iCs w:val="0"/>
                <w:color w:val="auto"/>
                <w:sz w:val="24"/>
                <w:szCs w:val="24"/>
              </w:rPr>
              <w:t>《医疗机构水污染物排放标准》（GB</w:t>
            </w:r>
            <w:r>
              <w:rPr>
                <w:rFonts w:hint="eastAsia"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rPr>
              <w:t>-2005）表3标准</w:t>
            </w:r>
            <w:r>
              <w:rPr>
                <w:rFonts w:hint="default" w:ascii="Times New Roman" w:hAnsi="Times New Roman" w:eastAsia="宋体" w:cs="Times New Roman"/>
                <w:i w:val="0"/>
                <w:iCs w:val="0"/>
                <w:color w:val="auto"/>
                <w:sz w:val="24"/>
                <w:szCs w:val="24"/>
                <w:lang w:eastAsia="zh-CN"/>
              </w:rPr>
              <w:t>，</w:t>
            </w:r>
            <w:r>
              <w:rPr>
                <w:rFonts w:hint="default" w:ascii="Times New Roman" w:hAnsi="Times New Roman" w:eastAsia="宋体" w:cs="Times New Roman"/>
                <w:i w:val="0"/>
                <w:iCs w:val="0"/>
                <w:color w:val="auto"/>
                <w:sz w:val="24"/>
                <w:szCs w:val="24"/>
                <w:lang w:val="en-US" w:eastAsia="zh-CN"/>
              </w:rPr>
              <w:t>对环境影响较小。</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（3）噪声</w:t>
            </w:r>
          </w:p>
          <w:p>
            <w:pPr>
              <w:pStyle w:val="10"/>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根据东川精神病院2023年第一季度自行监测报告，项目厂界噪声满足《</w:t>
            </w:r>
            <w:r>
              <w:rPr>
                <w:rFonts w:hint="default" w:ascii="Times New Roman" w:hAnsi="Times New Roman" w:eastAsia="宋体" w:cs="Times New Roman"/>
                <w:i w:val="0"/>
                <w:iCs w:val="0"/>
                <w:color w:val="auto"/>
                <w:sz w:val="24"/>
                <w:szCs w:val="24"/>
                <w:lang w:val="en-US" w:eastAsia="zh-CN"/>
              </w:rPr>
              <w:fldChar w:fldCharType="begin"/>
            </w:r>
            <w:r>
              <w:rPr>
                <w:rFonts w:hint="default" w:ascii="Times New Roman" w:hAnsi="Times New Roman" w:eastAsia="宋体" w:cs="Times New Roman"/>
                <w:i w:val="0"/>
                <w:iCs w:val="0"/>
                <w:color w:val="auto"/>
                <w:sz w:val="24"/>
                <w:szCs w:val="24"/>
                <w:lang w:val="en-US" w:eastAsia="zh-CN"/>
              </w:rPr>
              <w:instrText xml:space="preserve"> HYPERLINK "https://www.mee.gov.cn/ywgz/fgbz/bz/bzwb/wlhj/hjzspfbz/200809/W020111121353694435553.pdf" </w:instrText>
            </w:r>
            <w:r>
              <w:rPr>
                <w:rFonts w:hint="default" w:ascii="Times New Roman" w:hAnsi="Times New Roman" w:eastAsia="宋体" w:cs="Times New Roman"/>
                <w:i w:val="0"/>
                <w:iCs w:val="0"/>
                <w:color w:val="auto"/>
                <w:sz w:val="24"/>
                <w:szCs w:val="24"/>
                <w:lang w:val="en-US" w:eastAsia="zh-CN"/>
              </w:rPr>
              <w:fldChar w:fldCharType="separate"/>
            </w:r>
            <w:r>
              <w:rPr>
                <w:rFonts w:hint="eastAsia" w:ascii="Times New Roman" w:hAnsi="Times New Roman" w:eastAsia="宋体" w:cs="Times New Roman"/>
                <w:i w:val="0"/>
                <w:iCs w:val="0"/>
                <w:color w:val="auto"/>
                <w:sz w:val="24"/>
                <w:szCs w:val="24"/>
                <w:lang w:val="en-US" w:eastAsia="zh-CN"/>
              </w:rPr>
              <w:t xml:space="preserve">社会生活环境噪声排放标准（GB </w:t>
            </w:r>
            <w:r>
              <w:rPr>
                <w:rFonts w:hint="eastAsia"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t>-</w:t>
            </w:r>
            <w:r>
              <w:rPr>
                <w:rFonts w:hint="eastAsia" w:ascii="Times New Roman" w:hAnsi="Times New Roman" w:eastAsia="宋体" w:cs="Times New Roman"/>
                <w:i w:val="0"/>
                <w:iCs w:val="0"/>
                <w:color w:val="auto"/>
                <w:sz w:val="24"/>
                <w:szCs w:val="24"/>
                <w:lang w:val="en-US" w:eastAsia="zh-CN"/>
              </w:rPr>
              <w:t>2008）</w:t>
            </w:r>
            <w:r>
              <w:rPr>
                <w:rFonts w:hint="eastAsia" w:ascii="Times New Roman" w:hAnsi="Times New Roman" w:eastAsia="宋体" w:cs="Times New Roman"/>
                <w:i w:val="0"/>
                <w:iCs w:val="0"/>
                <w:color w:val="auto"/>
                <w:sz w:val="24"/>
                <w:szCs w:val="24"/>
                <w:lang w:val="en-US" w:eastAsia="zh-CN"/>
              </w:rPr>
              <w:fldChar w:fldCharType="end"/>
            </w:r>
            <w:r>
              <w:rPr>
                <w:rFonts w:hint="default" w:ascii="Times New Roman" w:hAnsi="Times New Roman" w:eastAsia="宋体" w:cs="Times New Roman"/>
                <w:i w:val="0"/>
                <w:iCs w:val="0"/>
                <w:color w:val="auto"/>
                <w:sz w:val="24"/>
                <w:szCs w:val="24"/>
              </w:rPr>
              <w:t>2类标准</w:t>
            </w:r>
            <w:r>
              <w:rPr>
                <w:rFonts w:hint="default" w:ascii="Times New Roman" w:hAnsi="Times New Roman" w:eastAsia="宋体" w:cs="Times New Roman"/>
                <w:i w:val="0"/>
                <w:iCs w:val="0"/>
                <w:color w:val="auto"/>
                <w:sz w:val="24"/>
                <w:szCs w:val="24"/>
                <w:lang w:eastAsia="zh-CN"/>
              </w:rPr>
              <w:t>。</w:t>
            </w:r>
          </w:p>
          <w:p>
            <w:pPr>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（4）固废</w:t>
            </w:r>
          </w:p>
          <w:p>
            <w:pPr>
              <w:pStyle w:val="9"/>
              <w:keepNext w:val="0"/>
              <w:keepLines w:val="0"/>
              <w:pageBreakBefore w:val="0"/>
              <w:suppressLineNumbers w:val="0"/>
              <w:kinsoku/>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Calibri" w:hAnsi="Calibri" w:cs="Times New Roman"/>
                <w:color w:val="auto"/>
                <w:lang w:val="en-US" w:eastAsia="zh-CN"/>
              </w:rPr>
            </w:pPr>
            <w:r>
              <w:rPr>
                <w:rFonts w:hint="default" w:ascii="Times New Roman" w:hAnsi="Times New Roman" w:eastAsia="宋体" w:cs="Times New Roman"/>
                <w:i w:val="0"/>
                <w:iCs w:val="0"/>
                <w:color w:val="auto"/>
                <w:sz w:val="24"/>
                <w:szCs w:val="24"/>
                <w:lang w:val="en-US" w:eastAsia="zh-CN"/>
              </w:rPr>
              <w:t>原项目生活垃圾委托环卫部门清运，医疗废物暂存于医疗废物暂存间内，委托有资质单位清运处置。项目固废处置率为100%。</w:t>
            </w:r>
          </w:p>
          <w:p>
            <w:pPr>
              <w:pStyle w:val="9"/>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textAlignment w:val="auto"/>
              <w:rPr>
                <w:rFonts w:hint="default" w:ascii="Times New Roman" w:hAnsi="Times New Roman" w:eastAsia="宋体" w:cs="Times New Roman"/>
                <w:b/>
                <w:bCs/>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6、</w:t>
            </w:r>
            <w:r>
              <w:rPr>
                <w:rFonts w:hint="eastAsia" w:ascii="Times New Roman" w:hAnsi="Times New Roman" w:eastAsia="宋体" w:cs="Times New Roman"/>
                <w:b/>
                <w:bCs/>
                <w:i w:val="0"/>
                <w:iCs w:val="0"/>
                <w:color w:val="auto"/>
                <w:sz w:val="24"/>
                <w:szCs w:val="24"/>
                <w:lang w:val="en-US" w:eastAsia="zh-CN"/>
              </w:rPr>
              <w:t>原项目场地处置情况</w:t>
            </w:r>
          </w:p>
          <w:p>
            <w:pPr>
              <w:pStyle w:val="9"/>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i w:val="0"/>
                <w:iCs w:val="0"/>
                <w:color w:val="auto"/>
                <w:sz w:val="24"/>
                <w:szCs w:val="24"/>
                <w:lang w:val="en-US" w:eastAsia="zh-CN"/>
              </w:rPr>
            </w:pPr>
            <w:r>
              <w:rPr>
                <w:rFonts w:hint="eastAsia" w:ascii="Times New Roman" w:hAnsi="Times New Roman" w:eastAsia="宋体" w:cs="Times New Roman"/>
                <w:b w:val="0"/>
                <w:bCs w:val="0"/>
                <w:i w:val="0"/>
                <w:iCs w:val="0"/>
                <w:color w:val="auto"/>
                <w:sz w:val="24"/>
                <w:szCs w:val="24"/>
                <w:lang w:val="en-US" w:eastAsia="zh-CN"/>
              </w:rPr>
              <w:t>本项目建设完成后，原东川精神病院搬迁至本项目，原项目</w:t>
            </w:r>
            <w:r>
              <w:rPr>
                <w:rFonts w:hint="default" w:ascii="Times New Roman" w:hAnsi="Times New Roman" w:cs="Times New Roman"/>
                <w:color w:val="auto"/>
                <w:sz w:val="24"/>
                <w:szCs w:val="24"/>
              </w:rPr>
              <w:t>租用廉租房小区一、二楼18间房屋</w:t>
            </w:r>
            <w:r>
              <w:rPr>
                <w:rFonts w:hint="eastAsia" w:ascii="Times New Roman" w:hAnsi="Times New Roman" w:cs="Times New Roman"/>
                <w:color w:val="auto"/>
                <w:sz w:val="24"/>
                <w:szCs w:val="24"/>
                <w:lang w:eastAsia="zh-CN"/>
              </w:rPr>
              <w:t>退还，自建建筑物闲置。</w:t>
            </w:r>
          </w:p>
          <w:p>
            <w:pPr>
              <w:pStyle w:val="9"/>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textAlignment w:val="auto"/>
              <w:rPr>
                <w:rFonts w:hint="default" w:ascii="Times New Roman" w:hAnsi="Times New Roman" w:eastAsia="宋体" w:cs="Times New Roman"/>
                <w:b w:val="0"/>
                <w:bCs w:val="0"/>
                <w:i w:val="0"/>
                <w:iCs w:val="0"/>
                <w:color w:val="auto"/>
                <w:sz w:val="24"/>
                <w:szCs w:val="24"/>
                <w:lang w:val="en-US" w:eastAsia="zh-CN"/>
              </w:rPr>
            </w:pPr>
            <w:r>
              <w:rPr>
                <w:rFonts w:hint="default" w:ascii="Times New Roman" w:hAnsi="Times New Roman" w:eastAsia="宋体" w:cs="Times New Roman"/>
                <w:b/>
                <w:bCs/>
                <w:i w:val="0"/>
                <w:iCs w:val="0"/>
                <w:color w:val="auto"/>
                <w:sz w:val="24"/>
                <w:szCs w:val="24"/>
                <w:lang w:val="en-US" w:eastAsia="zh-CN"/>
              </w:rPr>
              <w:t>7</w:t>
            </w:r>
            <w:r>
              <w:rPr>
                <w:rFonts w:hint="eastAsia" w:ascii="Times New Roman" w:hAnsi="Times New Roman" w:eastAsia="宋体" w:cs="Times New Roman"/>
                <w:b/>
                <w:bCs/>
                <w:i w:val="0"/>
                <w:iCs w:val="0"/>
                <w:color w:val="auto"/>
                <w:sz w:val="24"/>
                <w:szCs w:val="24"/>
                <w:lang w:val="en-US" w:eastAsia="zh-CN"/>
              </w:rPr>
              <w:t>、</w:t>
            </w:r>
            <w:r>
              <w:rPr>
                <w:rFonts w:hint="default" w:ascii="Times New Roman" w:hAnsi="Times New Roman" w:eastAsia="宋体" w:cs="Times New Roman"/>
                <w:b/>
                <w:bCs/>
                <w:i w:val="0"/>
                <w:iCs w:val="0"/>
                <w:color w:val="auto"/>
                <w:kern w:val="2"/>
                <w:sz w:val="24"/>
                <w:szCs w:val="24"/>
              </w:rPr>
              <w:t>与项目有关的</w:t>
            </w:r>
            <w:r>
              <w:rPr>
                <w:rFonts w:hint="default" w:ascii="Times New Roman" w:hAnsi="Times New Roman" w:eastAsia="宋体" w:cs="Times New Roman"/>
                <w:b/>
                <w:bCs/>
                <w:i w:val="0"/>
                <w:iCs w:val="0"/>
                <w:color w:val="auto"/>
                <w:kern w:val="2"/>
                <w:sz w:val="24"/>
                <w:szCs w:val="24"/>
                <w:lang w:val="en-US" w:eastAsia="zh-CN"/>
              </w:rPr>
              <w:t>主要</w:t>
            </w:r>
            <w:r>
              <w:rPr>
                <w:rFonts w:hint="default" w:ascii="Times New Roman" w:hAnsi="Times New Roman" w:eastAsia="宋体" w:cs="Times New Roman"/>
                <w:b/>
                <w:bCs/>
                <w:i w:val="0"/>
                <w:iCs w:val="0"/>
                <w:color w:val="auto"/>
                <w:kern w:val="2"/>
                <w:sz w:val="24"/>
                <w:szCs w:val="24"/>
              </w:rPr>
              <w:t>环境问题</w:t>
            </w:r>
            <w:r>
              <w:rPr>
                <w:rFonts w:hint="default" w:ascii="Times New Roman" w:hAnsi="Times New Roman" w:eastAsia="宋体" w:cs="Times New Roman"/>
                <w:b/>
                <w:bCs/>
                <w:i w:val="0"/>
                <w:iCs w:val="0"/>
                <w:color w:val="auto"/>
                <w:kern w:val="2"/>
                <w:sz w:val="24"/>
                <w:szCs w:val="24"/>
                <w:lang w:val="en-US" w:eastAsia="zh-CN"/>
              </w:rPr>
              <w:t>及整改措施</w:t>
            </w:r>
          </w:p>
          <w:p>
            <w:pPr>
              <w:keepNext w:val="0"/>
              <w:keepLines w:val="0"/>
              <w:pageBreakBefore w:val="0"/>
              <w:suppressLineNumbers w:val="0"/>
              <w:kinsoku/>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i w:val="0"/>
                <w:iCs w:val="0"/>
                <w:color w:val="auto"/>
                <w:sz w:val="24"/>
                <w:szCs w:val="24"/>
                <w:lang w:val="en-US" w:eastAsia="zh-CN"/>
              </w:rPr>
            </w:pPr>
            <w:r>
              <w:rPr>
                <w:rFonts w:hint="eastAsia" w:ascii="Times New Roman" w:hAnsi="Times New Roman" w:eastAsia="宋体" w:cs="Times New Roman"/>
                <w:b w:val="0"/>
                <w:bCs w:val="0"/>
                <w:i w:val="0"/>
                <w:iCs w:val="0"/>
                <w:color w:val="auto"/>
                <w:sz w:val="24"/>
                <w:szCs w:val="24"/>
                <w:lang w:val="en-US" w:eastAsia="zh-CN"/>
              </w:rPr>
              <w:t>本项目建设用地原为耕地，无与环境污染问题。</w:t>
            </w:r>
          </w:p>
        </w:tc>
      </w:tr>
    </w:tbl>
    <w:p>
      <w:pPr>
        <w:pStyle w:val="22"/>
        <w:jc w:val="both"/>
        <w:rPr>
          <w:rFonts w:ascii="Times New Roman" w:hAnsi="Times New Roman" w:eastAsia="黑体"/>
          <w:snapToGrid w:val="0"/>
          <w:color w:val="auto"/>
          <w:sz w:val="36"/>
          <w:szCs w:val="36"/>
        </w:rPr>
        <w:sectPr>
          <w:footerReference r:id="rId6" w:type="default"/>
          <w:pgSz w:w="11906" w:h="16838"/>
          <w:pgMar w:top="1304" w:right="1134" w:bottom="1304" w:left="1531" w:header="851" w:footer="851" w:gutter="0"/>
          <w:pgNumType w:start="1"/>
          <w:cols w:space="720" w:num="1"/>
          <w:docGrid w:linePitch="312" w:charSpace="0"/>
        </w:sectPr>
      </w:pPr>
    </w:p>
    <w:p>
      <w:pPr>
        <w:pStyle w:val="3"/>
        <w:jc w:val="center"/>
        <w:rPr>
          <w:rFonts w:hint="eastAsia" w:ascii="Calibri" w:hAnsi="Calibri" w:cs="Calibri"/>
          <w:color w:val="auto"/>
        </w:rPr>
      </w:pPr>
      <w:bookmarkStart w:id="5" w:name="_Toc16870"/>
      <w:r>
        <w:rPr>
          <w:rFonts w:hint="eastAsia" w:ascii="Calibri" w:hAnsi="Calibri" w:cs="Calibri"/>
          <w:color w:val="auto"/>
        </w:rPr>
        <w:t>三、区域环境质量现状、环境保护目标及评价标准</w:t>
      </w:r>
      <w:bookmarkEnd w:id="5"/>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eastAsia" w:ascii="Calibri" w:hAnsi="Calibri" w:cs="Times New Roman"/>
                <w:b/>
                <w:bCs/>
                <w:color w:val="auto"/>
                <w:kern w:val="0"/>
                <w:sz w:val="24"/>
                <w:szCs w:val="24"/>
              </w:rPr>
              <w:t>环境质量标准及</w:t>
            </w:r>
            <w:r>
              <w:rPr>
                <w:rFonts w:hint="default" w:ascii="Calibri" w:hAnsi="Calibri" w:cs="Times New Roman"/>
                <w:b/>
                <w:bCs/>
                <w:color w:val="auto"/>
                <w:kern w:val="0"/>
                <w:sz w:val="24"/>
                <w:szCs w:val="24"/>
              </w:rPr>
              <w:t>区域</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环境</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质量</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现状</w:t>
            </w:r>
          </w:p>
        </w:tc>
        <w:tc>
          <w:tcPr>
            <w:tcW w:w="8482" w:type="dxa"/>
            <w:noWrap w:val="0"/>
            <w:vAlign w:val="center"/>
          </w:tcPr>
          <w:p>
            <w:pPr>
              <w:keepNext w:val="0"/>
              <w:keepLines w:val="0"/>
              <w:numPr>
                <w:ilvl w:val="0"/>
                <w:numId w:val="2"/>
              </w:numPr>
              <w:suppressLineNumbers w:val="0"/>
              <w:snapToGrid w:val="0"/>
              <w:spacing w:before="0" w:beforeAutospacing="0" w:after="0" w:afterAutospacing="0" w:line="360" w:lineRule="auto"/>
              <w:ind w:left="0" w:right="0"/>
              <w:rPr>
                <w:rFonts w:hint="eastAsia" w:ascii="Calibri" w:hAnsi="Calibri" w:cs="Times New Roman"/>
                <w:b/>
                <w:bCs/>
                <w:color w:val="auto"/>
                <w:sz w:val="24"/>
              </w:rPr>
            </w:pPr>
            <w:r>
              <w:rPr>
                <w:rFonts w:hint="default" w:ascii="Calibri" w:hAnsi="Calibri" w:cs="Times New Roman"/>
                <w:b/>
                <w:bCs/>
                <w:color w:val="auto"/>
                <w:sz w:val="24"/>
              </w:rPr>
              <w:t>环境空气</w:t>
            </w:r>
            <w:r>
              <w:rPr>
                <w:rFonts w:hint="eastAsia" w:ascii="Calibri" w:hAnsi="Calibri" w:cs="Times New Roman"/>
                <w:b/>
                <w:bCs/>
                <w:color w:val="auto"/>
                <w:sz w:val="24"/>
              </w:rPr>
              <w:t>质量现状及标准</w:t>
            </w:r>
          </w:p>
          <w:p>
            <w:pPr>
              <w:pStyle w:val="9"/>
              <w:keepNext w:val="0"/>
              <w:keepLines w:val="0"/>
              <w:suppressLineNumbers w:val="0"/>
              <w:spacing w:beforeAutospacing="0" w:afterAutospacing="0"/>
              <w:ind w:left="0" w:firstLine="241" w:firstLineChars="100"/>
              <w:rPr>
                <w:rFonts w:hint="default" w:ascii="Calibri" w:hAnsi="Calibri" w:cs="Times New Roman"/>
                <w:b/>
                <w:bCs/>
                <w:color w:val="auto"/>
                <w:kern w:val="0"/>
                <w:sz w:val="24"/>
              </w:rPr>
            </w:pPr>
            <w:r>
              <w:rPr>
                <w:rFonts w:hint="eastAsia" w:ascii="Calibri" w:hAnsi="Calibri" w:cs="Times New Roman"/>
                <w:b/>
                <w:bCs/>
                <w:color w:val="auto"/>
                <w:kern w:val="0"/>
                <w:sz w:val="24"/>
              </w:rPr>
              <w:t>（1）环境空气质量标准</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Times New Roman"/>
                <w:color w:val="auto"/>
                <w:sz w:val="24"/>
                <w:szCs w:val="24"/>
              </w:rPr>
            </w:pPr>
            <w:r>
              <w:rPr>
                <w:rFonts w:hint="eastAsia" w:ascii="宋体" w:hAnsi="宋体" w:cs="Times New Roman"/>
                <w:color w:val="auto"/>
                <w:sz w:val="24"/>
                <w:szCs w:val="24"/>
              </w:rPr>
              <w:t>本</w:t>
            </w:r>
            <w:r>
              <w:rPr>
                <w:rFonts w:hint="default" w:ascii="宋体" w:hAnsi="宋体" w:cs="Times New Roman"/>
                <w:color w:val="auto"/>
                <w:sz w:val="24"/>
                <w:szCs w:val="24"/>
              </w:rPr>
              <w:t>项目位于</w:t>
            </w:r>
            <w:r>
              <w:rPr>
                <w:rFonts w:hint="eastAsia" w:ascii="Calibri" w:hAnsi="Calibri" w:cs="Times New Roman"/>
                <w:color w:val="auto"/>
                <w:sz w:val="24"/>
                <w:szCs w:val="24"/>
              </w:rPr>
              <w:t>云南省昆明市东川区城区西南角，规划道路东海路南延长线东侧，兴铜路西延长线南侧交汇路口</w:t>
            </w:r>
            <w:r>
              <w:rPr>
                <w:rFonts w:hint="default" w:ascii="宋体" w:hAnsi="宋体" w:cs="Times New Roman"/>
                <w:color w:val="auto"/>
                <w:sz w:val="24"/>
                <w:szCs w:val="24"/>
              </w:rPr>
              <w:t>，</w:t>
            </w:r>
            <w:r>
              <w:rPr>
                <w:rFonts w:hint="eastAsia" w:ascii="宋体" w:hAnsi="宋体" w:cs="Times New Roman"/>
                <w:color w:val="auto"/>
                <w:sz w:val="24"/>
                <w:szCs w:val="24"/>
              </w:rPr>
              <w:t>本项目所在地为环境空气质量二类区，执行《环境空气质量标准》（GB</w:t>
            </w:r>
            <w:r>
              <w:rPr>
                <w:rFonts w:hint="eastAsia" w:ascii="宋体" w:hAnsi="宋体" w:cs="Times New Roman"/>
                <w:color w:val="auto"/>
                <w:sz w:val="24"/>
                <w:szCs w:val="24"/>
                <w:lang w:eastAsia="zh-CN"/>
              </w:rPr>
              <w:t>****</w:t>
            </w:r>
            <w:r>
              <w:rPr>
                <w:rFonts w:hint="eastAsia" w:ascii="宋体" w:hAnsi="宋体" w:cs="Times New Roman"/>
                <w:color w:val="auto"/>
                <w:sz w:val="24"/>
                <w:szCs w:val="24"/>
              </w:rPr>
              <w:t>-2012）二级标准。</w:t>
            </w:r>
          </w:p>
          <w:p>
            <w:pPr>
              <w:pStyle w:val="9"/>
              <w:keepNext w:val="0"/>
              <w:keepLines w:val="0"/>
              <w:suppressLineNumbers w:val="0"/>
              <w:spacing w:beforeAutospacing="0" w:afterAutospacing="0"/>
              <w:ind w:left="0" w:firstLine="241" w:firstLineChars="100"/>
              <w:rPr>
                <w:rFonts w:hint="default" w:ascii="Calibri" w:hAnsi="Calibri" w:cs="Times New Roman"/>
                <w:b/>
                <w:bCs/>
                <w:color w:val="auto"/>
                <w:kern w:val="0"/>
                <w:sz w:val="18"/>
                <w:szCs w:val="20"/>
              </w:rPr>
            </w:pPr>
            <w:r>
              <w:rPr>
                <w:rFonts w:hint="eastAsia" w:ascii="宋体" w:hAnsi="宋体" w:cs="Times New Roman"/>
                <w:b/>
                <w:bCs/>
                <w:color w:val="auto"/>
                <w:kern w:val="0"/>
                <w:sz w:val="24"/>
              </w:rPr>
              <w:t>（2）环境空气质量现状</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Times New Roman"/>
                <w:color w:val="auto"/>
                <w:sz w:val="24"/>
                <w:szCs w:val="24"/>
              </w:rPr>
            </w:pPr>
            <w:r>
              <w:rPr>
                <w:rFonts w:hint="eastAsia" w:ascii="宋体" w:hAnsi="宋体" w:cs="Times New Roman"/>
                <w:color w:val="auto"/>
                <w:sz w:val="24"/>
                <w:szCs w:val="24"/>
              </w:rPr>
              <w:t>据《202</w:t>
            </w:r>
            <w:r>
              <w:rPr>
                <w:rFonts w:hint="default" w:ascii="宋体" w:hAnsi="宋体" w:cs="Times New Roman"/>
                <w:color w:val="auto"/>
                <w:sz w:val="24"/>
                <w:szCs w:val="24"/>
                <w:lang w:val="en-US"/>
              </w:rPr>
              <w:t>2</w:t>
            </w:r>
            <w:r>
              <w:rPr>
                <w:rFonts w:hint="eastAsia" w:ascii="宋体" w:hAnsi="宋体" w:cs="Times New Roman"/>
                <w:color w:val="auto"/>
                <w:sz w:val="24"/>
                <w:szCs w:val="24"/>
              </w:rPr>
              <w:t>年度昆明市生态环境状况公报》，各县(市)区环境空气质量总体保持良好。与2021年相比，安宁市、禄劝县、石林县、嵩明县、富民县、宜良县、寻甸县环境空气综合污染指数有所下降，东川区环境空气综合污染指数有所上升。</w:t>
            </w:r>
          </w:p>
          <w:p>
            <w:pPr>
              <w:pStyle w:val="9"/>
              <w:keepNext w:val="0"/>
              <w:keepLines w:val="0"/>
              <w:suppressLineNumbers w:val="0"/>
              <w:spacing w:beforeAutospacing="0" w:afterAutospacing="0"/>
              <w:ind w:left="0"/>
              <w:rPr>
                <w:rFonts w:hint="default" w:ascii="宋体" w:hAnsi="宋体" w:cs="Times New Roman"/>
                <w:b/>
                <w:bCs/>
                <w:color w:val="auto"/>
                <w:kern w:val="0"/>
                <w:sz w:val="24"/>
              </w:rPr>
            </w:pPr>
            <w:r>
              <w:rPr>
                <w:rFonts w:hint="eastAsia" w:ascii="宋体" w:hAnsi="宋体" w:cs="Times New Roman"/>
                <w:b/>
                <w:bCs/>
                <w:color w:val="auto"/>
                <w:kern w:val="0"/>
                <w:sz w:val="24"/>
              </w:rPr>
              <w:t>2</w:t>
            </w:r>
            <w:r>
              <w:rPr>
                <w:rFonts w:hint="default" w:ascii="宋体" w:hAnsi="宋体" w:cs="Times New Roman"/>
                <w:b/>
                <w:bCs/>
                <w:color w:val="auto"/>
                <w:kern w:val="0"/>
                <w:sz w:val="24"/>
              </w:rPr>
              <w:t>、声环境</w:t>
            </w:r>
            <w:r>
              <w:rPr>
                <w:rFonts w:hint="eastAsia" w:ascii="Calibri" w:hAnsi="Calibri" w:cs="Times New Roman"/>
                <w:b/>
                <w:bCs/>
                <w:color w:val="auto"/>
                <w:kern w:val="0"/>
                <w:sz w:val="24"/>
                <w:szCs w:val="20"/>
              </w:rPr>
              <w:t>质量现状及标准</w:t>
            </w:r>
          </w:p>
          <w:p>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bCs/>
                <w:color w:val="auto"/>
                <w:sz w:val="24"/>
                <w:szCs w:val="24"/>
              </w:rPr>
            </w:pPr>
            <w:r>
              <w:rPr>
                <w:rFonts w:hint="eastAsia" w:ascii="宋体" w:hAnsi="宋体" w:cs="Times New Roman"/>
                <w:b/>
                <w:bCs/>
                <w:color w:val="auto"/>
                <w:sz w:val="24"/>
                <w:szCs w:val="24"/>
              </w:rPr>
              <w:t>（1）声环境质量标准</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Times New Roman"/>
                <w:color w:val="auto"/>
                <w:sz w:val="24"/>
                <w:szCs w:val="24"/>
              </w:rPr>
            </w:pPr>
            <w:r>
              <w:rPr>
                <w:rFonts w:hint="eastAsia" w:ascii="宋体" w:hAnsi="宋体" w:cs="Times New Roman"/>
                <w:color w:val="auto"/>
                <w:sz w:val="24"/>
                <w:szCs w:val="24"/>
              </w:rPr>
              <w:t>本</w:t>
            </w:r>
            <w:r>
              <w:rPr>
                <w:rFonts w:hint="default" w:ascii="宋体" w:hAnsi="宋体" w:cs="Times New Roman"/>
                <w:color w:val="auto"/>
                <w:sz w:val="24"/>
                <w:szCs w:val="24"/>
              </w:rPr>
              <w:t>项目</w:t>
            </w:r>
            <w:r>
              <w:rPr>
                <w:rFonts w:hint="eastAsia" w:ascii="宋体" w:hAnsi="宋体" w:cs="Times New Roman"/>
                <w:color w:val="auto"/>
                <w:sz w:val="24"/>
                <w:szCs w:val="24"/>
              </w:rPr>
              <w:t>医院内</w:t>
            </w:r>
            <w:r>
              <w:rPr>
                <w:rFonts w:hint="default" w:ascii="宋体" w:hAnsi="宋体" w:cs="Times New Roman"/>
                <w:color w:val="auto"/>
                <w:sz w:val="24"/>
                <w:szCs w:val="24"/>
              </w:rPr>
              <w:t>声环境</w:t>
            </w:r>
            <w:r>
              <w:rPr>
                <w:rFonts w:hint="eastAsia" w:ascii="宋体" w:hAnsi="宋体" w:cs="Times New Roman"/>
                <w:color w:val="auto"/>
                <w:sz w:val="24"/>
                <w:szCs w:val="24"/>
              </w:rPr>
              <w:t>执行</w:t>
            </w:r>
            <w:r>
              <w:rPr>
                <w:rFonts w:hint="default" w:ascii="宋体" w:hAnsi="宋体" w:cs="Times New Roman"/>
                <w:color w:val="auto"/>
                <w:sz w:val="24"/>
                <w:szCs w:val="24"/>
              </w:rPr>
              <w:t>《声环境质量标准》（GB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-2008）1类区，</w:t>
            </w:r>
            <w:r>
              <w:rPr>
                <w:rFonts w:hint="eastAsia" w:ascii="宋体" w:hAnsi="宋体" w:cs="Times New Roman"/>
                <w:color w:val="auto"/>
                <w:sz w:val="24"/>
                <w:szCs w:val="24"/>
              </w:rPr>
              <w:t>周围居民点声环境执行2类</w:t>
            </w:r>
            <w:r>
              <w:rPr>
                <w:rFonts w:hint="default" w:ascii="宋体" w:hAnsi="宋体" w:cs="Times New Roman"/>
                <w:color w:val="auto"/>
                <w:sz w:val="24"/>
                <w:szCs w:val="24"/>
              </w:rPr>
              <w:t>。</w:t>
            </w:r>
            <w:r>
              <w:rPr>
                <w:rFonts w:hint="eastAsia" w:ascii="宋体" w:hAnsi="宋体" w:cs="Times New Roman"/>
                <w:color w:val="auto"/>
                <w:sz w:val="24"/>
                <w:szCs w:val="24"/>
              </w:rPr>
              <w:t>见表3-</w:t>
            </w:r>
            <w:r>
              <w:rPr>
                <w:rFonts w:hint="default" w:ascii="宋体" w:hAnsi="宋体" w:cs="Times New Roman"/>
                <w:color w:val="auto"/>
                <w:sz w:val="24"/>
                <w:szCs w:val="24"/>
              </w:rPr>
              <w:t>1</w:t>
            </w:r>
            <w:r>
              <w:rPr>
                <w:rFonts w:hint="eastAsia" w:ascii="宋体" w:hAnsi="宋体" w:cs="Times New Roman"/>
                <w:color w:val="auto"/>
                <w:sz w:val="24"/>
                <w:szCs w:val="24"/>
              </w:rPr>
              <w:t>。</w:t>
            </w:r>
          </w:p>
          <w:p>
            <w:pPr>
              <w:keepNext w:val="0"/>
              <w:keepLines w:val="0"/>
              <w:widowControl/>
              <w:suppressLineNumbers w:val="0"/>
              <w:spacing w:before="0" w:beforeAutospacing="0" w:after="0" w:afterAutospacing="0"/>
              <w:ind w:left="0" w:right="0" w:firstLine="723" w:firstLineChars="300"/>
              <w:jc w:val="center"/>
              <w:rPr>
                <w:rFonts w:hint="eastAsia" w:ascii="宋体" w:hAnsi="宋体" w:cs="宋体"/>
                <w:b/>
                <w:bCs/>
                <w:color w:val="auto"/>
                <w:kern w:val="0"/>
                <w:sz w:val="24"/>
                <w:szCs w:val="24"/>
              </w:rPr>
            </w:pPr>
            <w:r>
              <w:rPr>
                <w:rFonts w:hint="eastAsia" w:ascii="宋体" w:hAnsi="宋体" w:cs="宋体"/>
                <w:b/>
                <w:bCs/>
                <w:color w:val="auto"/>
                <w:kern w:val="0"/>
                <w:sz w:val="24"/>
                <w:szCs w:val="24"/>
                <w:lang w:bidi="ar"/>
              </w:rPr>
              <w:t>表3-</w:t>
            </w:r>
            <w:r>
              <w:rPr>
                <w:rFonts w:hint="default" w:ascii="宋体" w:hAnsi="宋体" w:cs="宋体"/>
                <w:b/>
                <w:bCs/>
                <w:color w:val="auto"/>
                <w:kern w:val="0"/>
                <w:sz w:val="24"/>
                <w:szCs w:val="24"/>
                <w:lang w:bidi="ar"/>
              </w:rPr>
              <w:t xml:space="preserve">1 </w:t>
            </w:r>
            <w:r>
              <w:rPr>
                <w:rFonts w:hint="eastAsia" w:ascii="宋体" w:hAnsi="宋体" w:cs="宋体"/>
                <w:b/>
                <w:bCs/>
                <w:color w:val="auto"/>
                <w:kern w:val="0"/>
                <w:sz w:val="24"/>
                <w:szCs w:val="24"/>
                <w:lang w:bidi="ar"/>
              </w:rPr>
              <w:t>声环境质量标准  单位：dB（A）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581"/>
              <w:gridCol w:w="32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877" w:type="pct"/>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适用区域</w:t>
                  </w:r>
                </w:p>
              </w:tc>
              <w:tc>
                <w:tcPr>
                  <w:tcW w:w="2169" w:type="pct"/>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eastAsia" w:ascii="Calibri" w:hAnsi="Calibri" w:cs="Times New Roman"/>
                      <w:color w:val="auto"/>
                    </w:rPr>
                  </w:pPr>
                  <w:r>
                    <w:rPr>
                      <w:rFonts w:hint="eastAsia" w:ascii="Times New Roman" w:hAnsi="Times New Roman" w:cs="宋体"/>
                      <w:color w:val="auto"/>
                      <w:lang w:bidi="ar"/>
                    </w:rPr>
                    <w:t>昼间</w:t>
                  </w:r>
                </w:p>
              </w:tc>
              <w:tc>
                <w:tcPr>
                  <w:tcW w:w="1952" w:type="pct"/>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eastAsia" w:ascii="Times New Roman" w:hAnsi="Times New Roman" w:cs="宋体"/>
                      <w:color w:val="auto"/>
                      <w:lang w:bidi="ar"/>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1类</w:t>
                  </w:r>
                </w:p>
              </w:tc>
              <w:tc>
                <w:tcPr>
                  <w:tcW w:w="2169" w:type="pct"/>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eastAsia" w:ascii="Times New Roman" w:hAnsi="Times New Roman" w:cs="Times New Roman"/>
                      <w:color w:val="auto"/>
                      <w:lang w:bidi="ar"/>
                    </w:rPr>
                    <w:t>55</w:t>
                  </w:r>
                </w:p>
              </w:tc>
              <w:tc>
                <w:tcPr>
                  <w:tcW w:w="1952" w:type="pct"/>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eastAsia" w:ascii="Times New Roman" w:hAnsi="Times New Roman" w:cs="Times New Roman"/>
                      <w:color w:val="auto"/>
                      <w:lang w:bidi="ar"/>
                    </w:rPr>
                    <w:t>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Times New Roman" w:hAnsi="Times New Roman" w:cs="Times New Roman"/>
                      <w:color w:val="auto"/>
                      <w:lang w:bidi="ar"/>
                    </w:rPr>
                  </w:pPr>
                  <w:r>
                    <w:rPr>
                      <w:rFonts w:hint="eastAsia" w:ascii="Times New Roman" w:hAnsi="Times New Roman" w:cs="Times New Roman"/>
                      <w:color w:val="auto"/>
                      <w:lang w:bidi="ar"/>
                    </w:rPr>
                    <w:t>2类</w:t>
                  </w:r>
                </w:p>
              </w:tc>
              <w:tc>
                <w:tcPr>
                  <w:tcW w:w="2169" w:type="pct"/>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default" w:ascii="Times New Roman" w:hAnsi="Times New Roman" w:cs="Times New Roman"/>
                      <w:color w:val="auto"/>
                      <w:lang w:bidi="ar"/>
                    </w:rPr>
                    <w:t>60</w:t>
                  </w:r>
                </w:p>
              </w:tc>
              <w:tc>
                <w:tcPr>
                  <w:tcW w:w="1952" w:type="pct"/>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tabs>
                      <w:tab w:val="right" w:pos="8306"/>
                    </w:tabs>
                    <w:spacing w:before="0" w:beforeAutospacing="0" w:after="0" w:afterAutospacing="0"/>
                    <w:ind w:left="0" w:right="0"/>
                    <w:jc w:val="center"/>
                    <w:rPr>
                      <w:rFonts w:hint="default" w:ascii="Calibri" w:hAnsi="Calibri" w:cs="Times New Roman"/>
                      <w:color w:val="auto"/>
                    </w:rPr>
                  </w:pPr>
                  <w:r>
                    <w:rPr>
                      <w:rFonts w:hint="default" w:ascii="Times New Roman" w:hAnsi="Times New Roman" w:cs="Times New Roman"/>
                      <w:color w:val="auto"/>
                      <w:lang w:bidi="ar"/>
                    </w:rPr>
                    <w:t>50</w:t>
                  </w:r>
                </w:p>
              </w:tc>
            </w:tr>
          </w:tbl>
          <w:p>
            <w:pPr>
              <w:pStyle w:val="9"/>
              <w:keepNext w:val="0"/>
              <w:keepLines w:val="0"/>
              <w:suppressLineNumbers w:val="0"/>
              <w:spacing w:beforeAutospacing="0" w:afterAutospacing="0"/>
              <w:ind w:left="0" w:firstLine="241" w:firstLineChars="100"/>
              <w:rPr>
                <w:rFonts w:hint="eastAsia" w:ascii="宋体" w:hAnsi="宋体" w:cs="Times New Roman"/>
                <w:b/>
                <w:bCs/>
                <w:color w:val="auto"/>
                <w:kern w:val="0"/>
                <w:sz w:val="24"/>
              </w:rPr>
            </w:pPr>
            <w:r>
              <w:rPr>
                <w:rFonts w:hint="eastAsia" w:ascii="宋体" w:hAnsi="宋体" w:cs="Times New Roman"/>
                <w:b/>
                <w:bCs/>
                <w:color w:val="auto"/>
                <w:kern w:val="0"/>
                <w:sz w:val="24"/>
              </w:rPr>
              <w:t>（2）声环境质量现状</w:t>
            </w:r>
          </w:p>
          <w:p>
            <w:pPr>
              <w:pStyle w:val="9"/>
              <w:keepNext w:val="0"/>
              <w:keepLines w:val="0"/>
              <w:suppressLineNumbers w:val="0"/>
              <w:spacing w:before="0" w:beforeAutospacing="0" w:after="0" w:afterAutospacing="0" w:line="360" w:lineRule="auto"/>
              <w:ind w:left="0" w:firstLine="480" w:firstLineChars="200"/>
              <w:rPr>
                <w:rFonts w:hint="eastAsia" w:ascii="宋体" w:hAnsi="宋体" w:cs="Times New Roman"/>
                <w:color w:val="auto"/>
                <w:kern w:val="0"/>
                <w:sz w:val="24"/>
              </w:rPr>
            </w:pPr>
            <w:r>
              <w:rPr>
                <w:rFonts w:hint="eastAsia" w:ascii="宋体" w:hAnsi="宋体" w:cs="Times New Roman"/>
                <w:color w:val="auto"/>
                <w:kern w:val="0"/>
                <w:sz w:val="24"/>
              </w:rPr>
              <w:t>据《202</w:t>
            </w:r>
            <w:r>
              <w:rPr>
                <w:rFonts w:hint="default" w:ascii="宋体" w:hAnsi="宋体" w:cs="Times New Roman"/>
                <w:color w:val="auto"/>
                <w:kern w:val="0"/>
                <w:sz w:val="24"/>
                <w:lang w:val="en-US"/>
              </w:rPr>
              <w:t>2</w:t>
            </w:r>
            <w:r>
              <w:rPr>
                <w:rFonts w:hint="eastAsia" w:ascii="宋体" w:hAnsi="宋体" w:cs="Times New Roman"/>
                <w:color w:val="auto"/>
                <w:kern w:val="0"/>
                <w:sz w:val="24"/>
              </w:rPr>
              <w:t>年度昆明市生态环境状况公报》，县(市)区区域环境声环境质量 2022年，各县(市)区间区域环境噪声平均等效声级分别为: 东川区53.6分贝，安宁市48.7分贝、宜良县53.3分贝，石林县48.8分贝，禄劝县54.2分贝，嵩明县52.5分贝，富民县52.7分贝，晋宁区50.9分贝，寻甸县48.6分贝。根据区域环境噪声质量划分等级进行评价，总体水平在一级(好)和二级(较好)之间。与2021年相比，安宁市、宜良县、禄劝县、嵩明县、富民县、晋宁区的尽间区域声环境质量平均等效声级下降，东川区、石林县、寻甸县的昼间区域声环境质量平均等效声级上升。</w:t>
            </w:r>
          </w:p>
          <w:p>
            <w:pPr>
              <w:pStyle w:val="9"/>
              <w:keepNext w:val="0"/>
              <w:keepLines w:val="0"/>
              <w:suppressLineNumbers w:val="0"/>
              <w:spacing w:before="0" w:beforeAutospacing="0" w:after="0" w:afterAutospacing="0" w:line="360" w:lineRule="auto"/>
              <w:ind w:left="0" w:firstLine="480" w:firstLineChars="200"/>
              <w:rPr>
                <w:rFonts w:hint="eastAsia" w:ascii="宋体" w:hAnsi="宋体" w:cs="Times New Roman"/>
                <w:color w:val="auto"/>
                <w:kern w:val="0"/>
                <w:sz w:val="24"/>
              </w:rPr>
            </w:pPr>
            <w:r>
              <w:rPr>
                <w:rFonts w:hint="eastAsia" w:ascii="宋体" w:hAnsi="宋体" w:cs="Times New Roman"/>
                <w:color w:val="auto"/>
                <w:kern w:val="0"/>
                <w:sz w:val="24"/>
              </w:rPr>
              <w:t>为更好的了解项目区域声环境区域质量，202</w:t>
            </w:r>
            <w:r>
              <w:rPr>
                <w:rFonts w:hint="default" w:ascii="宋体" w:hAnsi="宋体" w:cs="Times New Roman"/>
                <w:color w:val="auto"/>
                <w:kern w:val="0"/>
                <w:sz w:val="24"/>
              </w:rPr>
              <w:t>3</w:t>
            </w:r>
            <w:r>
              <w:rPr>
                <w:rFonts w:hint="eastAsia" w:ascii="宋体" w:hAnsi="宋体" w:cs="Times New Roman"/>
                <w:color w:val="auto"/>
                <w:kern w:val="0"/>
                <w:sz w:val="24"/>
              </w:rPr>
              <w:t>年</w:t>
            </w:r>
            <w:r>
              <w:rPr>
                <w:rFonts w:hint="default" w:ascii="宋体" w:hAnsi="宋体" w:cs="Times New Roman"/>
                <w:color w:val="auto"/>
                <w:kern w:val="0"/>
                <w:sz w:val="24"/>
              </w:rPr>
              <w:t>3</w:t>
            </w:r>
            <w:r>
              <w:rPr>
                <w:rFonts w:hint="eastAsia" w:ascii="宋体" w:hAnsi="宋体" w:cs="Times New Roman"/>
                <w:color w:val="auto"/>
                <w:kern w:val="0"/>
                <w:sz w:val="24"/>
              </w:rPr>
              <w:t>月2</w:t>
            </w:r>
            <w:r>
              <w:rPr>
                <w:rFonts w:hint="default" w:ascii="宋体" w:hAnsi="宋体" w:cs="Times New Roman"/>
                <w:color w:val="auto"/>
                <w:kern w:val="0"/>
                <w:sz w:val="24"/>
              </w:rPr>
              <w:t>0</w:t>
            </w:r>
            <w:r>
              <w:rPr>
                <w:rFonts w:hint="eastAsia" w:ascii="宋体" w:hAnsi="宋体" w:cs="Times New Roman"/>
                <w:color w:val="auto"/>
                <w:kern w:val="0"/>
                <w:sz w:val="24"/>
              </w:rPr>
              <w:t>日至</w:t>
            </w:r>
            <w:r>
              <w:rPr>
                <w:rFonts w:hint="default" w:ascii="宋体" w:hAnsi="宋体" w:cs="Times New Roman"/>
                <w:color w:val="auto"/>
                <w:kern w:val="0"/>
                <w:sz w:val="24"/>
              </w:rPr>
              <w:t>3</w:t>
            </w:r>
            <w:r>
              <w:rPr>
                <w:rFonts w:hint="eastAsia" w:ascii="宋体" w:hAnsi="宋体" w:cs="Times New Roman"/>
                <w:color w:val="auto"/>
                <w:kern w:val="0"/>
                <w:sz w:val="24"/>
              </w:rPr>
              <w:t>月</w:t>
            </w:r>
            <w:r>
              <w:rPr>
                <w:rFonts w:hint="default" w:ascii="宋体" w:hAnsi="宋体" w:cs="Times New Roman"/>
                <w:color w:val="auto"/>
                <w:kern w:val="0"/>
                <w:sz w:val="24"/>
              </w:rPr>
              <w:t>21</w:t>
            </w:r>
            <w:r>
              <w:rPr>
                <w:rFonts w:hint="eastAsia" w:ascii="宋体" w:hAnsi="宋体" w:cs="Times New Roman"/>
                <w:color w:val="auto"/>
                <w:kern w:val="0"/>
                <w:sz w:val="24"/>
              </w:rPr>
              <w:t>日，云南天倪检测有限公司对项目厂界进行声环境现状监测，声环境现状监测结果见表3-</w:t>
            </w:r>
            <w:r>
              <w:rPr>
                <w:rFonts w:hint="default" w:ascii="宋体" w:hAnsi="宋体" w:cs="Times New Roman"/>
                <w:color w:val="auto"/>
                <w:kern w:val="0"/>
                <w:sz w:val="24"/>
              </w:rPr>
              <w:t>2</w:t>
            </w:r>
            <w:r>
              <w:rPr>
                <w:rFonts w:hint="eastAsia" w:ascii="宋体" w:hAnsi="宋体" w:cs="Times New Roman"/>
                <w:color w:val="auto"/>
                <w:kern w:val="0"/>
                <w:sz w:val="24"/>
              </w:rPr>
              <w:t xml:space="preserve">。    </w:t>
            </w:r>
          </w:p>
          <w:p>
            <w:pPr>
              <w:keepNext w:val="0"/>
              <w:keepLines w:val="0"/>
              <w:widowControl/>
              <w:suppressLineNumbers w:val="0"/>
              <w:spacing w:before="0" w:beforeAutospacing="0" w:after="0" w:afterAutospacing="0"/>
              <w:ind w:left="0" w:right="0" w:firstLine="723" w:firstLineChars="300"/>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表3-</w:t>
            </w:r>
            <w:r>
              <w:rPr>
                <w:rFonts w:hint="default" w:ascii="宋体" w:hAnsi="宋体" w:cs="宋体"/>
                <w:b/>
                <w:bCs/>
                <w:color w:val="auto"/>
                <w:kern w:val="0"/>
                <w:sz w:val="24"/>
                <w:szCs w:val="24"/>
                <w:lang w:bidi="ar"/>
              </w:rPr>
              <w:t>2</w:t>
            </w:r>
            <w:r>
              <w:rPr>
                <w:rFonts w:hint="eastAsia" w:ascii="宋体" w:hAnsi="宋体" w:cs="宋体"/>
                <w:b/>
                <w:bCs/>
                <w:color w:val="auto"/>
                <w:kern w:val="0"/>
                <w:sz w:val="24"/>
                <w:szCs w:val="24"/>
                <w:lang w:bidi="ar"/>
              </w:rPr>
              <w:t xml:space="preserve"> 现状监测声环境监测结果</w:t>
            </w:r>
          </w:p>
          <w:tbl>
            <w:tblPr>
              <w:tblStyle w:val="26"/>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233"/>
              <w:gridCol w:w="1233"/>
              <w:gridCol w:w="1233"/>
              <w:gridCol w:w="123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9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Times New Roman" w:hAnsi="Times New Roman" w:cs="宋体"/>
                      <w:color w:val="auto"/>
                      <w:lang w:bidi="ar"/>
                    </w:rPr>
                    <w:t>监测时间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监测点位</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时段</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噪声值</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标准值</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2023.3.20</w:t>
                  </w:r>
                </w:p>
              </w:tc>
              <w:tc>
                <w:tcPr>
                  <w:tcW w:w="788" w:type="pct"/>
                  <w:vMerge w:val="restart"/>
                  <w:tcBorders>
                    <w:top w:val="single" w:color="auto" w:sz="4" w:space="0"/>
                    <w:left w:val="single" w:color="auto" w:sz="4" w:space="0"/>
                    <w:right w:val="single" w:color="auto" w:sz="4" w:space="0"/>
                  </w:tcBorders>
                  <w:noWrap w:val="0"/>
                  <w:vAlign w:val="center"/>
                </w:tcPr>
                <w:p>
                  <w:pPr>
                    <w:pStyle w:val="9"/>
                    <w:keepNext w:val="0"/>
                    <w:keepLines w:val="0"/>
                    <w:suppressLineNumbers w:val="0"/>
                    <w:adjustRightInd w:val="0"/>
                    <w:spacing w:before="0" w:beforeAutospacing="0" w:after="0" w:afterAutospacing="0" w:line="240" w:lineRule="auto"/>
                    <w:ind w:left="0" w:right="0"/>
                    <w:jc w:val="center"/>
                    <w:rPr>
                      <w:rFonts w:hint="default" w:ascii="Calibri" w:hAnsi="Calibri" w:cs="Times New Roman"/>
                      <w:color w:val="auto"/>
                      <w:kern w:val="0"/>
                      <w:sz w:val="18"/>
                      <w:szCs w:val="20"/>
                    </w:rPr>
                  </w:pPr>
                  <w:r>
                    <w:rPr>
                      <w:rFonts w:hint="eastAsia" w:ascii="Calibri" w:hAnsi="Calibri" w:cs="Times New Roman"/>
                      <w:color w:val="auto"/>
                      <w:kern w:val="0"/>
                      <w:sz w:val="18"/>
                      <w:szCs w:val="20"/>
                    </w:rPr>
                    <w:t>厂界</w:t>
                  </w:r>
                  <w:r>
                    <w:rPr>
                      <w:rFonts w:hint="default" w:ascii="Calibri" w:hAnsi="Calibri" w:cs="Times New Roman"/>
                      <w:color w:val="auto"/>
                      <w:kern w:val="0"/>
                      <w:sz w:val="18"/>
                      <w:szCs w:val="20"/>
                    </w:rPr>
                    <w:t>1#</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51.8</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44.5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52.5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43.6</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3#</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53.5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42.8</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4#</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53.7</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41.6</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石羊社区</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51.1</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43.2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2023.3.21</w:t>
                  </w:r>
                </w:p>
              </w:tc>
              <w:tc>
                <w:tcPr>
                  <w:tcW w:w="788" w:type="pct"/>
                  <w:vMerge w:val="restart"/>
                  <w:tcBorders>
                    <w:left w:val="single" w:color="auto" w:sz="4" w:space="0"/>
                    <w:right w:val="single" w:color="auto" w:sz="4" w:space="0"/>
                  </w:tcBorders>
                  <w:noWrap w:val="0"/>
                  <w:vAlign w:val="center"/>
                </w:tcPr>
                <w:p>
                  <w:pPr>
                    <w:pStyle w:val="9"/>
                    <w:keepNext w:val="0"/>
                    <w:keepLines w:val="0"/>
                    <w:suppressLineNumbers w:val="0"/>
                    <w:adjustRightInd w:val="0"/>
                    <w:spacing w:before="0" w:beforeAutospacing="0" w:after="0" w:afterAutospacing="0" w:line="240" w:lineRule="auto"/>
                    <w:ind w:left="0" w:right="0"/>
                    <w:jc w:val="center"/>
                    <w:rPr>
                      <w:rFonts w:hint="default" w:ascii="Times New Roman" w:hAnsi="Times New Roman" w:cs="Times New Roman"/>
                      <w:color w:val="auto"/>
                      <w:kern w:val="0"/>
                      <w:sz w:val="18"/>
                      <w:szCs w:val="20"/>
                    </w:rPr>
                  </w:pPr>
                  <w:r>
                    <w:rPr>
                      <w:rFonts w:hint="eastAsia" w:ascii="Calibri" w:hAnsi="Calibri" w:cs="Times New Roman"/>
                      <w:color w:val="auto"/>
                      <w:kern w:val="0"/>
                      <w:sz w:val="18"/>
                      <w:szCs w:val="20"/>
                    </w:rPr>
                    <w:t>厂界</w:t>
                  </w:r>
                  <w:r>
                    <w:rPr>
                      <w:rFonts w:hint="default" w:ascii="Calibri" w:hAnsi="Calibri" w:cs="Times New Roman"/>
                      <w:color w:val="auto"/>
                      <w:kern w:val="0"/>
                      <w:sz w:val="18"/>
                      <w:szCs w:val="20"/>
                    </w:rPr>
                    <w:t>1#</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52.2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51.0</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3#</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53.9</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43.9</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厂界</w:t>
                  </w:r>
                  <w:r>
                    <w:rPr>
                      <w:rFonts w:hint="default" w:ascii="Times New Roman" w:hAnsi="Times New Roman" w:cs="Times New Roman"/>
                      <w:color w:val="auto"/>
                    </w:rPr>
                    <w:t>4#</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54.5</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42.2</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5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lang w:eastAsia="zh-CN"/>
                    </w:rPr>
                    <w:t>石羊社区</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昼间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53.0</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60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5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rPr>
                  </w:pPr>
                </w:p>
              </w:tc>
              <w:tc>
                <w:tcPr>
                  <w:tcW w:w="78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夜间</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lang w:val="en-US"/>
                    </w:rPr>
                    <w:t>44.9</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50</w:t>
                  </w:r>
                </w:p>
              </w:tc>
              <w:tc>
                <w:tcPr>
                  <w:tcW w:w="8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Calibri" w:hAnsi="Calibri" w:cs="Times New Roman"/>
                <w:color w:val="auto"/>
                <w:sz w:val="24"/>
                <w:szCs w:val="24"/>
              </w:rPr>
            </w:pPr>
            <w:r>
              <w:rPr>
                <w:rFonts w:hint="eastAsia" w:ascii="Times New Roman" w:hAnsi="Times New Roman" w:cs="宋体"/>
                <w:color w:val="auto"/>
                <w:sz w:val="24"/>
                <w:szCs w:val="24"/>
                <w:lang w:bidi="ar"/>
              </w:rPr>
              <w:t>据监测结果，医院厂界四周满足</w:t>
            </w:r>
            <w:r>
              <w:rPr>
                <w:rFonts w:hint="default" w:ascii="宋体" w:hAnsi="宋体" w:cs="Times New Roman"/>
                <w:color w:val="auto"/>
                <w:sz w:val="24"/>
                <w:szCs w:val="24"/>
              </w:rPr>
              <w:t>《声环境质量标准》（GB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-2008）</w:t>
            </w:r>
            <w:r>
              <w:rPr>
                <w:rFonts w:hint="eastAsia" w:ascii="宋体" w:hAnsi="宋体" w:cs="Times New Roman"/>
                <w:color w:val="auto"/>
                <w:sz w:val="24"/>
                <w:szCs w:val="24"/>
              </w:rPr>
              <w:t>2类</w:t>
            </w:r>
            <w:r>
              <w:rPr>
                <w:rFonts w:hint="eastAsia" w:ascii="Times New Roman" w:hAnsi="Times New Roman" w:cs="宋体"/>
                <w:color w:val="auto"/>
                <w:sz w:val="24"/>
                <w:szCs w:val="24"/>
                <w:lang w:bidi="ar"/>
              </w:rPr>
              <w:t>标准要求。</w:t>
            </w:r>
          </w:p>
          <w:p>
            <w:pPr>
              <w:keepNext w:val="0"/>
              <w:keepLines w:val="0"/>
              <w:suppressLineNumbers w:val="0"/>
              <w:snapToGrid w:val="0"/>
              <w:spacing w:before="0" w:beforeAutospacing="0" w:after="0" w:afterAutospacing="0" w:line="360" w:lineRule="auto"/>
              <w:ind w:left="0" w:right="0"/>
              <w:rPr>
                <w:rFonts w:hint="eastAsia" w:ascii="Calibri" w:hAnsi="Calibri" w:cs="Times New Roman"/>
                <w:b/>
                <w:bCs/>
                <w:color w:val="auto"/>
                <w:sz w:val="24"/>
              </w:rPr>
            </w:pPr>
            <w:r>
              <w:rPr>
                <w:rFonts w:hint="eastAsia" w:ascii="Calibri" w:hAnsi="Calibri" w:cs="Times New Roman"/>
                <w:b/>
                <w:bCs/>
                <w:color w:val="auto"/>
                <w:sz w:val="24"/>
              </w:rPr>
              <w:t>3、地表水环境质量标准现状</w:t>
            </w:r>
          </w:p>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Times New Roman"/>
                <w:b/>
                <w:bCs/>
                <w:color w:val="auto"/>
                <w:sz w:val="24"/>
                <w:szCs w:val="24"/>
              </w:rPr>
            </w:pPr>
            <w:r>
              <w:rPr>
                <w:rFonts w:hint="eastAsia" w:ascii="宋体" w:hAnsi="宋体" w:cs="Times New Roman"/>
                <w:b/>
                <w:bCs/>
                <w:color w:val="auto"/>
                <w:sz w:val="24"/>
                <w:szCs w:val="24"/>
              </w:rPr>
              <w:t>（</w:t>
            </w:r>
            <w:r>
              <w:rPr>
                <w:rFonts w:hint="default" w:ascii="宋体" w:hAnsi="宋体" w:cs="Times New Roman"/>
                <w:b/>
                <w:bCs/>
                <w:color w:val="auto"/>
                <w:sz w:val="24"/>
                <w:szCs w:val="24"/>
              </w:rPr>
              <w:t>1</w:t>
            </w:r>
            <w:r>
              <w:rPr>
                <w:rFonts w:hint="eastAsia" w:ascii="宋体" w:hAnsi="宋体" w:cs="Times New Roman"/>
                <w:b/>
                <w:bCs/>
                <w:color w:val="auto"/>
                <w:sz w:val="24"/>
                <w:szCs w:val="24"/>
              </w:rPr>
              <w:t>）地表水环境质量标准</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宋体" w:hAnsi="宋体" w:cs="Times New Roman"/>
                <w:color w:val="auto"/>
                <w:sz w:val="24"/>
                <w:szCs w:val="24"/>
              </w:rPr>
              <w:t>据调查，项目区最近的地表水体为项目西面</w:t>
            </w:r>
            <w:r>
              <w:rPr>
                <w:rFonts w:hint="default" w:ascii="宋体" w:hAnsi="宋体" w:cs="Times New Roman"/>
                <w:color w:val="auto"/>
                <w:sz w:val="24"/>
                <w:szCs w:val="24"/>
              </w:rPr>
              <w:t>1525</w:t>
            </w:r>
            <w:r>
              <w:rPr>
                <w:rFonts w:hint="eastAsia" w:ascii="宋体" w:hAnsi="宋体" w:cs="Times New Roman"/>
                <w:color w:val="auto"/>
                <w:sz w:val="24"/>
                <w:szCs w:val="24"/>
              </w:rPr>
              <w:t>m 处的小江。根据《云南省水功能区划（</w:t>
            </w:r>
            <w:r>
              <w:rPr>
                <w:rFonts w:hint="default" w:ascii="宋体" w:hAnsi="宋体" w:cs="Times New Roman"/>
                <w:color w:val="auto"/>
                <w:sz w:val="24"/>
                <w:szCs w:val="24"/>
              </w:rPr>
              <w:t>2014</w:t>
            </w:r>
            <w:r>
              <w:rPr>
                <w:rFonts w:hint="eastAsia" w:ascii="宋体" w:hAnsi="宋体" w:cs="Times New Roman"/>
                <w:color w:val="auto"/>
                <w:sz w:val="24"/>
                <w:szCs w:val="24"/>
              </w:rPr>
              <w:t>年）》，小江（小江寻甸</w:t>
            </w:r>
            <w:r>
              <w:rPr>
                <w:rFonts w:hint="default" w:ascii="宋体" w:hAnsi="宋体" w:cs="Times New Roman"/>
                <w:color w:val="auto"/>
                <w:sz w:val="24"/>
                <w:szCs w:val="24"/>
              </w:rPr>
              <w:t>-</w:t>
            </w:r>
            <w:r>
              <w:rPr>
                <w:rFonts w:hint="eastAsia" w:ascii="宋体" w:hAnsi="宋体" w:cs="Times New Roman"/>
                <w:color w:val="auto"/>
                <w:sz w:val="24"/>
                <w:szCs w:val="24"/>
              </w:rPr>
              <w:t>东川保留区）段水质目标为</w:t>
            </w:r>
            <w:r>
              <w:rPr>
                <w:rFonts w:hint="eastAsia" w:ascii="宋体" w:hAnsi="宋体" w:cs="宋体"/>
                <w:color w:val="auto"/>
                <w:sz w:val="24"/>
                <w:szCs w:val="24"/>
              </w:rPr>
              <w:t>Ⅲ</w:t>
            </w:r>
            <w:r>
              <w:rPr>
                <w:rFonts w:hint="eastAsia" w:ascii="宋体" w:hAnsi="宋体" w:cs="Times New Roman"/>
                <w:color w:val="auto"/>
                <w:sz w:val="24"/>
                <w:szCs w:val="24"/>
              </w:rPr>
              <w:t>类，执行《地表水环境质量标准》（</w:t>
            </w:r>
            <w:r>
              <w:rPr>
                <w:rFonts w:hint="default" w:ascii="宋体" w:hAnsi="宋体" w:cs="Times New Roman"/>
                <w:color w:val="auto"/>
                <w:sz w:val="24"/>
                <w:szCs w:val="24"/>
              </w:rPr>
              <w:t>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-2002</w:t>
            </w:r>
            <w:r>
              <w:rPr>
                <w:rFonts w:hint="eastAsia" w:ascii="宋体" w:hAnsi="宋体" w:cs="Times New Roman"/>
                <w:color w:val="auto"/>
                <w:sz w:val="24"/>
                <w:szCs w:val="24"/>
              </w:rPr>
              <w:t>）</w:t>
            </w:r>
            <w:r>
              <w:rPr>
                <w:rFonts w:hint="eastAsia" w:ascii="宋体" w:hAnsi="宋体" w:cs="宋体"/>
                <w:color w:val="auto"/>
                <w:sz w:val="24"/>
                <w:szCs w:val="24"/>
              </w:rPr>
              <w:t>Ⅲ</w:t>
            </w:r>
            <w:r>
              <w:rPr>
                <w:rFonts w:hint="eastAsia" w:ascii="宋体" w:hAnsi="宋体" w:cs="Times New Roman"/>
                <w:color w:val="auto"/>
                <w:sz w:val="24"/>
                <w:szCs w:val="24"/>
              </w:rPr>
              <w:t>类标准。</w:t>
            </w:r>
            <w:r>
              <w:rPr>
                <w:rFonts w:hint="eastAsia" w:ascii="Times New Roman" w:hAnsi="Times New Roman" w:cs="Times New Roman"/>
                <w:color w:val="auto"/>
                <w:sz w:val="24"/>
                <w:szCs w:val="24"/>
              </w:rPr>
              <w:t xml:space="preserve"> </w:t>
            </w:r>
          </w:p>
          <w:p>
            <w:pPr>
              <w:keepNext w:val="0"/>
              <w:keepLines w:val="0"/>
              <w:suppressLineNumbers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rPr>
              <w:t>（</w:t>
            </w:r>
            <w:r>
              <w:rPr>
                <w:rFonts w:hint="default" w:ascii="Times New Roman" w:hAnsi="Times New Roman" w:cs="Times New Roman"/>
                <w:b/>
                <w:bCs/>
                <w:color w:val="auto"/>
                <w:sz w:val="24"/>
                <w:szCs w:val="24"/>
              </w:rPr>
              <w:t>2</w:t>
            </w:r>
            <w:r>
              <w:rPr>
                <w:rFonts w:hint="eastAsia" w:ascii="Times New Roman" w:hAnsi="Times New Roman" w:cs="Times New Roman"/>
                <w:b/>
                <w:bCs/>
                <w:color w:val="auto"/>
                <w:sz w:val="24"/>
                <w:szCs w:val="24"/>
              </w:rPr>
              <w:t>）</w:t>
            </w:r>
            <w:r>
              <w:rPr>
                <w:rFonts w:hint="eastAsia" w:ascii="宋体" w:hAnsi="宋体" w:cs="Times New Roman"/>
                <w:b/>
                <w:bCs/>
                <w:color w:val="auto"/>
                <w:sz w:val="24"/>
                <w:szCs w:val="24"/>
              </w:rPr>
              <w:t>地表水环境质量现状</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宋体" w:hAnsi="宋体" w:cs="Times New Roman"/>
                <w:color w:val="auto"/>
                <w:sz w:val="24"/>
                <w:szCs w:val="24"/>
              </w:rPr>
              <w:t>据《202</w:t>
            </w:r>
            <w:r>
              <w:rPr>
                <w:rFonts w:hint="default" w:ascii="宋体" w:hAnsi="宋体" w:cs="Times New Roman"/>
                <w:color w:val="auto"/>
                <w:sz w:val="24"/>
                <w:szCs w:val="24"/>
                <w:lang w:val="en-US"/>
              </w:rPr>
              <w:t>2</w:t>
            </w:r>
            <w:r>
              <w:rPr>
                <w:rFonts w:hint="eastAsia" w:ascii="宋体" w:hAnsi="宋体" w:cs="Times New Roman"/>
                <w:color w:val="auto"/>
                <w:sz w:val="24"/>
                <w:szCs w:val="24"/>
              </w:rPr>
              <w:t>年度昆明市生态环境状况公报》</w:t>
            </w:r>
            <w:r>
              <w:rPr>
                <w:rFonts w:hint="eastAsia" w:ascii="Times New Roman" w:hAnsi="Times New Roman" w:cs="Times New Roman"/>
                <w:color w:val="auto"/>
                <w:sz w:val="24"/>
                <w:szCs w:val="24"/>
              </w:rPr>
              <w:t>，小江与2021年相比，四级站断面、阿旺(姑海)断面水质类别保持</w:t>
            </w:r>
            <w:r>
              <w:rPr>
                <w:rFonts w:hint="eastAsia" w:ascii="宋体" w:hAnsi="宋体" w:cs="宋体"/>
                <w:color w:val="auto"/>
                <w:sz w:val="24"/>
                <w:szCs w:val="24"/>
              </w:rPr>
              <w:t>Ⅱ</w:t>
            </w:r>
            <w:r>
              <w:rPr>
                <w:rFonts w:hint="eastAsia" w:ascii="Times New Roman" w:hAnsi="Times New Roman" w:cs="Times New Roman"/>
                <w:color w:val="auto"/>
                <w:sz w:val="24"/>
                <w:szCs w:val="24"/>
              </w:rPr>
              <w:t>类不变。属于地表水环境质量达标区。</w:t>
            </w:r>
          </w:p>
          <w:p>
            <w:pPr>
              <w:keepNext w:val="0"/>
              <w:keepLines w:val="0"/>
              <w:suppressLineNumbers w:val="0"/>
              <w:snapToGrid w:val="0"/>
              <w:spacing w:before="0" w:beforeAutospacing="0" w:after="0" w:afterAutospacing="0" w:line="360" w:lineRule="auto"/>
              <w:ind w:left="0" w:right="0"/>
              <w:rPr>
                <w:rFonts w:hint="default" w:ascii="Calibri" w:hAnsi="Calibri" w:cs="Times New Roman"/>
                <w:b/>
                <w:bCs/>
                <w:color w:val="auto"/>
                <w:sz w:val="24"/>
              </w:rPr>
            </w:pPr>
            <w:r>
              <w:rPr>
                <w:rFonts w:hint="eastAsia" w:ascii="Calibri" w:hAnsi="Calibri" w:cs="Times New Roman"/>
                <w:b/>
                <w:bCs/>
                <w:color w:val="auto"/>
                <w:sz w:val="24"/>
              </w:rPr>
              <w:t>4</w:t>
            </w:r>
            <w:r>
              <w:rPr>
                <w:rFonts w:hint="default" w:ascii="Calibri" w:hAnsi="Calibri" w:cs="Times New Roman"/>
                <w:b/>
                <w:bCs/>
                <w:color w:val="auto"/>
                <w:sz w:val="24"/>
              </w:rPr>
              <w:t>、生态环境现状</w:t>
            </w:r>
          </w:p>
          <w:p>
            <w:pPr>
              <w:keepNext w:val="0"/>
              <w:keepLines w:val="0"/>
              <w:suppressLineNumbers w:val="0"/>
              <w:snapToGrid w:val="0"/>
              <w:spacing w:before="0" w:beforeAutospacing="0" w:after="0" w:afterAutospacing="0" w:line="360" w:lineRule="auto"/>
              <w:ind w:left="0" w:right="0" w:firstLine="480" w:firstLineChars="200"/>
              <w:rPr>
                <w:rFonts w:hint="default" w:ascii="Calibri" w:hAnsi="Calibri" w:cs="Times New Roman"/>
                <w:color w:val="auto"/>
                <w:sz w:val="24"/>
                <w:szCs w:val="24"/>
              </w:rPr>
            </w:pPr>
            <w:r>
              <w:rPr>
                <w:rFonts w:hint="eastAsia" w:ascii="Times New Roman" w:hAnsi="Times New Roman" w:cs="Times New Roman"/>
                <w:color w:val="auto"/>
                <w:sz w:val="24"/>
                <w:szCs w:val="24"/>
              </w:rPr>
              <w:t>项目位于</w:t>
            </w:r>
            <w:r>
              <w:rPr>
                <w:rFonts w:hint="eastAsia" w:ascii="Calibri" w:hAnsi="Calibri" w:cs="Times New Roman"/>
                <w:color w:val="auto"/>
              </w:rPr>
              <w:t>云南省昆明市东川区城区西南角，规划道路东海路南延长线东侧，兴铜路西延长线南侧交汇路口</w:t>
            </w:r>
            <w:r>
              <w:rPr>
                <w:rFonts w:hint="eastAsia" w:ascii="Times New Roman" w:hAnsi="Times New Roman" w:cs="Times New Roman"/>
                <w:color w:val="auto"/>
                <w:sz w:val="24"/>
                <w:szCs w:val="24"/>
              </w:rPr>
              <w:t>，目前场地已平整，已无原生植被，场地周边主要为农作物，动物主要为老鼠、麻雀等，生物多样性单一。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环境</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保护</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b/>
                <w:bCs/>
                <w:color w:val="auto"/>
                <w:kern w:val="0"/>
                <w:sz w:val="24"/>
                <w:szCs w:val="24"/>
              </w:rPr>
            </w:pPr>
            <w:r>
              <w:rPr>
                <w:rFonts w:hint="default" w:ascii="Calibri" w:hAnsi="Calibri" w:cs="Times New Roman"/>
                <w:b/>
                <w:bCs/>
                <w:color w:val="auto"/>
                <w:kern w:val="0"/>
                <w:sz w:val="24"/>
                <w:szCs w:val="24"/>
              </w:rPr>
              <w:t>目标</w:t>
            </w:r>
          </w:p>
        </w:tc>
        <w:tc>
          <w:tcPr>
            <w:tcW w:w="8482"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1、大气环境保护目标</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建设项目环境影响报告表编制技术指南》（污染影响类）中“明确厂界外500m范围内的自然保护区、风景名胜区……”要求及现场踏勘，项目厂界外500m范围内没有自然保护区、风景名胜区、文化区等保护目标存在，项目大气环境保护目标如下：</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b w:val="0"/>
                <w:bCs w:val="0"/>
                <w:color w:val="auto"/>
                <w:sz w:val="24"/>
                <w:szCs w:val="24"/>
              </w:rPr>
              <w:t>东北侧</w:t>
            </w:r>
            <w:r>
              <w:rPr>
                <w:rFonts w:hint="default" w:ascii="宋体" w:hAnsi="宋体" w:cs="宋体"/>
                <w:b w:val="0"/>
                <w:bCs w:val="0"/>
                <w:color w:val="auto"/>
                <w:sz w:val="24"/>
                <w:szCs w:val="24"/>
                <w:lang w:val="en-US"/>
              </w:rPr>
              <w:t>48</w:t>
            </w:r>
            <w:r>
              <w:rPr>
                <w:rFonts w:hint="eastAsia" w:ascii="宋体" w:hAnsi="宋体" w:cs="宋体"/>
                <w:b w:val="0"/>
                <w:bCs w:val="0"/>
                <w:color w:val="auto"/>
                <w:sz w:val="24"/>
                <w:szCs w:val="24"/>
              </w:rPr>
              <w:t>米处的石羊社区；</w:t>
            </w:r>
            <w:r>
              <w:rPr>
                <w:rFonts w:hint="eastAsia" w:ascii="宋体" w:hAnsi="宋体" w:cs="宋体"/>
                <w:color w:val="auto"/>
                <w:sz w:val="24"/>
                <w:szCs w:val="24"/>
              </w:rPr>
              <w:t>东北侧</w:t>
            </w:r>
            <w:r>
              <w:rPr>
                <w:rFonts w:hint="default" w:ascii="宋体" w:hAnsi="宋体" w:cs="宋体"/>
                <w:color w:val="auto"/>
                <w:sz w:val="24"/>
                <w:szCs w:val="24"/>
              </w:rPr>
              <w:t>376</w:t>
            </w:r>
            <w:r>
              <w:rPr>
                <w:rFonts w:hint="eastAsia" w:ascii="宋体" w:hAnsi="宋体" w:cs="宋体"/>
                <w:color w:val="auto"/>
                <w:sz w:val="24"/>
                <w:szCs w:val="24"/>
              </w:rPr>
              <w:t>米处的金水花园一期；东侧</w:t>
            </w:r>
            <w:r>
              <w:rPr>
                <w:rFonts w:hint="default" w:ascii="宋体" w:hAnsi="宋体" w:cs="宋体"/>
                <w:color w:val="auto"/>
                <w:sz w:val="24"/>
                <w:szCs w:val="24"/>
              </w:rPr>
              <w:t>194</w:t>
            </w:r>
            <w:r>
              <w:rPr>
                <w:rFonts w:hint="eastAsia" w:ascii="宋体" w:hAnsi="宋体" w:cs="宋体"/>
                <w:color w:val="auto"/>
                <w:sz w:val="24"/>
                <w:szCs w:val="24"/>
              </w:rPr>
              <w:t>米处的金水花园二期；东侧</w:t>
            </w:r>
            <w:r>
              <w:rPr>
                <w:rFonts w:hint="default" w:ascii="宋体" w:hAnsi="宋体" w:cs="宋体"/>
                <w:color w:val="auto"/>
                <w:sz w:val="24"/>
                <w:szCs w:val="24"/>
              </w:rPr>
              <w:t>376</w:t>
            </w:r>
            <w:r>
              <w:rPr>
                <w:rFonts w:hint="eastAsia" w:ascii="宋体" w:hAnsi="宋体" w:cs="宋体"/>
                <w:color w:val="auto"/>
                <w:sz w:val="24"/>
                <w:szCs w:val="24"/>
              </w:rPr>
              <w:t>米处的金水地产北园；东侧</w:t>
            </w:r>
            <w:r>
              <w:rPr>
                <w:rFonts w:hint="default" w:ascii="宋体" w:hAnsi="宋体" w:cs="宋体"/>
                <w:color w:val="auto"/>
                <w:sz w:val="24"/>
                <w:szCs w:val="24"/>
              </w:rPr>
              <w:t>153</w:t>
            </w:r>
            <w:r>
              <w:rPr>
                <w:rFonts w:hint="eastAsia" w:ascii="宋体" w:hAnsi="宋体" w:cs="宋体"/>
                <w:color w:val="auto"/>
                <w:sz w:val="24"/>
                <w:szCs w:val="24"/>
              </w:rPr>
              <w:t>米处的金水花园三期；东南侧</w:t>
            </w:r>
            <w:r>
              <w:rPr>
                <w:rFonts w:hint="default" w:ascii="宋体" w:hAnsi="宋体" w:cs="宋体"/>
                <w:color w:val="auto"/>
                <w:sz w:val="24"/>
                <w:szCs w:val="24"/>
              </w:rPr>
              <w:t>197</w:t>
            </w:r>
            <w:r>
              <w:rPr>
                <w:rFonts w:hint="eastAsia" w:ascii="宋体" w:hAnsi="宋体" w:cs="宋体"/>
                <w:color w:val="auto"/>
                <w:sz w:val="24"/>
                <w:szCs w:val="24"/>
              </w:rPr>
              <w:t>米处的石羊小区，东南侧</w:t>
            </w:r>
            <w:r>
              <w:rPr>
                <w:rFonts w:hint="default" w:ascii="宋体" w:hAnsi="宋体" w:cs="宋体"/>
                <w:color w:val="auto"/>
                <w:sz w:val="24"/>
                <w:szCs w:val="24"/>
              </w:rPr>
              <w:t>254</w:t>
            </w:r>
            <w:r>
              <w:rPr>
                <w:rFonts w:hint="eastAsia" w:ascii="宋体" w:hAnsi="宋体" w:cs="宋体"/>
                <w:color w:val="auto"/>
                <w:sz w:val="24"/>
                <w:szCs w:val="24"/>
              </w:rPr>
              <w:t>米处的铜都中学，南侧1</w:t>
            </w:r>
            <w:r>
              <w:rPr>
                <w:rFonts w:hint="default" w:ascii="宋体" w:hAnsi="宋体" w:cs="宋体"/>
                <w:color w:val="auto"/>
                <w:sz w:val="24"/>
                <w:szCs w:val="24"/>
              </w:rPr>
              <w:t>3</w:t>
            </w:r>
            <w:r>
              <w:rPr>
                <w:rFonts w:hint="eastAsia" w:ascii="宋体" w:hAnsi="宋体" w:cs="宋体"/>
                <w:color w:val="auto"/>
                <w:sz w:val="24"/>
                <w:szCs w:val="24"/>
              </w:rPr>
              <w:t>0m处的达贝村。</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2、声环境环境保护目标</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Times New Roman"/>
                <w:color w:val="auto"/>
                <w:sz w:val="24"/>
                <w:szCs w:val="24"/>
              </w:rPr>
            </w:pPr>
            <w:r>
              <w:rPr>
                <w:rFonts w:hint="eastAsia" w:ascii="宋体" w:hAnsi="宋体" w:cs="Times New Roman"/>
                <w:color w:val="auto"/>
                <w:sz w:val="24"/>
                <w:szCs w:val="24"/>
              </w:rPr>
              <w:t>根据《建设项目环境影响报告表编制技术指南》（污染影响类）中“明确厂界外50m范围内的声环境保护目标”要求及现场踏勘，</w:t>
            </w:r>
            <w:r>
              <w:rPr>
                <w:rFonts w:hint="eastAsia" w:ascii="宋体" w:hAnsi="宋体" w:cs="Times New Roman"/>
                <w:color w:val="auto"/>
                <w:sz w:val="24"/>
                <w:szCs w:val="24"/>
              </w:rPr>
              <w:t>项目声环境保护目标</w:t>
            </w:r>
            <w:r>
              <w:rPr>
                <w:rFonts w:hint="eastAsia" w:ascii="宋体" w:hAnsi="宋体" w:cs="Times New Roman"/>
                <w:color w:val="auto"/>
                <w:sz w:val="24"/>
                <w:szCs w:val="24"/>
                <w:lang w:eastAsia="zh-CN"/>
              </w:rPr>
              <w:t>为</w:t>
            </w:r>
            <w:r>
              <w:rPr>
                <w:rFonts w:hint="eastAsia" w:ascii="宋体" w:hAnsi="宋体" w:cs="宋体"/>
                <w:color w:val="auto"/>
                <w:sz w:val="24"/>
                <w:szCs w:val="24"/>
              </w:rPr>
              <w:t>东北侧</w:t>
            </w:r>
            <w:r>
              <w:rPr>
                <w:rFonts w:hint="default" w:ascii="宋体" w:hAnsi="宋体" w:cs="宋体"/>
                <w:color w:val="auto"/>
                <w:sz w:val="24"/>
                <w:szCs w:val="24"/>
                <w:lang w:val="en-US"/>
              </w:rPr>
              <w:t>48</w:t>
            </w:r>
            <w:r>
              <w:rPr>
                <w:rFonts w:hint="eastAsia" w:ascii="宋体" w:hAnsi="宋体" w:cs="宋体"/>
                <w:color w:val="auto"/>
                <w:sz w:val="24"/>
                <w:szCs w:val="24"/>
              </w:rPr>
              <w:t>米处的石羊社区</w:t>
            </w:r>
            <w:r>
              <w:rPr>
                <w:rFonts w:hint="eastAsia" w:ascii="宋体" w:hAnsi="宋体" w:cs="Times New Roman"/>
                <w:color w:val="auto"/>
                <w:sz w:val="24"/>
                <w:szCs w:val="24"/>
              </w:rPr>
              <w:t>。</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3、地表水环境保护目标</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宋体" w:hAnsi="宋体" w:cs="Times New Roman"/>
                <w:color w:val="auto"/>
                <w:sz w:val="24"/>
                <w:szCs w:val="24"/>
              </w:rPr>
              <w:t>据调查，项目区最近的地表水体为项目西面</w:t>
            </w:r>
            <w:r>
              <w:rPr>
                <w:rFonts w:hint="default" w:ascii="宋体" w:hAnsi="宋体" w:cs="Times New Roman"/>
                <w:color w:val="auto"/>
                <w:sz w:val="24"/>
                <w:szCs w:val="24"/>
              </w:rPr>
              <w:t>1525</w:t>
            </w:r>
            <w:r>
              <w:rPr>
                <w:rFonts w:hint="eastAsia" w:ascii="宋体" w:hAnsi="宋体" w:cs="Times New Roman"/>
                <w:color w:val="auto"/>
                <w:sz w:val="24"/>
                <w:szCs w:val="24"/>
              </w:rPr>
              <w:t>m 处的小江。根据《云南省水功能区划（</w:t>
            </w:r>
            <w:r>
              <w:rPr>
                <w:rFonts w:hint="default" w:ascii="宋体" w:hAnsi="宋体" w:cs="Times New Roman"/>
                <w:color w:val="auto"/>
                <w:sz w:val="24"/>
                <w:szCs w:val="24"/>
              </w:rPr>
              <w:t>2014</w:t>
            </w:r>
            <w:r>
              <w:rPr>
                <w:rFonts w:hint="eastAsia" w:ascii="宋体" w:hAnsi="宋体" w:cs="Times New Roman"/>
                <w:color w:val="auto"/>
                <w:sz w:val="24"/>
                <w:szCs w:val="24"/>
              </w:rPr>
              <w:t>年）》，小江（小江寻甸</w:t>
            </w:r>
            <w:r>
              <w:rPr>
                <w:rFonts w:hint="default" w:ascii="宋体" w:hAnsi="宋体" w:cs="Times New Roman"/>
                <w:color w:val="auto"/>
                <w:sz w:val="24"/>
                <w:szCs w:val="24"/>
              </w:rPr>
              <w:t>-</w:t>
            </w:r>
            <w:r>
              <w:rPr>
                <w:rFonts w:hint="eastAsia" w:ascii="宋体" w:hAnsi="宋体" w:cs="Times New Roman"/>
                <w:color w:val="auto"/>
                <w:sz w:val="24"/>
                <w:szCs w:val="24"/>
              </w:rPr>
              <w:t>东川保留区）段水质目标为</w:t>
            </w:r>
            <w:r>
              <w:rPr>
                <w:rFonts w:hint="eastAsia" w:ascii="宋体" w:hAnsi="宋体" w:cs="宋体"/>
                <w:color w:val="auto"/>
                <w:sz w:val="24"/>
                <w:szCs w:val="24"/>
              </w:rPr>
              <w:t>Ⅲ</w:t>
            </w:r>
            <w:r>
              <w:rPr>
                <w:rFonts w:hint="eastAsia" w:ascii="宋体" w:hAnsi="宋体" w:cs="Times New Roman"/>
                <w:color w:val="auto"/>
                <w:sz w:val="24"/>
                <w:szCs w:val="24"/>
              </w:rPr>
              <w:t>类，执行《地表水环境质量标准》（</w:t>
            </w:r>
            <w:r>
              <w:rPr>
                <w:rFonts w:hint="default" w:ascii="宋体" w:hAnsi="宋体" w:cs="Times New Roman"/>
                <w:color w:val="auto"/>
                <w:sz w:val="24"/>
                <w:szCs w:val="24"/>
              </w:rPr>
              <w:t>GB</w:t>
            </w:r>
            <w:r>
              <w:rPr>
                <w:rFonts w:hint="eastAsia" w:ascii="宋体" w:hAnsi="宋体" w:cs="Times New Roman"/>
                <w:color w:val="auto"/>
                <w:sz w:val="24"/>
                <w:szCs w:val="24"/>
                <w:lang w:eastAsia="zh-CN"/>
              </w:rPr>
              <w:t>****</w:t>
            </w:r>
            <w:r>
              <w:rPr>
                <w:rFonts w:hint="default" w:ascii="宋体" w:hAnsi="宋体" w:cs="Times New Roman"/>
                <w:color w:val="auto"/>
                <w:sz w:val="24"/>
                <w:szCs w:val="24"/>
              </w:rPr>
              <w:t>-2002</w:t>
            </w:r>
            <w:r>
              <w:rPr>
                <w:rFonts w:hint="eastAsia" w:ascii="宋体" w:hAnsi="宋体" w:cs="Times New Roman"/>
                <w:color w:val="auto"/>
                <w:sz w:val="24"/>
                <w:szCs w:val="24"/>
              </w:rPr>
              <w:t>）</w:t>
            </w:r>
            <w:r>
              <w:rPr>
                <w:rFonts w:hint="eastAsia" w:ascii="宋体" w:hAnsi="宋体" w:cs="宋体"/>
                <w:color w:val="auto"/>
                <w:sz w:val="24"/>
                <w:szCs w:val="24"/>
              </w:rPr>
              <w:t>Ⅲ</w:t>
            </w:r>
            <w:r>
              <w:rPr>
                <w:rFonts w:hint="eastAsia" w:ascii="宋体" w:hAnsi="宋体" w:cs="Times New Roman"/>
                <w:color w:val="auto"/>
                <w:sz w:val="24"/>
                <w:szCs w:val="24"/>
              </w:rPr>
              <w:t>类标准。</w:t>
            </w:r>
            <w:r>
              <w:rPr>
                <w:rFonts w:hint="eastAsia" w:ascii="Times New Roman" w:hAnsi="Times New Roman" w:cs="Times New Roman"/>
                <w:color w:val="auto"/>
                <w:sz w:val="24"/>
                <w:szCs w:val="24"/>
              </w:rPr>
              <w:t xml:space="preserve">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保护目标为小江。项目周边水系图见附图3。</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4、地下水环境保护目标</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根据《建设项目环境影响报告表编制技术指南》（污染影响类）中“明确厂界外500m范围内的地下水集中式饮用水水源和热水……”要求及现场踏勘，该项目厂界外500m范围内无地下水集中式饮用水水源和热水、矿泉水、温泉等特殊地下水资源，项目无地下水环境保护目标。</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eastAsia" w:ascii="宋体" w:hAnsi="宋体" w:cs="宋体"/>
                <w:b/>
                <w:bCs/>
                <w:color w:val="auto"/>
                <w:sz w:val="24"/>
                <w:szCs w:val="24"/>
              </w:rPr>
              <w:t>5、生态环境保护目标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eastAsia" w:ascii="宋体" w:hAnsi="宋体" w:cs="宋体"/>
                <w:color w:val="auto"/>
                <w:sz w:val="24"/>
                <w:szCs w:val="24"/>
              </w:rPr>
              <w:t>本项目位于</w:t>
            </w:r>
            <w:r>
              <w:rPr>
                <w:rFonts w:hint="eastAsia" w:ascii="宋体" w:hAnsi="宋体" w:eastAsia="宋体" w:cs="宋体"/>
                <w:color w:val="auto"/>
                <w:sz w:val="24"/>
                <w:szCs w:val="24"/>
              </w:rPr>
              <w:t>云南省昆明市东川区城区西南角，规划道路东海路南延长线东侧，兴铜路西延长线南侧交汇路口，</w:t>
            </w:r>
            <w:r>
              <w:rPr>
                <w:rFonts w:hint="eastAsia" w:ascii="Times New Roman" w:hAnsi="Times New Roman" w:cs="Times New Roman"/>
                <w:color w:val="auto"/>
                <w:sz w:val="24"/>
                <w:szCs w:val="24"/>
              </w:rPr>
              <w:t>目前场地已平整，已无原生植被，场地周边主要为农作物</w:t>
            </w:r>
            <w:r>
              <w:rPr>
                <w:rFonts w:hint="eastAsia" w:ascii="宋体" w:hAnsi="宋体" w:cs="宋体"/>
                <w:color w:val="auto"/>
                <w:sz w:val="24"/>
                <w:szCs w:val="24"/>
                <w:lang w:val="zh-CN"/>
              </w:rPr>
              <w:t>。</w:t>
            </w:r>
            <w:r>
              <w:rPr>
                <w:rFonts w:hint="eastAsia" w:ascii="宋体" w:hAnsi="宋体" w:cs="宋体"/>
                <w:color w:val="auto"/>
                <w:sz w:val="24"/>
                <w:szCs w:val="24"/>
              </w:rPr>
              <w:t>按照《建设项目环境影响报告表编制技术指南》（污染影响类）“产业园区外建设项目新增用地的，应明确新增用地范围内生态环境保护目标”要求，</w:t>
            </w:r>
            <w:r>
              <w:rPr>
                <w:rFonts w:hint="default" w:ascii="Times New Roman" w:hAnsi="Times New Roman" w:eastAsia="宋体" w:cs="Times New Roman"/>
                <w:color w:val="auto"/>
                <w:sz w:val="24"/>
                <w:szCs w:val="24"/>
              </w:rPr>
              <w:t>本环评拟定生态环境评价范围为200m，该项目的主要生态环境保护目标</w:t>
            </w:r>
            <w:r>
              <w:rPr>
                <w:rFonts w:hint="default" w:ascii="Times New Roman" w:hAnsi="Times New Roman" w:eastAsia="宋体" w:cs="Times New Roman"/>
                <w:color w:val="auto"/>
                <w:sz w:val="24"/>
                <w:szCs w:val="24"/>
                <w:lang w:eastAsia="zh-CN"/>
              </w:rPr>
              <w:t>为</w:t>
            </w:r>
            <w:r>
              <w:rPr>
                <w:rFonts w:hint="default" w:ascii="Times New Roman" w:hAnsi="Times New Roman" w:eastAsia="宋体" w:cs="Times New Roman"/>
                <w:color w:val="auto"/>
                <w:sz w:val="24"/>
                <w:szCs w:val="24"/>
              </w:rPr>
              <w:t>土地利用、植被、植物、动物。</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rPr>
              <w:t>本项目周边环境保护目标见表3-</w:t>
            </w:r>
            <w:r>
              <w:rPr>
                <w:rFonts w:hint="default" w:ascii="Times New Roman" w:hAnsi="Times New Roman" w:cs="Times New Roman"/>
                <w:color w:val="auto"/>
                <w:sz w:val="24"/>
                <w:szCs w:val="24"/>
              </w:rPr>
              <w:t>3</w:t>
            </w:r>
            <w:r>
              <w:rPr>
                <w:rFonts w:hint="eastAsia" w:ascii="Times New Roman" w:hAnsi="Times New Roman" w:cs="Times New Roman"/>
                <w:color w:val="auto"/>
                <w:sz w:val="24"/>
                <w:szCs w:val="24"/>
              </w:rPr>
              <w:t>。</w:t>
            </w:r>
          </w:p>
          <w:p>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表3-</w:t>
            </w:r>
            <w:r>
              <w:rPr>
                <w:rFonts w:hint="default" w:ascii="Times New Roman" w:hAnsi="Times New Roman" w:cs="Times New Roman"/>
                <w:b/>
                <w:bCs/>
                <w:color w:val="auto"/>
                <w:sz w:val="24"/>
                <w:szCs w:val="24"/>
              </w:rPr>
              <w:t>3</w:t>
            </w:r>
            <w:r>
              <w:rPr>
                <w:rFonts w:hint="eastAsia" w:ascii="Times New Roman" w:hAnsi="Times New Roman" w:cs="Times New Roman"/>
                <w:b/>
                <w:bCs/>
                <w:color w:val="auto"/>
                <w:sz w:val="24"/>
                <w:szCs w:val="24"/>
              </w:rPr>
              <w:t xml:space="preserve"> 项目环境保护目标一览表</w:t>
            </w:r>
          </w:p>
          <w:tbl>
            <w:tblPr>
              <w:tblStyle w:val="26"/>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36"/>
              <w:gridCol w:w="1687"/>
              <w:gridCol w:w="209"/>
              <w:gridCol w:w="647"/>
              <w:gridCol w:w="886"/>
              <w:gridCol w:w="681"/>
              <w:gridCol w:w="115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环境要素</w:t>
                  </w:r>
                </w:p>
              </w:tc>
              <w:tc>
                <w:tcPr>
                  <w:tcW w:w="7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保护目标</w:t>
                  </w:r>
                </w:p>
              </w:tc>
              <w:tc>
                <w:tcPr>
                  <w:tcW w:w="1896"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坐标</w:t>
                  </w:r>
                </w:p>
              </w:tc>
              <w:tc>
                <w:tcPr>
                  <w:tcW w:w="6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相对</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位置</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距离（m）</w:t>
                  </w:r>
                </w:p>
              </w:tc>
              <w:tc>
                <w:tcPr>
                  <w:tcW w:w="1838"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保护标准</w:t>
                  </w: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保护对象及内容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大气环境</w:t>
                  </w: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石羊社区</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东经103°10′57.13″</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北纬26°4′10.99″</w:t>
                  </w:r>
                </w:p>
              </w:tc>
              <w:tc>
                <w:tcPr>
                  <w:tcW w:w="6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东</w:t>
                  </w:r>
                  <w:r>
                    <w:rPr>
                      <w:rFonts w:hint="eastAsia" w:ascii="Times New Roman" w:hAnsi="Times New Roman" w:cs="Times New Roman"/>
                      <w:color w:val="auto"/>
                    </w:rPr>
                    <w:t>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val="en-US"/>
                    </w:rPr>
                  </w:pPr>
                  <w:r>
                    <w:rPr>
                      <w:rFonts w:hint="default" w:ascii="Times New Roman" w:hAnsi="Times New Roman" w:cs="Times New Roman"/>
                      <w:color w:val="auto"/>
                      <w:highlight w:val="none"/>
                      <w:lang w:val="en-US"/>
                    </w:rPr>
                    <w:t>48</w:t>
                  </w:r>
                </w:p>
              </w:tc>
              <w:tc>
                <w:tcPr>
                  <w:tcW w:w="1838"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《环境空气质量标准》（GB</w:t>
                  </w:r>
                  <w:r>
                    <w:rPr>
                      <w:rFonts w:hint="eastAsia" w:cs="Times New Roman"/>
                      <w:color w:val="auto"/>
                      <w:lang w:eastAsia="zh-CN"/>
                    </w:rPr>
                    <w:t>****</w:t>
                  </w:r>
                  <w:r>
                    <w:rPr>
                      <w:rFonts w:hint="default" w:ascii="Times New Roman" w:hAnsi="Times New Roman" w:cs="Times New Roman"/>
                      <w:color w:val="auto"/>
                    </w:rPr>
                    <w:t>-2012）二级标准</w:t>
                  </w: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居住区，5000人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金水花园一期</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东经103°11′7.23″</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北纬26°4′10.38″</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376</w:t>
                  </w:r>
                </w:p>
              </w:tc>
              <w:tc>
                <w:tcPr>
                  <w:tcW w:w="1838"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金水花园二期</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东经103°11′4.84″</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北纬26°4′1.58″</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194</w:t>
                  </w:r>
                </w:p>
              </w:tc>
              <w:tc>
                <w:tcPr>
                  <w:tcW w:w="1838"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居住区，900人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金水地产北园</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东经103°11′10.63″</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北纬26°4′1.05″</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376</w:t>
                  </w:r>
                </w:p>
              </w:tc>
              <w:tc>
                <w:tcPr>
                  <w:tcW w:w="1838"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金水花园三期</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东经103°11′4.07″</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北纬26°3′54.57″</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153</w:t>
                  </w:r>
                </w:p>
              </w:tc>
              <w:tc>
                <w:tcPr>
                  <w:tcW w:w="1838"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居住区，800人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石羊小区</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东经103°11′4.69″</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北纬26°3′49.82″</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197</w:t>
                  </w:r>
                </w:p>
              </w:tc>
              <w:tc>
                <w:tcPr>
                  <w:tcW w:w="1838"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铜都中学</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东经103°11′3.95″</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北纬26°3′45.11″</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东南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254</w:t>
                  </w:r>
                </w:p>
              </w:tc>
              <w:tc>
                <w:tcPr>
                  <w:tcW w:w="1838"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居住区，650人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9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达贝村</w:t>
                  </w:r>
                </w:p>
              </w:tc>
              <w:tc>
                <w:tcPr>
                  <w:tcW w:w="1896"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东经103°11′0.87″</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rPr>
                    <w:t>北纬26°3′37.11″</w:t>
                  </w:r>
                </w:p>
              </w:tc>
              <w:tc>
                <w:tcPr>
                  <w:tcW w:w="64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南</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130</w:t>
                  </w:r>
                </w:p>
              </w:tc>
              <w:tc>
                <w:tcPr>
                  <w:tcW w:w="1838"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居住区，3500人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水环境</w:t>
                  </w:r>
                </w:p>
              </w:tc>
              <w:tc>
                <w:tcPr>
                  <w:tcW w:w="73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eastAsia" w:ascii="Times New Roman" w:hAnsi="Times New Roman" w:cs="Times New Roman"/>
                      <w:color w:val="auto"/>
                    </w:rPr>
                    <w:t>小江</w:t>
                  </w:r>
                </w:p>
              </w:tc>
              <w:tc>
                <w:tcPr>
                  <w:tcW w:w="1896"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w:t>
                  </w:r>
                </w:p>
              </w:tc>
              <w:tc>
                <w:tcPr>
                  <w:tcW w:w="6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西</w:t>
                  </w:r>
                </w:p>
              </w:tc>
              <w:tc>
                <w:tcPr>
                  <w:tcW w:w="88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1525</w:t>
                  </w:r>
                </w:p>
              </w:tc>
              <w:tc>
                <w:tcPr>
                  <w:tcW w:w="1838"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《地表水环境质量标准》（GB</w:t>
                  </w:r>
                  <w:r>
                    <w:rPr>
                      <w:rFonts w:hint="eastAsia" w:cs="Times New Roman"/>
                      <w:color w:val="auto"/>
                      <w:lang w:eastAsia="zh-CN"/>
                    </w:rPr>
                    <w:t>****</w:t>
                  </w:r>
                  <w:r>
                    <w:rPr>
                      <w:rFonts w:hint="default" w:ascii="Times New Roman" w:hAnsi="Times New Roman" w:cs="Times New Roman"/>
                      <w:color w:val="auto"/>
                    </w:rPr>
                    <w:t>-2002）III 类标准</w:t>
                  </w: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声环境</w:t>
                  </w:r>
                </w:p>
              </w:tc>
              <w:tc>
                <w:tcPr>
                  <w:tcW w:w="7271" w:type="dxa"/>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项目厂界外</w:t>
                  </w:r>
                  <w:r>
                    <w:rPr>
                      <w:rFonts w:hint="default" w:ascii="Times New Roman" w:hAnsi="Times New Roman" w:cs="Times New Roman"/>
                      <w:color w:val="auto"/>
                    </w:rPr>
                    <w:t>50m</w:t>
                  </w:r>
                  <w:r>
                    <w:rPr>
                      <w:rFonts w:hint="eastAsia" w:ascii="Times New Roman" w:hAnsi="Times New Roman" w:cs="Times New Roman"/>
                      <w:color w:val="auto"/>
                    </w:rPr>
                    <w:t>范围内</w:t>
                  </w:r>
                  <w:r>
                    <w:rPr>
                      <w:rFonts w:hint="eastAsia" w:ascii="Times New Roman" w:hAnsi="Times New Roman" w:eastAsia="宋体" w:cs="Times New Roman"/>
                      <w:color w:val="auto"/>
                    </w:rPr>
                    <w:t>声环境保护目标</w:t>
                  </w:r>
                  <w:r>
                    <w:rPr>
                      <w:rFonts w:hint="eastAsia" w:ascii="Times New Roman" w:hAnsi="Times New Roman" w:eastAsia="宋体" w:cs="Times New Roman"/>
                      <w:color w:val="auto"/>
                      <w:lang w:eastAsia="zh-CN"/>
                    </w:rPr>
                    <w:t>为</w:t>
                  </w:r>
                  <w:r>
                    <w:rPr>
                      <w:rFonts w:hint="eastAsia" w:ascii="Times New Roman" w:hAnsi="Times New Roman" w:eastAsia="宋体" w:cs="Times New Roman"/>
                      <w:color w:val="auto"/>
                    </w:rPr>
                    <w:t>东北侧</w:t>
                  </w:r>
                  <w:r>
                    <w:rPr>
                      <w:rFonts w:hint="default" w:ascii="Times New Roman" w:hAnsi="Times New Roman" w:eastAsia="宋体" w:cs="Times New Roman"/>
                      <w:color w:val="auto"/>
                      <w:lang w:val="en-US"/>
                    </w:rPr>
                    <w:t>48</w:t>
                  </w:r>
                  <w:r>
                    <w:rPr>
                      <w:rFonts w:hint="eastAsia" w:ascii="Times New Roman" w:hAnsi="Times New Roman" w:eastAsia="宋体" w:cs="Times New Roman"/>
                      <w:color w:val="auto"/>
                    </w:rPr>
                    <w:t>米处的石羊社区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地下水</w:t>
                  </w:r>
                </w:p>
              </w:tc>
              <w:tc>
                <w:tcPr>
                  <w:tcW w:w="7271" w:type="dxa"/>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项目厂界外500米范围内无地下水保护目标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9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生态环境</w:t>
                  </w:r>
                </w:p>
              </w:tc>
              <w:tc>
                <w:tcPr>
                  <w:tcW w:w="2423" w:type="dxa"/>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default" w:ascii="Calibri" w:hAnsi="Calibri" w:cs="Times New Roman"/>
                      <w:color w:val="auto"/>
                      <w:szCs w:val="21"/>
                    </w:rPr>
                    <w:t>项目区边界200m范围</w:t>
                  </w:r>
                </w:p>
              </w:tc>
              <w:tc>
                <w:tcPr>
                  <w:tcW w:w="2423" w:type="dxa"/>
                  <w:gridSpan w:val="4"/>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default" w:ascii="Calibri" w:hAnsi="Calibri" w:cs="Times New Roman"/>
                      <w:color w:val="auto"/>
                      <w:szCs w:val="21"/>
                    </w:rPr>
                    <w:t>土地利用、植被、植物、动物</w:t>
                  </w:r>
                </w:p>
              </w:tc>
              <w:tc>
                <w:tcPr>
                  <w:tcW w:w="2425" w:type="dxa"/>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rPr>
                  </w:pPr>
                  <w:r>
                    <w:rPr>
                      <w:rFonts w:hint="default" w:ascii="Calibri" w:hAnsi="Calibri" w:cs="Times New Roman"/>
                      <w:color w:val="auto"/>
                      <w:szCs w:val="21"/>
                    </w:rPr>
                    <w:t>不得随意破坏、降低当地生态环境质量，使水土流失在可以接受的范围内</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本项目周边环境关系图见附图4。</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rPr>
            </w:pPr>
          </w:p>
        </w:tc>
      </w:tr>
    </w:tbl>
    <w:p>
      <w:pPr>
        <w:pStyle w:val="22"/>
        <w:jc w:val="center"/>
        <w:outlineLvl w:val="0"/>
        <w:rPr>
          <w:rFonts w:ascii="Times New Roman" w:hAnsi="Times New Roman" w:eastAsia="黑体"/>
          <w:snapToGrid w:val="0"/>
          <w:color w:val="auto"/>
          <w:sz w:val="36"/>
          <w:szCs w:val="36"/>
        </w:rPr>
        <w:sectPr>
          <w:pgSz w:w="11907" w:h="16840"/>
          <w:pgMar w:top="1304" w:right="1134" w:bottom="1304" w:left="1531" w:header="851" w:footer="851" w:gutter="0"/>
          <w:cols w:space="720" w:num="1"/>
          <w:docGrid w:linePitch="312" w:charSpace="0"/>
        </w:sectPr>
      </w:pP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92"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污染</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物排</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放控</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制标</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准</w:t>
            </w:r>
          </w:p>
        </w:tc>
        <w:tc>
          <w:tcPr>
            <w:tcW w:w="8921" w:type="dxa"/>
            <w:noWrap w:val="0"/>
            <w:vAlign w:val="center"/>
          </w:tcPr>
          <w:p>
            <w:pPr>
              <w:keepNext w:val="0"/>
              <w:keepLines w:val="0"/>
              <w:numPr>
                <w:ilvl w:val="0"/>
                <w:numId w:val="3"/>
              </w:numPr>
              <w:suppressLineNumbers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（1）施工期废水沉淀处理后回用，不外排，不设排放标准。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（2）运营期</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rPr>
            </w:pPr>
            <w:r>
              <w:rPr>
                <w:rFonts w:hint="eastAsia" w:ascii="宋体" w:hAnsi="宋体" w:cs="宋体"/>
                <w:color w:val="auto"/>
                <w:sz w:val="24"/>
                <w:szCs w:val="24"/>
              </w:rPr>
              <w:t>本项目废水通过医院一套污水处理站处理后，达标排入市政污水管网，最终进入东川区污水处理厂。本项目</w:t>
            </w:r>
            <w:r>
              <w:rPr>
                <w:rFonts w:hint="eastAsia" w:ascii="宋体" w:hAnsi="宋体" w:cs="宋体"/>
                <w:color w:val="auto"/>
                <w:sz w:val="24"/>
              </w:rPr>
              <w:t>污水排放执行《医疗机构水污染物排放标准》（GB</w:t>
            </w:r>
            <w:r>
              <w:rPr>
                <w:rFonts w:hint="eastAsia" w:ascii="宋体" w:hAnsi="宋体" w:cs="宋体"/>
                <w:color w:val="auto"/>
                <w:sz w:val="24"/>
                <w:lang w:eastAsia="zh-CN"/>
              </w:rPr>
              <w:t>*****</w:t>
            </w:r>
            <w:r>
              <w:rPr>
                <w:rFonts w:hint="eastAsia" w:ascii="宋体" w:hAnsi="宋体" w:cs="宋体"/>
                <w:color w:val="auto"/>
                <w:sz w:val="24"/>
              </w:rPr>
              <w:t>-2005）表2中预处理标准，氨氮、磷酸盐（以P计）排放参照执行《污水排入城镇下水道水质标准》（GB/T</w:t>
            </w:r>
            <w:r>
              <w:rPr>
                <w:rFonts w:hint="eastAsia" w:ascii="宋体" w:hAnsi="宋体" w:cs="宋体"/>
                <w:color w:val="auto"/>
                <w:sz w:val="24"/>
                <w:lang w:eastAsia="zh-CN"/>
              </w:rPr>
              <w:t>*****</w:t>
            </w:r>
            <w:r>
              <w:rPr>
                <w:rFonts w:hint="eastAsia" w:ascii="宋体" w:hAnsi="宋体" w:cs="宋体"/>
                <w:color w:val="auto"/>
                <w:sz w:val="24"/>
              </w:rPr>
              <w:t>-2015）中A等级标准，标准值见表3-</w:t>
            </w:r>
            <w:r>
              <w:rPr>
                <w:rFonts w:hint="default" w:ascii="宋体" w:hAnsi="宋体" w:cs="宋体"/>
                <w:color w:val="auto"/>
                <w:sz w:val="24"/>
              </w:rPr>
              <w:t>4</w:t>
            </w:r>
            <w:r>
              <w:rPr>
                <w:rFonts w:hint="eastAsia" w:ascii="宋体" w:hAnsi="宋体" w:cs="宋体"/>
                <w:color w:val="auto"/>
                <w:sz w:val="24"/>
              </w:rPr>
              <w:t>和表3-</w:t>
            </w:r>
            <w:r>
              <w:rPr>
                <w:rFonts w:hint="default" w:ascii="宋体" w:hAnsi="宋体" w:cs="宋体"/>
                <w:color w:val="auto"/>
                <w:sz w:val="24"/>
              </w:rPr>
              <w:t>5</w:t>
            </w:r>
            <w:r>
              <w:rPr>
                <w:rFonts w:hint="eastAsia" w:ascii="宋体" w:hAnsi="宋体" w:cs="宋体"/>
                <w:color w:val="auto"/>
                <w:sz w:val="24"/>
              </w:rPr>
              <w:t>。</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4</w:t>
            </w:r>
            <w:r>
              <w:rPr>
                <w:rFonts w:hint="eastAsia" w:ascii="宋体" w:hAnsi="宋体" w:cs="宋体"/>
                <w:b/>
                <w:color w:val="auto"/>
                <w:sz w:val="24"/>
                <w:szCs w:val="24"/>
              </w:rPr>
              <w:t xml:space="preserve"> </w:t>
            </w:r>
            <w:r>
              <w:rPr>
                <w:rFonts w:hint="default" w:ascii="宋体" w:hAnsi="宋体" w:cs="宋体"/>
                <w:b/>
                <w:color w:val="auto"/>
                <w:sz w:val="24"/>
                <w:szCs w:val="24"/>
              </w:rPr>
              <w:t xml:space="preserve"> </w:t>
            </w:r>
            <w:r>
              <w:rPr>
                <w:rFonts w:hint="eastAsia" w:ascii="宋体" w:hAnsi="宋体" w:cs="宋体"/>
                <w:b/>
                <w:color w:val="auto"/>
                <w:sz w:val="24"/>
                <w:szCs w:val="24"/>
              </w:rPr>
              <w:t>综合性医疗机构和其他医疗机构水污染物排放限值（日均值）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69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控制项目</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粪大肠菌群数（MPN/L）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pH</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3</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化学需氧量（mg/L）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五日生化需氧量（mg/L）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悬浮物（mg/L）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w:t>
                  </w:r>
                  <w:r>
                    <w:rPr>
                      <w:rFonts w:hint="eastAsia" w:ascii="宋体" w:hAnsi="宋体" w:cs="宋体"/>
                      <w:color w:val="auto"/>
                    </w:rPr>
                    <w:cr/>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动植物油（mg/L）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7</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石油类（mg/L）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8</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阴离子表面活性剂（mg/L）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r>
                    <w:rPr>
                      <w:rFonts w:hint="eastAsia" w:ascii="宋体" w:hAnsi="宋体" w:cs="宋体"/>
                      <w:color w:val="auto"/>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9</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挥发</w:t>
                  </w:r>
                  <w:r>
                    <w:rPr>
                      <w:rFonts w:hint="eastAsia" w:ascii="宋体" w:hAnsi="宋体" w:cs="宋体"/>
                      <w:color w:val="auto"/>
                    </w:rPr>
                    <w:cr/>
                  </w:r>
                  <w:r>
                    <w:rPr>
                      <w:rFonts w:hint="eastAsia" w:ascii="宋体" w:hAnsi="宋体" w:cs="宋体"/>
                      <w:color w:val="auto"/>
                    </w:rPr>
                    <w:t>酚（mg/L）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总氰化物（mg/L）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11</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总汞（mg/L）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12</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总镉（mg/L）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13</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总铬（mg/L</w:t>
                  </w:r>
                  <w:r>
                    <w:rPr>
                      <w:rFonts w:hint="eastAsia" w:ascii="宋体" w:hAnsi="宋体" w:cs="宋体"/>
                      <w:color w:val="auto"/>
                    </w:rPr>
                    <w:cr/>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r>
                    <w:rPr>
                      <w:rFonts w:hint="eastAsia" w:ascii="宋体" w:hAnsi="宋体" w:cs="宋体"/>
                      <w:color w:val="auto"/>
                    </w:rPr>
                    <w:cr/>
                  </w:r>
                  <w:r>
                    <w:rPr>
                      <w:rFonts w:hint="eastAsia" w:ascii="宋体" w:hAnsi="宋体" w:cs="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14</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六价铬（mg/L）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15</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总砷（mg/L）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16</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总铅（</w:t>
                  </w:r>
                  <w:r>
                    <w:rPr>
                      <w:rFonts w:hint="eastAsia" w:ascii="宋体" w:hAnsi="宋体" w:cs="宋体"/>
                      <w:color w:val="auto"/>
                    </w:rPr>
                    <w:cr/>
                  </w:r>
                  <w:r>
                    <w:rPr>
                      <w:rFonts w:hint="eastAsia" w:ascii="宋体" w:hAnsi="宋体" w:cs="宋体"/>
                      <w:color w:val="auto"/>
                    </w:rPr>
                    <w:t>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0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17</w:t>
                  </w:r>
                </w:p>
              </w:tc>
              <w:tc>
                <w:tcPr>
                  <w:tcW w:w="4696"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总银（mg/L）</w:t>
                  </w:r>
                </w:p>
              </w:tc>
              <w:tc>
                <w:tcPr>
                  <w:tcW w:w="255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338"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注：消毒接触池接触时间≥1</w:t>
                  </w:r>
                  <w:r>
                    <w:rPr>
                      <w:rFonts w:hint="eastAsia" w:ascii="宋体" w:hAnsi="宋体" w:cs="宋体"/>
                      <w:color w:val="auto"/>
                    </w:rPr>
                    <w:cr/>
                  </w:r>
                  <w:r>
                    <w:rPr>
                      <w:rFonts w:hint="eastAsia" w:ascii="宋体" w:hAnsi="宋体" w:cs="宋体"/>
                      <w:color w:val="auto"/>
                    </w:rPr>
                    <w:t>，接触池出口总余氯2-8</w:t>
                  </w:r>
                  <w:r>
                    <w:rPr>
                      <w:rFonts w:hint="eastAsia" w:ascii="宋体" w:hAnsi="宋体" w:cs="宋体"/>
                      <w:color w:val="auto"/>
                    </w:rPr>
                    <w:cr/>
                  </w:r>
                  <w:r>
                    <w:rPr>
                      <w:rFonts w:hint="eastAsia" w:ascii="宋体" w:hAnsi="宋体" w:cs="宋体"/>
                      <w:color w:val="auto"/>
                    </w:rPr>
                    <w:t>mg/L。</w:t>
                  </w:r>
                </w:p>
              </w:tc>
            </w:tr>
          </w:tbl>
          <w:p>
            <w:pPr>
              <w:keepNext w:val="0"/>
              <w:keepLines w:val="0"/>
              <w:suppressLineNumbers w:val="0"/>
              <w:adjustRightInd w:val="0"/>
              <w:snapToGrid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5</w:t>
            </w:r>
            <w:r>
              <w:rPr>
                <w:rFonts w:hint="eastAsia" w:ascii="宋体" w:hAnsi="宋体" w:cs="宋体"/>
                <w:b/>
                <w:color w:val="auto"/>
                <w:sz w:val="24"/>
                <w:szCs w:val="24"/>
              </w:rPr>
              <w:t xml:space="preserve">   污水排入城镇下水道水质标准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3414"/>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序号</w:t>
                  </w:r>
                </w:p>
              </w:tc>
              <w:tc>
                <w:tcPr>
                  <w:tcW w:w="341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污染物</w:t>
                  </w:r>
                </w:p>
              </w:tc>
              <w:tc>
                <w:tcPr>
                  <w:tcW w:w="35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8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1</w:t>
                  </w:r>
                </w:p>
              </w:tc>
              <w:tc>
                <w:tcPr>
                  <w:tcW w:w="341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NH</w:t>
                  </w:r>
                  <w:r>
                    <w:rPr>
                      <w:rFonts w:hint="eastAsia" w:ascii="宋体" w:hAnsi="宋体" w:cs="宋体"/>
                      <w:color w:val="auto"/>
                      <w:vertAlign w:val="subscript"/>
                    </w:rPr>
                    <w:t>3</w:t>
                  </w:r>
                  <w:r>
                    <w:rPr>
                      <w:rFonts w:hint="eastAsia" w:ascii="宋体" w:hAnsi="宋体" w:cs="宋体"/>
                      <w:color w:val="auto"/>
                    </w:rPr>
                    <w:t>-N</w:t>
                  </w:r>
                </w:p>
              </w:tc>
              <w:tc>
                <w:tcPr>
                  <w:tcW w:w="35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snapToGrid w:val="0"/>
                      <w:color w:val="auto"/>
                      <w:kern w:val="0"/>
                    </w:rPr>
                  </w:pPr>
                  <w:r>
                    <w:rPr>
                      <w:rFonts w:hint="eastAsia" w:ascii="宋体" w:hAnsi="宋体" w:cs="宋体"/>
                      <w:snapToGrid w:val="0"/>
                      <w:color w:val="auto"/>
                      <w:kern w:val="0"/>
                    </w:rPr>
                    <w:t>2</w:t>
                  </w:r>
                </w:p>
              </w:tc>
              <w:tc>
                <w:tcPr>
                  <w:tcW w:w="341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磷酸盐（以P计）</w:t>
                  </w:r>
                </w:p>
              </w:tc>
              <w:tc>
                <w:tcPr>
                  <w:tcW w:w="355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8.0mg/L</w:t>
                  </w:r>
                </w:p>
              </w:tc>
            </w:tr>
          </w:tbl>
          <w:p>
            <w:pPr>
              <w:keepNext w:val="0"/>
              <w:keepLines w:val="0"/>
              <w:numPr>
                <w:ilvl w:val="0"/>
                <w:numId w:val="3"/>
              </w:numPr>
              <w:suppressLineNumbers w:val="0"/>
              <w:spacing w:before="240" w:beforeLines="10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废气</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（1）项目施工期产生的扬尘、粉尘均为无组织排放，施工期大气污染物排放执行《大气污染物综合排放标准》（GB</w:t>
            </w:r>
            <w:r>
              <w:rPr>
                <w:rFonts w:hint="eastAsia" w:ascii="宋体" w:hAnsi="宋体" w:cs="宋体"/>
                <w:color w:val="auto"/>
                <w:sz w:val="24"/>
                <w:szCs w:val="24"/>
                <w:lang w:eastAsia="zh-CN"/>
              </w:rPr>
              <w:t>*****</w:t>
            </w:r>
            <w:r>
              <w:rPr>
                <w:rFonts w:hint="eastAsia" w:ascii="宋体" w:hAnsi="宋体" w:cs="宋体"/>
                <w:color w:val="auto"/>
                <w:sz w:val="24"/>
                <w:szCs w:val="24"/>
              </w:rPr>
              <w:t>-1996）表2中无组织排放监控浓度限值，标准值见下表。</w:t>
            </w:r>
          </w:p>
          <w:p>
            <w:pPr>
              <w:keepNext w:val="0"/>
              <w:keepLines w:val="0"/>
              <w:suppressLineNumbers w:val="0"/>
              <w:snapToGrid w:val="0"/>
              <w:spacing w:before="0" w:beforeAutospacing="0" w:after="0" w:afterAutospacing="0"/>
              <w:ind w:left="0" w:right="0" w:firstLine="482" w:firstLineChars="20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6</w:t>
            </w:r>
            <w:r>
              <w:rPr>
                <w:rFonts w:hint="eastAsia" w:ascii="宋体" w:hAnsi="宋体" w:cs="宋体"/>
                <w:b/>
                <w:color w:val="auto"/>
                <w:sz w:val="24"/>
                <w:szCs w:val="24"/>
              </w:rPr>
              <w:t xml:space="preserve"> 大气污染物综合排放标准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30"/>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w:t>
                  </w:r>
                </w:p>
              </w:tc>
              <w:tc>
                <w:tcPr>
                  <w:tcW w:w="303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无组织排放浓度限值（mg/m</w:t>
                  </w:r>
                  <w:r>
                    <w:rPr>
                      <w:rFonts w:hint="eastAsia" w:ascii="宋体" w:hAnsi="宋体" w:cs="宋体"/>
                      <w:color w:val="auto"/>
                      <w:vertAlign w:val="superscript"/>
                    </w:rPr>
                    <w:t>3</w:t>
                  </w:r>
                  <w:r>
                    <w:rPr>
                      <w:rFonts w:hint="eastAsia" w:ascii="宋体" w:hAnsi="宋体" w:cs="宋体"/>
                      <w:color w:val="auto"/>
                    </w:rPr>
                    <w:t>）</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颗粒物</w:t>
                  </w:r>
                </w:p>
              </w:tc>
              <w:tc>
                <w:tcPr>
                  <w:tcW w:w="303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c>
                <w:tcPr>
                  <w:tcW w:w="36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（GB</w:t>
                  </w:r>
                  <w:r>
                    <w:rPr>
                      <w:rFonts w:hint="eastAsia" w:ascii="宋体" w:hAnsi="宋体" w:cs="宋体"/>
                      <w:color w:val="auto"/>
                      <w:lang w:eastAsia="zh-CN"/>
                    </w:rPr>
                    <w:t>*****</w:t>
                  </w:r>
                  <w:r>
                    <w:rPr>
                      <w:rFonts w:hint="eastAsia" w:ascii="宋体" w:hAnsi="宋体" w:cs="宋体"/>
                      <w:color w:val="auto"/>
                    </w:rPr>
                    <w:t>-1996）表2标准</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（2）本项目污水处理站废气污染物执行《医疗机构水污染物排放标准》（GB</w:t>
            </w:r>
            <w:r>
              <w:rPr>
                <w:rFonts w:hint="eastAsia" w:ascii="宋体" w:hAnsi="宋体" w:cs="宋体"/>
                <w:color w:val="auto"/>
                <w:sz w:val="24"/>
                <w:szCs w:val="24"/>
                <w:lang w:eastAsia="zh-CN"/>
              </w:rPr>
              <w:t>*****</w:t>
            </w:r>
            <w:r>
              <w:rPr>
                <w:rFonts w:hint="eastAsia" w:ascii="宋体" w:hAnsi="宋体" w:cs="宋体"/>
                <w:color w:val="auto"/>
                <w:sz w:val="24"/>
                <w:szCs w:val="24"/>
              </w:rPr>
              <w:t>-2005）表3标准，</w:t>
            </w:r>
            <w:r>
              <w:rPr>
                <w:rFonts w:hint="eastAsia" w:ascii="宋体" w:hAnsi="宋体" w:cs="宋体"/>
                <w:color w:val="auto"/>
                <w:sz w:val="24"/>
              </w:rPr>
              <w:t>标准值见表3-</w:t>
            </w:r>
            <w:r>
              <w:rPr>
                <w:rFonts w:hint="default" w:ascii="宋体" w:hAnsi="宋体" w:cs="宋体"/>
                <w:color w:val="auto"/>
                <w:sz w:val="24"/>
              </w:rPr>
              <w:t>7</w:t>
            </w:r>
            <w:r>
              <w:rPr>
                <w:rFonts w:hint="eastAsia" w:ascii="宋体" w:hAnsi="宋体" w:cs="宋体"/>
                <w:color w:val="auto"/>
                <w:sz w:val="24"/>
              </w:rPr>
              <w:t>。</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7</w:t>
            </w:r>
            <w:r>
              <w:rPr>
                <w:rFonts w:hint="eastAsia" w:ascii="宋体" w:hAnsi="宋体" w:cs="宋体"/>
                <w:b/>
                <w:color w:val="auto"/>
                <w:sz w:val="24"/>
                <w:szCs w:val="24"/>
              </w:rPr>
              <w:t xml:space="preserve"> 污水处理站周边大气污染物最高允许浓度</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4063"/>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控制项目</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氨（mg/m³）</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硫化氢（mg/m³）</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cr/>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臭气浓度（无量纲）</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氯气（mg/</w:t>
                  </w:r>
                  <w:r>
                    <w:rPr>
                      <w:rFonts w:hint="eastAsia" w:ascii="宋体" w:hAnsi="宋体" w:cs="宋体"/>
                      <w:color w:val="auto"/>
                    </w:rPr>
                    <w:cr/>
                  </w:r>
                  <w:r>
                    <w:rPr>
                      <w:rFonts w:hint="eastAsia" w:ascii="宋体" w:hAnsi="宋体" w:cs="宋体"/>
                      <w:color w:val="auto"/>
                    </w:rPr>
                    <w:t>m³）</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4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w:t>
                  </w:r>
                </w:p>
              </w:tc>
              <w:tc>
                <w:tcPr>
                  <w:tcW w:w="406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甲烷（指处理站内最高体积百分数%）</w:t>
                  </w:r>
                </w:p>
              </w:tc>
              <w:tc>
                <w:tcPr>
                  <w:tcW w:w="306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r>
          </w:tbl>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宋体" w:hAnsi="Calibri" w:cs="宋体"/>
                <w:color w:val="auto"/>
                <w:sz w:val="24"/>
                <w:lang w:val="zh-CN"/>
              </w:rPr>
            </w:pPr>
            <w:r>
              <w:rPr>
                <w:rFonts w:hint="eastAsia" w:ascii="宋体" w:hAnsi="宋体" w:cs="宋体"/>
                <w:color w:val="auto"/>
                <w:sz w:val="24"/>
                <w:szCs w:val="24"/>
              </w:rPr>
              <w:t>厨房油烟</w:t>
            </w:r>
            <w:r>
              <w:rPr>
                <w:rFonts w:hint="eastAsia" w:ascii="宋体" w:hAnsi="宋体" w:cs="宋体"/>
                <w:color w:val="auto"/>
                <w:kern w:val="0"/>
                <w:sz w:val="24"/>
              </w:rPr>
              <w:t>执行</w:t>
            </w:r>
            <w:r>
              <w:rPr>
                <w:rFonts w:hint="eastAsia" w:ascii="Times New Roman" w:hAnsi="Times New Roman" w:cs="Times New Roman"/>
                <w:color w:val="auto"/>
                <w:kern w:val="0"/>
                <w:sz w:val="24"/>
                <w:szCs w:val="24"/>
                <w:lang w:bidi="ar"/>
              </w:rPr>
              <w:t>《餐饮业油烟污染物排放要求》（DB</w:t>
            </w:r>
            <w:r>
              <w:rPr>
                <w:rFonts w:hint="eastAsia" w:cs="Times New Roman"/>
                <w:color w:val="auto"/>
                <w:kern w:val="0"/>
                <w:sz w:val="24"/>
                <w:szCs w:val="24"/>
                <w:lang w:eastAsia="zh-CN" w:bidi="ar"/>
              </w:rPr>
              <w:t>****</w:t>
            </w:r>
            <w:r>
              <w:rPr>
                <w:rFonts w:hint="eastAsia" w:ascii="Times New Roman" w:hAnsi="Times New Roman" w:cs="Times New Roman"/>
                <w:color w:val="auto"/>
                <w:kern w:val="0"/>
                <w:sz w:val="24"/>
                <w:szCs w:val="24"/>
                <w:lang w:bidi="ar"/>
              </w:rPr>
              <w:t>/T50</w:t>
            </w:r>
            <w:r>
              <w:rPr>
                <w:rFonts w:hint="eastAsia" w:ascii="Calibri" w:hAnsi="Calibri" w:cs="Times New Roman"/>
                <w:color w:val="auto"/>
                <w:kern w:val="0"/>
                <w:sz w:val="24"/>
                <w:szCs w:val="24"/>
                <w:lang w:bidi="ar"/>
              </w:rPr>
              <w:t>-</w:t>
            </w:r>
            <w:r>
              <w:rPr>
                <w:rFonts w:hint="eastAsia" w:ascii="Times New Roman" w:hAnsi="Times New Roman" w:cs="Times New Roman"/>
                <w:color w:val="auto"/>
                <w:kern w:val="0"/>
                <w:sz w:val="24"/>
                <w:szCs w:val="24"/>
                <w:lang w:bidi="ar"/>
              </w:rPr>
              <w:t>2021）</w:t>
            </w:r>
            <w:r>
              <w:rPr>
                <w:rFonts w:hint="eastAsia" w:ascii="宋体" w:hAnsi="宋体" w:cs="宋体"/>
                <w:color w:val="auto"/>
                <w:kern w:val="0"/>
                <w:sz w:val="24"/>
              </w:rPr>
              <w:t>，</w:t>
            </w:r>
            <w:r>
              <w:rPr>
                <w:rFonts w:hint="eastAsia" w:ascii="宋体" w:hAnsi="宋体" w:cs="宋体"/>
                <w:color w:val="auto"/>
                <w:sz w:val="24"/>
                <w:lang w:val="zh-CN"/>
              </w:rPr>
              <w:t>标准限值要求见表</w:t>
            </w:r>
            <w:r>
              <w:rPr>
                <w:rFonts w:hint="default" w:ascii="宋体" w:hAnsi="宋体" w:cs="宋体"/>
                <w:color w:val="auto"/>
                <w:sz w:val="24"/>
              </w:rPr>
              <w:t>3-8</w:t>
            </w:r>
            <w:r>
              <w:rPr>
                <w:rFonts w:hint="eastAsia" w:ascii="宋体" w:hAnsi="宋体" w:cs="宋体"/>
                <w:color w:val="auto"/>
                <w:sz w:val="24"/>
                <w:lang w:val="zh-CN"/>
              </w:rPr>
              <w:t>。</w:t>
            </w:r>
          </w:p>
          <w:p>
            <w:pPr>
              <w:keepNext w:val="0"/>
              <w:keepLines w:val="0"/>
              <w:widowControl/>
              <w:suppressLineNumbers w:val="0"/>
              <w:adjustRightInd w:val="0"/>
              <w:snapToGrid w:val="0"/>
              <w:spacing w:before="0" w:beforeAutospacing="0" w:after="0" w:afterAutospacing="0"/>
              <w:ind w:left="0" w:right="0" w:firstLine="482" w:firstLineChars="2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zh-CN"/>
              </w:rPr>
              <w:t>表</w:t>
            </w:r>
            <w:r>
              <w:rPr>
                <w:rFonts w:hint="default" w:ascii="Times New Roman" w:hAnsi="Times New Roman" w:cs="Times New Roman"/>
                <w:b/>
                <w:bCs/>
                <w:color w:val="auto"/>
                <w:sz w:val="24"/>
                <w:szCs w:val="24"/>
              </w:rPr>
              <w:t>3-8 饮食业油烟排放标准</w:t>
            </w:r>
          </w:p>
          <w:tbl>
            <w:tblPr>
              <w:tblStyle w:val="26"/>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3688"/>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81" w:type="pct"/>
                  <w:vMerge w:val="restar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污染物项目</w:t>
                  </w: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污染物排放限值，</w:t>
                  </w:r>
                  <w:r>
                    <w:rPr>
                      <w:rFonts w:hint="default" w:ascii="Times New Roman" w:hAnsi="Times New Roman" w:cs="Times New Roman"/>
                      <w:b/>
                      <w:color w:val="auto"/>
                    </w:rPr>
                    <w:t>mg/m</w:t>
                  </w:r>
                  <w:r>
                    <w:rPr>
                      <w:rFonts w:hint="default" w:ascii="Times New Roman" w:hAnsi="Times New Roman" w:cs="Times New Roman"/>
                      <w:b/>
                      <w:color w:val="auto"/>
                      <w:vertAlign w:val="superscript"/>
                    </w:rPr>
                    <w:t>3</w:t>
                  </w:r>
                </w:p>
              </w:tc>
              <w:tc>
                <w:tcPr>
                  <w:tcW w:w="1801" w:type="pct"/>
                  <w:vMerge w:val="restar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b/>
                      <w:bCs/>
                      <w:color w:val="auto"/>
                    </w:rPr>
                    <w:t>污染物排放</w:t>
                  </w:r>
                  <w:r>
                    <w:rPr>
                      <w:rFonts w:hint="eastAsia" w:ascii="Calibri" w:hAnsi="Calibri" w:cs="Times New Roman"/>
                      <w:b/>
                      <w:bCs/>
                      <w:color w:val="auto"/>
                    </w:rPr>
                    <w:t>监测</w:t>
                  </w:r>
                  <w:r>
                    <w:rPr>
                      <w:rFonts w:hint="default" w:ascii="Times New Roman" w:hAnsi="Times New Roman" w:cs="Times New Roman"/>
                      <w:b/>
                      <w:bCs/>
                      <w:color w:val="auto"/>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081" w:type="pct"/>
                  <w:vMerge w:val="continue"/>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eastAsia" w:ascii="宋体" w:hAnsi="宋体" w:cs="宋体"/>
                      <w:b/>
                      <w:bCs/>
                      <w:color w:val="auto"/>
                    </w:rPr>
                    <w:t>Ⅰ</w:t>
                  </w:r>
                </w:p>
              </w:tc>
              <w:tc>
                <w:tcPr>
                  <w:tcW w:w="1801" w:type="pct"/>
                  <w:vMerge w:val="continue"/>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81"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油烟</w:t>
                  </w: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1.0</w:t>
                  </w:r>
                </w:p>
              </w:tc>
              <w:tc>
                <w:tcPr>
                  <w:tcW w:w="1801" w:type="pct"/>
                  <w:vMerge w:val="restar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
                      <w:bCs/>
                      <w:color w:val="auto"/>
                    </w:rPr>
                  </w:pPr>
                  <w:r>
                    <w:rPr>
                      <w:rFonts w:hint="default" w:ascii="Times New Roman" w:hAnsi="Times New Roman" w:cs="Times New Roman"/>
                      <w:color w:val="auto"/>
                    </w:rPr>
                    <w:t>排风管或排气筒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081"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非甲烷总烃</w:t>
                  </w:r>
                </w:p>
              </w:tc>
              <w:tc>
                <w:tcPr>
                  <w:tcW w:w="2117" w:type="pct"/>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rPr>
                    <w:t>10.0</w:t>
                  </w:r>
                </w:p>
              </w:tc>
              <w:tc>
                <w:tcPr>
                  <w:tcW w:w="1801" w:type="pct"/>
                  <w:vMerge w:val="continue"/>
                  <w:noWrap w:val="0"/>
                  <w:vAlign w:val="center"/>
                </w:tcPr>
                <w:p>
                  <w:pPr>
                    <w:keepNext w:val="0"/>
                    <w:keepLines w:val="0"/>
                    <w:suppressLineNumbers w:val="0"/>
                    <w:tabs>
                      <w:tab w:val="left" w:pos="2395"/>
                    </w:tabs>
                    <w:adjustRightInd w:val="0"/>
                    <w:snapToGrid w:val="0"/>
                    <w:spacing w:before="0" w:beforeAutospacing="0" w:after="0" w:afterAutospacing="0"/>
                    <w:ind w:left="0" w:right="0"/>
                    <w:jc w:val="center"/>
                    <w:rPr>
                      <w:rFonts w:hint="default" w:ascii="Times New Roman" w:hAnsi="Times New Roman" w:cs="Times New Roman"/>
                      <w:bCs/>
                      <w:color w:val="auto"/>
                    </w:rPr>
                  </w:pPr>
                </w:p>
              </w:tc>
            </w:tr>
          </w:tbl>
          <w:p>
            <w:pPr>
              <w:keepNext w:val="0"/>
              <w:keepLines w:val="0"/>
              <w:suppressLineNumbers w:val="0"/>
              <w:adjustRightInd w:val="0"/>
              <w:snapToGrid w:val="0"/>
              <w:spacing w:before="240" w:beforeLines="100" w:beforeAutospacing="0" w:after="0" w:afterAutospacing="0" w:line="360" w:lineRule="auto"/>
              <w:ind w:left="0" w:right="0" w:firstLine="482" w:firstLineChars="200"/>
              <w:rPr>
                <w:rFonts w:hint="eastAsia" w:ascii="宋体" w:hAnsi="宋体" w:cs="宋体"/>
                <w:b/>
                <w:bCs/>
                <w:snapToGrid w:val="0"/>
                <w:color w:val="auto"/>
                <w:kern w:val="0"/>
                <w:sz w:val="24"/>
                <w:szCs w:val="24"/>
              </w:rPr>
            </w:pPr>
            <w:r>
              <w:rPr>
                <w:rFonts w:hint="eastAsia" w:ascii="宋体" w:hAnsi="宋体" w:cs="宋体"/>
                <w:b/>
                <w:bCs/>
                <w:snapToGrid w:val="0"/>
                <w:color w:val="auto"/>
                <w:kern w:val="0"/>
                <w:sz w:val="24"/>
                <w:szCs w:val="24"/>
              </w:rPr>
              <w:t>3、噪声</w:t>
            </w:r>
          </w:p>
          <w:p>
            <w:pPr>
              <w:keepNext w:val="0"/>
              <w:keepLines w:val="0"/>
              <w:suppressLineNumbers w:val="0"/>
              <w:spacing w:before="0" w:beforeAutospacing="0" w:after="0" w:afterAutospacing="0" w:line="360" w:lineRule="auto"/>
              <w:ind w:left="0" w:right="0" w:firstLine="560"/>
              <w:jc w:val="left"/>
              <w:rPr>
                <w:rFonts w:hint="eastAsia" w:ascii="宋体" w:hAnsi="宋体" w:cs="宋体"/>
                <w:color w:val="auto"/>
                <w:sz w:val="24"/>
                <w:szCs w:val="24"/>
              </w:rPr>
            </w:pPr>
            <w:r>
              <w:rPr>
                <w:rFonts w:hint="eastAsia" w:ascii="宋体" w:hAnsi="宋体" w:cs="宋体"/>
                <w:color w:val="auto"/>
                <w:sz w:val="24"/>
                <w:szCs w:val="24"/>
              </w:rPr>
              <w:t>（1）施工期噪声排放执行（GB</w:t>
            </w:r>
            <w:r>
              <w:rPr>
                <w:rFonts w:hint="eastAsia" w:ascii="宋体" w:hAnsi="宋体" w:cs="宋体"/>
                <w:color w:val="auto"/>
                <w:sz w:val="24"/>
                <w:szCs w:val="24"/>
                <w:lang w:eastAsia="zh-CN"/>
              </w:rPr>
              <w:t>*****</w:t>
            </w:r>
            <w:r>
              <w:rPr>
                <w:rFonts w:hint="eastAsia" w:ascii="宋体" w:hAnsi="宋体" w:cs="宋体"/>
                <w:color w:val="auto"/>
                <w:sz w:val="24"/>
                <w:szCs w:val="24"/>
              </w:rPr>
              <w:t>-2011）《建筑施工场界环境噪声排放标准》标准，具体值见下表。</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9</w:t>
            </w:r>
            <w:r>
              <w:rPr>
                <w:rFonts w:hint="eastAsia" w:ascii="宋体" w:hAnsi="宋体" w:cs="宋体"/>
                <w:b/>
                <w:color w:val="auto"/>
                <w:sz w:val="24"/>
                <w:szCs w:val="24"/>
              </w:rPr>
              <w:t xml:space="preserve"> 建筑施工场界环境噪声排放标准（单位：dB（A））</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昼间</w:t>
                  </w:r>
                </w:p>
              </w:tc>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70</w:t>
                  </w:r>
                </w:p>
              </w:tc>
              <w:tc>
                <w:tcPr>
                  <w:tcW w:w="41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55</w:t>
                  </w:r>
                </w:p>
              </w:tc>
            </w:tr>
          </w:tbl>
          <w:p>
            <w:pPr>
              <w:keepNext w:val="0"/>
              <w:keepLines w:val="0"/>
              <w:widowControl/>
              <w:suppressLineNumbers w:val="0"/>
              <w:spacing w:before="240" w:beforeLines="10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（2）运营期项目区厂界执行</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fldChar w:fldCharType="begin"/>
            </w:r>
            <w:r>
              <w:rPr>
                <w:rFonts w:hint="default" w:ascii="Times New Roman" w:hAnsi="Times New Roman" w:eastAsia="宋体" w:cs="Times New Roman"/>
                <w:i w:val="0"/>
                <w:iCs w:val="0"/>
                <w:color w:val="auto"/>
                <w:sz w:val="24"/>
                <w:szCs w:val="24"/>
                <w:lang w:val="en-US" w:eastAsia="zh-CN"/>
              </w:rPr>
              <w:instrText xml:space="preserve"> HYPERLINK "https://www.mee.gov.cn/ywgz/fgbz/bz/bzwb/wlhj/hjzspfbz/200809/W020111121353694435553.pdf" </w:instrText>
            </w:r>
            <w:r>
              <w:rPr>
                <w:rFonts w:hint="default" w:ascii="Times New Roman" w:hAnsi="Times New Roman" w:eastAsia="宋体" w:cs="Times New Roman"/>
                <w:i w:val="0"/>
                <w:iCs w:val="0"/>
                <w:color w:val="auto"/>
                <w:sz w:val="24"/>
                <w:szCs w:val="24"/>
                <w:lang w:val="en-US" w:eastAsia="zh-CN"/>
              </w:rPr>
              <w:fldChar w:fldCharType="separate"/>
            </w:r>
            <w:r>
              <w:rPr>
                <w:rFonts w:hint="eastAsia" w:ascii="Times New Roman" w:hAnsi="Times New Roman" w:eastAsia="宋体" w:cs="Times New Roman"/>
                <w:i w:val="0"/>
                <w:iCs w:val="0"/>
                <w:color w:val="auto"/>
                <w:sz w:val="24"/>
                <w:szCs w:val="24"/>
                <w:lang w:val="en-US" w:eastAsia="zh-CN"/>
              </w:rPr>
              <w:t xml:space="preserve">社会生活环境噪声排放标准（GB </w:t>
            </w:r>
            <w:r>
              <w:rPr>
                <w:rFonts w:hint="eastAsia"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t>-</w:t>
            </w:r>
            <w:r>
              <w:rPr>
                <w:rFonts w:hint="eastAsia" w:ascii="Times New Roman" w:hAnsi="Times New Roman" w:eastAsia="宋体" w:cs="Times New Roman"/>
                <w:i w:val="0"/>
                <w:iCs w:val="0"/>
                <w:color w:val="auto"/>
                <w:sz w:val="24"/>
                <w:szCs w:val="24"/>
                <w:lang w:val="en-US" w:eastAsia="zh-CN"/>
              </w:rPr>
              <w:t>2008）</w:t>
            </w:r>
            <w:r>
              <w:rPr>
                <w:rFonts w:hint="eastAsia" w:ascii="Times New Roman" w:hAnsi="Times New Roman" w:eastAsia="宋体" w:cs="Times New Roman"/>
                <w:i w:val="0"/>
                <w:iCs w:val="0"/>
                <w:color w:val="auto"/>
                <w:sz w:val="24"/>
                <w:szCs w:val="24"/>
                <w:lang w:val="en-US" w:eastAsia="zh-CN"/>
              </w:rPr>
              <w:fldChar w:fldCharType="end"/>
            </w:r>
            <w:r>
              <w:rPr>
                <w:rFonts w:hint="default" w:ascii="Times New Roman" w:hAnsi="Times New Roman" w:eastAsia="宋体" w:cs="Times New Roman"/>
                <w:i w:val="0"/>
                <w:iCs w:val="0"/>
                <w:color w:val="auto"/>
                <w:sz w:val="24"/>
                <w:szCs w:val="24"/>
              </w:rPr>
              <w:t>2类标准</w:t>
            </w:r>
            <w:r>
              <w:rPr>
                <w:rFonts w:hint="eastAsia" w:ascii="宋体" w:hAnsi="宋体" w:cs="宋体"/>
                <w:color w:val="auto"/>
                <w:sz w:val="24"/>
                <w:szCs w:val="24"/>
              </w:rPr>
              <w:t>，详见下表。</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表3-</w:t>
            </w:r>
            <w:r>
              <w:rPr>
                <w:rFonts w:hint="default" w:ascii="宋体" w:hAnsi="宋体" w:cs="宋体"/>
                <w:b/>
                <w:color w:val="auto"/>
                <w:sz w:val="24"/>
                <w:szCs w:val="24"/>
              </w:rPr>
              <w:t>10</w:t>
            </w:r>
            <w:r>
              <w:rPr>
                <w:rFonts w:hint="eastAsia" w:ascii="宋体" w:hAnsi="宋体" w:cs="宋体"/>
                <w:b/>
                <w:color w:val="auto"/>
                <w:sz w:val="24"/>
                <w:szCs w:val="24"/>
              </w:rPr>
              <w:t xml:space="preserve"> 工业企业厂界环境噪声排放限值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5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类别</w:t>
                  </w:r>
                </w:p>
              </w:tc>
              <w:tc>
                <w:tcPr>
                  <w:tcW w:w="638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5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昼间</w:t>
                  </w:r>
                  <w:r>
                    <w:rPr>
                      <w:rFonts w:hint="eastAsia" w:ascii="宋体" w:hAnsi="宋体" w:cs="宋体"/>
                      <w:color w:val="auto"/>
                    </w:rPr>
                    <w:cr/>
                  </w: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5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2类</w:t>
                  </w: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w:t>
                  </w:r>
                </w:p>
              </w:tc>
              <w:tc>
                <w:tcPr>
                  <w:tcW w:w="31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50</w:t>
                  </w:r>
                </w:p>
              </w:tc>
            </w:tr>
          </w:tbl>
          <w:p>
            <w:pPr>
              <w:keepNext w:val="0"/>
              <w:keepLines w:val="0"/>
              <w:suppressLineNumbers w:val="0"/>
              <w:adjustRightInd w:val="0"/>
              <w:snapToGrid w:val="0"/>
              <w:spacing w:before="120" w:beforeLines="50" w:beforeAutospacing="0" w:after="0" w:afterAutospacing="0" w:line="360" w:lineRule="auto"/>
              <w:ind w:left="0" w:right="0" w:firstLine="482" w:firstLineChars="200"/>
              <w:rPr>
                <w:rFonts w:hint="eastAsia" w:ascii="宋体" w:hAnsi="宋体" w:cs="宋体"/>
                <w:b/>
                <w:bCs/>
                <w:snapToGrid w:val="0"/>
                <w:color w:val="auto"/>
                <w:kern w:val="0"/>
                <w:sz w:val="24"/>
                <w:szCs w:val="24"/>
              </w:rPr>
            </w:pPr>
            <w:r>
              <w:rPr>
                <w:rFonts w:hint="eastAsia" w:ascii="宋体" w:hAnsi="宋体" w:cs="宋体"/>
                <w:b/>
                <w:bCs/>
                <w:snapToGrid w:val="0"/>
                <w:color w:val="auto"/>
                <w:kern w:val="0"/>
                <w:sz w:val="24"/>
                <w:szCs w:val="24"/>
              </w:rPr>
              <w:t>4、固废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项目运营过程中所产生的医疗废弃物存储严格执行《医疗废弃物专用包装袋、容器和警示标志标准》（HJ</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--2008）；项目化粪池、污水处理设施产生的污泥出厂应执行《医疗机构水污染物排放标准》（GB</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 xml:space="preserve">-2005）中表4的医疗机构污泥控制标准。标准限值见表3-11。 </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表3-11 医疗机构污泥控制标准</w:t>
            </w:r>
          </w:p>
          <w:tbl>
            <w:tblPr>
              <w:tblStyle w:val="27"/>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00"/>
              <w:gridCol w:w="1387"/>
              <w:gridCol w:w="1288"/>
              <w:gridCol w:w="110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医疗机构类别</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粪大肠菌群数/（MPN/g）</w:t>
                  </w:r>
                </w:p>
              </w:tc>
              <w:tc>
                <w:tcPr>
                  <w:tcW w:w="138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肠道致病菌</w:t>
                  </w:r>
                </w:p>
              </w:tc>
              <w:tc>
                <w:tcPr>
                  <w:tcW w:w="128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肠道病毒</w:t>
                  </w:r>
                </w:p>
              </w:tc>
              <w:tc>
                <w:tcPr>
                  <w:tcW w:w="110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结核杆菌</w:t>
                  </w:r>
                </w:p>
              </w:tc>
              <w:tc>
                <w:tcPr>
                  <w:tcW w:w="145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eastAsia="zh-CN"/>
                    </w:rPr>
                    <w:t>蛔虫卵死亡率</w:t>
                  </w:r>
                  <w:r>
                    <w:rPr>
                      <w:rFonts w:hint="default" w:ascii="Times New Roman" w:hAnsi="Times New Roman" w:eastAsia="宋体" w:cs="Times New Roman"/>
                      <w:b/>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综合医疗机构及其他医疗机构</w:t>
                  </w:r>
                </w:p>
              </w:tc>
              <w:tc>
                <w:tcPr>
                  <w:tcW w:w="1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100</w:t>
                  </w:r>
                </w:p>
              </w:tc>
              <w:tc>
                <w:tcPr>
                  <w:tcW w:w="138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w:t>
                  </w:r>
                </w:p>
              </w:tc>
              <w:tc>
                <w:tcPr>
                  <w:tcW w:w="1288"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w:t>
                  </w:r>
                </w:p>
              </w:tc>
              <w:tc>
                <w:tcPr>
                  <w:tcW w:w="1109"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color w:val="auto"/>
                      <w:sz w:val="21"/>
                      <w:szCs w:val="21"/>
                      <w:vertAlign w:val="baseline"/>
                      <w:lang w:val="en-US"/>
                    </w:rPr>
                    <w:t>/</w:t>
                  </w:r>
                </w:p>
              </w:tc>
              <w:tc>
                <w:tcPr>
                  <w:tcW w:w="1451"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95</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cs="宋体"/>
                <w:color w:val="auto"/>
                <w:kern w:val="0"/>
              </w:rPr>
            </w:pPr>
            <w:r>
              <w:rPr>
                <w:rFonts w:hint="default" w:ascii="Times New Roman" w:hAnsi="Times New Roman" w:eastAsia="宋体" w:cs="Times New Roman"/>
                <w:color w:val="auto"/>
                <w:kern w:val="0"/>
                <w:sz w:val="24"/>
                <w:szCs w:val="24"/>
                <w:lang w:val="en-US" w:eastAsia="zh-CN" w:bidi="ar"/>
              </w:rPr>
              <w:t>危险废弃物贮存执行《危险废物贮存污染控制标准》（GB</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-2023）、《医疗卫生机构医疗废物管理办法》、《医疗废物管理条例》等相关规定。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9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总量</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控制</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指标</w:t>
            </w:r>
          </w:p>
        </w:tc>
        <w:tc>
          <w:tcPr>
            <w:tcW w:w="8921" w:type="dxa"/>
            <w:noWrap w:val="0"/>
            <w:vAlign w:val="center"/>
          </w:tcPr>
          <w:p>
            <w:pPr>
              <w:pStyle w:val="68"/>
              <w:keepNext w:val="0"/>
              <w:keepLines w:val="0"/>
              <w:suppressLineNumbers w:val="0"/>
              <w:adjustRightInd w:val="0"/>
              <w:snapToGrid/>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据本工程具体情况，结合国家污染物排放总量控制原则，建议本项目执行的总量控制指标如下：</w:t>
            </w: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r>
              <w:rPr>
                <w:rFonts w:hint="eastAsia" w:ascii="宋体" w:hAnsi="宋体" w:cs="宋体"/>
                <w:color w:val="auto"/>
                <w:kern w:val="0"/>
                <w:sz w:val="24"/>
                <w:szCs w:val="28"/>
              </w:rPr>
              <w:t>项目营运期产生的废水经医院新建的一套污水处理站处理后，达标排入市政污水管网，最终进入东川区污水处理厂。污染物排放总量控制指标纳入东川区污水处理厂考核，本项目不再单独申请废水污染物总量控制指标。</w:t>
            </w: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r>
              <w:rPr>
                <w:rFonts w:hint="eastAsia" w:ascii="宋体" w:hAnsi="宋体" w:cs="宋体"/>
                <w:color w:val="auto"/>
                <w:kern w:val="0"/>
                <w:sz w:val="24"/>
                <w:szCs w:val="28"/>
              </w:rPr>
              <w:t>固体废弃物：本项目固体废物处置率达100%，不设总量控制指标。</w:t>
            </w: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keepNext w:val="0"/>
              <w:keepLines w:val="0"/>
              <w:suppressLineNumbers w:val="0"/>
              <w:spacing w:before="0" w:beforeAutospacing="0" w:after="0" w:afterAutospacing="0"/>
              <w:ind w:left="0" w:right="0"/>
              <w:rPr>
                <w:rFonts w:hint="eastAsia" w:ascii="宋体" w:hAnsi="宋体" w:cs="宋体"/>
                <w:color w:val="auto"/>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9"/>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kern w:val="0"/>
                <w:sz w:val="24"/>
                <w:szCs w:val="28"/>
              </w:rPr>
            </w:pPr>
          </w:p>
          <w:p>
            <w:pPr>
              <w:pStyle w:val="68"/>
              <w:keepNext w:val="0"/>
              <w:keepLines w:val="0"/>
              <w:suppressLineNumbers w:val="0"/>
              <w:adjustRightInd w:val="0"/>
              <w:snapToGrid/>
              <w:spacing w:before="0" w:beforeAutospacing="0" w:after="0" w:afterAutospacing="0" w:line="360" w:lineRule="auto"/>
              <w:ind w:left="0" w:right="0" w:firstLine="480" w:firstLineChars="200"/>
              <w:rPr>
                <w:rFonts w:hint="eastAsia" w:ascii="宋体" w:hAnsi="宋体" w:cs="宋体"/>
                <w:color w:val="auto"/>
                <w:sz w:val="24"/>
                <w:szCs w:val="24"/>
                <w:highlight w:val="yellow"/>
              </w:rPr>
            </w:pPr>
          </w:p>
          <w:p>
            <w:pPr>
              <w:pStyle w:val="68"/>
              <w:keepNext w:val="0"/>
              <w:keepLines w:val="0"/>
              <w:suppressLineNumbers w:val="0"/>
              <w:adjustRightInd w:val="0"/>
              <w:snapToGrid/>
              <w:spacing w:before="0" w:beforeAutospacing="0" w:after="0" w:afterAutospacing="0" w:line="360" w:lineRule="auto"/>
              <w:ind w:left="0" w:right="0" w:firstLine="480" w:firstLineChars="200"/>
              <w:rPr>
                <w:rFonts w:hint="eastAsia" w:ascii="宋体" w:hAnsi="宋体" w:cs="宋体"/>
                <w:color w:val="auto"/>
                <w:sz w:val="24"/>
                <w:szCs w:val="24"/>
              </w:rPr>
            </w:pPr>
          </w:p>
          <w:p>
            <w:pPr>
              <w:pStyle w:val="68"/>
              <w:keepNext w:val="0"/>
              <w:keepLines w:val="0"/>
              <w:suppressLineNumbers w:val="0"/>
              <w:adjustRightInd w:val="0"/>
              <w:snapToGrid/>
              <w:spacing w:before="0" w:beforeAutospacing="0" w:after="0" w:afterAutospacing="0" w:line="360" w:lineRule="auto"/>
              <w:ind w:left="0" w:right="0" w:firstLine="420" w:firstLineChars="200"/>
              <w:rPr>
                <w:rFonts w:hint="eastAsia" w:ascii="宋体" w:hAnsi="宋体" w:cs="宋体"/>
                <w:color w:val="auto"/>
              </w:rPr>
            </w:pPr>
          </w:p>
          <w:p>
            <w:pPr>
              <w:pStyle w:val="68"/>
              <w:keepNext w:val="0"/>
              <w:keepLines w:val="0"/>
              <w:suppressLineNumbers w:val="0"/>
              <w:adjustRightInd w:val="0"/>
              <w:snapToGrid/>
              <w:spacing w:before="0" w:beforeAutospacing="0" w:after="0" w:afterAutospacing="0" w:line="360" w:lineRule="auto"/>
              <w:ind w:left="0" w:right="0"/>
              <w:rPr>
                <w:rFonts w:hint="eastAsia" w:ascii="宋体" w:hAnsi="宋体" w:cs="宋体"/>
                <w:color w:val="auto"/>
              </w:rPr>
            </w:pPr>
          </w:p>
        </w:tc>
      </w:tr>
    </w:tbl>
    <w:p>
      <w:pPr>
        <w:pStyle w:val="22"/>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6" w:name="_Toc2499"/>
      <w:r>
        <w:rPr>
          <w:rFonts w:hint="eastAsia" w:ascii="Calibri" w:hAnsi="Calibri" w:eastAsia="黑体" w:cs="Calibri"/>
          <w:b/>
          <w:bCs/>
          <w:color w:val="auto"/>
          <w:kern w:val="44"/>
          <w:sz w:val="30"/>
          <w:szCs w:val="30"/>
        </w:rPr>
        <w:t>四、主要环境影响和保护措施</w:t>
      </w:r>
      <w:bookmarkEnd w:id="6"/>
    </w:p>
    <w:tbl>
      <w:tblPr>
        <w:tblStyle w:val="26"/>
        <w:tblW w:w="96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10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80" w:type="dxa"/>
            <w:noWrap w:val="0"/>
            <w:tcMar>
              <w:left w:w="28" w:type="dxa"/>
              <w:right w:w="28" w:type="dxa"/>
            </w:tcMar>
            <w:vAlign w:val="center"/>
          </w:tcPr>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施工</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期环</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境保</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护措</w:t>
            </w:r>
          </w:p>
          <w:p>
            <w:pPr>
              <w:pStyle w:val="22"/>
              <w:keepNext w:val="0"/>
              <w:keepLines w:val="0"/>
              <w:suppressLineNumbers w:val="0"/>
              <w:adjustRightInd w:val="0"/>
              <w:snapToGrid w:val="0"/>
              <w:spacing w:before="0" w:beforeAutospacing="0" w:after="0" w:afterAutospacing="0"/>
              <w:ind w:left="0" w:right="0"/>
              <w:jc w:val="center"/>
              <w:rPr>
                <w:rFonts w:hint="eastAsia" w:cs="宋体"/>
                <w:b/>
                <w:bCs/>
                <w:color w:val="auto"/>
                <w:kern w:val="2"/>
                <w:szCs w:val="24"/>
              </w:rPr>
            </w:pPr>
            <w:r>
              <w:rPr>
                <w:rFonts w:hint="eastAsia" w:cs="宋体"/>
                <w:b/>
                <w:bCs/>
                <w:color w:val="auto"/>
                <w:kern w:val="2"/>
                <w:szCs w:val="24"/>
              </w:rPr>
              <w:t>施</w:t>
            </w:r>
          </w:p>
        </w:tc>
        <w:tc>
          <w:tcPr>
            <w:tcW w:w="9055"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bCs/>
                <w:color w:val="auto"/>
                <w:sz w:val="24"/>
                <w:szCs w:val="24"/>
              </w:rPr>
            </w:pPr>
            <w:r>
              <w:rPr>
                <w:rFonts w:hint="eastAsia" w:ascii="宋体" w:hAnsi="宋体" w:cs="宋体"/>
                <w:bCs/>
                <w:color w:val="auto"/>
                <w:sz w:val="24"/>
                <w:szCs w:val="24"/>
                <w:lang w:bidi="ar"/>
              </w:rPr>
              <w:t>项目</w:t>
            </w:r>
            <w:r>
              <w:rPr>
                <w:rFonts w:hint="eastAsia" w:ascii="宋体" w:hAnsi="宋体" w:cs="宋体"/>
                <w:bCs/>
                <w:color w:val="auto"/>
                <w:kern w:val="0"/>
                <w:sz w:val="24"/>
                <w:szCs w:val="24"/>
              </w:rPr>
              <w:t>施工周期</w:t>
            </w:r>
            <w:r>
              <w:rPr>
                <w:rFonts w:hint="default" w:ascii="宋体" w:hAnsi="宋体" w:cs="宋体"/>
                <w:bCs/>
                <w:color w:val="auto"/>
                <w:kern w:val="0"/>
                <w:sz w:val="24"/>
                <w:szCs w:val="24"/>
                <w:lang w:val="en-US"/>
              </w:rPr>
              <w:t>24</w:t>
            </w:r>
            <w:r>
              <w:rPr>
                <w:rFonts w:hint="eastAsia" w:ascii="宋体" w:hAnsi="宋体" w:cs="宋体"/>
                <w:bCs/>
                <w:color w:val="auto"/>
                <w:kern w:val="0"/>
                <w:sz w:val="24"/>
                <w:szCs w:val="24"/>
              </w:rPr>
              <w:t>个月，施工期</w:t>
            </w:r>
            <w:r>
              <w:rPr>
                <w:rFonts w:hint="eastAsia" w:ascii="宋体" w:hAnsi="宋体" w:cs="宋体"/>
                <w:bCs/>
                <w:color w:val="auto"/>
                <w:sz w:val="24"/>
                <w:szCs w:val="24"/>
                <w:lang w:bidi="ar"/>
              </w:rPr>
              <w:t>主要产生施工废气、噪声、</w:t>
            </w:r>
            <w:r>
              <w:rPr>
                <w:rFonts w:hint="eastAsia" w:ascii="宋体" w:hAnsi="宋体" w:cs="宋体"/>
                <w:color w:val="auto"/>
                <w:sz w:val="24"/>
                <w:szCs w:val="24"/>
              </w:rPr>
              <w:t>生活垃圾、建筑垃圾及生活污水等。</w:t>
            </w:r>
            <w:r>
              <w:rPr>
                <w:rFonts w:hint="eastAsia" w:ascii="宋体" w:hAnsi="宋体" w:cs="宋体"/>
                <w:bCs/>
                <w:color w:val="auto"/>
                <w:sz w:val="24"/>
                <w:szCs w:val="24"/>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1、施工废气</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kern w:val="0"/>
                <w:sz w:val="24"/>
                <w:szCs w:val="24"/>
                <w:lang w:bidi="ar"/>
              </w:rPr>
            </w:pPr>
            <w:r>
              <w:rPr>
                <w:rFonts w:hint="eastAsia" w:ascii="宋体" w:hAnsi="宋体" w:cs="宋体"/>
                <w:bCs/>
                <w:color w:val="auto"/>
                <w:sz w:val="24"/>
                <w:szCs w:val="24"/>
                <w:lang w:bidi="ar"/>
              </w:rPr>
              <w:t>施工期产生的废气主要为调节池开挖过程产生的粉尘和装修废气等。</w:t>
            </w:r>
            <w:r>
              <w:rPr>
                <w:rFonts w:hint="eastAsia" w:ascii="宋体" w:hAnsi="宋体" w:cs="宋体"/>
                <w:color w:val="auto"/>
                <w:kern w:val="0"/>
                <w:sz w:val="24"/>
                <w:szCs w:val="24"/>
                <w:lang w:bidi="ar"/>
              </w:rPr>
              <w:t xml:space="preserve">为减轻施工扬尘、装修废气等对周围环境的影响，本项目在施工期拟采取以下措施：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 xml:space="preserve">1）施工场地适时洒水，减少施工扬尘对周围环境的影响。 </w:t>
            </w:r>
          </w:p>
          <w:p>
            <w:pPr>
              <w:keepNext w:val="0"/>
              <w:keepLines w:val="0"/>
              <w:suppressLineNumbers w:val="0"/>
              <w:adjustRightInd w:val="0"/>
              <w:snapToGrid w:val="0"/>
              <w:spacing w:before="0" w:beforeAutospacing="0" w:after="0" w:afterAutospacing="0" w:line="360" w:lineRule="auto"/>
              <w:ind w:left="0" w:right="0" w:firstLine="240" w:firstLineChars="100"/>
              <w:rPr>
                <w:rFonts w:hint="eastAsia" w:ascii="宋体" w:hAnsi="宋体" w:cs="宋体"/>
                <w:color w:val="auto"/>
                <w:sz w:val="24"/>
                <w:szCs w:val="24"/>
              </w:rPr>
            </w:pPr>
            <w:r>
              <w:rPr>
                <w:rFonts w:hint="eastAsia" w:ascii="宋体" w:hAnsi="宋体" w:cs="宋体"/>
                <w:color w:val="auto"/>
                <w:sz w:val="24"/>
                <w:szCs w:val="24"/>
              </w:rPr>
              <w:t>2）施工过程中使用商品混凝土，施工场地内不得设置混凝土拌和场地。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3）施工期建筑垃圾及建筑材料采用帆布遮盖的车辆进行运输，水泥、黄砂、石灰类的建筑材料需集中堆放，并采取土工布遮盖措施。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4）优化施工期间运输车辆的出入场路径，对施工场地及进出口定期清扫。</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5）使用环保型装修材料，减少装修废气排放。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综上所述，施工期通过采取上述措施后，施工期扬尘可得到有效抑制，项目区域地势开阔，自然通风情况良好，施工期废气在环境空气中经自然扩散、稀释后，对周围环境产生的影响很小。</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lang w:bidi="ar"/>
              </w:rPr>
            </w:pPr>
            <w:r>
              <w:rPr>
                <w:rFonts w:hint="eastAsia" w:ascii="宋体" w:hAnsi="宋体" w:cs="宋体"/>
                <w:b/>
                <w:color w:val="auto"/>
                <w:sz w:val="24"/>
                <w:szCs w:val="24"/>
                <w:lang w:bidi="ar"/>
              </w:rPr>
              <w:t>2、施工期废水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项目施工期</w:t>
            </w:r>
            <w:r>
              <w:rPr>
                <w:rFonts w:hint="eastAsia" w:ascii="宋体" w:hAnsi="宋体" w:cs="宋体"/>
                <w:snapToGrid w:val="0"/>
                <w:color w:val="auto"/>
                <w:sz w:val="24"/>
                <w:szCs w:val="24"/>
              </w:rPr>
              <w:t>施工人员不在施工场地食宿，</w:t>
            </w:r>
            <w:r>
              <w:rPr>
                <w:rFonts w:hint="eastAsia" w:ascii="宋体" w:hAnsi="宋体" w:cs="宋体"/>
                <w:color w:val="auto"/>
                <w:sz w:val="24"/>
                <w:szCs w:val="24"/>
              </w:rPr>
              <w:t>施工人员生活污水主要是洗手污水和厕所废水。施工人员</w:t>
            </w:r>
            <w:r>
              <w:rPr>
                <w:rFonts w:hint="default" w:ascii="宋体" w:hAnsi="宋体" w:cs="宋体"/>
                <w:color w:val="auto"/>
                <w:sz w:val="24"/>
                <w:szCs w:val="24"/>
              </w:rPr>
              <w:t>8</w:t>
            </w:r>
            <w:r>
              <w:rPr>
                <w:rFonts w:hint="eastAsia" w:ascii="宋体" w:hAnsi="宋体" w:cs="宋体"/>
                <w:color w:val="auto"/>
                <w:sz w:val="24"/>
                <w:szCs w:val="24"/>
              </w:rPr>
              <w:t>0人，施工人员入厕利用</w:t>
            </w:r>
            <w:r>
              <w:rPr>
                <w:rFonts w:hint="eastAsia" w:ascii="宋体" w:hAnsi="宋体" w:cs="宋体"/>
                <w:color w:val="auto"/>
                <w:sz w:val="24"/>
                <w:szCs w:val="24"/>
                <w:lang w:eastAsia="zh-CN"/>
              </w:rPr>
              <w:t>原项目</w:t>
            </w:r>
            <w:r>
              <w:rPr>
                <w:rFonts w:hint="eastAsia" w:ascii="宋体" w:hAnsi="宋体" w:cs="宋体"/>
                <w:color w:val="auto"/>
                <w:sz w:val="24"/>
                <w:szCs w:val="24"/>
              </w:rPr>
              <w:t>现有卫生间</w:t>
            </w:r>
            <w:r>
              <w:rPr>
                <w:rFonts w:hint="eastAsia" w:ascii="宋体" w:hAnsi="宋体" w:cs="宋体"/>
                <w:color w:val="auto"/>
                <w:sz w:val="24"/>
                <w:szCs w:val="24"/>
                <w:lang w:eastAsia="zh-CN"/>
              </w:rPr>
              <w:t>，项目区内无生活废水产生</w:t>
            </w:r>
            <w:r>
              <w:rPr>
                <w:rFonts w:hint="eastAsia" w:ascii="宋体" w:hAnsi="宋体" w:cs="宋体"/>
                <w:color w:val="auto"/>
                <w:sz w:val="24"/>
                <w:szCs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kern w:val="0"/>
                <w:sz w:val="24"/>
                <w:szCs w:val="24"/>
                <w:lang w:bidi="ar"/>
              </w:rPr>
              <w:t>项目施工时设置临时沉淀池，收集项目施工过程中产生的少量施工废水，施工废水经沉淀处理后的废水回用于施工场地洒水降尘，不外排。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综上所述，本项目施工期间的废水产生量小，经处理后回用不外排，对环境影响较小。</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3、施工噪声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施工期的噪声对周围环境、敏感点的影响，本次环评提出以下措施：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①选用低噪声</w:t>
            </w:r>
            <w:r>
              <w:rPr>
                <w:rFonts w:hint="eastAsia" w:ascii="宋体" w:hAnsi="宋体" w:cs="宋体"/>
                <w:color w:val="auto"/>
                <w:sz w:val="24"/>
                <w:szCs w:val="24"/>
                <w:lang w:eastAsia="zh-CN"/>
              </w:rPr>
              <w:t>设备</w:t>
            </w:r>
            <w:r>
              <w:rPr>
                <w:rFonts w:hint="eastAsia" w:ascii="宋体" w:hAnsi="宋体" w:cs="宋体"/>
                <w:color w:val="auto"/>
                <w:sz w:val="24"/>
                <w:szCs w:val="24"/>
              </w:rPr>
              <w:t>，设备安装调试和运输车辆在运行中产生的机械噪声，为了减轻施工噪音的施工机械设备，定期对运输车辆进行保养，保证其正常运行。</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②施工场地的施工车辆出入现场时应低速、禁鸣。</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③加强对施工场地的噪声管理，施工企业也应对施工噪声进行自律，合理安排工期，减短施工的施工时间；加强对施工人员的管理，做到文明施工。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④合理安排施工时间，合理布局施工现场，避免对敏感人群造成严重影响；物料进场要安排在白天进行，避免夜间进场影响居民休息。</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⑤施工单位与施工场地周围居民建立良好的关系，及时让他们了解施工进度及采取的降噪措施，并取得大家的共同理解。</w:t>
            </w:r>
          </w:p>
          <w:p>
            <w:pPr>
              <w:pStyle w:val="13"/>
              <w:keepNext w:val="0"/>
              <w:keepLines w:val="0"/>
              <w:suppressLineNumbers w:val="0"/>
              <w:adjustRightInd w:val="0"/>
              <w:snapToGrid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⑥项目施工期应选择白天施工，施工机械设备尽量远离东</w:t>
            </w:r>
            <w:r>
              <w:rPr>
                <w:rFonts w:hint="eastAsia" w:hAnsi="宋体" w:cs="宋体"/>
                <w:color w:val="auto"/>
                <w:sz w:val="24"/>
                <w:szCs w:val="24"/>
                <w:lang w:eastAsia="zh-CN"/>
              </w:rPr>
              <w:t>北</w:t>
            </w:r>
            <w:r>
              <w:rPr>
                <w:rFonts w:hAnsi="宋体" w:cs="宋体"/>
                <w:color w:val="auto"/>
                <w:sz w:val="24"/>
                <w:szCs w:val="24"/>
              </w:rPr>
              <w:t>侧的</w:t>
            </w:r>
            <w:r>
              <w:rPr>
                <w:rFonts w:hint="eastAsia" w:hAnsi="宋体" w:cs="宋体"/>
                <w:color w:val="auto"/>
                <w:sz w:val="24"/>
                <w:szCs w:val="24"/>
                <w:lang w:eastAsia="zh-CN"/>
              </w:rPr>
              <w:t>石羊社区</w:t>
            </w:r>
            <w:r>
              <w:rPr>
                <w:rFonts w:hAnsi="宋体" w:cs="宋体"/>
                <w:color w:val="auto"/>
                <w:sz w:val="24"/>
                <w:szCs w:val="24"/>
              </w:rPr>
              <w:t>，减轻对其影响。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w:t>
            </w:r>
            <w:r>
              <w:rPr>
                <w:rFonts w:hint="default" w:ascii="Times New Roman" w:hAnsi="Times New Roman" w:eastAsia="宋体" w:cs="Times New Roman"/>
                <w:color w:val="auto"/>
                <w:kern w:val="0"/>
                <w:sz w:val="24"/>
                <w:szCs w:val="24"/>
                <w:lang w:val="en-US" w:eastAsia="zh-CN" w:bidi="ar"/>
              </w:rPr>
              <w:t>施工方应按照《昆明市环境噪声污染防治管理办法》，禁止禁止在12时至14时、22时至次日6时进行建筑施工作业</w:t>
            </w:r>
            <w:r>
              <w:rPr>
                <w:rFonts w:hint="default" w:ascii="Times New Roman" w:hAnsi="Times New Roman" w:eastAsia="宋体" w:cs="Times New Roman"/>
                <w:color w:val="auto"/>
                <w:sz w:val="24"/>
                <w:szCs w:val="24"/>
              </w:rPr>
              <w:t>。</w:t>
            </w:r>
          </w:p>
          <w:p>
            <w:pPr>
              <w:pStyle w:val="13"/>
              <w:keepNext w:val="0"/>
              <w:keepLines w:val="0"/>
              <w:suppressLineNumbers w:val="0"/>
              <w:adjustRightInd w:val="0"/>
              <w:snapToGrid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通过采取上述措施，将项目施工期施工机械噪声对周围环境的影响降至最低。项目施工噪声不会对周边环境产生长期影响，随着项目施工结束，施工噪声污染将随之消失，项目施工噪声对周边环境产生的影响可以接受。</w:t>
            </w:r>
          </w:p>
          <w:p>
            <w:pPr>
              <w:pStyle w:val="13"/>
              <w:keepNext w:val="0"/>
              <w:keepLines w:val="0"/>
              <w:suppressLineNumbers w:val="0"/>
              <w:adjustRightInd w:val="0"/>
              <w:snapToGrid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综上所述，本项目采取上述措施后施工噪声对环境影响较小。</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4、施工固体废物</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项目施工期产生的固体废弃物主要为</w:t>
            </w:r>
            <w:r>
              <w:rPr>
                <w:rFonts w:hint="eastAsia" w:ascii="宋体" w:hAnsi="宋体" w:cs="宋体"/>
                <w:color w:val="auto"/>
                <w:sz w:val="24"/>
                <w:szCs w:val="24"/>
                <w:lang w:eastAsia="zh-CN"/>
              </w:rPr>
              <w:t>废</w:t>
            </w:r>
            <w:r>
              <w:rPr>
                <w:rFonts w:hint="eastAsia" w:ascii="宋体" w:hAnsi="宋体" w:cs="宋体"/>
                <w:color w:val="auto"/>
                <w:sz w:val="24"/>
                <w:szCs w:val="24"/>
              </w:rPr>
              <w:t>弃土石方、建筑垃圾、生活垃圾。</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（1）生活垃圾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项目施工人员约80人，生活垃圾产生量按0.5kg/d人计，则施工人员生活垃圾产生量约为40.0kg/d。生活垃圾统一收集后委托环卫部分清运。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（2）建筑垃圾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项目建筑垃圾主要有边角废料、废弃包装袋及装修废材料。类比同类项目，平均每平方米建筑面积产生建筑垃圾约10kg，项目建筑面积</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78.82㎡，建筑垃圾产生量约</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t。建筑垃圾在施工现场内统一收集，先分类回收利用，不能回收利用的委托有资质的单位清运处置。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废</w:t>
            </w:r>
            <w:r>
              <w:rPr>
                <w:rFonts w:hint="default" w:ascii="Times New Roman" w:hAnsi="Times New Roman" w:eastAsia="宋体" w:cs="Times New Roman"/>
                <w:color w:val="auto"/>
                <w:sz w:val="24"/>
                <w:szCs w:val="24"/>
              </w:rPr>
              <w:t>弃土石方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项目开挖化粪池、医疗废水处理设施时会产生废弃土石方，根据建设单位提供资料，开挖过程产生的土石方量约3500m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，产生的土石方部分进行回填，回填量约1500m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，因此废弃土石方约2000m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 xml:space="preserve">，在施工现场内统一收集，委托有资质的渣土清运公司清运至合法弃渣场处理。 </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综上所述，项目施工期产生的固体废弃物100％处置，对环境影响较小。</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b/>
                <w:color w:val="auto"/>
                <w:sz w:val="24"/>
                <w:szCs w:val="24"/>
                <w:lang w:bidi="ar"/>
              </w:rPr>
            </w:pPr>
            <w:r>
              <w:rPr>
                <w:rFonts w:hint="eastAsia" w:ascii="宋体" w:hAnsi="宋体" w:cs="宋体"/>
                <w:b/>
                <w:color w:val="auto"/>
                <w:sz w:val="24"/>
                <w:szCs w:val="24"/>
                <w:lang w:bidi="ar"/>
              </w:rPr>
              <w:t>5、施工期物料运输对周边居民的影响分析</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施工所需的砂石料、钢材、木材、商品混凝土等建筑材料需要在场外购买，并运至施工场地，则施工期运输车辆的增多会影响周边居民的出行安全及生活质量，同时还会导致经过施工路段的车辆堵塞或行车速度减慢等。因此，建设单位在施工期间采取以下措施：</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（1）运输过程车辆必须加盖篷布，必须做到加盖严实；</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（2）运输车辆货箱侧栏必须加高处理，防止运输材料的泼洒；</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（3）加强运输人员的管理，运输车辆在经过道路两侧的居住点时应减速缓行，禁止鸣笛；</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（4）合理安排施工时段，材料运输车辆尽量避开车流量高峰期，做好保通工作，</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cs="宋体"/>
                <w:color w:val="auto"/>
                <w:sz w:val="24"/>
                <w:szCs w:val="24"/>
              </w:rPr>
            </w:pPr>
            <w:r>
              <w:rPr>
                <w:rFonts w:hint="eastAsia" w:ascii="宋体" w:hAnsi="宋体" w:cs="宋体"/>
                <w:color w:val="auto"/>
                <w:sz w:val="24"/>
                <w:szCs w:val="24"/>
              </w:rPr>
              <w:t>以保证施工期道路畅通，尽量减小交通干扰；</w:t>
            </w:r>
          </w:p>
          <w:p>
            <w:pPr>
              <w:keepNext w:val="0"/>
              <w:keepLines w:val="0"/>
              <w:widowControl/>
              <w:numPr>
                <w:ilvl w:val="0"/>
                <w:numId w:val="4"/>
              </w:numPr>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建筑材料及物料的运输应尽量安排在白天进行。</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bCs/>
                <w:color w:val="auto"/>
                <w:spacing w:val="-10"/>
              </w:rPr>
            </w:pPr>
            <w:r>
              <w:rPr>
                <w:rFonts w:hint="eastAsia" w:ascii="宋体" w:hAnsi="宋体" w:cs="宋体"/>
                <w:color w:val="auto"/>
                <w:sz w:val="24"/>
                <w:szCs w:val="24"/>
              </w:rPr>
              <w:t>综上所述，经采取上述措施后，施工期物料运输对周边居民的影响较小。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9" w:hRule="atLeast"/>
          <w:jc w:val="center"/>
        </w:trPr>
        <w:tc>
          <w:tcPr>
            <w:tcW w:w="580"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运营</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期环</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境影</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响和</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保护</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措施</w:t>
            </w:r>
          </w:p>
        </w:tc>
        <w:tc>
          <w:tcPr>
            <w:tcW w:w="9055"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二、运营期</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1、废水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本项目不设置传染科，不涉及传染性废水产生，项目不设口腔科，无含重金属的废水产生。彩超设备、脑电图、心电图检查设备均为电子成像设备，无废显影液产生。</w:t>
            </w:r>
            <w:r>
              <w:rPr>
                <w:rFonts w:hint="default" w:ascii="Times New Roman" w:hAnsi="Times New Roman" w:eastAsia="宋体" w:cs="Times New Roman"/>
                <w:color w:val="auto"/>
                <w:kern w:val="0"/>
                <w:sz w:val="24"/>
                <w:szCs w:val="24"/>
                <w:lang w:val="en-US" w:eastAsia="zh-CN" w:bidi="ar"/>
              </w:rPr>
              <w:t>X 光检查过程采用全信息化管理，病人的片子在电脑上即可实现查看，部分通过 DR 机出片，无放射废水产生。</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检验科主要进行常规的血样、尿样分析，不使用含重金属的药剂，检验科的试剂使用设备厂家配套的套装试剂，不会产生废试剂；检验科废水主要为检验设备清洗废水，进入自建的一套污水处理站进行处理。</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据本项目科室诊疗科目和运行特点，本项目废水包括门诊污水、住院病房污水、厨房废水、检验科清洗废水。</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1.1排水方案</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（1）医院内部实施雨污分流制度，雨水经雨水沟排至市政雨水管网。</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（2）医院配备1个化粪池，容积为</w:t>
            </w:r>
            <w:r>
              <w:rPr>
                <w:rFonts w:hint="default" w:ascii="Times New Roman" w:hAnsi="Times New Roman" w:cs="Times New Roman"/>
                <w:color w:val="auto"/>
                <w:sz w:val="24"/>
                <w:szCs w:val="24"/>
                <w:lang w:val="en-US"/>
              </w:rPr>
              <w:t>10</w:t>
            </w:r>
            <w:r>
              <w:rPr>
                <w:rFonts w:hint="default" w:ascii="Times New Roman" w:hAnsi="Times New Roman" w:cs="Times New Roman"/>
                <w:color w:val="auto"/>
                <w:sz w:val="24"/>
                <w:szCs w:val="24"/>
              </w:rPr>
              <w:t>0m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，位于</w:t>
            </w:r>
            <w:r>
              <w:rPr>
                <w:rFonts w:hint="eastAsia" w:ascii="Times New Roman" w:hAnsi="Times New Roman" w:cs="Times New Roman"/>
                <w:color w:val="auto"/>
                <w:sz w:val="24"/>
                <w:szCs w:val="24"/>
                <w:lang w:eastAsia="zh-CN"/>
              </w:rPr>
              <w:t>住院楼南侧</w:t>
            </w:r>
            <w:r>
              <w:rPr>
                <w:rFonts w:hint="default" w:ascii="Times New Roman" w:hAnsi="Times New Roman" w:cs="Times New Roman"/>
                <w:color w:val="auto"/>
                <w:sz w:val="24"/>
                <w:szCs w:val="24"/>
              </w:rPr>
              <w:t>。厨房外侧配备1个隔油池，用于厨房废水的隔油处理。</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（3）建设1套1</w:t>
            </w:r>
            <w:r>
              <w:rPr>
                <w:rFonts w:hint="default" w:ascii="Times New Roman" w:hAnsi="Times New Roman" w:cs="Times New Roman"/>
                <w:color w:val="auto"/>
                <w:sz w:val="24"/>
                <w:szCs w:val="24"/>
                <w:lang w:val="en-US"/>
              </w:rPr>
              <w:t>30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/d的一体化污水处理站对医院医疗废水进行处理，采用SBR+次氯酸钠消毒工艺。</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（4）项目废水处理达标后，排入市政污水管网，最终进东川区污水处理厂进行处理。</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1.2废水产污及处置情况</w:t>
            </w:r>
          </w:p>
          <w:p>
            <w:pPr>
              <w:pStyle w:val="62"/>
              <w:keepNext w:val="0"/>
              <w:keepLines w:val="0"/>
              <w:suppressLineNumbers w:val="0"/>
              <w:adjustRightInd w:val="0"/>
              <w:snapToGrid w:val="0"/>
              <w:spacing w:before="0" w:beforeAutospacing="0" w:after="0" w:afterAutospacing="0"/>
              <w:ind w:left="0" w:right="0" w:firstLine="47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据工程分析和水量平衡图，本项目废水主要为门诊污水、住院病房污水、厨房污水、检验废水和洗衣房废水，产生量</w:t>
            </w:r>
            <w:r>
              <w:rPr>
                <w:rFonts w:hint="default" w:ascii="Times New Roman" w:hAnsi="Times New Roman" w:cs="Times New Roman"/>
                <w:color w:val="auto"/>
                <w:sz w:val="24"/>
                <w:szCs w:val="24"/>
                <w:lang w:val="en-US"/>
              </w:rPr>
              <w:t>108.081</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rPr>
              <w:t>39449.565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rPr>
              <w:t>，统一进入污水处理站（1</w:t>
            </w:r>
            <w:r>
              <w:rPr>
                <w:rFonts w:hint="default" w:ascii="Times New Roman" w:hAnsi="Times New Roman" w:cs="Times New Roman"/>
                <w:color w:val="auto"/>
                <w:sz w:val="24"/>
                <w:szCs w:val="24"/>
                <w:lang w:val="en-US"/>
              </w:rPr>
              <w:t>30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/d）进行处理，处理达标后，排入市政污水管网，最终进东川区污水处理厂进行处理。</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1.3废水处理设施可行可靠性分析</w:t>
            </w:r>
          </w:p>
          <w:p>
            <w:pPr>
              <w:pStyle w:val="62"/>
              <w:keepNext w:val="0"/>
              <w:keepLines w:val="0"/>
              <w:suppressLineNumbers w:val="0"/>
              <w:adjustRightInd w:val="0"/>
              <w:snapToGrid w:val="0"/>
              <w:spacing w:before="0" w:beforeAutospacing="0" w:after="0" w:afterAutospacing="0"/>
              <w:ind w:left="0" w:right="0" w:firstLine="47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（1）油水分离器容积可行性</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本项目厨房废水产生量为3.096m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/d，据《医疗机构水污染物排放标准》（GB</w:t>
            </w:r>
            <w:r>
              <w:rPr>
                <w:rFonts w:hint="eastAsia" w:cs="Times New Roman"/>
                <w:color w:val="auto"/>
                <w:sz w:val="24"/>
                <w:lang w:eastAsia="zh-CN"/>
              </w:rPr>
              <w:t>*****</w:t>
            </w:r>
            <w:r>
              <w:rPr>
                <w:rFonts w:hint="default" w:ascii="Times New Roman" w:hAnsi="Times New Roman" w:cs="Times New Roman"/>
                <w:color w:val="auto"/>
                <w:sz w:val="24"/>
              </w:rPr>
              <w:t>-2005）中相关要求，含油废水应进行隔油处理。</w:t>
            </w:r>
            <w:r>
              <w:rPr>
                <w:rFonts w:hint="eastAsia" w:ascii="Times New Roman" w:hAnsi="Times New Roman" w:cs="Times New Roman"/>
                <w:color w:val="auto"/>
                <w:sz w:val="24"/>
                <w:lang w:eastAsia="zh-CN"/>
              </w:rPr>
              <w:t>厨房每天工作时间为</w:t>
            </w:r>
            <w:r>
              <w:rPr>
                <w:rFonts w:hint="default" w:ascii="Times New Roman" w:hAnsi="Times New Roman" w:cs="Times New Roman"/>
                <w:color w:val="auto"/>
                <w:sz w:val="24"/>
                <w:lang w:val="en-US" w:eastAsia="zh-CN"/>
              </w:rPr>
              <w:t>6h</w:t>
            </w:r>
            <w:r>
              <w:rPr>
                <w:rFonts w:hint="eastAsia" w:ascii="Times New Roman" w:hAnsi="Times New Roman" w:cs="Times New Roman"/>
                <w:color w:val="auto"/>
                <w:sz w:val="24"/>
                <w:lang w:val="en-US" w:eastAsia="zh-CN"/>
              </w:rPr>
              <w:t>，废水产生量为</w:t>
            </w:r>
            <w:r>
              <w:rPr>
                <w:rFonts w:hint="default" w:ascii="Times New Roman" w:hAnsi="Times New Roman" w:cs="Times New Roman"/>
                <w:color w:val="auto"/>
                <w:sz w:val="24"/>
                <w:lang w:val="en-US" w:eastAsia="zh-CN"/>
              </w:rPr>
              <w:t>0.516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default" w:ascii="Times New Roman" w:hAnsi="Times New Roman" w:cs="Times New Roman"/>
                <w:color w:val="auto"/>
                <w:sz w:val="24"/>
                <w:lang w:val="en-US"/>
              </w:rPr>
              <w:t>h</w:t>
            </w:r>
            <w:r>
              <w:rPr>
                <w:rFonts w:hint="default" w:ascii="Times New Roman" w:hAnsi="Times New Roman" w:cs="Times New Roman"/>
                <w:color w:val="auto"/>
                <w:sz w:val="24"/>
              </w:rPr>
              <w:t>，本次考虑厨房废水隔油处理时间1h，本项目建设1个1m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的隔油池，可满足隔油要求，容积可行。</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（2）化粪池容积可行性</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根据《医疗机构水污染物排放标准》（GB</w:t>
            </w:r>
            <w:r>
              <w:rPr>
                <w:rFonts w:hint="eastAsia" w:cs="Times New Roman"/>
                <w:color w:val="auto"/>
                <w:sz w:val="24"/>
                <w:lang w:eastAsia="zh-CN"/>
              </w:rPr>
              <w:t>*****</w:t>
            </w:r>
            <w:r>
              <w:rPr>
                <w:rFonts w:hint="default" w:ascii="Times New Roman" w:hAnsi="Times New Roman" w:cs="Times New Roman"/>
                <w:color w:val="auto"/>
                <w:sz w:val="24"/>
              </w:rPr>
              <w:t>-2005）中相关要求，用于医疗废水预处理的化粪池容积设计应能够保证24-36h的污水停留时间。</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本项目在</w:t>
            </w:r>
            <w:r>
              <w:rPr>
                <w:rFonts w:hint="eastAsia" w:ascii="Times New Roman" w:hAnsi="Times New Roman" w:cs="Times New Roman"/>
                <w:color w:val="auto"/>
                <w:sz w:val="24"/>
                <w:lang w:eastAsia="zh-CN"/>
              </w:rPr>
              <w:t>住院楼南侧</w:t>
            </w:r>
            <w:r>
              <w:rPr>
                <w:rFonts w:hint="default" w:ascii="Times New Roman" w:hAnsi="Times New Roman" w:cs="Times New Roman"/>
                <w:color w:val="auto"/>
                <w:sz w:val="24"/>
              </w:rPr>
              <w:t>建设1座化粪池，总容积100m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，用于收集门诊污水、住院病房污水、厨房污水和检验科清洗废水，项目以上四部分废水量</w:t>
            </w:r>
            <w:r>
              <w:rPr>
                <w:rFonts w:hint="default" w:ascii="Times New Roman" w:hAnsi="Times New Roman" w:cs="Times New Roman"/>
                <w:color w:val="auto"/>
                <w:sz w:val="24"/>
                <w:lang w:val="en-US"/>
              </w:rPr>
              <w:t>72.081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rPr>
              <w:t>，项目建设的化粪池容积能够满足污水停留24小时以上，符合标准规定的停留时间要求，化粪池有效容积设置合理。为了保证化粪池的有效容积及处理效果，本环评提出化粪池必须定期清掏，以满足项目废水预处理要求。</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（3）污水处理站设置可行性</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1）处理规模</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本项目废水产生量</w:t>
            </w:r>
            <w:r>
              <w:rPr>
                <w:rFonts w:hint="default" w:ascii="Times New Roman" w:hAnsi="Times New Roman" w:cs="Times New Roman"/>
                <w:color w:val="auto"/>
                <w:sz w:val="24"/>
                <w:lang w:val="en-US"/>
              </w:rPr>
              <w:t>108.081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rPr>
              <w:t>，考虑1.2的富余系数，则污水处理站建设规模必须大于100.101×1.2=</w:t>
            </w:r>
            <w:r>
              <w:rPr>
                <w:rFonts w:hint="default" w:ascii="Times New Roman" w:hAnsi="Times New Roman" w:cs="Times New Roman"/>
                <w:color w:val="auto"/>
                <w:sz w:val="24"/>
                <w:lang w:val="en-US"/>
              </w:rPr>
              <w:t>129.697</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/d的规模，方可满足处理要求。</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本项目污水处理站处理规模为</w:t>
            </w:r>
            <w:r>
              <w:rPr>
                <w:rFonts w:hint="default" w:ascii="Times New Roman" w:hAnsi="Times New Roman" w:cs="Times New Roman"/>
                <w:color w:val="auto"/>
                <w:sz w:val="24"/>
              </w:rPr>
              <w:t>1</w:t>
            </w:r>
            <w:r>
              <w:rPr>
                <w:rFonts w:hint="default" w:ascii="Times New Roman" w:hAnsi="Times New Roman" w:cs="Times New Roman"/>
                <w:color w:val="auto"/>
                <w:sz w:val="24"/>
                <w:lang w:val="en-US"/>
              </w:rPr>
              <w:t>30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rPr>
              <w:t>，可以处理项目每天产生的废水量且尚有一定安全容量。从规模上看，是可行的。</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2）处理工艺可靠性</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项目废水经污水处理站处理后外排的接纳对象为市政污水管网→东川区污水处理厂，根据《排污许可证申请与核发技术规范医疗机构》（HJ</w:t>
            </w:r>
            <w:r>
              <w:rPr>
                <w:rFonts w:hint="eastAsia" w:cs="Times New Roman"/>
                <w:color w:val="auto"/>
                <w:sz w:val="24"/>
                <w:lang w:eastAsia="zh-CN"/>
              </w:rPr>
              <w:t>****</w:t>
            </w:r>
            <w:r>
              <w:rPr>
                <w:rFonts w:hint="default" w:ascii="Times New Roman" w:hAnsi="Times New Roman" w:cs="Times New Roman"/>
                <w:color w:val="auto"/>
                <w:sz w:val="24"/>
              </w:rPr>
              <w:t>-2020）表 A.2“医疗机构排污单位污水治理可行性技术参数参照表”—医疗污水排放去向为城镇污水处理厂的可行性技术有：一级处理/一级强化处理+消毒工艺。其中：一级处理包括：筛滤法、沉淀池、气浮法、预曝气法；一级强化处理包括：化学混凝法、机械过滤或不完全生物处理；消毒工艺包括：加氯消毒、臭氧消毒法、次氯酸钠法、次氯酸钠法消毒、紫外线消毒等。</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本项目采用的污水处理工艺为</w:t>
            </w:r>
            <w:r>
              <w:rPr>
                <w:rFonts w:hint="default" w:ascii="Times New Roman" w:hAnsi="Times New Roman" w:cs="Times New Roman"/>
                <w:color w:val="auto"/>
                <w:sz w:val="24"/>
              </w:rPr>
              <w:t>化粪池+调节池+</w:t>
            </w:r>
            <w:r>
              <w:rPr>
                <w:rFonts w:hint="default" w:ascii="Times New Roman" w:hAnsi="Times New Roman" w:cs="Times New Roman"/>
                <w:color w:val="auto"/>
                <w:sz w:val="24"/>
                <w:lang w:val="en-US"/>
              </w:rPr>
              <w:t>A</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+O</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二沉池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清水池</w:t>
            </w:r>
            <w:r>
              <w:rPr>
                <w:rFonts w:hint="default" w:ascii="Times New Roman" w:hAnsi="Times New Roman" w:cs="Times New Roman"/>
                <w:color w:val="auto"/>
                <w:sz w:val="24"/>
              </w:rPr>
              <w:t>+消毒</w:t>
            </w:r>
            <w:r>
              <w:rPr>
                <w:rFonts w:hint="default" w:ascii="Times New Roman" w:hAnsi="Times New Roman" w:cs="Times New Roman"/>
                <w:color w:val="auto"/>
                <w:sz w:val="24"/>
              </w:rPr>
              <w:t>工艺，属于《排污许可证申请与核发技术规范 医疗机构》（HJ</w:t>
            </w:r>
            <w:r>
              <w:rPr>
                <w:rFonts w:hint="eastAsia" w:cs="Times New Roman"/>
                <w:color w:val="auto"/>
                <w:sz w:val="24"/>
                <w:lang w:eastAsia="zh-CN"/>
              </w:rPr>
              <w:t>****</w:t>
            </w:r>
            <w:r>
              <w:rPr>
                <w:rFonts w:hint="default" w:ascii="Times New Roman" w:hAnsi="Times New Roman" w:cs="Times New Roman"/>
                <w:color w:val="auto"/>
                <w:sz w:val="24"/>
              </w:rPr>
              <w:t>-2020）表 A.2 中可行技术的“</w:t>
            </w:r>
            <w:r>
              <w:rPr>
                <w:rFonts w:hint="eastAsia" w:ascii="Times New Roman" w:hAnsi="Times New Roman" w:cs="Times New Roman"/>
                <w:color w:val="auto"/>
                <w:sz w:val="24"/>
                <w:lang w:eastAsia="zh-CN"/>
              </w:rPr>
              <w:t>二级处理</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深度处理</w:t>
            </w:r>
            <w:r>
              <w:rPr>
                <w:rFonts w:hint="default" w:ascii="Times New Roman" w:hAnsi="Times New Roman" w:cs="Times New Roman"/>
                <w:color w:val="auto"/>
                <w:sz w:val="24"/>
              </w:rPr>
              <w:t>+消毒工艺（采用次氯酸钠作为消毒剂）”，处理后废水满足《医疗机构水污染物排放标准》（GB</w:t>
            </w:r>
            <w:r>
              <w:rPr>
                <w:rFonts w:hint="eastAsia" w:cs="Times New Roman"/>
                <w:color w:val="auto"/>
                <w:sz w:val="24"/>
                <w:lang w:eastAsia="zh-CN"/>
              </w:rPr>
              <w:t>*****</w:t>
            </w:r>
            <w:r>
              <w:rPr>
                <w:rFonts w:hint="default" w:ascii="Times New Roman" w:hAnsi="Times New Roman" w:cs="Times New Roman"/>
                <w:color w:val="auto"/>
                <w:sz w:val="24"/>
              </w:rPr>
              <w:t>-2005）表2预处理标准要求。</w:t>
            </w:r>
          </w:p>
          <w:p>
            <w:pPr>
              <w:keepNext w:val="0"/>
              <w:keepLines w:val="0"/>
              <w:suppressLineNumbers w:val="0"/>
              <w:spacing w:before="0" w:beforeAutospacing="0" w:after="0" w:afterAutospacing="0"/>
              <w:ind w:left="0" w:right="0"/>
              <w:rPr>
                <w:rFonts w:hint="default" w:ascii="Times New Roman" w:hAnsi="Times New Roman" w:cs="Times New Roman"/>
                <w:color w:val="auto"/>
                <w:sz w:val="24"/>
              </w:rPr>
            </w:pPr>
            <w:r>
              <w:rPr>
                <w:rFonts w:hint="default" w:ascii="Times New Roman" w:hAnsi="Times New Roman" w:cs="Times New Roman"/>
                <w:color w:val="auto"/>
                <w:sz w:val="24"/>
              </w:rPr>
              <w:object>
                <v:shape id="_x0000_i1031" o:spt="75" type="#_x0000_t75" style="height:237pt;width:495.75pt;" o:ole="t" filled="f" o:preferrelative="t" stroked="f" coordsize="21600,21600">
                  <v:path/>
                  <v:fill on="f" focussize="0,0"/>
                  <v:stroke on="f"/>
                  <v:imagedata r:id="rId29" o:title=""/>
                  <o:lock v:ext="edit" aspectratio="f"/>
                  <w10:wrap type="none"/>
                  <w10:anchorlock/>
                </v:shape>
                <o:OLEObject Type="Embed" ProgID="Visio.Drawing.15" ShapeID="_x0000_i1031" DrawAspect="Content" ObjectID="_1468075731" r:id="rId28">
                  <o:LockedField>false</o:LockedField>
                </o:OLEObject>
              </w:object>
            </w:r>
          </w:p>
          <w:p>
            <w:pPr>
              <w:pStyle w:val="9"/>
              <w:keepNext w:val="0"/>
              <w:keepLines w:val="0"/>
              <w:suppressLineNumbers w:val="0"/>
              <w:spacing w:beforeAutospacing="0" w:afterAutospacing="0"/>
              <w:ind w:left="0"/>
              <w:jc w:val="center"/>
              <w:rPr>
                <w:rFonts w:hint="default" w:ascii="Calibri" w:hAnsi="Calibri" w:eastAsia="宋体" w:cs="Times New Roman"/>
                <w:b/>
                <w:bCs/>
                <w:color w:val="auto"/>
                <w:lang w:val="en-US" w:eastAsia="zh-CN"/>
              </w:rPr>
            </w:pPr>
            <w:r>
              <w:rPr>
                <w:rFonts w:hint="eastAsia" w:ascii="Times New Roman" w:hAnsi="Times New Roman" w:cs="Times New Roman"/>
                <w:b/>
                <w:bCs/>
                <w:color w:val="auto"/>
                <w:sz w:val="24"/>
                <w:lang w:eastAsia="zh-CN"/>
              </w:rPr>
              <w:t>图</w:t>
            </w:r>
            <w:r>
              <w:rPr>
                <w:rFonts w:hint="default" w:ascii="Times New Roman" w:hAnsi="Times New Roman" w:cs="Times New Roman"/>
                <w:b/>
                <w:bCs/>
                <w:color w:val="auto"/>
                <w:sz w:val="24"/>
                <w:lang w:val="en-US" w:eastAsia="zh-CN"/>
              </w:rPr>
              <w:t xml:space="preserve">4-1 </w:t>
            </w:r>
            <w:r>
              <w:rPr>
                <w:rFonts w:hint="eastAsia" w:ascii="Times New Roman" w:hAnsi="Times New Roman" w:cs="Times New Roman"/>
                <w:b/>
                <w:bCs/>
                <w:color w:val="auto"/>
                <w:sz w:val="24"/>
                <w:lang w:val="en-US" w:eastAsia="zh-CN"/>
              </w:rPr>
              <w:t>污水处理站工艺流程图</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从工艺上来看，项目采用的废水处理工艺为可行技术，具有可靠可行性。</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 污水达标排放可行性分析</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本项目污水达标排放评价采用类比分析法。类比的医院为</w:t>
            </w:r>
            <w:r>
              <w:rPr>
                <w:rFonts w:hint="eastAsia" w:ascii="Times New Roman" w:hAnsi="Times New Roman" w:cs="Times New Roman"/>
                <w:color w:val="auto"/>
                <w:sz w:val="24"/>
                <w:lang w:eastAsia="zh-CN"/>
              </w:rPr>
              <w:t>东川精神病院原项目</w:t>
            </w:r>
            <w:r>
              <w:rPr>
                <w:rFonts w:hint="default" w:ascii="Times New Roman" w:hAnsi="Times New Roman" w:cs="Times New Roman"/>
                <w:color w:val="auto"/>
                <w:sz w:val="24"/>
              </w:rPr>
              <w:t>，两个医院产生的废水为一般医疗废水；两个医院污水处理站采用的污水处理工艺为</w:t>
            </w:r>
            <w:r>
              <w:rPr>
                <w:rFonts w:hint="default" w:ascii="Times New Roman" w:hAnsi="Times New Roman" w:cs="Times New Roman"/>
                <w:color w:val="auto"/>
                <w:sz w:val="24"/>
              </w:rPr>
              <w:t>化粪池+调节池+</w:t>
            </w:r>
            <w:r>
              <w:rPr>
                <w:rFonts w:hint="default" w:ascii="Times New Roman" w:hAnsi="Times New Roman" w:cs="Times New Roman"/>
                <w:color w:val="auto"/>
                <w:sz w:val="24"/>
                <w:lang w:val="en-US"/>
              </w:rPr>
              <w:t>A</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+O</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二沉池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清水池</w:t>
            </w:r>
            <w:r>
              <w:rPr>
                <w:rFonts w:hint="default" w:ascii="Times New Roman" w:hAnsi="Times New Roman" w:cs="Times New Roman"/>
                <w:color w:val="auto"/>
                <w:sz w:val="24"/>
              </w:rPr>
              <w:t>+消毒</w:t>
            </w:r>
            <w:r>
              <w:rPr>
                <w:rFonts w:hint="default" w:ascii="Times New Roman" w:hAnsi="Times New Roman" w:cs="Times New Roman"/>
                <w:color w:val="auto"/>
                <w:sz w:val="24"/>
              </w:rPr>
              <w:t>工艺；因此污水进水和出水水质均类似，具有可比性。</w:t>
            </w:r>
          </w:p>
          <w:p>
            <w:pPr>
              <w:pStyle w:val="2"/>
              <w:keepNext w:val="0"/>
              <w:keepLines w:val="0"/>
              <w:suppressLineNumbers w:val="0"/>
              <w:adjustRightInd w:val="0"/>
              <w:snapToGrid w:val="0"/>
              <w:spacing w:beforeAutospacing="0" w:after="0" w:afterAutospacing="0"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东川精神病院</w:t>
            </w:r>
            <w:r>
              <w:rPr>
                <w:rFonts w:hint="default" w:ascii="Times New Roman" w:hAnsi="Times New Roman" w:cs="Times New Roman"/>
                <w:color w:val="auto"/>
                <w:sz w:val="24"/>
              </w:rPr>
              <w:t>委托云南</w:t>
            </w:r>
            <w:r>
              <w:rPr>
                <w:rFonts w:hint="eastAsia" w:ascii="Times New Roman" w:hAnsi="Times New Roman" w:cs="Times New Roman"/>
                <w:color w:val="auto"/>
                <w:sz w:val="24"/>
                <w:lang w:eastAsia="zh-CN"/>
              </w:rPr>
              <w:t>天倪</w:t>
            </w:r>
            <w:r>
              <w:rPr>
                <w:rFonts w:hint="default" w:ascii="Times New Roman" w:hAnsi="Times New Roman" w:cs="Times New Roman"/>
                <w:color w:val="auto"/>
                <w:sz w:val="24"/>
              </w:rPr>
              <w:t>检测有限公司进行202</w:t>
            </w:r>
            <w:r>
              <w:rPr>
                <w:rFonts w:hint="default" w:ascii="Times New Roman" w:hAnsi="Times New Roman" w:cs="Times New Roman"/>
                <w:color w:val="auto"/>
                <w:sz w:val="24"/>
                <w:lang w:val="en-US"/>
              </w:rPr>
              <w:t>3</w:t>
            </w:r>
            <w:r>
              <w:rPr>
                <w:rFonts w:hint="default" w:ascii="Times New Roman" w:hAnsi="Times New Roman" w:cs="Times New Roman"/>
                <w:color w:val="auto"/>
                <w:sz w:val="24"/>
              </w:rPr>
              <w:t>年企业自行监测，202</w:t>
            </w:r>
            <w:r>
              <w:rPr>
                <w:rFonts w:hint="default" w:ascii="Times New Roman" w:hAnsi="Times New Roman" w:cs="Times New Roman"/>
                <w:color w:val="auto"/>
                <w:sz w:val="24"/>
                <w:lang w:val="en-US"/>
              </w:rPr>
              <w:t>3</w:t>
            </w:r>
            <w:r>
              <w:rPr>
                <w:rFonts w:hint="default" w:ascii="Times New Roman" w:hAnsi="Times New Roman" w:cs="Times New Roman"/>
                <w:color w:val="auto"/>
                <w:sz w:val="24"/>
              </w:rPr>
              <w:t>年第一季度</w:t>
            </w:r>
            <w:r>
              <w:rPr>
                <w:rFonts w:hint="eastAsia" w:ascii="Times New Roman" w:hAnsi="Times New Roman" w:cs="Times New Roman"/>
                <w:color w:val="auto"/>
                <w:sz w:val="24"/>
                <w:lang w:eastAsia="zh-CN"/>
              </w:rPr>
              <w:t>出水</w:t>
            </w:r>
            <w:r>
              <w:rPr>
                <w:rFonts w:hint="default" w:ascii="Times New Roman" w:hAnsi="Times New Roman" w:cs="Times New Roman"/>
                <w:color w:val="auto"/>
                <w:sz w:val="24"/>
              </w:rPr>
              <w:t>水质监测结果见表4-1。</w:t>
            </w:r>
          </w:p>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b/>
                <w:bCs/>
                <w:color w:val="auto"/>
                <w:sz w:val="24"/>
                <w:szCs w:val="24"/>
              </w:rPr>
              <w:t>表4-1  类比项目</w:t>
            </w:r>
            <w:r>
              <w:rPr>
                <w:rFonts w:hint="eastAsia" w:ascii="宋体" w:hAnsi="宋体" w:cs="宋体"/>
                <w:b/>
                <w:bCs/>
                <w:color w:val="auto"/>
                <w:sz w:val="24"/>
                <w:szCs w:val="24"/>
                <w:lang w:eastAsia="zh-CN"/>
              </w:rPr>
              <w:t>东川精神病院</w:t>
            </w:r>
            <w:r>
              <w:rPr>
                <w:rFonts w:hint="eastAsia" w:ascii="宋体" w:hAnsi="宋体" w:cs="宋体"/>
                <w:b/>
                <w:bCs/>
                <w:color w:val="auto"/>
                <w:sz w:val="24"/>
                <w:szCs w:val="24"/>
              </w:rPr>
              <w:t>废水污染物排放监测结果</w:t>
            </w: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1112"/>
              <w:gridCol w:w="1338"/>
              <w:gridCol w:w="1164"/>
              <w:gridCol w:w="1215"/>
              <w:gridCol w:w="2121"/>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6"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监测因子</w:t>
                  </w:r>
                </w:p>
              </w:tc>
              <w:tc>
                <w:tcPr>
                  <w:tcW w:w="2440" w:type="pct"/>
                  <w:gridSpan w:val="4"/>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2021年第一季度（监测时间202</w:t>
                  </w:r>
                  <w:r>
                    <w:rPr>
                      <w:rFonts w:hint="default" w:ascii="宋体" w:hAnsi="宋体" w:cs="宋体"/>
                      <w:color w:val="auto"/>
                      <w:lang w:val="en-US"/>
                    </w:rPr>
                    <w:t>3</w:t>
                  </w:r>
                  <w:r>
                    <w:rPr>
                      <w:rFonts w:hint="eastAsia" w:ascii="宋体" w:hAnsi="宋体" w:cs="宋体"/>
                      <w:color w:val="auto"/>
                    </w:rPr>
                    <w:t>.</w:t>
                  </w:r>
                  <w:r>
                    <w:rPr>
                      <w:rFonts w:hint="default" w:ascii="宋体" w:hAnsi="宋体" w:cs="宋体"/>
                      <w:color w:val="auto"/>
                      <w:lang w:val="en-US"/>
                    </w:rPr>
                    <w:t>2</w:t>
                  </w:r>
                  <w:r>
                    <w:rPr>
                      <w:rFonts w:hint="eastAsia" w:ascii="宋体" w:hAnsi="宋体" w:cs="宋体"/>
                      <w:color w:val="auto"/>
                    </w:rPr>
                    <w:t>.</w:t>
                  </w:r>
                  <w:r>
                    <w:rPr>
                      <w:rFonts w:hint="default" w:ascii="宋体" w:hAnsi="宋体" w:cs="宋体"/>
                      <w:color w:val="auto"/>
                      <w:lang w:val="en-US"/>
                    </w:rPr>
                    <w:t>04</w:t>
                  </w:r>
                  <w:r>
                    <w:rPr>
                      <w:rFonts w:hint="eastAsia" w:ascii="宋体" w:hAnsi="宋体" w:cs="宋体"/>
                      <w:color w:val="auto"/>
                    </w:rPr>
                    <w:t>）</w:t>
                  </w:r>
                </w:p>
              </w:tc>
              <w:tc>
                <w:tcPr>
                  <w:tcW w:w="1072"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GB</w:t>
                  </w:r>
                  <w:r>
                    <w:rPr>
                      <w:rFonts w:hint="eastAsia" w:ascii="宋体" w:hAnsi="宋体" w:cs="宋体"/>
                      <w:color w:val="auto"/>
                      <w:lang w:eastAsia="zh-CN"/>
                    </w:rPr>
                    <w:t>*****</w:t>
                  </w:r>
                  <w:r>
                    <w:rPr>
                      <w:rFonts w:hint="eastAsia" w:ascii="宋体" w:hAnsi="宋体" w:cs="宋体"/>
                      <w:color w:val="auto"/>
                    </w:rPr>
                    <w:t>-2005“预处理”标准值</w:t>
                  </w:r>
                </w:p>
              </w:tc>
              <w:tc>
                <w:tcPr>
                  <w:tcW w:w="361"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26"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6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第一次</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第二次</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第三次</w:t>
                  </w:r>
                </w:p>
              </w:tc>
              <w:tc>
                <w:tcPr>
                  <w:tcW w:w="612" w:type="pct"/>
                  <w:noWrap w:val="0"/>
                  <w:vAlign w:val="top"/>
                </w:tcPr>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平均值</w:t>
                  </w:r>
                </w:p>
              </w:tc>
              <w:tc>
                <w:tcPr>
                  <w:tcW w:w="1072" w:type="pct"/>
                  <w:vMerge w:val="continue"/>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4"/>
                    </w:rPr>
                  </w:pPr>
                </w:p>
              </w:tc>
              <w:tc>
                <w:tcPr>
                  <w:tcW w:w="361"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五日生化需氧量</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30.4</w:t>
                  </w:r>
                </w:p>
              </w:tc>
              <w:tc>
                <w:tcPr>
                  <w:tcW w:w="676"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29.3</w:t>
                  </w:r>
                </w:p>
              </w:tc>
              <w:tc>
                <w:tcPr>
                  <w:tcW w:w="588"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31.2</w:t>
                  </w:r>
                </w:p>
              </w:tc>
              <w:tc>
                <w:tcPr>
                  <w:tcW w:w="61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30.3</w:t>
                  </w:r>
                </w:p>
              </w:tc>
              <w:tc>
                <w:tcPr>
                  <w:tcW w:w="107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szCs w:val="24"/>
                    </w:rPr>
                  </w:pPr>
                  <w:r>
                    <w:rPr>
                      <w:rFonts w:hint="eastAsia" w:ascii="宋体" w:hAnsi="宋体" w:cs="宋体"/>
                      <w:color w:val="auto"/>
                    </w:rPr>
                    <w:t xml:space="preserve">≤100                                                                                                                                                                                                                                                                                                                                                                                                                                                                                                                                                                                                                                                                                                                                                                                                                                                                                                                                                                                                                                                                                                                                                                                                                                                                                                                                                                                                                                                                                                                                                                                                                                                                                                                                                                                                                                                                                                                                                                                                                                                                                                                                                                                                                                                                                                                                                                                                                                                                                                                                                                                                                                                                                                                                                                                                                                                                                                                                                                                                                                                                                                                                                                                                                                                                                                                                                                                                                                                                                                                                                                                                                               </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石油类</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0.06L</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0.06L</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0.06L</w:t>
                  </w:r>
                </w:p>
              </w:tc>
              <w:tc>
                <w:tcPr>
                  <w:tcW w:w="61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0.06L</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≤20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动植物油</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0.11</w:t>
                  </w:r>
                </w:p>
              </w:tc>
              <w:tc>
                <w:tcPr>
                  <w:tcW w:w="676"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0.09</w:t>
                  </w:r>
                </w:p>
              </w:tc>
              <w:tc>
                <w:tcPr>
                  <w:tcW w:w="588"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0.10</w:t>
                  </w:r>
                </w:p>
              </w:tc>
              <w:tc>
                <w:tcPr>
                  <w:tcW w:w="61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0.10</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≤20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挥发酚</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0.01L</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0.01L</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0.01L</w:t>
                  </w:r>
                </w:p>
              </w:tc>
              <w:tc>
                <w:tcPr>
                  <w:tcW w:w="61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0.01L</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≤1.0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highlight w:val="none"/>
                    </w:rPr>
                    <w:t>总氰化物</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0.004L</w:t>
                  </w:r>
                </w:p>
              </w:tc>
              <w:tc>
                <w:tcPr>
                  <w:tcW w:w="67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0.004L</w:t>
                  </w:r>
                </w:p>
              </w:tc>
              <w:tc>
                <w:tcPr>
                  <w:tcW w:w="5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0.004L</w:t>
                  </w:r>
                </w:p>
              </w:tc>
              <w:tc>
                <w:tcPr>
                  <w:tcW w:w="61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0.004L</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≤0.5</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阴离子表面活性剂</w:t>
                  </w:r>
                </w:p>
              </w:tc>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1.14</w:t>
                  </w:r>
                </w:p>
              </w:tc>
              <w:tc>
                <w:tcPr>
                  <w:tcW w:w="676"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1.15</w:t>
                  </w:r>
                </w:p>
              </w:tc>
              <w:tc>
                <w:tcPr>
                  <w:tcW w:w="588"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1.14</w:t>
                  </w:r>
                </w:p>
              </w:tc>
              <w:tc>
                <w:tcPr>
                  <w:tcW w:w="612" w:type="pct"/>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1.14</w:t>
                  </w:r>
                </w:p>
              </w:tc>
              <w:tc>
                <w:tcPr>
                  <w:tcW w:w="1072"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4"/>
                    </w:rPr>
                  </w:pPr>
                  <w:r>
                    <w:rPr>
                      <w:rFonts w:hint="eastAsia" w:ascii="宋体" w:hAnsi="宋体" w:cs="宋体"/>
                      <w:color w:val="auto"/>
                    </w:rPr>
                    <w:t>≤10</w:t>
                  </w:r>
                </w:p>
              </w:tc>
              <w:tc>
                <w:tcPr>
                  <w:tcW w:w="3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bl>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据类比项目</w:t>
            </w:r>
            <w:r>
              <w:rPr>
                <w:rFonts w:hint="eastAsia" w:ascii="Times New Roman" w:hAnsi="Times New Roman" w:cs="Times New Roman"/>
                <w:color w:val="auto"/>
                <w:sz w:val="24"/>
                <w:lang w:eastAsia="zh-CN"/>
              </w:rPr>
              <w:t>东川精神病院</w:t>
            </w:r>
            <w:r>
              <w:rPr>
                <w:rFonts w:hint="eastAsia" w:ascii="宋体" w:hAnsi="宋体" w:cs="宋体"/>
                <w:color w:val="auto"/>
                <w:sz w:val="24"/>
              </w:rPr>
              <w:t>污水处理站排放口出水水质，各项监测因子满足《医疗机构水污染物排放标准》（GB</w:t>
            </w:r>
            <w:r>
              <w:rPr>
                <w:rFonts w:hint="eastAsia" w:ascii="宋体" w:hAnsi="宋体" w:cs="宋体"/>
                <w:color w:val="auto"/>
                <w:sz w:val="24"/>
                <w:lang w:eastAsia="zh-CN"/>
              </w:rPr>
              <w:t>*****</w:t>
            </w:r>
            <w:r>
              <w:rPr>
                <w:rFonts w:hint="eastAsia" w:ascii="宋体" w:hAnsi="宋体" w:cs="宋体"/>
                <w:color w:val="auto"/>
                <w:sz w:val="24"/>
              </w:rPr>
              <w:t>-2005）表2综合医疗机构和其他医疗机构水污染排放限值（日均值）中“预处理”标准，表明项目综合废水采用污水处理站处理后，污水可以做到达标排放。</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5</w:t>
            </w:r>
            <w:r>
              <w:rPr>
                <w:rFonts w:hint="eastAsia" w:ascii="宋体" w:hAnsi="宋体" w:cs="宋体"/>
                <w:color w:val="auto"/>
                <w:sz w:val="24"/>
                <w:szCs w:val="24"/>
              </w:rPr>
              <w:t>项目废水污染物产生和排放情况</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本项目废水产生量</w:t>
            </w:r>
            <w:r>
              <w:rPr>
                <w:rFonts w:hint="default" w:ascii="宋体" w:hAnsi="宋体" w:cs="宋体"/>
                <w:color w:val="auto"/>
                <w:sz w:val="24"/>
                <w:szCs w:val="24"/>
                <w:lang w:val="en-US"/>
              </w:rPr>
              <w:t>108.081</w:t>
            </w:r>
            <w:r>
              <w:rPr>
                <w:rFonts w:hint="eastAsia" w:ascii="宋体" w:hAnsi="宋体" w:cs="宋体"/>
                <w:color w:val="auto"/>
                <w:sz w:val="24"/>
                <w:szCs w:val="24"/>
              </w:rPr>
              <w:t>m</w:t>
            </w:r>
            <w:r>
              <w:rPr>
                <w:rFonts w:hint="eastAsia" w:ascii="宋体" w:hAnsi="宋体" w:cs="宋体"/>
                <w:color w:val="auto"/>
                <w:sz w:val="24"/>
                <w:szCs w:val="24"/>
                <w:vertAlign w:val="superscript"/>
              </w:rPr>
              <w:t>3</w:t>
            </w:r>
            <w:r>
              <w:rPr>
                <w:rFonts w:hint="eastAsia" w:ascii="宋体" w:hAnsi="宋体" w:cs="宋体"/>
                <w:color w:val="auto"/>
                <w:sz w:val="24"/>
                <w:szCs w:val="24"/>
              </w:rPr>
              <w:t>/d，</w:t>
            </w:r>
            <w:r>
              <w:rPr>
                <w:rFonts w:hint="default" w:ascii="宋体" w:hAnsi="宋体" w:cs="宋体"/>
                <w:color w:val="auto"/>
                <w:sz w:val="24"/>
                <w:szCs w:val="24"/>
                <w:lang w:val="en-US"/>
              </w:rPr>
              <w:t>39449.565</w:t>
            </w:r>
            <w:r>
              <w:rPr>
                <w:rFonts w:hint="eastAsia" w:ascii="宋体" w:hAnsi="宋体" w:cs="宋体"/>
                <w:color w:val="auto"/>
                <w:sz w:val="24"/>
                <w:szCs w:val="24"/>
              </w:rPr>
              <w:t>m</w:t>
            </w:r>
            <w:r>
              <w:rPr>
                <w:rFonts w:hint="eastAsia" w:ascii="宋体" w:hAnsi="宋体" w:cs="宋体"/>
                <w:color w:val="auto"/>
                <w:sz w:val="24"/>
                <w:szCs w:val="24"/>
                <w:vertAlign w:val="superscript"/>
              </w:rPr>
              <w:t>3</w:t>
            </w:r>
            <w:r>
              <w:rPr>
                <w:rFonts w:hint="eastAsia" w:ascii="宋体" w:hAnsi="宋体" w:cs="宋体"/>
                <w:color w:val="auto"/>
                <w:sz w:val="24"/>
                <w:szCs w:val="24"/>
              </w:rPr>
              <w:t>/a</w:t>
            </w:r>
            <w:r>
              <w:rPr>
                <w:rFonts w:hint="eastAsia" w:ascii="宋体" w:hAnsi="宋体" w:cs="宋体"/>
                <w:color w:val="auto"/>
                <w:sz w:val="24"/>
                <w:szCs w:val="24"/>
              </w:rPr>
              <w:t>，废水污染物产生</w:t>
            </w:r>
            <w:r>
              <w:rPr>
                <w:rFonts w:hint="eastAsia" w:ascii="宋体" w:hAnsi="宋体" w:cs="宋体"/>
                <w:color w:val="auto"/>
                <w:sz w:val="24"/>
                <w:szCs w:val="24"/>
                <w:lang w:eastAsia="zh-CN"/>
              </w:rPr>
              <w:t>（污染物产生浓度来源于项目可研）</w:t>
            </w:r>
            <w:r>
              <w:rPr>
                <w:rFonts w:hint="eastAsia" w:ascii="宋体" w:hAnsi="宋体" w:cs="宋体"/>
                <w:color w:val="auto"/>
                <w:sz w:val="24"/>
                <w:szCs w:val="24"/>
              </w:rPr>
              <w:t>及排放情况</w:t>
            </w:r>
            <w:r>
              <w:rPr>
                <w:rFonts w:hint="eastAsia" w:ascii="宋体" w:hAnsi="宋体" w:cs="宋体"/>
                <w:color w:val="auto"/>
                <w:sz w:val="24"/>
                <w:szCs w:val="24"/>
                <w:lang w:eastAsia="zh-CN"/>
              </w:rPr>
              <w:t>（</w:t>
            </w:r>
            <w:r>
              <w:rPr>
                <w:rFonts w:hint="default" w:ascii="宋体" w:hAnsi="宋体" w:cs="宋体"/>
                <w:color w:val="auto"/>
                <w:sz w:val="24"/>
                <w:szCs w:val="24"/>
                <w:lang w:val="en-US" w:eastAsia="zh-CN"/>
              </w:rPr>
              <w:t>CODcr</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SS</w:t>
            </w:r>
            <w:r>
              <w:rPr>
                <w:rFonts w:hint="eastAsia" w:ascii="宋体" w:hAnsi="宋体" w:cs="宋体"/>
                <w:color w:val="auto"/>
                <w:sz w:val="24"/>
                <w:szCs w:val="24"/>
                <w:lang w:val="en-US" w:eastAsia="zh-CN"/>
              </w:rPr>
              <w:t>排放浓度来源于原项目</w:t>
            </w:r>
            <w:r>
              <w:rPr>
                <w:rFonts w:hint="default" w:ascii="宋体" w:hAnsi="宋体" w:cs="宋体"/>
                <w:color w:val="auto"/>
                <w:sz w:val="24"/>
                <w:szCs w:val="24"/>
                <w:lang w:val="en-US" w:eastAsia="zh-CN"/>
              </w:rPr>
              <w:t>7</w:t>
            </w:r>
            <w:r>
              <w:rPr>
                <w:rFonts w:hint="eastAsia" w:ascii="宋体" w:hAnsi="宋体" w:cs="宋体"/>
                <w:color w:val="auto"/>
                <w:sz w:val="24"/>
                <w:szCs w:val="24"/>
                <w:lang w:val="en-US" w:eastAsia="zh-CN"/>
              </w:rPr>
              <w:t>月第二周自行监测报告</w:t>
            </w:r>
            <w:r>
              <w:rPr>
                <w:rFonts w:hint="eastAsia" w:ascii="宋体" w:hAnsi="宋体" w:cs="宋体"/>
                <w:color w:val="auto"/>
                <w:sz w:val="24"/>
                <w:szCs w:val="24"/>
                <w:lang w:eastAsia="zh-CN"/>
              </w:rPr>
              <w:t>）</w:t>
            </w:r>
            <w:r>
              <w:rPr>
                <w:rFonts w:hint="eastAsia" w:ascii="宋体" w:hAnsi="宋体" w:cs="宋体"/>
                <w:color w:val="auto"/>
                <w:sz w:val="24"/>
                <w:szCs w:val="24"/>
              </w:rPr>
              <w:t>一览表见表4-2。</w:t>
            </w:r>
          </w:p>
          <w:p>
            <w:pPr>
              <w:keepNext w:val="0"/>
              <w:keepLines w:val="0"/>
              <w:suppressLineNumbers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 xml:space="preserve">表4-2  废水中污染物产生及排放情况一览表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275"/>
              <w:gridCol w:w="1476"/>
              <w:gridCol w:w="928"/>
              <w:gridCol w:w="1377"/>
              <w:gridCol w:w="1476"/>
              <w:gridCol w:w="803"/>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0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w:t>
                  </w:r>
                </w:p>
              </w:tc>
              <w:tc>
                <w:tcPr>
                  <w:tcW w:w="1275"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产生浓度</w:t>
                  </w:r>
                </w:p>
              </w:tc>
              <w:tc>
                <w:tcPr>
                  <w:tcW w:w="1476"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产生量（t/a）</w:t>
                  </w:r>
                </w:p>
              </w:tc>
              <w:tc>
                <w:tcPr>
                  <w:tcW w:w="928"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削减量(t/a)</w:t>
                  </w:r>
                </w:p>
              </w:tc>
              <w:tc>
                <w:tcPr>
                  <w:tcW w:w="1377"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排放浓度</w:t>
                  </w:r>
                </w:p>
              </w:tc>
              <w:tc>
                <w:tcPr>
                  <w:tcW w:w="1476"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rPr>
                    <w:t>排放总量</w:t>
                  </w:r>
                  <w:r>
                    <w:rPr>
                      <w:rFonts w:hint="eastAsia" w:ascii="宋体" w:hAnsi="宋体" w:cs="宋体"/>
                      <w:color w:val="auto"/>
                      <w:lang w:eastAsia="zh-CN"/>
                    </w:rPr>
                    <w:t>（</w:t>
                  </w:r>
                  <w:r>
                    <w:rPr>
                      <w:rFonts w:hint="default" w:ascii="宋体" w:hAnsi="宋体" w:cs="宋体"/>
                      <w:color w:val="auto"/>
                      <w:lang w:val="en-US" w:eastAsia="zh-CN"/>
                    </w:rPr>
                    <w:t>t/a</w:t>
                  </w:r>
                  <w:r>
                    <w:rPr>
                      <w:rFonts w:hint="eastAsia" w:ascii="宋体" w:hAnsi="宋体" w:cs="宋体"/>
                      <w:color w:val="auto"/>
                      <w:lang w:eastAsia="zh-CN"/>
                    </w:rPr>
                    <w:t>）</w:t>
                  </w:r>
                </w:p>
              </w:tc>
              <w:tc>
                <w:tcPr>
                  <w:tcW w:w="803"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限值</w:t>
                  </w:r>
                </w:p>
              </w:tc>
              <w:tc>
                <w:tcPr>
                  <w:tcW w:w="94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废水量</w:t>
                  </w:r>
                </w:p>
              </w:tc>
              <w:tc>
                <w:tcPr>
                  <w:tcW w:w="1275"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c>
                <w:tcPr>
                  <w:tcW w:w="1476"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39449.565</w:t>
                  </w:r>
                </w:p>
              </w:tc>
              <w:tc>
                <w:tcPr>
                  <w:tcW w:w="928"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w:t>
                  </w:r>
                </w:p>
              </w:tc>
              <w:tc>
                <w:tcPr>
                  <w:tcW w:w="1377"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c>
                <w:tcPr>
                  <w:tcW w:w="1476"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39449.565</w:t>
                  </w:r>
                </w:p>
              </w:tc>
              <w:tc>
                <w:tcPr>
                  <w:tcW w:w="803"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c>
                <w:tcPr>
                  <w:tcW w:w="94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COD</w:t>
                  </w:r>
                  <w:r>
                    <w:rPr>
                      <w:rFonts w:hint="eastAsia" w:ascii="宋体" w:hAnsi="宋体" w:cs="宋体"/>
                      <w:color w:val="auto"/>
                      <w:vertAlign w:val="subscript"/>
                    </w:rPr>
                    <w:t>cr</w:t>
                  </w:r>
                </w:p>
              </w:tc>
              <w:tc>
                <w:tcPr>
                  <w:tcW w:w="1275"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450mg/L</w:t>
                  </w:r>
                </w:p>
              </w:tc>
              <w:tc>
                <w:tcPr>
                  <w:tcW w:w="1476" w:type="dxa"/>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17.752</w:t>
                  </w:r>
                </w:p>
              </w:tc>
              <w:tc>
                <w:tcPr>
                  <w:tcW w:w="928"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11.401</w:t>
                  </w:r>
                </w:p>
              </w:tc>
              <w:tc>
                <w:tcPr>
                  <w:tcW w:w="1377"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161</w:t>
                  </w:r>
                  <w:r>
                    <w:rPr>
                      <w:rFonts w:hint="eastAsia" w:ascii="宋体" w:hAnsi="宋体" w:cs="宋体"/>
                      <w:color w:val="auto"/>
                    </w:rPr>
                    <w:t>mg/L</w:t>
                  </w:r>
                </w:p>
              </w:tc>
              <w:tc>
                <w:tcPr>
                  <w:tcW w:w="1476" w:type="dxa"/>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6.351</w:t>
                  </w:r>
                </w:p>
              </w:tc>
              <w:tc>
                <w:tcPr>
                  <w:tcW w:w="803"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≤250</w:t>
                  </w:r>
                </w:p>
              </w:tc>
              <w:tc>
                <w:tcPr>
                  <w:tcW w:w="94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BOD</w:t>
                  </w:r>
                  <w:r>
                    <w:rPr>
                      <w:rFonts w:hint="eastAsia" w:ascii="宋体" w:hAnsi="宋体" w:cs="宋体"/>
                      <w:color w:val="auto"/>
                      <w:vertAlign w:val="subscript"/>
                    </w:rPr>
                    <w:t>5</w:t>
                  </w:r>
                </w:p>
              </w:tc>
              <w:tc>
                <w:tcPr>
                  <w:tcW w:w="1275"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200mg/L</w:t>
                  </w:r>
                </w:p>
              </w:tc>
              <w:tc>
                <w:tcPr>
                  <w:tcW w:w="1476" w:type="dxa"/>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7.890</w:t>
                  </w:r>
                </w:p>
              </w:tc>
              <w:tc>
                <w:tcPr>
                  <w:tcW w:w="928"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6.695</w:t>
                  </w:r>
                </w:p>
              </w:tc>
              <w:tc>
                <w:tcPr>
                  <w:tcW w:w="1377"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default" w:ascii="宋体" w:hAnsi="宋体" w:cs="宋体"/>
                      <w:color w:val="auto"/>
                      <w:lang w:val="en-US"/>
                    </w:rPr>
                    <w:t>30.3</w:t>
                  </w:r>
                  <w:r>
                    <w:rPr>
                      <w:rFonts w:hint="eastAsia" w:ascii="宋体" w:hAnsi="宋体" w:cs="宋体"/>
                      <w:color w:val="auto"/>
                    </w:rPr>
                    <w:t>mg/L</w:t>
                  </w:r>
                </w:p>
              </w:tc>
              <w:tc>
                <w:tcPr>
                  <w:tcW w:w="1476" w:type="dxa"/>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1.195</w:t>
                  </w:r>
                </w:p>
              </w:tc>
              <w:tc>
                <w:tcPr>
                  <w:tcW w:w="803"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≤100</w:t>
                  </w:r>
                </w:p>
              </w:tc>
              <w:tc>
                <w:tcPr>
                  <w:tcW w:w="94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SS</w:t>
                  </w:r>
                </w:p>
              </w:tc>
              <w:tc>
                <w:tcPr>
                  <w:tcW w:w="1275"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400mg/L</w:t>
                  </w:r>
                </w:p>
              </w:tc>
              <w:tc>
                <w:tcPr>
                  <w:tcW w:w="1476" w:type="dxa"/>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15.780</w:t>
                  </w:r>
                </w:p>
              </w:tc>
              <w:tc>
                <w:tcPr>
                  <w:tcW w:w="928"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15.307</w:t>
                  </w:r>
                </w:p>
              </w:tc>
              <w:tc>
                <w:tcPr>
                  <w:tcW w:w="1377"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r>
                    <w:rPr>
                      <w:rFonts w:hint="default" w:ascii="宋体" w:hAnsi="宋体" w:cs="宋体"/>
                      <w:color w:val="auto"/>
                      <w:lang w:val="en-US"/>
                    </w:rPr>
                    <w:t>2</w:t>
                  </w:r>
                  <w:r>
                    <w:rPr>
                      <w:rFonts w:hint="eastAsia" w:ascii="宋体" w:hAnsi="宋体" w:cs="宋体"/>
                      <w:color w:val="auto"/>
                    </w:rPr>
                    <w:t>mg/L</w:t>
                  </w:r>
                </w:p>
              </w:tc>
              <w:tc>
                <w:tcPr>
                  <w:tcW w:w="1476" w:type="dxa"/>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lang w:val="en-US"/>
                    </w:rPr>
                  </w:pPr>
                  <w:r>
                    <w:rPr>
                      <w:rFonts w:hint="default" w:ascii="宋体" w:hAnsi="宋体" w:cs="宋体"/>
                      <w:color w:val="auto"/>
                      <w:lang w:val="en-US"/>
                    </w:rPr>
                    <w:t>0.473</w:t>
                  </w:r>
                </w:p>
              </w:tc>
              <w:tc>
                <w:tcPr>
                  <w:tcW w:w="803"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w:t>
                  </w:r>
                </w:p>
              </w:tc>
              <w:tc>
                <w:tcPr>
                  <w:tcW w:w="94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项目废水经污水处理站处理后，排放的废水污染物浓度可满足《医疗机构水污染物排放标准》（GB</w:t>
            </w:r>
            <w:r>
              <w:rPr>
                <w:rFonts w:hint="eastAsia" w:ascii="宋体" w:hAnsi="宋体" w:cs="宋体"/>
                <w:color w:val="auto"/>
                <w:sz w:val="24"/>
                <w:szCs w:val="24"/>
                <w:lang w:eastAsia="zh-CN"/>
              </w:rPr>
              <w:t>*****</w:t>
            </w:r>
            <w:r>
              <w:rPr>
                <w:rFonts w:hint="eastAsia" w:ascii="宋体" w:hAnsi="宋体" w:cs="宋体"/>
                <w:color w:val="auto"/>
                <w:sz w:val="24"/>
                <w:szCs w:val="24"/>
              </w:rPr>
              <w:t>-2005）表2预处理标准，废水可实现达标排放。</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6</w:t>
            </w:r>
            <w:r>
              <w:rPr>
                <w:rFonts w:hint="eastAsia" w:ascii="宋体" w:hAnsi="宋体" w:cs="宋体"/>
                <w:color w:val="auto"/>
                <w:sz w:val="24"/>
                <w:szCs w:val="24"/>
              </w:rPr>
              <w:t>项目废水排放方式、去向、规律情况。</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表4-3 项目废水排放方式、去向、规律基本情况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818"/>
              <w:gridCol w:w="1596"/>
              <w:gridCol w:w="1010"/>
              <w:gridCol w:w="832"/>
              <w:gridCol w:w="1103"/>
              <w:gridCol w:w="804"/>
              <w:gridCol w:w="94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8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818"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废水类别</w:t>
                  </w:r>
                </w:p>
              </w:tc>
              <w:tc>
                <w:tcPr>
                  <w:tcW w:w="159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污染物种类</w:t>
                  </w:r>
                </w:p>
              </w:tc>
              <w:tc>
                <w:tcPr>
                  <w:tcW w:w="101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排放去向</w:t>
                  </w:r>
                </w:p>
              </w:tc>
              <w:tc>
                <w:tcPr>
                  <w:tcW w:w="832"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排放规律</w:t>
                  </w:r>
                </w:p>
              </w:tc>
              <w:tc>
                <w:tcPr>
                  <w:tcW w:w="1103"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污染治理设施</w:t>
                  </w:r>
                </w:p>
              </w:tc>
              <w:tc>
                <w:tcPr>
                  <w:tcW w:w="804"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排放口编号</w:t>
                  </w:r>
                </w:p>
              </w:tc>
              <w:tc>
                <w:tcPr>
                  <w:tcW w:w="945"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排放口是否符合要求</w:t>
                  </w:r>
                </w:p>
              </w:tc>
              <w:tc>
                <w:tcPr>
                  <w:tcW w:w="84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8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818"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综合废水</w:t>
                  </w:r>
                </w:p>
              </w:tc>
              <w:tc>
                <w:tcPr>
                  <w:tcW w:w="159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pH、CODcr 、</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BOD</w:t>
                  </w:r>
                  <w:r>
                    <w:rPr>
                      <w:rFonts w:hint="eastAsia" w:ascii="宋体" w:hAnsi="宋体" w:cs="宋体"/>
                      <w:color w:val="auto"/>
                      <w:vertAlign w:val="subscript"/>
                    </w:rPr>
                    <w:t>5</w:t>
                  </w:r>
                  <w:r>
                    <w:rPr>
                      <w:rFonts w:hint="eastAsia" w:ascii="宋体" w:hAnsi="宋体" w:cs="宋体"/>
                      <w:color w:val="auto"/>
                    </w:rPr>
                    <w:t>、SS、氨氮、</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粪大肠菌群数、阴离子表面活性剂、总余氯</w:t>
                  </w:r>
                </w:p>
              </w:tc>
              <w:tc>
                <w:tcPr>
                  <w:tcW w:w="1010"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东川区污水处理厂</w:t>
                  </w:r>
                </w:p>
              </w:tc>
              <w:tc>
                <w:tcPr>
                  <w:tcW w:w="832"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间歇排放</w:t>
                  </w:r>
                </w:p>
              </w:tc>
              <w:tc>
                <w:tcPr>
                  <w:tcW w:w="1103"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化粪池+调节池+SBR+消毒工艺</w:t>
                  </w:r>
                </w:p>
              </w:tc>
              <w:tc>
                <w:tcPr>
                  <w:tcW w:w="804"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DW001</w:t>
                  </w:r>
                </w:p>
              </w:tc>
              <w:tc>
                <w:tcPr>
                  <w:tcW w:w="945"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sym w:font="Wingdings 2" w:char="0052"/>
                  </w:r>
                  <w:r>
                    <w:rPr>
                      <w:rFonts w:hint="eastAsia" w:ascii="宋体" w:hAnsi="宋体" w:cs="宋体"/>
                      <w:color w:val="auto"/>
                    </w:rPr>
                    <w:t>是</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sym w:font="Wingdings 2" w:char="00A3"/>
                  </w:r>
                  <w:r>
                    <w:rPr>
                      <w:rFonts w:hint="eastAsia" w:ascii="宋体" w:hAnsi="宋体" w:cs="宋体"/>
                      <w:color w:val="auto"/>
                    </w:rPr>
                    <w:t>否</w:t>
                  </w:r>
                </w:p>
              </w:tc>
              <w:tc>
                <w:tcPr>
                  <w:tcW w:w="846"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 xml:space="preserve"> 废水总排口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734" w:type="dxa"/>
                  <w:gridSpan w:val="9"/>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备注：综合废水包括门诊污水、住院病房污水、厨房废水、检验科清洗废水。</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7</w:t>
            </w:r>
            <w:r>
              <w:rPr>
                <w:rFonts w:hint="eastAsia" w:ascii="宋体" w:hAnsi="宋体" w:cs="宋体"/>
                <w:color w:val="auto"/>
                <w:sz w:val="24"/>
                <w:szCs w:val="24"/>
              </w:rPr>
              <w:t>废水排放执行标准情况</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表4-</w:t>
            </w:r>
            <w:r>
              <w:rPr>
                <w:rFonts w:hint="default" w:ascii="宋体" w:hAnsi="宋体" w:cs="宋体"/>
                <w:b/>
                <w:bCs/>
                <w:color w:val="auto"/>
                <w:sz w:val="24"/>
                <w:szCs w:val="24"/>
              </w:rPr>
              <w:t xml:space="preserve">4 </w:t>
            </w:r>
            <w:r>
              <w:rPr>
                <w:rFonts w:hint="eastAsia" w:ascii="宋体" w:hAnsi="宋体" w:cs="宋体"/>
                <w:b/>
                <w:bCs/>
                <w:color w:val="auto"/>
                <w:sz w:val="24"/>
                <w:szCs w:val="24"/>
              </w:rPr>
              <w:t>项目废水排放执行标准情况表</w:t>
            </w:r>
          </w:p>
          <w:tbl>
            <w:tblPr>
              <w:tblStyle w:val="2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99"/>
              <w:gridCol w:w="1973"/>
              <w:gridCol w:w="407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序号</w:t>
                  </w:r>
                </w:p>
              </w:tc>
              <w:tc>
                <w:tcPr>
                  <w:tcW w:w="70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排放口编号</w:t>
                  </w: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污染物种类</w:t>
                  </w:r>
                </w:p>
              </w:tc>
              <w:tc>
                <w:tcPr>
                  <w:tcW w:w="2059"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执行标准</w:t>
                  </w: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restar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w:t>
                  </w:r>
                </w:p>
              </w:tc>
              <w:tc>
                <w:tcPr>
                  <w:tcW w:w="707" w:type="pct"/>
                  <w:vMerge w:val="restar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DW001</w:t>
                  </w: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PH</w:t>
                  </w:r>
                </w:p>
              </w:tc>
              <w:tc>
                <w:tcPr>
                  <w:tcW w:w="2059" w:type="pct"/>
                  <w:vMerge w:val="restar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《医疗机构水污染物排放标准》（GB</w:t>
                  </w:r>
                  <w:r>
                    <w:rPr>
                      <w:rFonts w:hint="eastAsia" w:ascii="宋体" w:hAnsi="宋体" w:cs="宋体"/>
                      <w:color w:val="auto"/>
                      <w:lang w:eastAsia="zh-CN"/>
                    </w:rPr>
                    <w:t>*****</w:t>
                  </w:r>
                  <w:r>
                    <w:rPr>
                      <w:rFonts w:hint="eastAsia" w:ascii="宋体" w:hAnsi="宋体" w:cs="宋体"/>
                      <w:color w:val="auto"/>
                    </w:rPr>
                    <w:t>-2005）表2预处理标准</w:t>
                  </w: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CODcr</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BOD</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SS</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60mg/L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粪大肠菌群数</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5000MPN/L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阴离子表面活性剂</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总余氯</w:t>
                  </w:r>
                </w:p>
              </w:tc>
              <w:tc>
                <w:tcPr>
                  <w:tcW w:w="2059"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2-8mg/L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707"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p>
              </w:tc>
              <w:tc>
                <w:tcPr>
                  <w:tcW w:w="997"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氨氮</w:t>
                  </w:r>
                </w:p>
              </w:tc>
              <w:tc>
                <w:tcPr>
                  <w:tcW w:w="2059"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《污水排入城镇下水道水质标准》（GB/T</w:t>
                  </w:r>
                  <w:r>
                    <w:rPr>
                      <w:rFonts w:hint="eastAsia" w:ascii="宋体" w:hAnsi="宋体" w:cs="宋体"/>
                      <w:color w:val="auto"/>
                      <w:lang w:eastAsia="zh-CN"/>
                    </w:rPr>
                    <w:t>*****</w:t>
                  </w:r>
                  <w:r>
                    <w:rPr>
                      <w:rFonts w:hint="eastAsia" w:ascii="宋体" w:hAnsi="宋体" w:cs="宋体"/>
                      <w:color w:val="auto"/>
                    </w:rPr>
                    <w:t>-2015）中A等级标准</w:t>
                  </w:r>
                </w:p>
              </w:tc>
              <w:tc>
                <w:tcPr>
                  <w:tcW w:w="885" w:type="pct"/>
                  <w:noWrap w:val="0"/>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45mg/L</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1.</w:t>
            </w:r>
            <w:r>
              <w:rPr>
                <w:rFonts w:hint="default" w:ascii="宋体" w:hAnsi="宋体" w:cs="宋体"/>
                <w:color w:val="auto"/>
                <w:sz w:val="24"/>
                <w:szCs w:val="24"/>
              </w:rPr>
              <w:t>8</w:t>
            </w:r>
            <w:r>
              <w:rPr>
                <w:rFonts w:hint="eastAsia" w:ascii="宋体" w:hAnsi="宋体" w:cs="宋体"/>
                <w:color w:val="auto"/>
                <w:sz w:val="24"/>
                <w:szCs w:val="24"/>
              </w:rPr>
              <w:t>水环境监测计划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为便于建设项目的环境管理，建设单位在取得排污许可手续后，按排污许可证管理要求开展自行监测。项目水环境监测计划列于表4-</w:t>
            </w:r>
            <w:r>
              <w:rPr>
                <w:rFonts w:hint="default" w:ascii="宋体" w:hAnsi="宋体" w:cs="宋体"/>
                <w:color w:val="auto"/>
                <w:sz w:val="24"/>
                <w:szCs w:val="24"/>
              </w:rPr>
              <w:t>5</w:t>
            </w:r>
            <w:r>
              <w:rPr>
                <w:rFonts w:hint="eastAsia" w:ascii="宋体" w:hAnsi="宋体" w:cs="宋体"/>
                <w:color w:val="auto"/>
                <w:sz w:val="24"/>
                <w:szCs w:val="24"/>
              </w:rPr>
              <w:t>。</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bCs/>
                <w:color w:val="auto"/>
                <w:sz w:val="24"/>
                <w:szCs w:val="24"/>
              </w:rPr>
            </w:pPr>
            <w:r>
              <w:rPr>
                <w:rFonts w:hint="eastAsia" w:ascii="宋体" w:hAnsi="宋体" w:cs="宋体"/>
                <w:b/>
                <w:bCs/>
                <w:color w:val="auto"/>
                <w:sz w:val="24"/>
                <w:szCs w:val="24"/>
              </w:rPr>
              <w:t>表 4-</w:t>
            </w:r>
            <w:r>
              <w:rPr>
                <w:rFonts w:hint="default" w:ascii="宋体" w:hAnsi="宋体" w:cs="宋体"/>
                <w:b/>
                <w:bCs/>
                <w:color w:val="auto"/>
                <w:sz w:val="24"/>
                <w:szCs w:val="24"/>
              </w:rPr>
              <w:t>5</w:t>
            </w:r>
            <w:r>
              <w:rPr>
                <w:rFonts w:hint="eastAsia" w:ascii="宋体" w:hAnsi="宋体" w:cs="宋体"/>
                <w:b/>
                <w:bCs/>
                <w:color w:val="auto"/>
                <w:sz w:val="24"/>
                <w:szCs w:val="24"/>
              </w:rPr>
              <w:t xml:space="preserve"> 水环境监测计划一览表</w:t>
            </w: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062"/>
              <w:gridCol w:w="849"/>
              <w:gridCol w:w="561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监测时段</w:t>
                  </w:r>
                </w:p>
              </w:tc>
              <w:tc>
                <w:tcPr>
                  <w:tcW w:w="537"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监测项目</w:t>
                  </w:r>
                </w:p>
              </w:tc>
              <w:tc>
                <w:tcPr>
                  <w:tcW w:w="42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采样点</w:t>
                  </w: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监测项目</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运营期</w:t>
                  </w:r>
                </w:p>
              </w:tc>
              <w:tc>
                <w:tcPr>
                  <w:tcW w:w="537"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废水</w:t>
                  </w:r>
                </w:p>
              </w:tc>
              <w:tc>
                <w:tcPr>
                  <w:tcW w:w="429" w:type="pct"/>
                  <w:vMerge w:val="restart"/>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污水排放口DW001</w:t>
                  </w: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流量</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val="en-US" w:eastAsia="zh-CN"/>
                    </w:rPr>
                  </w:pPr>
                  <w:r>
                    <w:rPr>
                      <w:rFonts w:hint="default" w:ascii="宋体" w:hAnsi="宋体" w:cs="宋体"/>
                      <w:color w:val="auto"/>
                      <w:lang w:val="en-US"/>
                    </w:rPr>
                    <w:t>pH</w:t>
                  </w:r>
                  <w:r>
                    <w:rPr>
                      <w:rFonts w:hint="eastAsia" w:ascii="宋体" w:hAnsi="宋体" w:cs="宋体"/>
                      <w:color w:val="auto"/>
                      <w:lang w:val="en-US" w:eastAsia="zh-CN"/>
                    </w:rPr>
                    <w:t>值</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val="en-US" w:eastAsia="zh-CN"/>
                    </w:rPr>
                  </w:pPr>
                  <w:r>
                    <w:rPr>
                      <w:rFonts w:hint="default" w:ascii="宋体" w:hAnsi="宋体" w:cs="宋体"/>
                      <w:color w:val="auto"/>
                      <w:lang w:val="en-US"/>
                    </w:rPr>
                    <w:t>12</w:t>
                  </w:r>
                  <w:r>
                    <w:rPr>
                      <w:rFonts w:hint="eastAsia" w:ascii="宋体" w:hAnsi="宋体" w:cs="宋体"/>
                      <w:color w:val="auto"/>
                      <w:lang w:val="en-US" w:eastAsia="zh-CN"/>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化学需氧量、悬浮物</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粪大肠菌群</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537"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429" w:type="pct"/>
                  <w:vMerge w:val="continue"/>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rPr>
                  </w:pPr>
                </w:p>
              </w:tc>
              <w:tc>
                <w:tcPr>
                  <w:tcW w:w="2839" w:type="pct"/>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auto"/>
                    </w:rPr>
                  </w:pPr>
                  <w:r>
                    <w:rPr>
                      <w:rFonts w:hint="eastAsia" w:ascii="宋体" w:hAnsi="宋体" w:eastAsia="宋体" w:cs="宋体"/>
                      <w:color w:val="auto"/>
                      <w:kern w:val="0"/>
                      <w:sz w:val="21"/>
                      <w:szCs w:val="21"/>
                      <w:lang w:val="en-US" w:eastAsia="zh-CN" w:bidi="ar"/>
                    </w:rPr>
                    <w:t>五日生化需氧量、石油类、挥发酚、动植物油、阴离子表面活性剂、总氰化物、</w:t>
                  </w:r>
                  <w:r>
                    <w:rPr>
                      <w:rFonts w:hint="eastAsia" w:ascii="宋体" w:hAnsi="宋体" w:eastAsia="宋体" w:cs="宋体"/>
                      <w:color w:val="auto"/>
                      <w:kern w:val="0"/>
                      <w:sz w:val="21"/>
                      <w:szCs w:val="21"/>
                      <w:lang w:val="en-US" w:eastAsia="zh-CN" w:bidi="ar"/>
                    </w:rPr>
                    <w:t>氨氮、总磷</w:t>
                  </w:r>
                  <w:r>
                    <w:rPr>
                      <w:rFonts w:hint="eastAsia" w:ascii="宋体" w:hAnsi="宋体" w:eastAsia="宋体" w:cs="宋体"/>
                      <w:color w:val="auto"/>
                      <w:kern w:val="0"/>
                      <w:sz w:val="21"/>
                      <w:szCs w:val="21"/>
                      <w:lang w:val="en-US" w:eastAsia="zh-CN" w:bidi="ar"/>
                    </w:rPr>
                    <w:t xml:space="preserve"> </w:t>
                  </w:r>
                </w:p>
              </w:tc>
              <w:tc>
                <w:tcPr>
                  <w:tcW w:w="596"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lang w:eastAsia="zh-CN"/>
                    </w:rPr>
                  </w:pPr>
                  <w:r>
                    <w:rPr>
                      <w:rFonts w:hint="eastAsia" w:ascii="宋体" w:hAnsi="宋体" w:cs="宋体"/>
                      <w:color w:val="auto"/>
                      <w:lang w:eastAsia="zh-CN"/>
                    </w:rPr>
                    <w:t>季度</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eastAsia" w:ascii="宋体" w:hAnsi="宋体" w:cs="宋体"/>
                <w:b/>
                <w:color w:val="auto"/>
                <w:sz w:val="24"/>
                <w:szCs w:val="24"/>
              </w:rPr>
              <w:t>2、废气</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rPr>
              <w:t>（</w:t>
            </w:r>
            <w:r>
              <w:rPr>
                <w:rFonts w:hint="eastAsia" w:ascii="宋体" w:hAnsi="宋体" w:cs="宋体"/>
                <w:color w:val="auto"/>
                <w:sz w:val="24"/>
                <w:lang w:val="en-US"/>
              </w:rPr>
              <w:t>1</w:t>
            </w:r>
            <w:r>
              <w:rPr>
                <w:rFonts w:hint="eastAsia" w:ascii="宋体" w:hAnsi="宋体" w:cs="宋体"/>
                <w:color w:val="auto"/>
                <w:sz w:val="24"/>
              </w:rPr>
              <w:t>）</w:t>
            </w:r>
            <w:r>
              <w:rPr>
                <w:rFonts w:hint="eastAsia" w:ascii="宋体" w:hAnsi="宋体" w:cs="宋体"/>
                <w:color w:val="auto"/>
                <w:sz w:val="24"/>
                <w:lang w:val="en-US"/>
              </w:rPr>
              <w:t>异味</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rPr>
            </w:pPr>
            <w:r>
              <w:rPr>
                <w:rFonts w:hint="eastAsia" w:ascii="宋体" w:hAnsi="宋体" w:cs="宋体"/>
                <w:color w:val="auto"/>
                <w:sz w:val="24"/>
              </w:rPr>
              <w:t>运营期</w:t>
            </w:r>
            <w:r>
              <w:rPr>
                <w:rFonts w:hint="eastAsia" w:ascii="宋体" w:hAnsi="宋体" w:cs="宋体"/>
                <w:color w:val="auto"/>
                <w:sz w:val="24"/>
                <w:lang w:val="en-US"/>
              </w:rPr>
              <w:t>异味来源为生活垃圾收集桶、化粪池、</w:t>
            </w:r>
            <w:r>
              <w:rPr>
                <w:rFonts w:hint="eastAsia" w:ascii="宋体" w:hAnsi="宋体" w:cs="宋体"/>
                <w:color w:val="auto"/>
                <w:sz w:val="24"/>
              </w:rPr>
              <w:t>污水处理站，</w:t>
            </w:r>
            <w:r>
              <w:rPr>
                <w:rFonts w:hint="eastAsia" w:ascii="宋体" w:hAnsi="宋体" w:cs="宋体"/>
                <w:color w:val="auto"/>
                <w:sz w:val="24"/>
                <w:lang w:val="en-US"/>
              </w:rPr>
              <w:t>另外厨房、备用发电机在运行时会有废气</w:t>
            </w:r>
            <w:r>
              <w:rPr>
                <w:rFonts w:hint="eastAsia" w:ascii="宋体" w:hAnsi="宋体" w:cs="宋体"/>
                <w:color w:val="auto"/>
                <w:sz w:val="24"/>
              </w:rPr>
              <w:t>产生。</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rPr>
              <w:t>项目使用带盖垃圾桶，生活垃圾及时收集清运，</w:t>
            </w:r>
            <w:r>
              <w:rPr>
                <w:rFonts w:hint="eastAsia" w:ascii="宋体" w:hAnsi="宋体" w:cs="宋体"/>
                <w:color w:val="auto"/>
                <w:sz w:val="24"/>
                <w:lang w:val="en-US"/>
              </w:rPr>
              <w:t>日产日清</w:t>
            </w:r>
            <w:r>
              <w:rPr>
                <w:rFonts w:hint="eastAsia" w:ascii="宋体" w:hAnsi="宋体" w:cs="宋体"/>
                <w:color w:val="auto"/>
                <w:sz w:val="24"/>
              </w:rPr>
              <w:t>；</w:t>
            </w:r>
            <w:r>
              <w:rPr>
                <w:rFonts w:hint="eastAsia" w:ascii="宋体" w:hAnsi="宋体" w:cs="宋体"/>
                <w:color w:val="auto"/>
                <w:sz w:val="24"/>
                <w:lang w:val="en-US"/>
              </w:rPr>
              <w:t>化粪池、调节池</w:t>
            </w:r>
            <w:r>
              <w:rPr>
                <w:rFonts w:hint="eastAsia" w:ascii="宋体" w:hAnsi="宋体" w:cs="宋体"/>
                <w:color w:val="auto"/>
                <w:sz w:val="24"/>
                <w:lang w:val="en-US" w:eastAsia="zh-CN"/>
              </w:rPr>
              <w:t>、</w:t>
            </w:r>
            <w:r>
              <w:rPr>
                <w:rFonts w:hint="eastAsia" w:ascii="宋体" w:hAnsi="宋体" w:cs="宋体"/>
                <w:color w:val="auto"/>
                <w:sz w:val="24"/>
              </w:rPr>
              <w:t>污水处理站</w:t>
            </w:r>
            <w:r>
              <w:rPr>
                <w:rFonts w:hint="eastAsia" w:ascii="宋体" w:hAnsi="宋体" w:cs="宋体"/>
                <w:color w:val="auto"/>
                <w:sz w:val="24"/>
                <w:lang w:val="en-US"/>
              </w:rPr>
              <w:t>反应池建设为地埋式</w:t>
            </w:r>
            <w:r>
              <w:rPr>
                <w:rFonts w:hint="eastAsia" w:ascii="宋体" w:hAnsi="宋体" w:cs="宋体"/>
                <w:color w:val="auto"/>
                <w:sz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eastAsia" w:ascii="宋体" w:hAnsi="宋体" w:cs="宋体"/>
                <w:color w:val="auto"/>
                <w:sz w:val="24"/>
                <w:lang w:val="en-US"/>
              </w:rPr>
              <w:t>项目化粪池</w:t>
            </w:r>
            <w:r>
              <w:rPr>
                <w:rFonts w:hint="eastAsia" w:ascii="宋体" w:hAnsi="宋体" w:cs="宋体"/>
                <w:color w:val="auto"/>
                <w:sz w:val="24"/>
                <w:lang w:val="en-US" w:eastAsia="zh-CN"/>
              </w:rPr>
              <w:t>、</w:t>
            </w:r>
            <w:r>
              <w:rPr>
                <w:rFonts w:hint="eastAsia" w:ascii="宋体" w:hAnsi="宋体" w:cs="宋体"/>
                <w:color w:val="auto"/>
                <w:sz w:val="24"/>
              </w:rPr>
              <w:t>污水处理站</w:t>
            </w:r>
            <w:r>
              <w:rPr>
                <w:rFonts w:hint="eastAsia" w:ascii="宋体" w:hAnsi="宋体" w:cs="宋体"/>
                <w:color w:val="auto"/>
                <w:sz w:val="24"/>
                <w:lang w:val="en-US"/>
              </w:rPr>
              <w:t>反应池及调节池建设为地埋式，但预留有吸粪口和检修口，吸粪口、检修口平时处于关闭状态，</w:t>
            </w:r>
            <w:r>
              <w:rPr>
                <w:rFonts w:hint="eastAsia" w:ascii="Calibri" w:hAnsi="Calibri" w:cs="Times New Roman"/>
                <w:color w:val="auto"/>
                <w:sz w:val="24"/>
                <w:szCs w:val="24"/>
                <w:lang w:val="en-US" w:eastAsia="zh-CN"/>
              </w:rPr>
              <w:t>污水处理站</w:t>
            </w:r>
            <w:r>
              <w:rPr>
                <w:rFonts w:hint="default" w:ascii="Times New Roman" w:hAnsi="Times New Roman" w:eastAsia="宋体" w:cs="Times New Roman"/>
                <w:color w:val="auto"/>
                <w:sz w:val="24"/>
                <w:szCs w:val="24"/>
              </w:rPr>
              <w:t>采用“</w:t>
            </w:r>
            <w:r>
              <w:rPr>
                <w:rFonts w:hint="default" w:ascii="Times New Roman" w:hAnsi="Times New Roman" w:cs="Times New Roman"/>
                <w:color w:val="auto"/>
                <w:sz w:val="24"/>
              </w:rPr>
              <w:t>化粪池+调节池+</w:t>
            </w:r>
            <w:r>
              <w:rPr>
                <w:rFonts w:hint="default" w:ascii="Times New Roman" w:hAnsi="Times New Roman" w:cs="Times New Roman"/>
                <w:color w:val="auto"/>
                <w:sz w:val="24"/>
                <w:lang w:val="en-US"/>
              </w:rPr>
              <w:t>A</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+O</w:t>
            </w:r>
            <w:r>
              <w:rPr>
                <w:rFonts w:hint="eastAsia" w:ascii="Times New Roman" w:hAnsi="Times New Roman" w:cs="Times New Roman"/>
                <w:color w:val="auto"/>
                <w:sz w:val="24"/>
                <w:lang w:val="en-US" w:eastAsia="zh-CN"/>
              </w:rPr>
              <w:t>级生物池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二沉池</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清水池</w:t>
            </w:r>
            <w:r>
              <w:rPr>
                <w:rFonts w:hint="default" w:ascii="Times New Roman" w:hAnsi="Times New Roman" w:cs="Times New Roman"/>
                <w:color w:val="auto"/>
                <w:sz w:val="24"/>
              </w:rPr>
              <w:t>+消毒</w:t>
            </w:r>
            <w:r>
              <w:rPr>
                <w:rFonts w:hint="default" w:ascii="Times New Roman" w:hAnsi="Times New Roman" w:eastAsia="宋体" w:cs="Times New Roman"/>
                <w:color w:val="auto"/>
                <w:sz w:val="24"/>
                <w:szCs w:val="24"/>
              </w:rPr>
              <w:t>” 的污水处理工艺。该污水处理站在运行过程中将产生部分恶臭气味（来源于污水、污泥中有机物的分解、发酵过程中散发的化学物质等），主要成分为NH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、H</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S，其臭气强度随季节温度的变化有所变化。</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default" w:ascii="Times New Roman" w:hAnsi="Times New Roman" w:eastAsia="宋体" w:cs="Times New Roman"/>
                <w:color w:val="auto"/>
                <w:sz w:val="24"/>
                <w:szCs w:val="24"/>
                <w:highlight w:val="none"/>
              </w:rPr>
              <w:t>参照美国EPA对城市污水处理厂恶臭污染物产生情况的研究可知：每处理1g的BOD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，可产生约0.0031g的NH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和0.00012g的H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S。本项目建成运营后，废水中BOD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总去除量为</w:t>
            </w:r>
            <w:r>
              <w:rPr>
                <w:rFonts w:hint="default" w:ascii="Calibri" w:hAnsi="Calibri" w:cs="Times New Roman"/>
                <w:color w:val="auto"/>
                <w:sz w:val="24"/>
                <w:szCs w:val="24"/>
                <w:highlight w:val="none"/>
                <w:lang w:val="en-US" w:eastAsia="zh-CN"/>
              </w:rPr>
              <w:t>6.695</w:t>
            </w:r>
            <w:r>
              <w:rPr>
                <w:rFonts w:hint="default" w:ascii="Times New Roman" w:hAnsi="Times New Roman" w:eastAsia="宋体" w:cs="Times New Roman"/>
                <w:color w:val="auto"/>
                <w:sz w:val="24"/>
                <w:szCs w:val="24"/>
                <w:highlight w:val="none"/>
              </w:rPr>
              <w:t>t/a，可计算出NH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产生量约为</w:t>
            </w:r>
            <w:r>
              <w:rPr>
                <w:rFonts w:hint="default" w:ascii="Calibri" w:hAnsi="Calibri" w:cs="Times New Roman"/>
                <w:color w:val="auto"/>
                <w:sz w:val="24"/>
                <w:szCs w:val="24"/>
                <w:highlight w:val="none"/>
                <w:lang w:val="en-US" w:eastAsia="zh-CN"/>
              </w:rPr>
              <w:t>20.755</w:t>
            </w:r>
            <w:r>
              <w:rPr>
                <w:rFonts w:hint="default" w:ascii="Times New Roman" w:hAnsi="Times New Roman" w:eastAsia="宋体" w:cs="Times New Roman"/>
                <w:color w:val="auto"/>
                <w:sz w:val="24"/>
                <w:szCs w:val="24"/>
                <w:highlight w:val="none"/>
              </w:rPr>
              <w:t>kg/a</w:t>
            </w:r>
            <w:r>
              <w:rPr>
                <w:rFonts w:hint="default" w:ascii="Times New Roman" w:hAnsi="Times New Roman" w:eastAsia="宋体" w:cs="Times New Roman"/>
                <w:color w:val="auto"/>
                <w:sz w:val="24"/>
                <w:szCs w:val="24"/>
                <w:highlight w:val="none"/>
                <w:lang w:val="en-US"/>
              </w:rPr>
              <w:t>,56.863g/d</w:t>
            </w:r>
            <w:r>
              <w:rPr>
                <w:rFonts w:hint="default" w:ascii="Times New Roman" w:hAnsi="Times New Roman" w:eastAsia="宋体" w:cs="Times New Roman"/>
                <w:color w:val="auto"/>
                <w:sz w:val="24"/>
                <w:szCs w:val="24"/>
                <w:highlight w:val="none"/>
              </w:rPr>
              <w:t>，H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S产生量约为</w:t>
            </w:r>
            <w:r>
              <w:rPr>
                <w:rFonts w:hint="default" w:ascii="Calibri" w:hAnsi="Calibri" w:cs="Times New Roman"/>
                <w:color w:val="auto"/>
                <w:sz w:val="24"/>
                <w:szCs w:val="24"/>
                <w:highlight w:val="none"/>
                <w:lang w:val="en-US" w:eastAsia="zh-CN"/>
              </w:rPr>
              <w:t>0.803</w:t>
            </w:r>
            <w:r>
              <w:rPr>
                <w:rFonts w:hint="default" w:ascii="Times New Roman" w:hAnsi="Times New Roman" w:eastAsia="宋体" w:cs="Times New Roman"/>
                <w:color w:val="auto"/>
                <w:sz w:val="24"/>
                <w:szCs w:val="24"/>
                <w:highlight w:val="none"/>
              </w:rPr>
              <w:t>kg/a</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2.2g/d</w:t>
            </w:r>
            <w:r>
              <w:rPr>
                <w:rFonts w:hint="default" w:ascii="Times New Roman" w:hAnsi="Times New Roman" w:eastAsia="宋体" w:cs="Times New Roman"/>
                <w:color w:val="auto"/>
                <w:sz w:val="24"/>
                <w:szCs w:val="24"/>
                <w:highlight w:val="none"/>
              </w:rPr>
              <w:t>。</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lang w:val="en-US"/>
              </w:rPr>
              <w:t>池子产生的异味逃逸量</w:t>
            </w:r>
            <w:r>
              <w:rPr>
                <w:rFonts w:hint="eastAsia" w:ascii="宋体" w:hAnsi="宋体" w:cs="宋体"/>
                <w:color w:val="auto"/>
                <w:sz w:val="24"/>
                <w:lang w:val="en-US" w:eastAsia="zh-CN"/>
              </w:rPr>
              <w:t>约为</w:t>
            </w:r>
            <w:r>
              <w:rPr>
                <w:rFonts w:hint="default" w:ascii="宋体" w:hAnsi="宋体" w:cs="宋体"/>
                <w:color w:val="auto"/>
                <w:sz w:val="24"/>
                <w:lang w:val="en-US" w:eastAsia="zh-CN"/>
              </w:rPr>
              <w:t>10%</w:t>
            </w:r>
            <w:r>
              <w:rPr>
                <w:rFonts w:hint="eastAsia" w:ascii="宋体" w:hAnsi="宋体" w:cs="宋体"/>
                <w:color w:val="auto"/>
                <w:sz w:val="24"/>
                <w:lang w:val="en-US" w:eastAsia="zh-CN"/>
              </w:rPr>
              <w:t>，则</w:t>
            </w:r>
            <w:r>
              <w:rPr>
                <w:rFonts w:hint="default" w:ascii="Times New Roman" w:hAnsi="Times New Roman" w:eastAsia="宋体" w:cs="Times New Roman"/>
                <w:color w:val="auto"/>
                <w:sz w:val="24"/>
                <w:szCs w:val="24"/>
                <w:highlight w:val="none"/>
              </w:rPr>
              <w:t>NH</w:t>
            </w:r>
            <w:r>
              <w:rPr>
                <w:rFonts w:hint="default" w:ascii="Times New Roman" w:hAnsi="Times New Roman" w:eastAsia="宋体" w:cs="Times New Roman"/>
                <w:color w:val="auto"/>
                <w:sz w:val="24"/>
                <w:szCs w:val="24"/>
                <w:highlight w:val="none"/>
                <w:vertAlign w:val="subscript"/>
              </w:rPr>
              <w:t>3</w:t>
            </w:r>
            <w:r>
              <w:rPr>
                <w:rFonts w:hint="eastAsia" w:ascii="Times New Roman" w:hAnsi="Times New Roman" w:eastAsia="宋体" w:cs="Times New Roman"/>
                <w:color w:val="auto"/>
                <w:sz w:val="24"/>
                <w:szCs w:val="24"/>
                <w:highlight w:val="none"/>
                <w:lang w:eastAsia="zh-CN"/>
              </w:rPr>
              <w:t>排放</w:t>
            </w:r>
            <w:r>
              <w:rPr>
                <w:rFonts w:hint="default" w:ascii="Times New Roman" w:hAnsi="Times New Roman" w:eastAsia="宋体" w:cs="Times New Roman"/>
                <w:color w:val="auto"/>
                <w:sz w:val="24"/>
                <w:szCs w:val="24"/>
                <w:highlight w:val="none"/>
              </w:rPr>
              <w:t>量约为</w:t>
            </w:r>
            <w:r>
              <w:rPr>
                <w:rFonts w:hint="default" w:ascii="Times New Roman" w:hAnsi="Times New Roman" w:eastAsia="宋体" w:cs="Times New Roman"/>
                <w:color w:val="auto"/>
                <w:sz w:val="24"/>
                <w:szCs w:val="24"/>
                <w:highlight w:val="none"/>
                <w:lang w:val="en-US"/>
              </w:rPr>
              <w:t>5.69g/d</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S</w:t>
            </w:r>
            <w:r>
              <w:rPr>
                <w:rFonts w:hint="eastAsia" w:ascii="Times New Roman" w:hAnsi="Times New Roman" w:eastAsia="宋体" w:cs="Times New Roman"/>
                <w:color w:val="auto"/>
                <w:sz w:val="24"/>
                <w:szCs w:val="24"/>
                <w:highlight w:val="none"/>
                <w:lang w:eastAsia="zh-CN"/>
              </w:rPr>
              <w:t>排放</w:t>
            </w:r>
            <w:r>
              <w:rPr>
                <w:rFonts w:hint="default" w:ascii="Times New Roman" w:hAnsi="Times New Roman" w:eastAsia="宋体" w:cs="Times New Roman"/>
                <w:color w:val="auto"/>
                <w:sz w:val="24"/>
                <w:szCs w:val="24"/>
                <w:highlight w:val="none"/>
              </w:rPr>
              <w:t>量约为</w:t>
            </w:r>
            <w:r>
              <w:rPr>
                <w:rFonts w:hint="default" w:ascii="Times New Roman" w:hAnsi="Times New Roman" w:eastAsia="宋体" w:cs="Times New Roman"/>
                <w:color w:val="auto"/>
                <w:sz w:val="24"/>
                <w:szCs w:val="24"/>
                <w:highlight w:val="none"/>
                <w:lang w:val="en-US"/>
              </w:rPr>
              <w:t>0.22g/d</w:t>
            </w:r>
            <w:r>
              <w:rPr>
                <w:rFonts w:hint="eastAsia" w:ascii="宋体" w:hAnsi="宋体" w:cs="宋体"/>
                <w:color w:val="auto"/>
                <w:sz w:val="24"/>
                <w:lang w:val="en-US"/>
              </w:rPr>
              <w:t>，定期对各池子内的污泥进行清理，一是保证池子的有效处理容积，二是清理污泥时可将池子内的死亡的微生物一并清理，可减少池子异味气体的产生量及排放量。</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rPr>
              <w:t>污水处理站</w:t>
            </w:r>
            <w:r>
              <w:rPr>
                <w:rFonts w:hint="eastAsia" w:ascii="宋体" w:hAnsi="宋体" w:cs="宋体"/>
                <w:color w:val="auto"/>
                <w:sz w:val="24"/>
                <w:lang w:val="en-US" w:eastAsia="zh-CN"/>
              </w:rPr>
              <w:t>各池体</w:t>
            </w:r>
            <w:r>
              <w:rPr>
                <w:rFonts w:hint="eastAsia" w:ascii="宋体" w:hAnsi="宋体" w:cs="宋体"/>
                <w:color w:val="auto"/>
                <w:sz w:val="24"/>
                <w:lang w:val="en-US"/>
              </w:rPr>
              <w:t>平时逸散的异味极少，对周围环境影响不大。</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lang w:val="en-US"/>
              </w:rPr>
              <w:t>（2）厨房油烟</w:t>
            </w:r>
          </w:p>
          <w:p>
            <w:pPr>
              <w:pStyle w:val="6"/>
              <w:keepNext w:val="0"/>
              <w:keepLines w:val="0"/>
              <w:suppressLineNumbers w:val="0"/>
              <w:snapToGrid w:val="0"/>
              <w:spacing w:before="0" w:beforeAutospacing="0" w:after="0" w:afterAutospacing="0" w:line="360" w:lineRule="auto"/>
              <w:ind w:left="0" w:right="0" w:firstLine="573"/>
              <w:rPr>
                <w:rFonts w:hint="default" w:ascii="Times New Roman" w:hAnsi="Times New Roman" w:cs="Times New Roman"/>
                <w:color w:val="auto"/>
                <w:sz w:val="24"/>
                <w:szCs w:val="24"/>
              </w:rPr>
            </w:pPr>
            <w:r>
              <w:rPr>
                <w:rFonts w:hint="eastAsia" w:ascii="宋体" w:hAnsi="宋体" w:cs="Times New Roman"/>
                <w:color w:val="auto"/>
                <w:sz w:val="24"/>
              </w:rPr>
              <w:t>本项目投入使用后，餐饮设施使用天然气或液化气作为燃料，属于清洁燃料，其污染物排放很少；项目热水供应采用太阳能与空气源热泵加热系统联合供热的方式。本</w:t>
            </w:r>
            <w:r>
              <w:rPr>
                <w:rFonts w:hint="default" w:ascii="Times New Roman" w:hAnsi="Times New Roman" w:cs="Times New Roman"/>
                <w:color w:val="auto"/>
                <w:sz w:val="24"/>
                <w:szCs w:val="24"/>
                <w:lang w:bidi="ar"/>
              </w:rPr>
              <w:t>项目设置1个食堂</w:t>
            </w:r>
            <w:r>
              <w:rPr>
                <w:rFonts w:hint="eastAsia" w:ascii="Calibri" w:hAnsi="Calibri" w:cs="Times New Roman"/>
                <w:color w:val="auto"/>
                <w:sz w:val="24"/>
                <w:szCs w:val="24"/>
                <w:lang w:bidi="ar"/>
              </w:rPr>
              <w:t>，</w:t>
            </w:r>
            <w:r>
              <w:rPr>
                <w:rFonts w:hint="default" w:ascii="Times New Roman" w:hAnsi="Times New Roman" w:cs="Times New Roman"/>
                <w:color w:val="auto"/>
                <w:sz w:val="24"/>
                <w:szCs w:val="24"/>
                <w:lang w:bidi="ar"/>
              </w:rPr>
              <w:t>能源</w:t>
            </w:r>
            <w:r>
              <w:rPr>
                <w:rFonts w:hint="eastAsia" w:ascii="Calibri" w:hAnsi="Calibri" w:cs="Times New Roman"/>
                <w:color w:val="auto"/>
                <w:sz w:val="24"/>
                <w:szCs w:val="24"/>
                <w:lang w:bidi="ar"/>
              </w:rPr>
              <w:t>使用天然气、液化气和</w:t>
            </w:r>
            <w:r>
              <w:rPr>
                <w:rFonts w:hint="default" w:ascii="Times New Roman" w:hAnsi="Times New Roman" w:cs="Times New Roman"/>
                <w:color w:val="auto"/>
                <w:sz w:val="24"/>
                <w:szCs w:val="24"/>
                <w:lang w:bidi="ar"/>
              </w:rPr>
              <w:t>电能，属清洁能源，燃烧废气</w:t>
            </w:r>
            <w:r>
              <w:rPr>
                <w:rFonts w:hint="eastAsia" w:ascii="Calibri" w:hAnsi="Calibri" w:cs="Times New Roman"/>
                <w:color w:val="auto"/>
                <w:sz w:val="24"/>
                <w:szCs w:val="24"/>
                <w:lang w:bidi="ar"/>
              </w:rPr>
              <w:t>产生量很小</w:t>
            </w:r>
            <w:r>
              <w:rPr>
                <w:rFonts w:hint="default" w:ascii="Times New Roman" w:hAnsi="Times New Roman" w:cs="Times New Roman"/>
                <w:color w:val="auto"/>
                <w:sz w:val="24"/>
                <w:szCs w:val="24"/>
                <w:lang w:bidi="ar"/>
              </w:rPr>
              <w:t>。</w:t>
            </w:r>
            <w:r>
              <w:rPr>
                <w:rFonts w:hint="eastAsia" w:ascii="宋体" w:hAnsi="宋体" w:cs="宋体"/>
                <w:color w:val="auto"/>
                <w:sz w:val="24"/>
                <w:szCs w:val="24"/>
              </w:rPr>
              <w:t>本项目医护人员</w:t>
            </w:r>
            <w:r>
              <w:rPr>
                <w:rFonts w:hint="default" w:ascii="宋体" w:hAnsi="宋体" w:cs="宋体"/>
                <w:color w:val="auto"/>
                <w:sz w:val="24"/>
                <w:szCs w:val="24"/>
              </w:rPr>
              <w:t>110</w:t>
            </w:r>
            <w:r>
              <w:rPr>
                <w:rFonts w:hint="eastAsia" w:ascii="宋体" w:hAnsi="宋体" w:cs="宋体"/>
                <w:color w:val="auto"/>
                <w:sz w:val="24"/>
                <w:szCs w:val="24"/>
              </w:rPr>
              <w:t>名，住院病人</w:t>
            </w:r>
            <w:r>
              <w:rPr>
                <w:rFonts w:hint="default" w:ascii="宋体" w:hAnsi="宋体" w:cs="宋体"/>
                <w:color w:val="auto"/>
                <w:sz w:val="24"/>
                <w:szCs w:val="24"/>
              </w:rPr>
              <w:t>2</w:t>
            </w:r>
            <w:r>
              <w:rPr>
                <w:rFonts w:hint="default" w:ascii="宋体" w:hAnsi="宋体" w:cs="宋体"/>
                <w:color w:val="auto"/>
                <w:sz w:val="24"/>
                <w:szCs w:val="24"/>
                <w:lang w:val="en-US"/>
              </w:rPr>
              <w:t>5</w:t>
            </w:r>
            <w:r>
              <w:rPr>
                <w:rFonts w:hint="eastAsia" w:ascii="宋体" w:hAnsi="宋体" w:cs="宋体"/>
                <w:color w:val="auto"/>
                <w:sz w:val="24"/>
                <w:szCs w:val="24"/>
              </w:rPr>
              <w:t>0人，食堂最大接纳人数</w:t>
            </w:r>
            <w:r>
              <w:rPr>
                <w:rFonts w:hint="default" w:ascii="宋体" w:hAnsi="宋体" w:cs="宋体"/>
                <w:color w:val="auto"/>
                <w:sz w:val="24"/>
                <w:szCs w:val="24"/>
              </w:rPr>
              <w:t>3</w:t>
            </w:r>
            <w:r>
              <w:rPr>
                <w:rFonts w:hint="default" w:ascii="宋体" w:hAnsi="宋体" w:cs="宋体"/>
                <w:color w:val="auto"/>
                <w:sz w:val="24"/>
                <w:szCs w:val="24"/>
                <w:lang w:val="en-US"/>
              </w:rPr>
              <w:t>6</w:t>
            </w:r>
            <w:r>
              <w:rPr>
                <w:rFonts w:hint="default" w:ascii="宋体" w:hAnsi="宋体" w:cs="宋体"/>
                <w:color w:val="auto"/>
                <w:sz w:val="24"/>
                <w:szCs w:val="24"/>
              </w:rPr>
              <w:t>0</w:t>
            </w:r>
            <w:r>
              <w:rPr>
                <w:rFonts w:hint="eastAsia" w:ascii="宋体" w:hAnsi="宋体" w:cs="宋体"/>
                <w:color w:val="auto"/>
                <w:sz w:val="24"/>
                <w:szCs w:val="24"/>
              </w:rPr>
              <w:t>人</w:t>
            </w:r>
            <w:r>
              <w:rPr>
                <w:rFonts w:hint="default" w:ascii="Times New Roman" w:hAnsi="Times New Roman" w:cs="Times New Roman"/>
                <w:color w:val="auto"/>
                <w:sz w:val="24"/>
                <w:szCs w:val="24"/>
                <w:lang w:bidi="ar"/>
              </w:rPr>
              <w:t>，食堂在炊事过程中会产生少量的油烟，按平衡膳食推荐，以每人每天食用30g食用油进行估算，则耗油量约为</w:t>
            </w:r>
            <w:r>
              <w:rPr>
                <w:rFonts w:hint="default" w:ascii="Times New Roman" w:hAnsi="Times New Roman" w:cs="Times New Roman"/>
                <w:color w:val="auto"/>
                <w:sz w:val="24"/>
                <w:szCs w:val="24"/>
                <w:lang w:val="en-US" w:bidi="ar"/>
              </w:rPr>
              <w:t>10.8</w:t>
            </w:r>
            <w:r>
              <w:rPr>
                <w:rFonts w:hint="default" w:ascii="Times New Roman" w:hAnsi="Times New Roman" w:cs="Times New Roman"/>
                <w:color w:val="auto"/>
                <w:sz w:val="24"/>
                <w:szCs w:val="24"/>
                <w:lang w:bidi="ar"/>
              </w:rPr>
              <w:t>kg/d，即</w:t>
            </w:r>
            <w:r>
              <w:rPr>
                <w:rFonts w:hint="default" w:ascii="Times New Roman" w:hAnsi="Times New Roman" w:cs="Times New Roman"/>
                <w:color w:val="auto"/>
                <w:sz w:val="24"/>
                <w:szCs w:val="24"/>
                <w:lang w:val="en-US" w:bidi="ar"/>
              </w:rPr>
              <w:t>3.94</w:t>
            </w:r>
            <w:r>
              <w:rPr>
                <w:rFonts w:hint="default" w:ascii="Times New Roman" w:hAnsi="Times New Roman" w:cs="Times New Roman"/>
                <w:color w:val="auto"/>
                <w:sz w:val="24"/>
                <w:szCs w:val="24"/>
                <w:lang w:bidi="ar"/>
              </w:rPr>
              <w:t xml:space="preserve">t/a。根据类比调查，不同的烹饪情况，油烟废气中烟气浓度及挥发量均有所不同，油的平均挥发量为总耗油量的2.83%，经过估算，项目产生油烟量约为0.31kg/d，即0.115t/a。由于医院食堂提供早、中、晚三餐，因此日高峰期取6h，则高峰期油烟中含油量为51.6g/h。 </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 xml:space="preserve">根据《餐饮油烟中挥发性有机物风险评估》（王秀艳、高爽、周家岐等）中烹饪油烟VOCs 排放因子为5.03g/kg（耗油量），则食堂非甲烷总烃产生量为0.056kg/d，20.44kg/a。 </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项目食堂</w:t>
            </w:r>
            <w:r>
              <w:rPr>
                <w:rFonts w:hint="eastAsia" w:ascii="Calibri" w:hAnsi="Calibri" w:cs="Times New Roman"/>
                <w:color w:val="auto"/>
                <w:kern w:val="0"/>
                <w:sz w:val="24"/>
                <w:szCs w:val="24"/>
                <w:lang w:bidi="ar"/>
              </w:rPr>
              <w:t>设</w:t>
            </w:r>
            <w:r>
              <w:rPr>
                <w:rFonts w:hint="default" w:ascii="Calibri" w:hAnsi="Calibri" w:cs="Times New Roman"/>
                <w:color w:val="auto"/>
                <w:kern w:val="0"/>
                <w:sz w:val="24"/>
                <w:szCs w:val="24"/>
                <w:lang w:bidi="ar"/>
              </w:rPr>
              <w:t>4</w:t>
            </w:r>
            <w:r>
              <w:rPr>
                <w:rFonts w:hint="eastAsia" w:ascii="Calibri" w:hAnsi="Calibri" w:cs="Times New Roman"/>
                <w:color w:val="auto"/>
                <w:kern w:val="0"/>
                <w:sz w:val="24"/>
                <w:szCs w:val="24"/>
                <w:lang w:bidi="ar"/>
              </w:rPr>
              <w:t>个</w:t>
            </w:r>
            <w:r>
              <w:rPr>
                <w:rFonts w:hint="default" w:ascii="Times New Roman" w:hAnsi="Times New Roman" w:cs="Times New Roman"/>
                <w:color w:val="auto"/>
                <w:kern w:val="0"/>
                <w:sz w:val="24"/>
                <w:szCs w:val="24"/>
                <w:lang w:bidi="ar"/>
              </w:rPr>
              <w:t>灶头</w:t>
            </w:r>
            <w:r>
              <w:rPr>
                <w:rFonts w:hint="eastAsia" w:ascii="Calibri" w:hAnsi="Calibri" w:cs="Times New Roman"/>
                <w:color w:val="auto"/>
                <w:kern w:val="0"/>
                <w:sz w:val="24"/>
                <w:szCs w:val="24"/>
                <w:lang w:bidi="ar"/>
              </w:rPr>
              <w:t>，据</w:t>
            </w:r>
            <w:r>
              <w:rPr>
                <w:rFonts w:hint="eastAsia" w:ascii="Times New Roman" w:hAnsi="Times New Roman" w:cs="Times New Roman"/>
                <w:color w:val="auto"/>
                <w:kern w:val="0"/>
                <w:sz w:val="24"/>
                <w:szCs w:val="24"/>
                <w:lang w:bidi="ar"/>
              </w:rPr>
              <w:t>《餐饮业油烟污染物排放要求》（DB</w:t>
            </w:r>
            <w:r>
              <w:rPr>
                <w:rFonts w:hint="eastAsia" w:cs="Times New Roman"/>
                <w:color w:val="auto"/>
                <w:kern w:val="0"/>
                <w:sz w:val="24"/>
                <w:szCs w:val="24"/>
                <w:lang w:eastAsia="zh-CN" w:bidi="ar"/>
              </w:rPr>
              <w:t>****</w:t>
            </w:r>
            <w:r>
              <w:rPr>
                <w:rFonts w:hint="eastAsia" w:ascii="Times New Roman" w:hAnsi="Times New Roman" w:cs="Times New Roman"/>
                <w:color w:val="auto"/>
                <w:kern w:val="0"/>
                <w:sz w:val="24"/>
                <w:szCs w:val="24"/>
                <w:lang w:bidi="ar"/>
              </w:rPr>
              <w:t>/T50</w:t>
            </w:r>
            <w:r>
              <w:rPr>
                <w:rFonts w:hint="eastAsia" w:ascii="Calibri" w:hAnsi="Calibri" w:cs="Times New Roman"/>
                <w:color w:val="auto"/>
                <w:kern w:val="0"/>
                <w:sz w:val="24"/>
                <w:szCs w:val="24"/>
                <w:lang w:bidi="ar"/>
              </w:rPr>
              <w:t>-</w:t>
            </w:r>
            <w:r>
              <w:rPr>
                <w:rFonts w:hint="eastAsia" w:ascii="Times New Roman" w:hAnsi="Times New Roman" w:cs="Times New Roman"/>
                <w:color w:val="auto"/>
                <w:kern w:val="0"/>
                <w:sz w:val="24"/>
                <w:szCs w:val="24"/>
                <w:lang w:bidi="ar"/>
              </w:rPr>
              <w:t>2021）</w:t>
            </w:r>
            <w:r>
              <w:rPr>
                <w:rFonts w:hint="eastAsia" w:ascii="Calibri" w:hAnsi="Calibri" w:cs="Times New Roman"/>
                <w:color w:val="auto"/>
                <w:kern w:val="0"/>
                <w:sz w:val="24"/>
                <w:szCs w:val="24"/>
                <w:lang w:bidi="ar"/>
              </w:rPr>
              <w:t>，该食堂规模为</w:t>
            </w:r>
            <w:r>
              <w:rPr>
                <w:rFonts w:hint="eastAsia" w:ascii="宋体" w:hAnsi="宋体" w:cs="宋体"/>
                <w:color w:val="auto"/>
                <w:kern w:val="0"/>
                <w:sz w:val="24"/>
                <w:szCs w:val="24"/>
                <w:lang w:bidi="ar"/>
              </w:rPr>
              <w:t>Ⅰ型。</w:t>
            </w:r>
            <w:r>
              <w:rPr>
                <w:rFonts w:hint="default" w:ascii="宋体" w:hAnsi="宋体" w:cs="宋体"/>
                <w:color w:val="auto"/>
                <w:kern w:val="0"/>
                <w:sz w:val="24"/>
                <w:szCs w:val="24"/>
                <w:lang w:bidi="ar"/>
              </w:rPr>
              <w:t>4</w:t>
            </w:r>
            <w:r>
              <w:rPr>
                <w:rFonts w:hint="eastAsia" w:ascii="宋体" w:hAnsi="宋体" w:cs="宋体"/>
                <w:color w:val="auto"/>
                <w:kern w:val="0"/>
                <w:sz w:val="24"/>
                <w:szCs w:val="24"/>
                <w:lang w:bidi="ar"/>
              </w:rPr>
              <w:t>个灶头</w:t>
            </w:r>
            <w:r>
              <w:rPr>
                <w:rFonts w:hint="default" w:ascii="Times New Roman" w:hAnsi="Times New Roman" w:cs="Times New Roman"/>
                <w:color w:val="auto"/>
                <w:kern w:val="0"/>
                <w:sz w:val="24"/>
                <w:szCs w:val="24"/>
                <w:lang w:bidi="ar"/>
              </w:rPr>
              <w:t>上方设置排气罩，</w:t>
            </w:r>
            <w:r>
              <w:rPr>
                <w:rFonts w:hint="eastAsia" w:ascii="Calibri" w:hAnsi="Calibri" w:cs="Times New Roman"/>
                <w:color w:val="auto"/>
                <w:kern w:val="0"/>
                <w:sz w:val="24"/>
                <w:szCs w:val="24"/>
                <w:lang w:bidi="ar"/>
              </w:rPr>
              <w:t>安装</w:t>
            </w:r>
            <w:r>
              <w:rPr>
                <w:rFonts w:hint="default" w:ascii="Times New Roman" w:hAnsi="Times New Roman" w:cs="Times New Roman"/>
                <w:color w:val="auto"/>
                <w:kern w:val="0"/>
                <w:sz w:val="24"/>
                <w:szCs w:val="24"/>
                <w:lang w:bidi="ar"/>
              </w:rPr>
              <w:t>油烟</w:t>
            </w:r>
            <w:r>
              <w:rPr>
                <w:rFonts w:hint="eastAsia" w:ascii="Calibri" w:hAnsi="Calibri" w:cs="Times New Roman"/>
                <w:color w:val="auto"/>
                <w:kern w:val="0"/>
                <w:sz w:val="24"/>
                <w:szCs w:val="24"/>
                <w:lang w:bidi="ar"/>
              </w:rPr>
              <w:t>收集</w:t>
            </w:r>
            <w:r>
              <w:rPr>
                <w:rFonts w:hint="default" w:ascii="Times New Roman" w:hAnsi="Times New Roman" w:cs="Times New Roman"/>
                <w:color w:val="auto"/>
                <w:kern w:val="0"/>
                <w:sz w:val="24"/>
                <w:szCs w:val="24"/>
                <w:lang w:bidi="ar"/>
              </w:rPr>
              <w:t>管道，</w:t>
            </w:r>
            <w:r>
              <w:rPr>
                <w:rFonts w:hint="eastAsia" w:ascii="Calibri" w:hAnsi="Calibri" w:cs="Times New Roman"/>
                <w:color w:val="auto"/>
                <w:kern w:val="0"/>
                <w:sz w:val="24"/>
                <w:szCs w:val="24"/>
                <w:lang w:bidi="ar"/>
              </w:rPr>
              <w:t>食堂</w:t>
            </w:r>
            <w:r>
              <w:rPr>
                <w:rFonts w:hint="default" w:ascii="Times New Roman" w:hAnsi="Times New Roman" w:cs="Times New Roman"/>
                <w:color w:val="auto"/>
                <w:kern w:val="0"/>
                <w:sz w:val="24"/>
                <w:szCs w:val="24"/>
                <w:lang w:bidi="ar"/>
              </w:rPr>
              <w:t>油烟经排气罩收集后统一引入油烟管道，经净化效率85%以上的油烟净化器处理后引至</w:t>
            </w:r>
            <w:r>
              <w:rPr>
                <w:rFonts w:hint="eastAsia" w:ascii="Times New Roman" w:hAnsi="Times New Roman" w:cs="Times New Roman"/>
                <w:color w:val="auto"/>
                <w:kern w:val="0"/>
                <w:sz w:val="24"/>
                <w:szCs w:val="24"/>
                <w:lang w:bidi="ar"/>
              </w:rPr>
              <w:t>后勤楼</w:t>
            </w:r>
            <w:r>
              <w:rPr>
                <w:rFonts w:hint="default" w:ascii="Times New Roman" w:hAnsi="Times New Roman" w:cs="Times New Roman"/>
                <w:color w:val="auto"/>
                <w:kern w:val="0"/>
                <w:sz w:val="24"/>
                <w:szCs w:val="24"/>
                <w:lang w:bidi="ar"/>
              </w:rPr>
              <w:t>楼顶排放，</w:t>
            </w:r>
            <w:r>
              <w:rPr>
                <w:rFonts w:hint="eastAsia" w:ascii="Calibri" w:hAnsi="Calibri" w:cs="Times New Roman"/>
                <w:color w:val="auto"/>
                <w:kern w:val="0"/>
                <w:sz w:val="24"/>
                <w:szCs w:val="24"/>
                <w:lang w:bidi="ar"/>
              </w:rPr>
              <w:t>风机风量为</w:t>
            </w:r>
            <w:r>
              <w:rPr>
                <w:rFonts w:hint="default" w:ascii="Calibri" w:hAnsi="Calibri" w:cs="Times New Roman"/>
                <w:color w:val="auto"/>
                <w:kern w:val="0"/>
                <w:sz w:val="24"/>
                <w:szCs w:val="24"/>
                <w:lang w:bidi="ar"/>
              </w:rPr>
              <w:t>8</w:t>
            </w:r>
            <w:r>
              <w:rPr>
                <w:rFonts w:hint="eastAsia" w:ascii="Calibri" w:hAnsi="Calibri" w:cs="Times New Roman"/>
                <w:color w:val="auto"/>
                <w:kern w:val="0"/>
                <w:sz w:val="24"/>
                <w:szCs w:val="24"/>
                <w:lang w:bidi="ar"/>
              </w:rPr>
              <w:t>000</w:t>
            </w:r>
            <w:r>
              <w:rPr>
                <w:rFonts w:hint="eastAsia" w:ascii="宋体" w:hAnsi="宋体" w:cs="Times New Roman"/>
                <w:color w:val="auto"/>
                <w:sz w:val="24"/>
                <w:szCs w:val="24"/>
              </w:rPr>
              <w:t>N</w:t>
            </w:r>
            <w:r>
              <w:rPr>
                <w:rFonts w:hint="default" w:ascii="宋体" w:hAnsi="宋体" w:cs="Times New Roman"/>
                <w:color w:val="auto"/>
                <w:sz w:val="24"/>
                <w:szCs w:val="24"/>
              </w:rPr>
              <w:t>m</w:t>
            </w:r>
            <w:r>
              <w:rPr>
                <w:rFonts w:hint="default" w:ascii="宋体" w:hAnsi="宋体" w:cs="Times New Roman"/>
                <w:color w:val="auto"/>
                <w:sz w:val="24"/>
                <w:szCs w:val="24"/>
                <w:vertAlign w:val="superscript"/>
              </w:rPr>
              <w:t>3</w:t>
            </w:r>
            <w:r>
              <w:rPr>
                <w:rFonts w:hint="default" w:ascii="宋体" w:hAnsi="宋体" w:cs="Times New Roman"/>
                <w:color w:val="auto"/>
                <w:sz w:val="24"/>
                <w:szCs w:val="24"/>
              </w:rPr>
              <w:t>/h</w:t>
            </w:r>
            <w:r>
              <w:rPr>
                <w:rFonts w:hint="eastAsia" w:ascii="宋体" w:hAnsi="宋体" w:cs="Times New Roman"/>
                <w:color w:val="auto"/>
                <w:sz w:val="24"/>
                <w:szCs w:val="24"/>
              </w:rPr>
              <w:t>，</w:t>
            </w:r>
            <w:r>
              <w:rPr>
                <w:rFonts w:hint="default" w:ascii="Times New Roman" w:hAnsi="Times New Roman" w:cs="Times New Roman"/>
                <w:color w:val="auto"/>
                <w:kern w:val="0"/>
                <w:sz w:val="24"/>
                <w:szCs w:val="24"/>
                <w:lang w:bidi="ar"/>
              </w:rPr>
              <w:t>则食堂油烟产生浓度为6.45mg/m</w:t>
            </w:r>
            <w:r>
              <w:rPr>
                <w:rFonts w:hint="default" w:ascii="Times New Roman" w:hAnsi="Times New Roman" w:cs="Times New Roman"/>
                <w:color w:val="auto"/>
                <w:kern w:val="0"/>
                <w:sz w:val="24"/>
                <w:szCs w:val="24"/>
                <w:vertAlign w:val="superscript"/>
                <w:lang w:bidi="ar"/>
              </w:rPr>
              <w:t>3</w:t>
            </w:r>
            <w:r>
              <w:rPr>
                <w:rFonts w:hint="default" w:ascii="Times New Roman" w:hAnsi="Times New Roman" w:cs="Times New Roman"/>
                <w:color w:val="auto"/>
                <w:kern w:val="0"/>
                <w:sz w:val="24"/>
                <w:szCs w:val="24"/>
                <w:lang w:bidi="ar"/>
              </w:rPr>
              <w:t>，油烟排放浓度为0.97mg/m</w:t>
            </w:r>
            <w:r>
              <w:rPr>
                <w:rFonts w:hint="default" w:ascii="Times New Roman" w:hAnsi="Times New Roman" w:cs="Times New Roman"/>
                <w:color w:val="auto"/>
                <w:kern w:val="0"/>
                <w:sz w:val="24"/>
                <w:szCs w:val="24"/>
                <w:vertAlign w:val="superscript"/>
                <w:lang w:bidi="ar"/>
              </w:rPr>
              <w:t>3</w:t>
            </w:r>
            <w:r>
              <w:rPr>
                <w:rFonts w:hint="eastAsia" w:ascii="Calibri" w:hAnsi="Calibri" w:cs="Times New Roman"/>
                <w:color w:val="auto"/>
                <w:kern w:val="0"/>
                <w:sz w:val="24"/>
                <w:szCs w:val="24"/>
                <w:lang w:bidi="ar"/>
              </w:rPr>
              <w:t>；</w:t>
            </w:r>
            <w:r>
              <w:rPr>
                <w:rFonts w:hint="default" w:ascii="Times New Roman" w:hAnsi="Times New Roman" w:cs="Times New Roman"/>
                <w:color w:val="auto"/>
                <w:kern w:val="0"/>
                <w:sz w:val="24"/>
                <w:szCs w:val="24"/>
                <w:lang w:bidi="ar"/>
              </w:rPr>
              <w:t>非甲烷总烃排放浓度为</w:t>
            </w:r>
            <w:r>
              <w:rPr>
                <w:rFonts w:hint="default" w:ascii="Calibri" w:hAnsi="Calibri" w:cs="Times New Roman"/>
                <w:color w:val="auto"/>
                <w:kern w:val="0"/>
                <w:sz w:val="24"/>
                <w:szCs w:val="24"/>
                <w:lang w:bidi="ar"/>
              </w:rPr>
              <w:t>0.18</w:t>
            </w:r>
            <w:r>
              <w:rPr>
                <w:rFonts w:hint="default" w:ascii="Times New Roman" w:hAnsi="Times New Roman" w:cs="Times New Roman"/>
                <w:color w:val="auto"/>
                <w:kern w:val="0"/>
                <w:sz w:val="24"/>
                <w:szCs w:val="24"/>
                <w:lang w:bidi="ar"/>
              </w:rPr>
              <w:t>mg/m</w:t>
            </w:r>
            <w:r>
              <w:rPr>
                <w:rFonts w:hint="default" w:ascii="Times New Roman" w:hAnsi="Times New Roman" w:cs="Times New Roman"/>
                <w:color w:val="auto"/>
                <w:kern w:val="0"/>
                <w:sz w:val="24"/>
                <w:szCs w:val="24"/>
                <w:vertAlign w:val="superscript"/>
                <w:lang w:bidi="ar"/>
              </w:rPr>
              <w:t>3</w:t>
            </w:r>
            <w:r>
              <w:rPr>
                <w:rFonts w:hint="default" w:ascii="Times New Roman" w:hAnsi="Times New Roman" w:cs="Times New Roman"/>
                <w:color w:val="auto"/>
                <w:kern w:val="0"/>
                <w:sz w:val="24"/>
                <w:szCs w:val="24"/>
                <w:lang w:bidi="ar"/>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项目运营期食堂油烟产生、排放情况详见下表。</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b/>
                <w:color w:val="auto"/>
                <w:sz w:val="24"/>
                <w:szCs w:val="24"/>
              </w:rPr>
            </w:pPr>
            <w:r>
              <w:rPr>
                <w:rFonts w:hint="eastAsia" w:ascii="宋体" w:hAnsi="宋体" w:cs="Times New Roman"/>
                <w:b/>
                <w:color w:val="auto"/>
                <w:sz w:val="24"/>
                <w:szCs w:val="24"/>
              </w:rPr>
              <w:t>表</w:t>
            </w:r>
            <w:r>
              <w:rPr>
                <w:rFonts w:hint="default" w:ascii="宋体" w:hAnsi="宋体" w:cs="Times New Roman"/>
                <w:b/>
                <w:color w:val="auto"/>
                <w:sz w:val="24"/>
                <w:szCs w:val="24"/>
              </w:rPr>
              <w:t xml:space="preserve">4-6  </w:t>
            </w:r>
            <w:r>
              <w:rPr>
                <w:rFonts w:hint="eastAsia" w:ascii="宋体" w:hAnsi="宋体" w:cs="Times New Roman"/>
                <w:b/>
                <w:color w:val="auto"/>
                <w:sz w:val="24"/>
                <w:szCs w:val="24"/>
              </w:rPr>
              <w:t>项目油烟产生量一览表</w:t>
            </w:r>
          </w:p>
          <w:tbl>
            <w:tblPr>
              <w:tblStyle w:val="2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150"/>
              <w:gridCol w:w="1604"/>
              <w:gridCol w:w="1364"/>
              <w:gridCol w:w="1503"/>
              <w:gridCol w:w="1493"/>
              <w:gridCol w:w="1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项目</w:t>
                  </w:r>
                </w:p>
              </w:tc>
              <w:tc>
                <w:tcPr>
                  <w:tcW w:w="580"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人数</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（人）</w:t>
                  </w:r>
                </w:p>
              </w:tc>
              <w:tc>
                <w:tcPr>
                  <w:tcW w:w="809"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用油量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g/</w:t>
                  </w:r>
                  <w:r>
                    <w:rPr>
                      <w:rFonts w:hint="eastAsia" w:ascii="宋体" w:hAnsi="宋体" w:cs="Times New Roman"/>
                      <w:color w:val="auto"/>
                    </w:rPr>
                    <w:t>人·</w:t>
                  </w:r>
                  <w:r>
                    <w:rPr>
                      <w:rFonts w:hint="default" w:ascii="宋体" w:hAnsi="宋体" w:cs="Times New Roman"/>
                      <w:color w:val="auto"/>
                    </w:rPr>
                    <w:t>d</w:t>
                  </w:r>
                  <w:r>
                    <w:rPr>
                      <w:rFonts w:hint="eastAsia" w:ascii="宋体" w:hAnsi="宋体" w:cs="Times New Roman"/>
                      <w:color w:val="auto"/>
                    </w:rPr>
                    <w:t>）</w:t>
                  </w:r>
                </w:p>
              </w:tc>
              <w:tc>
                <w:tcPr>
                  <w:tcW w:w="688"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用油总量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kg/d</w:t>
                  </w:r>
                  <w:r>
                    <w:rPr>
                      <w:rFonts w:hint="eastAsia" w:ascii="宋体" w:hAnsi="宋体" w:cs="Times New Roman"/>
                      <w:color w:val="auto"/>
                    </w:rPr>
                    <w:t>）</w:t>
                  </w:r>
                </w:p>
              </w:tc>
              <w:tc>
                <w:tcPr>
                  <w:tcW w:w="758"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平均油挥发量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w:t>
                  </w:r>
                  <w:r>
                    <w:rPr>
                      <w:rFonts w:hint="eastAsia" w:ascii="宋体" w:hAnsi="宋体" w:cs="Times New Roman"/>
                      <w:color w:val="auto"/>
                    </w:rPr>
                    <w:t>）</w:t>
                  </w:r>
                </w:p>
              </w:tc>
              <w:tc>
                <w:tcPr>
                  <w:tcW w:w="753"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油烟产生量</w:t>
                  </w:r>
                </w:p>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w:t>
                  </w:r>
                  <w:r>
                    <w:rPr>
                      <w:rFonts w:hint="default" w:ascii="宋体" w:hAnsi="宋体" w:cs="Times New Roman"/>
                      <w:color w:val="auto"/>
                    </w:rPr>
                    <w:t>kg/d</w:t>
                  </w:r>
                  <w:r>
                    <w:rPr>
                      <w:rFonts w:hint="eastAsia" w:ascii="宋体" w:hAnsi="宋体" w:cs="Times New Roman"/>
                      <w:color w:val="auto"/>
                    </w:rPr>
                    <w:t>）</w:t>
                  </w:r>
                </w:p>
              </w:tc>
              <w:tc>
                <w:tcPr>
                  <w:tcW w:w="956" w:type="pct"/>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非甲烷总烃产生量（</w:t>
                  </w:r>
                  <w:r>
                    <w:rPr>
                      <w:rFonts w:hint="default" w:ascii="宋体" w:hAnsi="宋体" w:cs="Times New Roman"/>
                      <w:color w:val="auto"/>
                    </w:rPr>
                    <w:t>kg/d</w:t>
                  </w:r>
                  <w:r>
                    <w:rPr>
                      <w:rFonts w:hint="eastAsia" w:ascii="宋体" w:hAnsi="宋体"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食堂</w:t>
                  </w:r>
                </w:p>
              </w:tc>
              <w:tc>
                <w:tcPr>
                  <w:tcW w:w="580"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370</w:t>
                  </w:r>
                </w:p>
              </w:tc>
              <w:tc>
                <w:tcPr>
                  <w:tcW w:w="809"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30</w:t>
                  </w:r>
                </w:p>
              </w:tc>
              <w:tc>
                <w:tcPr>
                  <w:tcW w:w="688"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11.1</w:t>
                  </w:r>
                </w:p>
              </w:tc>
              <w:tc>
                <w:tcPr>
                  <w:tcW w:w="758"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2.83</w:t>
                  </w:r>
                </w:p>
              </w:tc>
              <w:tc>
                <w:tcPr>
                  <w:tcW w:w="753"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0.31</w:t>
                  </w:r>
                </w:p>
              </w:tc>
              <w:tc>
                <w:tcPr>
                  <w:tcW w:w="956" w:type="pct"/>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0.056</w:t>
                  </w:r>
                </w:p>
              </w:tc>
            </w:tr>
          </w:tbl>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b/>
                <w:color w:val="auto"/>
                <w:sz w:val="24"/>
                <w:szCs w:val="24"/>
              </w:rPr>
            </w:pPr>
            <w:r>
              <w:rPr>
                <w:rFonts w:hint="eastAsia" w:ascii="宋体" w:hAnsi="宋体" w:cs="Times New Roman"/>
                <w:b/>
                <w:color w:val="auto"/>
                <w:sz w:val="24"/>
                <w:szCs w:val="24"/>
              </w:rPr>
              <w:t>表</w:t>
            </w:r>
            <w:r>
              <w:rPr>
                <w:rFonts w:hint="default" w:ascii="宋体" w:hAnsi="宋体" w:cs="Times New Roman"/>
                <w:b/>
                <w:color w:val="auto"/>
                <w:sz w:val="24"/>
                <w:szCs w:val="24"/>
              </w:rPr>
              <w:t xml:space="preserve">4-7  </w:t>
            </w:r>
            <w:r>
              <w:rPr>
                <w:rFonts w:hint="eastAsia" w:ascii="宋体" w:hAnsi="宋体" w:cs="Times New Roman"/>
                <w:b/>
                <w:color w:val="auto"/>
                <w:sz w:val="24"/>
                <w:szCs w:val="24"/>
              </w:rPr>
              <w:t>油烟废气排放情况一览表</w:t>
            </w:r>
          </w:p>
          <w:tbl>
            <w:tblPr>
              <w:tblStyle w:val="26"/>
              <w:tblW w:w="85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485"/>
              <w:gridCol w:w="1109"/>
              <w:gridCol w:w="1460"/>
              <w:gridCol w:w="1338"/>
              <w:gridCol w:w="18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Calibri" w:cs="Times New Roman"/>
                      <w:color w:val="auto"/>
                    </w:rPr>
                  </w:pPr>
                  <w:r>
                    <w:rPr>
                      <w:rFonts w:hint="eastAsia" w:ascii="宋体" w:hAnsi="宋体" w:cs="Times New Roman"/>
                      <w:color w:val="auto"/>
                    </w:rPr>
                    <w:t>污染物</w:t>
                  </w:r>
                </w:p>
              </w:tc>
              <w:tc>
                <w:tcPr>
                  <w:tcW w:w="1515"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产生量（</w:t>
                  </w:r>
                  <w:r>
                    <w:rPr>
                      <w:rFonts w:hint="default" w:ascii="宋体" w:hAnsi="宋体" w:cs="Times New Roman"/>
                      <w:color w:val="auto"/>
                    </w:rPr>
                    <w:t>kg/d</w:t>
                  </w:r>
                  <w:r>
                    <w:rPr>
                      <w:rFonts w:hint="eastAsia" w:ascii="宋体" w:hAnsi="宋体" w:cs="Times New Roman"/>
                      <w:color w:val="auto"/>
                    </w:rPr>
                    <w:t>）</w:t>
                  </w:r>
                </w:p>
              </w:tc>
              <w:tc>
                <w:tcPr>
                  <w:tcW w:w="900"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排风量（N</w:t>
                  </w:r>
                  <w:r>
                    <w:rPr>
                      <w:rFonts w:hint="default" w:ascii="宋体" w:hAnsi="宋体" w:cs="Times New Roman"/>
                      <w:color w:val="auto"/>
                    </w:rPr>
                    <w:t>m</w:t>
                  </w:r>
                  <w:r>
                    <w:rPr>
                      <w:rFonts w:hint="default" w:ascii="宋体" w:hAnsi="宋体" w:cs="Times New Roman"/>
                      <w:color w:val="auto"/>
                      <w:vertAlign w:val="superscript"/>
                    </w:rPr>
                    <w:t>3</w:t>
                  </w:r>
                  <w:r>
                    <w:rPr>
                      <w:rFonts w:hint="default" w:ascii="宋体" w:hAnsi="宋体" w:cs="Times New Roman"/>
                      <w:color w:val="auto"/>
                    </w:rPr>
                    <w:t>/h</w:t>
                  </w:r>
                  <w:r>
                    <w:rPr>
                      <w:rFonts w:hint="eastAsia" w:ascii="宋体" w:hAnsi="宋体" w:cs="Times New Roman"/>
                      <w:color w:val="auto"/>
                    </w:rPr>
                    <w:t>）</w:t>
                  </w:r>
                </w:p>
              </w:tc>
              <w:tc>
                <w:tcPr>
                  <w:tcW w:w="1485"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产生浓度（</w:t>
                  </w:r>
                  <w:r>
                    <w:rPr>
                      <w:rFonts w:hint="default" w:ascii="宋体" w:hAnsi="宋体" w:cs="Times New Roman"/>
                      <w:color w:val="auto"/>
                    </w:rPr>
                    <w:t>mg/m</w:t>
                  </w:r>
                  <w:r>
                    <w:rPr>
                      <w:rFonts w:hint="default" w:ascii="宋体" w:hAnsi="宋体" w:cs="Times New Roman"/>
                      <w:color w:val="auto"/>
                      <w:vertAlign w:val="superscript"/>
                    </w:rPr>
                    <w:t>3</w:t>
                  </w:r>
                  <w:r>
                    <w:rPr>
                      <w:rFonts w:hint="eastAsia" w:ascii="宋体" w:hAnsi="宋体" w:cs="Times New Roman"/>
                      <w:color w:val="auto"/>
                    </w:rPr>
                    <w:t>）</w:t>
                  </w:r>
                </w:p>
              </w:tc>
              <w:tc>
                <w:tcPr>
                  <w:tcW w:w="1380"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净化效率（</w:t>
                  </w:r>
                  <w:r>
                    <w:rPr>
                      <w:rFonts w:hint="default" w:ascii="宋体" w:hAnsi="宋体" w:cs="Times New Roman"/>
                      <w:color w:val="auto"/>
                    </w:rPr>
                    <w:t>%</w:t>
                  </w:r>
                  <w:r>
                    <w:rPr>
                      <w:rFonts w:hint="eastAsia" w:ascii="宋体" w:hAnsi="宋体" w:cs="Times New Roman"/>
                      <w:color w:val="auto"/>
                    </w:rPr>
                    <w:t>）</w:t>
                  </w:r>
                </w:p>
              </w:tc>
              <w:tc>
                <w:tcPr>
                  <w:tcW w:w="1935" w:type="dxa"/>
                  <w:tcBorders>
                    <w:top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eastAsia" w:ascii="宋体" w:hAnsi="宋体" w:cs="Times New Roman"/>
                      <w:color w:val="auto"/>
                    </w:rPr>
                    <w:t>排放浓度（</w:t>
                  </w:r>
                  <w:r>
                    <w:rPr>
                      <w:rFonts w:hint="default" w:ascii="宋体" w:hAnsi="宋体" w:cs="Times New Roman"/>
                      <w:color w:val="auto"/>
                    </w:rPr>
                    <w:t>mg/m</w:t>
                  </w:r>
                  <w:r>
                    <w:rPr>
                      <w:rFonts w:hint="default" w:ascii="宋体" w:hAnsi="宋体" w:cs="Times New Roman"/>
                      <w:color w:val="auto"/>
                      <w:vertAlign w:val="superscript"/>
                    </w:rPr>
                    <w:t>3</w:t>
                  </w:r>
                  <w:r>
                    <w:rPr>
                      <w:rFonts w:hint="eastAsia" w:ascii="宋体" w:hAnsi="宋体" w:cs="Times New Roman"/>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Calibri" w:cs="Times New Roman"/>
                      <w:color w:val="auto"/>
                    </w:rPr>
                  </w:pPr>
                  <w:r>
                    <w:rPr>
                      <w:rFonts w:hint="eastAsia" w:ascii="宋体" w:hAnsi="宋体" w:cs="Times New Roman"/>
                      <w:color w:val="auto"/>
                    </w:rPr>
                    <w:t>油烟</w:t>
                  </w:r>
                </w:p>
              </w:tc>
              <w:tc>
                <w:tcPr>
                  <w:tcW w:w="151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11.1</w:t>
                  </w:r>
                </w:p>
              </w:tc>
              <w:tc>
                <w:tcPr>
                  <w:tcW w:w="90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8000</w:t>
                  </w:r>
                </w:p>
              </w:tc>
              <w:tc>
                <w:tcPr>
                  <w:tcW w:w="148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6.45</w:t>
                  </w:r>
                </w:p>
              </w:tc>
              <w:tc>
                <w:tcPr>
                  <w:tcW w:w="138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85%</w:t>
                  </w:r>
                </w:p>
              </w:tc>
              <w:tc>
                <w:tcPr>
                  <w:tcW w:w="193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cs="Times New Roman"/>
                      <w:color w:val="auto"/>
                    </w:rPr>
                  </w:pPr>
                  <w:r>
                    <w:rPr>
                      <w:rFonts w:hint="default" w:ascii="宋体" w:hAnsi="宋体" w:cs="Times New Roman"/>
                      <w:color w:val="auto"/>
                    </w:rPr>
                    <w:t>0.97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非甲烷总烃</w:t>
                  </w:r>
                </w:p>
              </w:tc>
              <w:tc>
                <w:tcPr>
                  <w:tcW w:w="1515"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0.056</w:t>
                  </w:r>
                </w:p>
              </w:tc>
              <w:tc>
                <w:tcPr>
                  <w:tcW w:w="900" w:type="dxa"/>
                  <w:vMerge w:val="continue"/>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485"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1.17</w:t>
                  </w:r>
                </w:p>
              </w:tc>
              <w:tc>
                <w:tcPr>
                  <w:tcW w:w="1380" w:type="dxa"/>
                  <w:vMerge w:val="continue"/>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935" w:type="dxa"/>
                  <w:tcBorders>
                    <w:bottom w:val="single" w:color="auto" w:sz="12"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0.18</w:t>
                  </w:r>
                </w:p>
              </w:tc>
            </w:tr>
          </w:tbl>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rPr>
              <w:t>项目食堂油烟排放满足</w:t>
            </w:r>
            <w:r>
              <w:rPr>
                <w:rFonts w:hint="eastAsia" w:ascii="Times New Roman" w:hAnsi="Times New Roman" w:cs="Times New Roman"/>
                <w:color w:val="auto"/>
                <w:kern w:val="0"/>
                <w:sz w:val="24"/>
                <w:lang w:val="en-US" w:bidi="ar"/>
              </w:rPr>
              <w:t>《餐饮业油烟污染物排放要求》（DB</w:t>
            </w:r>
            <w:r>
              <w:rPr>
                <w:rFonts w:hint="eastAsia" w:cs="Times New Roman"/>
                <w:color w:val="auto"/>
                <w:kern w:val="0"/>
                <w:sz w:val="24"/>
                <w:lang w:val="en-US" w:eastAsia="zh-CN" w:bidi="ar"/>
              </w:rPr>
              <w:t>****</w:t>
            </w:r>
            <w:r>
              <w:rPr>
                <w:rFonts w:hint="eastAsia" w:ascii="Times New Roman" w:hAnsi="Times New Roman" w:cs="Times New Roman"/>
                <w:color w:val="auto"/>
                <w:kern w:val="0"/>
                <w:sz w:val="24"/>
                <w:lang w:val="en-US" w:bidi="ar"/>
              </w:rPr>
              <w:t>/T 50</w:t>
            </w:r>
            <w:r>
              <w:rPr>
                <w:rFonts w:hint="eastAsia" w:ascii="Calibri" w:hAnsi="Calibri" w:cs="Times New Roman"/>
                <w:color w:val="auto"/>
                <w:kern w:val="0"/>
                <w:sz w:val="24"/>
                <w:lang w:val="en-US" w:bidi="ar"/>
              </w:rPr>
              <w:t>-</w:t>
            </w:r>
            <w:r>
              <w:rPr>
                <w:rFonts w:hint="eastAsia" w:ascii="Times New Roman" w:hAnsi="Times New Roman" w:cs="Times New Roman"/>
                <w:color w:val="auto"/>
                <w:kern w:val="0"/>
                <w:sz w:val="24"/>
                <w:lang w:val="en-US" w:bidi="ar"/>
              </w:rPr>
              <w:t>2021）</w:t>
            </w:r>
            <w:r>
              <w:rPr>
                <w:rFonts w:hint="eastAsia" w:ascii="Calibri" w:hAnsi="Calibri" w:cs="Times New Roman"/>
                <w:color w:val="auto"/>
                <w:kern w:val="0"/>
                <w:sz w:val="24"/>
                <w:lang w:val="en-US" w:bidi="ar"/>
              </w:rPr>
              <w:t>中</w:t>
            </w:r>
            <w:r>
              <w:rPr>
                <w:rFonts w:hint="eastAsia" w:ascii="宋体" w:hAnsi="宋体" w:cs="宋体"/>
                <w:color w:val="auto"/>
                <w:kern w:val="0"/>
                <w:sz w:val="24"/>
                <w:lang w:val="en-US" w:bidi="ar"/>
              </w:rPr>
              <w:t>Ⅰ</w:t>
            </w:r>
            <w:r>
              <w:rPr>
                <w:rFonts w:hint="eastAsia" w:ascii="Calibri" w:hAnsi="Calibri" w:cs="Times New Roman"/>
                <w:color w:val="auto"/>
                <w:kern w:val="0"/>
                <w:sz w:val="24"/>
                <w:lang w:val="en-US" w:bidi="ar"/>
              </w:rPr>
              <w:t>型标准</w:t>
            </w:r>
            <w:r>
              <w:rPr>
                <w:rFonts w:hint="eastAsia" w:ascii="宋体" w:hAnsi="宋体" w:cs="宋体"/>
                <w:color w:val="auto"/>
                <w:sz w:val="24"/>
              </w:rPr>
              <w:t>：油烟排放浓度</w:t>
            </w:r>
            <w:r>
              <w:rPr>
                <w:rFonts w:hint="default" w:ascii="宋体" w:hAnsi="宋体" w:cs="宋体"/>
                <w:color w:val="auto"/>
                <w:sz w:val="24"/>
                <w:lang w:val="en-US"/>
              </w:rPr>
              <w:t>1</w:t>
            </w:r>
            <w:r>
              <w:rPr>
                <w:rFonts w:hint="default" w:ascii="宋体" w:hAnsi="宋体" w:cs="宋体"/>
                <w:color w:val="auto"/>
                <w:sz w:val="24"/>
              </w:rPr>
              <w:t>.0mg/m</w:t>
            </w:r>
            <w:r>
              <w:rPr>
                <w:rFonts w:hint="default" w:ascii="宋体" w:hAnsi="宋体" w:cs="宋体"/>
                <w:color w:val="auto"/>
                <w:sz w:val="24"/>
                <w:vertAlign w:val="superscript"/>
              </w:rPr>
              <w:t>3</w:t>
            </w:r>
            <w:r>
              <w:rPr>
                <w:rFonts w:hint="eastAsia" w:ascii="宋体" w:hAnsi="宋体" w:cs="宋体"/>
                <w:color w:val="auto"/>
                <w:sz w:val="24"/>
              </w:rPr>
              <w:t>，</w:t>
            </w:r>
            <w:r>
              <w:rPr>
                <w:rFonts w:hint="eastAsia" w:ascii="宋体" w:hAnsi="宋体" w:cs="宋体"/>
                <w:color w:val="auto"/>
                <w:sz w:val="24"/>
                <w:lang w:val="en-US"/>
              </w:rPr>
              <w:t>非甲烷总烃排放浓度</w:t>
            </w:r>
            <w:r>
              <w:rPr>
                <w:rFonts w:hint="default" w:ascii="宋体" w:hAnsi="宋体" w:cs="宋体"/>
                <w:color w:val="auto"/>
                <w:sz w:val="24"/>
                <w:lang w:val="en-US"/>
              </w:rPr>
              <w:t>10</w:t>
            </w:r>
            <w:r>
              <w:rPr>
                <w:rFonts w:hint="default" w:ascii="宋体" w:hAnsi="宋体" w:cs="宋体"/>
                <w:color w:val="auto"/>
                <w:sz w:val="24"/>
              </w:rPr>
              <w:t>.0mg/m</w:t>
            </w:r>
            <w:r>
              <w:rPr>
                <w:rFonts w:hint="default" w:ascii="宋体" w:hAnsi="宋体" w:cs="宋体"/>
                <w:color w:val="auto"/>
                <w:sz w:val="24"/>
                <w:vertAlign w:val="superscript"/>
              </w:rPr>
              <w:t>3</w:t>
            </w:r>
            <w:r>
              <w:rPr>
                <w:rFonts w:hint="eastAsia" w:ascii="宋体" w:hAnsi="宋体" w:cs="宋体"/>
                <w:color w:val="auto"/>
                <w:sz w:val="24"/>
              </w:rPr>
              <w:t>的标准限值要求。食堂油烟</w:t>
            </w:r>
            <w:r>
              <w:rPr>
                <w:rFonts w:hint="eastAsia" w:ascii="宋体" w:hAnsi="宋体" w:cs="宋体"/>
                <w:color w:val="auto"/>
                <w:sz w:val="24"/>
                <w:lang w:val="en-US"/>
              </w:rPr>
              <w:t>排放浓度达标，对周围环境影响小。</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rPr>
            </w:pPr>
            <w:r>
              <w:rPr>
                <w:rFonts w:hint="eastAsia" w:ascii="宋体" w:hAnsi="宋体" w:cs="宋体"/>
                <w:color w:val="auto"/>
                <w:sz w:val="24"/>
                <w:lang w:val="en-US"/>
              </w:rPr>
              <w:t xml:space="preserve">（3）备用发电机尾气 </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rPr>
            </w:pPr>
            <w:r>
              <w:rPr>
                <w:rFonts w:hint="eastAsia" w:ascii="宋体" w:hAnsi="宋体" w:cs="宋体"/>
                <w:color w:val="auto"/>
                <w:sz w:val="24"/>
                <w:lang w:val="en-US"/>
              </w:rPr>
              <w:t>项目设置有</w:t>
            </w:r>
            <w:r>
              <w:rPr>
                <w:rFonts w:hint="default" w:ascii="宋体" w:hAnsi="宋体" w:cs="宋体"/>
                <w:color w:val="auto"/>
                <w:sz w:val="24"/>
                <w:lang w:val="en-US"/>
              </w:rPr>
              <w:t>1</w:t>
            </w:r>
            <w:r>
              <w:rPr>
                <w:rFonts w:hint="eastAsia" w:ascii="宋体" w:hAnsi="宋体" w:cs="宋体"/>
                <w:color w:val="auto"/>
                <w:sz w:val="24"/>
                <w:lang w:val="en-US"/>
              </w:rPr>
              <w:t>台备用柴油发电机作为备用电源，仅供消防及停电时使用，该发电机采用轻质柴油（含硫率</w:t>
            </w:r>
            <w:r>
              <w:rPr>
                <w:rFonts w:hint="default" w:ascii="宋体" w:hAnsi="宋体" w:cs="宋体"/>
                <w:color w:val="auto"/>
                <w:sz w:val="24"/>
                <w:lang w:val="en-US"/>
              </w:rPr>
              <w:t>≤10mg/kg</w:t>
            </w:r>
            <w:r>
              <w:rPr>
                <w:rFonts w:hint="eastAsia" w:ascii="宋体" w:hAnsi="宋体" w:cs="宋体"/>
                <w:color w:val="auto"/>
                <w:sz w:val="24"/>
                <w:lang w:val="en-US"/>
              </w:rPr>
              <w:t>）作燃料，燃烧较为完全，备用发电机尾气需发电机自带的排气管通过专用烟道以无组织形式排入大气环境。发电机作为备用电源，仅在市政停电紧急情况下使用，由于该区日常供电稳定，发电机使用频率较低，全年使用时间一般不超过2次，产污量较少，故不进行定量分析。备用发电机单独置于</w:t>
            </w:r>
            <w:r>
              <w:rPr>
                <w:rFonts w:hint="eastAsia" w:ascii="宋体" w:hAnsi="宋体" w:cs="宋体"/>
                <w:color w:val="auto"/>
                <w:sz w:val="24"/>
                <w:lang w:val="en-US" w:eastAsia="zh-CN"/>
              </w:rPr>
              <w:t>门诊楼</w:t>
            </w:r>
            <w:r>
              <w:rPr>
                <w:rFonts w:hint="default" w:ascii="宋体" w:hAnsi="宋体" w:cs="宋体"/>
                <w:color w:val="auto"/>
                <w:sz w:val="24"/>
                <w:lang w:val="en-US" w:eastAsia="zh-CN"/>
              </w:rPr>
              <w:t>1F</w:t>
            </w:r>
            <w:r>
              <w:rPr>
                <w:rFonts w:hint="eastAsia" w:ascii="宋体" w:hAnsi="宋体" w:cs="宋体"/>
                <w:color w:val="auto"/>
                <w:sz w:val="24"/>
                <w:lang w:val="en-US"/>
              </w:rPr>
              <w:t>发电室内，备用发电机使用时产生的尾气通过发电机自带的排气管通过专用烟道以无组织形式排入大气环境，排气管位置应避开人群穿流区及聚集区。</w:t>
            </w:r>
          </w:p>
          <w:p>
            <w:pPr>
              <w:pStyle w:val="64"/>
              <w:keepNext w:val="0"/>
              <w:keepLines w:val="0"/>
              <w:suppressLineNumbers w:val="0"/>
              <w:spacing w:before="0" w:beforeAutospacing="0" w:after="0" w:afterAutospacing="0"/>
              <w:ind w:left="0" w:right="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综上所述，本项目废气污染物对周围环境影响轻微。</w:t>
            </w:r>
          </w:p>
          <w:p>
            <w:pPr>
              <w:pStyle w:val="64"/>
              <w:keepNext w:val="0"/>
              <w:keepLines w:val="0"/>
              <w:numPr>
                <w:ilvl w:val="0"/>
                <w:numId w:val="0"/>
              </w:numPr>
              <w:suppressLineNumbers w:val="0"/>
              <w:spacing w:before="0" w:beforeAutospacing="0" w:after="0" w:afterAutospacing="0"/>
              <w:ind w:left="0" w:right="0" w:firstLine="480" w:firstLineChars="200"/>
              <w:rPr>
                <w:rFonts w:hint="default" w:ascii="宋体" w:hAnsi="宋体" w:cs="宋体"/>
                <w:color w:val="auto"/>
                <w:spacing w:val="0"/>
                <w:kern w:val="2"/>
                <w:sz w:val="24"/>
                <w:lang w:val="en-US" w:eastAsia="zh-CN"/>
              </w:rPr>
            </w:pPr>
            <w:r>
              <w:rPr>
                <w:rFonts w:hint="eastAsia" w:ascii="宋体" w:hAnsi="宋体" w:cs="宋体"/>
                <w:color w:val="auto"/>
                <w:spacing w:val="0"/>
                <w:kern w:val="2"/>
                <w:sz w:val="24"/>
                <w:lang w:val="en-US" w:eastAsia="zh-CN"/>
              </w:rPr>
              <w:t>（</w:t>
            </w:r>
            <w:r>
              <w:rPr>
                <w:rFonts w:hint="default" w:ascii="宋体" w:hAnsi="宋体" w:cs="宋体"/>
                <w:color w:val="auto"/>
                <w:spacing w:val="0"/>
                <w:kern w:val="2"/>
                <w:sz w:val="24"/>
                <w:lang w:val="en-US" w:eastAsia="zh-CN"/>
              </w:rPr>
              <w:t>4</w:t>
            </w:r>
            <w:r>
              <w:rPr>
                <w:rFonts w:hint="eastAsia" w:ascii="宋体" w:hAnsi="宋体" w:cs="宋体"/>
                <w:color w:val="auto"/>
                <w:spacing w:val="0"/>
                <w:kern w:val="2"/>
                <w:sz w:val="24"/>
                <w:lang w:val="en-US" w:eastAsia="zh-CN"/>
              </w:rPr>
              <w:t>）大气监测计划</w:t>
            </w:r>
          </w:p>
          <w:p>
            <w:pPr>
              <w:keepNext w:val="0"/>
              <w:keepLines w:val="0"/>
              <w:widowControl/>
              <w:suppressLineNumbers w:val="0"/>
              <w:spacing w:before="0" w:beforeAutospacing="0" w:after="0" w:afterAutospacing="0"/>
              <w:ind w:left="0" w:right="0"/>
              <w:jc w:val="left"/>
              <w:rPr>
                <w:rFonts w:hint="default" w:ascii="Calibri" w:hAnsi="Calibri" w:cs="Times New Roman"/>
                <w:color w:val="auto"/>
              </w:rPr>
            </w:pPr>
            <w:r>
              <w:rPr>
                <w:rFonts w:hint="eastAsia" w:ascii="宋体" w:hAnsi="宋体" w:eastAsia="宋体" w:cs="宋体"/>
                <w:color w:val="auto"/>
                <w:kern w:val="0"/>
                <w:sz w:val="24"/>
                <w:szCs w:val="24"/>
                <w:lang w:val="en-US" w:eastAsia="zh-CN" w:bidi="ar"/>
              </w:rPr>
              <w:t>项目床位为</w:t>
            </w:r>
            <w:r>
              <w:rPr>
                <w:rFonts w:hint="default" w:ascii="宋体" w:hAnsi="宋体" w:eastAsia="宋体" w:cs="宋体"/>
                <w:color w:val="auto"/>
                <w:kern w:val="0"/>
                <w:sz w:val="24"/>
                <w:szCs w:val="24"/>
                <w:lang w:val="en-US" w:eastAsia="zh-CN" w:bidi="ar"/>
              </w:rPr>
              <w:t>250</w:t>
            </w:r>
            <w:r>
              <w:rPr>
                <w:rFonts w:hint="eastAsia" w:ascii="宋体" w:hAnsi="宋体" w:eastAsia="宋体" w:cs="宋体"/>
                <w:color w:val="auto"/>
                <w:kern w:val="0"/>
                <w:sz w:val="24"/>
                <w:szCs w:val="24"/>
                <w:lang w:val="en-US" w:eastAsia="zh-CN" w:bidi="ar"/>
              </w:rPr>
              <w:t>张，根据《固定污染源排污许可分类管理名录》，项目排污许可证为登记管理，参考《排污许可证申请与核发技术规范医疗机构》（</w:t>
            </w:r>
            <w:r>
              <w:rPr>
                <w:rFonts w:hint="default" w:ascii="Times New Roman" w:hAnsi="Times New Roman" w:eastAsia="宋体" w:cs="Times New Roman"/>
                <w:color w:val="auto"/>
                <w:kern w:val="0"/>
                <w:sz w:val="24"/>
                <w:szCs w:val="24"/>
                <w:lang w:val="en-US" w:eastAsia="zh-CN" w:bidi="ar"/>
              </w:rPr>
              <w:t>HJ</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-2020</w:t>
            </w:r>
            <w:r>
              <w:rPr>
                <w:rFonts w:hint="eastAsia" w:ascii="宋体" w:hAnsi="宋体" w:eastAsia="宋体" w:cs="宋体"/>
                <w:color w:val="auto"/>
                <w:kern w:val="0"/>
                <w:sz w:val="24"/>
                <w:szCs w:val="24"/>
                <w:lang w:val="en-US" w:eastAsia="zh-CN" w:bidi="ar"/>
              </w:rPr>
              <w:t>），项目废气监测计划如下。项目废气监测计划见表</w:t>
            </w:r>
            <w:r>
              <w:rPr>
                <w:rFonts w:hint="default" w:ascii="Times New Roman" w:hAnsi="Times New Roman" w:eastAsia="宋体" w:cs="Times New Roman"/>
                <w:color w:val="auto"/>
                <w:kern w:val="0"/>
                <w:sz w:val="24"/>
                <w:szCs w:val="24"/>
                <w:lang w:val="en-US" w:eastAsia="zh-CN" w:bidi="ar"/>
              </w:rPr>
              <w:t>4-8</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Calibri" w:hAnsi="Calibri" w:cs="Times New Roman"/>
                <w:color w:val="auto"/>
                <w:sz w:val="24"/>
                <w:szCs w:val="24"/>
              </w:rPr>
            </w:pPr>
            <w:r>
              <w:rPr>
                <w:rFonts w:hint="eastAsia" w:ascii="宋体" w:hAnsi="宋体" w:eastAsia="宋体" w:cs="宋体"/>
                <w:b/>
                <w:bCs/>
                <w:color w:val="auto"/>
                <w:kern w:val="0"/>
                <w:sz w:val="24"/>
                <w:szCs w:val="24"/>
                <w:lang w:val="en-US" w:eastAsia="zh-CN" w:bidi="ar"/>
              </w:rPr>
              <w:t>表</w:t>
            </w:r>
            <w:r>
              <w:rPr>
                <w:rFonts w:hint="default" w:ascii="Times New Roman" w:hAnsi="Times New Roman" w:eastAsia="宋体" w:cs="Times New Roman"/>
                <w:b/>
                <w:bCs/>
                <w:color w:val="auto"/>
                <w:kern w:val="0"/>
                <w:sz w:val="24"/>
                <w:szCs w:val="24"/>
                <w:lang w:val="en-US" w:eastAsia="zh-CN" w:bidi="ar"/>
              </w:rPr>
              <w:t xml:space="preserve">4-8 </w:t>
            </w:r>
            <w:r>
              <w:rPr>
                <w:rFonts w:hint="eastAsia" w:ascii="宋体" w:hAnsi="宋体" w:eastAsia="宋体" w:cs="宋体"/>
                <w:b/>
                <w:bCs/>
                <w:color w:val="auto"/>
                <w:kern w:val="0"/>
                <w:sz w:val="24"/>
                <w:szCs w:val="24"/>
                <w:lang w:val="en-US" w:eastAsia="zh-CN" w:bidi="ar"/>
              </w:rPr>
              <w:t>大气污染监测计划</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000"/>
              <w:gridCol w:w="1162"/>
              <w:gridCol w:w="1738"/>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pStyle w:val="64"/>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监测点位</w:t>
                  </w:r>
                </w:p>
              </w:tc>
              <w:tc>
                <w:tcPr>
                  <w:tcW w:w="2000" w:type="dxa"/>
                  <w:vAlign w:val="center"/>
                </w:tcPr>
                <w:p>
                  <w:pPr>
                    <w:pStyle w:val="64"/>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监测因子</w:t>
                  </w:r>
                </w:p>
              </w:tc>
              <w:tc>
                <w:tcPr>
                  <w:tcW w:w="1162" w:type="dxa"/>
                  <w:vAlign w:val="center"/>
                </w:tcPr>
                <w:p>
                  <w:pPr>
                    <w:pStyle w:val="64"/>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监测频次</w:t>
                  </w:r>
                </w:p>
              </w:tc>
              <w:tc>
                <w:tcPr>
                  <w:tcW w:w="1738" w:type="dxa"/>
                  <w:vAlign w:val="center"/>
                </w:tcPr>
                <w:p>
                  <w:pPr>
                    <w:pStyle w:val="64"/>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监测方法</w:t>
                  </w:r>
                </w:p>
              </w:tc>
              <w:tc>
                <w:tcPr>
                  <w:tcW w:w="3608" w:type="dxa"/>
                  <w:vAlign w:val="center"/>
                </w:tcPr>
                <w:p>
                  <w:pPr>
                    <w:pStyle w:val="64"/>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pStyle w:val="64"/>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spacing w:val="0"/>
                      <w:kern w:val="2"/>
                      <w:sz w:val="21"/>
                      <w:szCs w:val="21"/>
                      <w:vertAlign w:val="baseline"/>
                      <w:lang w:val="en-US" w:eastAsia="zh-CN"/>
                    </w:rPr>
                    <w:t>污水处理站周界</w:t>
                  </w:r>
                </w:p>
              </w:tc>
              <w:tc>
                <w:tcPr>
                  <w:tcW w:w="20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氨、硫化氢、臭气浓度、氯气、甲烷</w:t>
                  </w:r>
                </w:p>
              </w:tc>
              <w:tc>
                <w:tcPr>
                  <w:tcW w:w="1162" w:type="dxa"/>
                  <w:vAlign w:val="center"/>
                </w:tcPr>
                <w:p>
                  <w:pPr>
                    <w:pStyle w:val="64"/>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spacing w:val="0"/>
                      <w:kern w:val="2"/>
                      <w:sz w:val="21"/>
                      <w:szCs w:val="21"/>
                      <w:vertAlign w:val="baseline"/>
                      <w:lang w:val="en-US" w:eastAsia="zh-CN"/>
                    </w:rPr>
                    <w:t>季度/次</w:t>
                  </w:r>
                </w:p>
              </w:tc>
              <w:tc>
                <w:tcPr>
                  <w:tcW w:w="173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国家标准规划执行</w:t>
                  </w:r>
                </w:p>
              </w:tc>
              <w:tc>
                <w:tcPr>
                  <w:tcW w:w="360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医疗机构水污染物排放标准》（GB</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-2005）表3中的排放标准</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eastAsia" w:ascii="宋体" w:hAnsi="宋体" w:cs="宋体"/>
                <w:b/>
                <w:color w:val="auto"/>
                <w:sz w:val="24"/>
                <w:szCs w:val="24"/>
              </w:rPr>
              <w:t>3、噪声</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1、噪声源情况及采取的措施</w:t>
            </w:r>
          </w:p>
          <w:p>
            <w:pPr>
              <w:keepNext w:val="0"/>
              <w:keepLines w:val="0"/>
              <w:widowControl/>
              <w:suppressLineNumbers w:val="0"/>
              <w:spacing w:before="0" w:beforeAutospacing="0" w:after="0" w:afterAutospacing="0" w:line="360" w:lineRule="auto"/>
              <w:ind w:left="0" w:right="0" w:firstLine="480" w:firstLineChars="200"/>
              <w:jc w:val="left"/>
              <w:rPr>
                <w:rFonts w:hint="default" w:ascii="Calibri" w:hAnsi="Calibri" w:cs="Times New Roman"/>
                <w:color w:val="auto"/>
              </w:rPr>
            </w:pPr>
            <w:r>
              <w:rPr>
                <w:rFonts w:hint="eastAsia" w:ascii="宋体" w:hAnsi="宋体" w:cs="宋体"/>
                <w:color w:val="auto"/>
                <w:sz w:val="24"/>
              </w:rPr>
              <w:t>运营期噪声源主要来源于人群活动、排风扇、水泵噪声、</w:t>
            </w:r>
            <w:r>
              <w:rPr>
                <w:rFonts w:hint="eastAsia" w:ascii="宋体" w:hAnsi="宋体" w:cs="宋体"/>
                <w:color w:val="auto"/>
                <w:kern w:val="0"/>
                <w:sz w:val="24"/>
                <w:szCs w:val="24"/>
                <w:lang w:bidi="ar"/>
              </w:rPr>
              <w:t>备用发电机的噪声；</w:t>
            </w:r>
            <w:r>
              <w:rPr>
                <w:rFonts w:hint="eastAsia" w:ascii="宋体" w:hAnsi="宋体" w:cs="宋体"/>
                <w:color w:val="auto"/>
                <w:sz w:val="24"/>
              </w:rPr>
              <w:t>人群活动、排风扇、水泵噪声噪声源强60</w:t>
            </w:r>
            <w:r>
              <w:rPr>
                <w:rFonts w:hint="default" w:ascii="Times New Roman" w:hAnsi="Times New Roman" w:cs="Times New Roman"/>
                <w:color w:val="auto"/>
                <w:sz w:val="24"/>
              </w:rPr>
              <w:t>~</w:t>
            </w:r>
            <w:r>
              <w:rPr>
                <w:rFonts w:hint="eastAsia" w:ascii="宋体" w:hAnsi="宋体" w:cs="宋体"/>
                <w:color w:val="auto"/>
                <w:sz w:val="24"/>
              </w:rPr>
              <w:t>75dB（A）之间，</w:t>
            </w:r>
            <w:r>
              <w:rPr>
                <w:rFonts w:hint="eastAsia" w:ascii="宋体" w:hAnsi="宋体" w:cs="宋体"/>
                <w:color w:val="auto"/>
                <w:kern w:val="0"/>
                <w:sz w:val="24"/>
                <w:szCs w:val="24"/>
                <w:lang w:bidi="ar"/>
              </w:rPr>
              <w:t xml:space="preserve">备用发电机的噪声声级值范围在 </w:t>
            </w:r>
            <w:r>
              <w:rPr>
                <w:rFonts w:hint="default" w:ascii="Times New Roman" w:hAnsi="Times New Roman" w:cs="Times New Roman"/>
                <w:color w:val="auto"/>
                <w:kern w:val="0"/>
                <w:sz w:val="24"/>
                <w:szCs w:val="24"/>
                <w:lang w:bidi="ar"/>
              </w:rPr>
              <w:t>95dB</w:t>
            </w:r>
            <w:r>
              <w:rPr>
                <w:rFonts w:hint="eastAsia" w:ascii="宋体" w:hAnsi="宋体" w:cs="宋体"/>
                <w:color w:val="auto"/>
                <w:kern w:val="0"/>
                <w:sz w:val="24"/>
                <w:szCs w:val="24"/>
                <w:lang w:bidi="ar"/>
              </w:rPr>
              <w:t>（</w:t>
            </w:r>
            <w:r>
              <w:rPr>
                <w:rFonts w:hint="default" w:ascii="Times New Roman" w:hAnsi="Times New Roman" w:cs="Times New Roman"/>
                <w:color w:val="auto"/>
                <w:kern w:val="0"/>
                <w:sz w:val="24"/>
                <w:szCs w:val="24"/>
                <w:lang w:bidi="ar"/>
              </w:rPr>
              <w:t>A</w:t>
            </w:r>
            <w:r>
              <w:rPr>
                <w:rFonts w:hint="eastAsia" w:ascii="宋体" w:hAnsi="宋体" w:cs="宋体"/>
                <w:color w:val="auto"/>
                <w:kern w:val="0"/>
                <w:sz w:val="24"/>
                <w:szCs w:val="24"/>
                <w:lang w:bidi="ar"/>
              </w:rPr>
              <w:t xml:space="preserve">）左右，但项目备用发电机作为项目第二供电源，仅在市政停电紧急情况下使用，由于该区日常供电稳定，发电机使用频率较低，单次使用持续时间约 </w:t>
            </w:r>
            <w:r>
              <w:rPr>
                <w:rFonts w:hint="default" w:ascii="Times New Roman" w:hAnsi="Times New Roman" w:cs="Times New Roman"/>
                <w:color w:val="auto"/>
                <w:kern w:val="0"/>
                <w:sz w:val="24"/>
                <w:szCs w:val="24"/>
                <w:lang w:bidi="ar"/>
              </w:rPr>
              <w:t>1~3h</w:t>
            </w:r>
            <w:r>
              <w:rPr>
                <w:rFonts w:hint="eastAsia" w:ascii="宋体" w:hAnsi="宋体" w:cs="宋体"/>
                <w:color w:val="auto"/>
                <w:kern w:val="0"/>
                <w:sz w:val="24"/>
                <w:szCs w:val="24"/>
                <w:lang w:bidi="ar"/>
              </w:rPr>
              <w:t xml:space="preserve">。即备用发电机噪声为偶发噪声，单次排放持续时间为 </w:t>
            </w:r>
            <w:r>
              <w:rPr>
                <w:rFonts w:hint="default" w:ascii="Times New Roman" w:hAnsi="Times New Roman" w:cs="Times New Roman"/>
                <w:color w:val="auto"/>
                <w:kern w:val="0"/>
                <w:sz w:val="24"/>
                <w:szCs w:val="24"/>
                <w:lang w:bidi="ar"/>
              </w:rPr>
              <w:t>1~3h</w:t>
            </w:r>
            <w:r>
              <w:rPr>
                <w:rFonts w:hint="eastAsia" w:ascii="宋体" w:hAnsi="宋体" w:cs="宋体"/>
                <w:color w:val="auto"/>
                <w:kern w:val="0"/>
                <w:sz w:val="24"/>
                <w:szCs w:val="24"/>
                <w:lang w:bidi="ar"/>
              </w:rPr>
              <w:t xml:space="preserve">。项目将备用发电机置于单独的发电室内，并采取基础减震、构筑设施隔声、距离衰减后噪声排放值可降低在 </w:t>
            </w:r>
            <w:r>
              <w:rPr>
                <w:rFonts w:hint="default" w:ascii="Times New Roman" w:hAnsi="Times New Roman" w:cs="Times New Roman"/>
                <w:color w:val="auto"/>
                <w:kern w:val="0"/>
                <w:sz w:val="24"/>
                <w:szCs w:val="24"/>
                <w:lang w:bidi="ar"/>
              </w:rPr>
              <w:t>60dB</w:t>
            </w:r>
            <w:r>
              <w:rPr>
                <w:rFonts w:hint="eastAsia" w:ascii="宋体" w:hAnsi="宋体" w:cs="宋体"/>
                <w:color w:val="auto"/>
                <w:kern w:val="0"/>
                <w:sz w:val="24"/>
                <w:szCs w:val="24"/>
                <w:lang w:bidi="ar"/>
              </w:rPr>
              <w:t>（</w:t>
            </w:r>
            <w:r>
              <w:rPr>
                <w:rFonts w:hint="default" w:ascii="Times New Roman" w:hAnsi="Times New Roman" w:cs="Times New Roman"/>
                <w:color w:val="auto"/>
                <w:kern w:val="0"/>
                <w:sz w:val="24"/>
                <w:szCs w:val="24"/>
                <w:lang w:bidi="ar"/>
              </w:rPr>
              <w:t>A</w:t>
            </w:r>
            <w:r>
              <w:rPr>
                <w:rFonts w:hint="eastAsia" w:ascii="宋体" w:hAnsi="宋体" w:cs="宋体"/>
                <w:color w:val="auto"/>
                <w:kern w:val="0"/>
                <w:sz w:val="24"/>
                <w:szCs w:val="24"/>
                <w:lang w:bidi="ar"/>
              </w:rPr>
              <w:t>）以下，</w:t>
            </w:r>
            <w:r>
              <w:rPr>
                <w:rFonts w:hint="eastAsia" w:ascii="宋体" w:hAnsi="宋体" w:cs="宋体"/>
                <w:color w:val="auto"/>
                <w:sz w:val="24"/>
                <w:szCs w:val="24"/>
              </w:rPr>
              <w:t>在使用备用发电机时使用减震垫，在密闭的发电室内工作。</w:t>
            </w:r>
            <w:r>
              <w:rPr>
                <w:rFonts w:hint="eastAsia" w:ascii="宋体" w:hAnsi="宋体" w:cs="宋体"/>
                <w:color w:val="auto"/>
                <w:kern w:val="0"/>
                <w:sz w:val="24"/>
                <w:szCs w:val="24"/>
                <w:lang w:bidi="ar"/>
              </w:rPr>
              <w:t>可实现厂界噪声达标排放。</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本项目运营期采取治理措施如下：</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1）调节池水泵设置为潜水泵，污水处理站水泵放置在一体化设施内部。一体化污水处理站利用建筑物隔声，排风扇利用墙体和门窗隔声。</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2）在医院车流入口处放置提示标语院内禁止鸣笛或低速慢行等标语。</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3）医院内部贴标语“禁止大声喧哗”等，提醒病患和其他人员。</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4）定期对产生噪声和振动的设备进行检修维护，避免设备产生故障噪声及振动。</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5）</w:t>
            </w:r>
            <w:r>
              <w:rPr>
                <w:rFonts w:hint="eastAsia" w:ascii="Calibri" w:hAnsi="Calibri" w:cs="Times New Roman"/>
                <w:color w:val="auto"/>
                <w:spacing w:val="-3"/>
                <w:sz w:val="24"/>
                <w:szCs w:val="22"/>
              </w:rPr>
              <w:t>备用发电机置于</w:t>
            </w:r>
            <w:r>
              <w:rPr>
                <w:rFonts w:hint="eastAsia" w:ascii="Calibri" w:hAnsi="Calibri" w:cs="Times New Roman"/>
                <w:color w:val="auto"/>
                <w:sz w:val="24"/>
                <w:szCs w:val="22"/>
              </w:rPr>
              <w:t>单独的发电室</w:t>
            </w:r>
            <w:r>
              <w:rPr>
                <w:rFonts w:hint="eastAsia" w:ascii="Calibri" w:hAnsi="Calibri" w:cs="Times New Roman"/>
                <w:color w:val="auto"/>
                <w:spacing w:val="-3"/>
                <w:sz w:val="24"/>
                <w:szCs w:val="22"/>
              </w:rPr>
              <w:t>内，并采取基础减震、构筑设施隔声、距离衰减。</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 xml:space="preserve">6) </w:t>
            </w:r>
            <w:r>
              <w:rPr>
                <w:rFonts w:hint="eastAsia" w:ascii="宋体" w:hAnsi="宋体" w:cs="宋体"/>
                <w:color w:val="auto"/>
                <w:sz w:val="24"/>
                <w:lang w:val="en-US"/>
              </w:rPr>
              <w:t>在使用备用发电机时使用减震垫，在密闭的发电室内工作。</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本项目噪声源强见下表。</w:t>
            </w:r>
          </w:p>
          <w:p>
            <w:pPr>
              <w:pStyle w:val="79"/>
              <w:keepNext w:val="0"/>
              <w:keepLines w:val="0"/>
              <w:suppressLineNumbers w:val="0"/>
              <w:spacing w:before="0" w:beforeAutospacing="0" w:after="0" w:afterAutospacing="0"/>
              <w:ind w:left="0" w:right="0" w:firstLine="0"/>
              <w:jc w:val="center"/>
              <w:rPr>
                <w:rFonts w:hint="eastAsia" w:cs="宋体"/>
                <w:b/>
                <w:color w:val="auto"/>
                <w:spacing w:val="4"/>
                <w:kern w:val="24"/>
                <w:sz w:val="24"/>
                <w:szCs w:val="24"/>
                <w:lang w:val="zh-CN"/>
              </w:rPr>
            </w:pPr>
            <w:r>
              <w:rPr>
                <w:rFonts w:hint="eastAsia" w:cs="宋体"/>
                <w:b/>
                <w:color w:val="auto"/>
                <w:spacing w:val="4"/>
                <w:kern w:val="24"/>
                <w:sz w:val="24"/>
                <w:szCs w:val="24"/>
                <w:lang w:val="zh-CN"/>
              </w:rPr>
              <w:t>表4-</w:t>
            </w:r>
            <w:r>
              <w:rPr>
                <w:rFonts w:hint="default" w:cs="宋体"/>
                <w:b/>
                <w:color w:val="auto"/>
                <w:spacing w:val="4"/>
                <w:kern w:val="24"/>
                <w:sz w:val="24"/>
                <w:szCs w:val="24"/>
              </w:rPr>
              <w:t>8</w:t>
            </w:r>
            <w:r>
              <w:rPr>
                <w:rFonts w:hint="eastAsia" w:cs="宋体"/>
                <w:b/>
                <w:color w:val="auto"/>
                <w:spacing w:val="4"/>
                <w:kern w:val="24"/>
                <w:sz w:val="24"/>
                <w:szCs w:val="24"/>
                <w:lang w:val="zh-CN"/>
              </w:rPr>
              <w:t xml:space="preserve">  噪声源强一览表  单位：dB(A)</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527"/>
              <w:gridCol w:w="494"/>
              <w:gridCol w:w="429"/>
              <w:gridCol w:w="901"/>
              <w:gridCol w:w="604"/>
              <w:gridCol w:w="471"/>
              <w:gridCol w:w="503"/>
              <w:gridCol w:w="399"/>
              <w:gridCol w:w="781"/>
              <w:gridCol w:w="950"/>
              <w:gridCol w:w="1005"/>
              <w:gridCol w:w="983"/>
              <w:gridCol w:w="86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建筑物名称</w:t>
                  </w:r>
                </w:p>
              </w:tc>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声源名称</w:t>
                  </w:r>
                </w:p>
              </w:tc>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型号</w:t>
                  </w:r>
                </w:p>
              </w:tc>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声源源强/ dB（A）</w:t>
                  </w:r>
                </w:p>
              </w:tc>
              <w:tc>
                <w:tcPr>
                  <w:tcW w:w="604"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声源控制措施</w:t>
                  </w:r>
                </w:p>
              </w:tc>
              <w:tc>
                <w:tcPr>
                  <w:tcW w:w="1373" w:type="dxa"/>
                  <w:gridSpan w:val="3"/>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空间相对位置/m</w:t>
                  </w:r>
                </w:p>
              </w:tc>
              <w:tc>
                <w:tcPr>
                  <w:tcW w:w="781" w:type="dxa"/>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距室内边界距离/（m）</w:t>
                  </w:r>
                </w:p>
              </w:tc>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室内边界声级/dB（A）</w:t>
                  </w:r>
                </w:p>
              </w:tc>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运行时段</w:t>
                  </w:r>
                </w:p>
              </w:tc>
              <w:tc>
                <w:tcPr>
                  <w:tcW w:w="0" w:type="auto"/>
                  <w:vMerge w:val="restar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建筑物插入损失/dB（A）</w:t>
                  </w:r>
                </w:p>
              </w:tc>
              <w:tc>
                <w:tcPr>
                  <w:tcW w:w="0" w:type="auto"/>
                  <w:gridSpan w:val="2"/>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604"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471"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X</w:t>
                  </w:r>
                </w:p>
              </w:tc>
              <w:tc>
                <w:tcPr>
                  <w:tcW w:w="50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Y</w:t>
                  </w:r>
                </w:p>
              </w:tc>
              <w:tc>
                <w:tcPr>
                  <w:tcW w:w="39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Z</w:t>
                  </w:r>
                </w:p>
              </w:tc>
              <w:tc>
                <w:tcPr>
                  <w:tcW w:w="781" w:type="dxa"/>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Merge w:val="continue"/>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声压级/ dB（A）</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污水站</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水泵</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rPr>
                    <w:t>/</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85</w:t>
                  </w:r>
                </w:p>
              </w:tc>
              <w:tc>
                <w:tcPr>
                  <w:tcW w:w="604"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安装减震垫及层板隔声</w:t>
                  </w:r>
                </w:p>
              </w:tc>
              <w:tc>
                <w:tcPr>
                  <w:tcW w:w="471"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30.6</w:t>
                  </w:r>
                </w:p>
              </w:tc>
              <w:tc>
                <w:tcPr>
                  <w:tcW w:w="503"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52.78</w:t>
                  </w:r>
                </w:p>
              </w:tc>
              <w:tc>
                <w:tcPr>
                  <w:tcW w:w="399"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rPr>
                    <w:t>-</w:t>
                  </w:r>
                  <w:r>
                    <w:rPr>
                      <w:rFonts w:hint="default" w:ascii="Times New Roman" w:hAnsi="Times New Roman" w:eastAsia="宋体" w:cs="Times New Roman"/>
                      <w:color w:val="auto"/>
                      <w:sz w:val="18"/>
                      <w:szCs w:val="18"/>
                    </w:rPr>
                    <w:t>1</w:t>
                  </w:r>
                </w:p>
              </w:tc>
              <w:tc>
                <w:tcPr>
                  <w:tcW w:w="781" w:type="dxa"/>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80</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24h/d【8760h（365d×24h）】</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70</w:t>
                  </w:r>
                </w:p>
              </w:tc>
              <w:tc>
                <w:tcPr>
                  <w:tcW w:w="0" w:type="auto"/>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gridSpan w:val="15"/>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注：原点位于项目区东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角（项目用地红线东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拐角处）</w:t>
                  </w:r>
                </w:p>
              </w:tc>
            </w:tr>
          </w:tbl>
          <w:p>
            <w:pPr>
              <w:pStyle w:val="98"/>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rPr>
            </w:pPr>
            <w:r>
              <w:rPr>
                <w:rFonts w:hint="default" w:ascii="Calibri" w:hAnsi="Calibri" w:cs="Times New Roman"/>
                <w:color w:val="auto"/>
                <w:sz w:val="24"/>
                <w:szCs w:val="24"/>
              </w:rPr>
              <w:t>表</w:t>
            </w:r>
            <w:r>
              <w:rPr>
                <w:rFonts w:hint="default" w:ascii="Calibri" w:hAnsi="Calibri" w:cs="Times New Roman"/>
                <w:color w:val="auto"/>
                <w:sz w:val="24"/>
                <w:szCs w:val="24"/>
                <w:lang w:val="en-US"/>
              </w:rPr>
              <w:t>4-9</w:t>
            </w:r>
            <w:r>
              <w:rPr>
                <w:rFonts w:hint="default" w:ascii="Calibri" w:hAnsi="Calibri" w:cs="Times New Roman"/>
                <w:color w:val="auto"/>
                <w:sz w:val="24"/>
                <w:szCs w:val="24"/>
              </w:rPr>
              <w:t xml:space="preserve"> 企业噪声源强调查清单（室外声源）  单位：dB（A）</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126"/>
              <w:gridCol w:w="1029"/>
              <w:gridCol w:w="643"/>
              <w:gridCol w:w="629"/>
              <w:gridCol w:w="622"/>
              <w:gridCol w:w="1188"/>
              <w:gridCol w:w="1291"/>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序号</w:t>
                  </w:r>
                </w:p>
              </w:tc>
              <w:tc>
                <w:tcPr>
                  <w:tcW w:w="569"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声源名称</w:t>
                  </w:r>
                </w:p>
              </w:tc>
              <w:tc>
                <w:tcPr>
                  <w:tcW w:w="520"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型号</w:t>
                  </w:r>
                </w:p>
              </w:tc>
              <w:tc>
                <w:tcPr>
                  <w:tcW w:w="957" w:type="pct"/>
                  <w:gridSpan w:val="3"/>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空间相对位置</w:t>
                  </w:r>
                  <w:r>
                    <w:rPr>
                      <w:rFonts w:hint="default" w:ascii="Calibri" w:hAnsi="Calibri" w:cs="Times New Roman"/>
                      <w:color w:val="auto"/>
                    </w:rPr>
                    <w:t>/m</w:t>
                  </w:r>
                </w:p>
              </w:tc>
              <w:tc>
                <w:tcPr>
                  <w:tcW w:w="60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声源源强</w:t>
                  </w:r>
                </w:p>
              </w:tc>
              <w:tc>
                <w:tcPr>
                  <w:tcW w:w="652"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声源控制措施</w:t>
                  </w:r>
                </w:p>
              </w:tc>
              <w:tc>
                <w:tcPr>
                  <w:tcW w:w="1307" w:type="pct"/>
                  <w:vMerge w:val="restar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569"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520"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325"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X</w:t>
                  </w:r>
                </w:p>
              </w:tc>
              <w:tc>
                <w:tcPr>
                  <w:tcW w:w="318"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Y</w:t>
                  </w:r>
                </w:p>
              </w:tc>
              <w:tc>
                <w:tcPr>
                  <w:tcW w:w="313"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Z</w:t>
                  </w:r>
                </w:p>
              </w:tc>
              <w:tc>
                <w:tcPr>
                  <w:tcW w:w="60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声功率级</w:t>
                  </w:r>
                  <w:r>
                    <w:rPr>
                      <w:rFonts w:hint="default" w:ascii="Calibri" w:hAnsi="Calibri" w:cs="Times New Roman"/>
                      <w:color w:val="auto"/>
                    </w:rPr>
                    <w:t>/dB</w:t>
                  </w:r>
                  <w:r>
                    <w:rPr>
                      <w:rFonts w:hint="default" w:ascii="Calibri" w:hAnsi="Calibri" w:eastAsia="宋体" w:cs="Times New Roman"/>
                      <w:color w:val="auto"/>
                    </w:rPr>
                    <w:t>（</w:t>
                  </w:r>
                  <w:r>
                    <w:rPr>
                      <w:rFonts w:hint="default" w:ascii="Calibri" w:hAnsi="Calibri" w:cs="Times New Roman"/>
                      <w:color w:val="auto"/>
                    </w:rPr>
                    <w:t>A</w:t>
                  </w:r>
                  <w:r>
                    <w:rPr>
                      <w:rFonts w:hint="default" w:ascii="Calibri" w:hAnsi="Calibri" w:eastAsia="宋体" w:cs="Times New Roman"/>
                      <w:color w:val="auto"/>
                    </w:rPr>
                    <w:t>）</w:t>
                  </w:r>
                </w:p>
              </w:tc>
              <w:tc>
                <w:tcPr>
                  <w:tcW w:w="652"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c>
                <w:tcPr>
                  <w:tcW w:w="1307" w:type="pct"/>
                  <w:vMerge w:val="continue"/>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1</w:t>
                  </w:r>
                </w:p>
              </w:tc>
              <w:tc>
                <w:tcPr>
                  <w:tcW w:w="569"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污水站风机</w:t>
                  </w:r>
                </w:p>
              </w:tc>
              <w:tc>
                <w:tcPr>
                  <w:tcW w:w="52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lang w:val="en-US"/>
                    </w:rPr>
                    <w:t>8</w:t>
                  </w:r>
                  <w:r>
                    <w:rPr>
                      <w:rFonts w:hint="default" w:ascii="Calibri" w:hAnsi="Calibri" w:cs="Times New Roman"/>
                      <w:color w:val="auto"/>
                    </w:rPr>
                    <w:t>000m³/h</w:t>
                  </w:r>
                </w:p>
              </w:tc>
              <w:tc>
                <w:tcPr>
                  <w:tcW w:w="325" w:type="pc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rPr>
                    <w:t>8</w:t>
                  </w:r>
                  <w:r>
                    <w:rPr>
                      <w:rFonts w:hint="default" w:ascii="Times New Roman" w:hAnsi="Times New Roman" w:eastAsia="宋体" w:cs="Times New Roman"/>
                      <w:color w:val="auto"/>
                      <w:sz w:val="18"/>
                      <w:szCs w:val="18"/>
                    </w:rPr>
                    <w:t>.46</w:t>
                  </w:r>
                </w:p>
              </w:tc>
              <w:tc>
                <w:tcPr>
                  <w:tcW w:w="318" w:type="pc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lang w:val="en-US"/>
                    </w:rPr>
                  </w:pPr>
                  <w:r>
                    <w:rPr>
                      <w:rFonts w:hint="default" w:ascii="Times New Roman" w:hAnsi="Times New Roman" w:eastAsia="宋体" w:cs="Times New Roman"/>
                      <w:color w:val="auto"/>
                      <w:sz w:val="18"/>
                      <w:szCs w:val="18"/>
                      <w:lang w:val="en-US"/>
                    </w:rPr>
                    <w:t>51.66</w:t>
                  </w:r>
                </w:p>
              </w:tc>
              <w:tc>
                <w:tcPr>
                  <w:tcW w:w="313" w:type="pct"/>
                  <w:vAlign w:val="center"/>
                </w:tcPr>
                <w:p>
                  <w:pPr>
                    <w:pStyle w:val="99"/>
                    <w:keepNext w:val="0"/>
                    <w:keepLines w:val="0"/>
                    <w:pageBreakBefore w:val="0"/>
                    <w:widowControl w:val="0"/>
                    <w:suppressLineNumbers w:val="0"/>
                    <w:kinsoku w:val="0"/>
                    <w:wordWrap w:val="0"/>
                    <w:overflowPunct w:val="0"/>
                    <w:topLinePunct w:val="0"/>
                    <w:autoSpaceDE w:val="0"/>
                    <w:autoSpaceDN w:val="0"/>
                    <w:bidi w:val="0"/>
                    <w:adjustRightInd w:val="0"/>
                    <w:snapToGrid w:val="0"/>
                    <w:spacing w:before="0" w:beforeAutospacing="0" w:after="0" w:afterAutospacing="0"/>
                    <w:ind w:left="0" w:right="0"/>
                    <w:textAlignment w:val="baseline"/>
                    <w:rPr>
                      <w:rFonts w:hint="default" w:ascii="Calibri" w:hAnsi="Calibri" w:cs="Times New Roman"/>
                      <w:color w:val="auto"/>
                    </w:rPr>
                  </w:pPr>
                  <w:r>
                    <w:rPr>
                      <w:rFonts w:hint="default" w:ascii="Times New Roman" w:hAnsi="Times New Roman" w:eastAsia="宋体" w:cs="Times New Roman"/>
                      <w:color w:val="auto"/>
                      <w:sz w:val="18"/>
                      <w:szCs w:val="18"/>
                    </w:rPr>
                    <w:t>1</w:t>
                  </w:r>
                </w:p>
              </w:tc>
              <w:tc>
                <w:tcPr>
                  <w:tcW w:w="600"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80</w:t>
                  </w:r>
                </w:p>
              </w:tc>
              <w:tc>
                <w:tcPr>
                  <w:tcW w:w="652"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eastAsia="宋体" w:cs="Times New Roman"/>
                      <w:color w:val="auto"/>
                    </w:rPr>
                    <w:t>安装减震垫</w:t>
                  </w:r>
                </w:p>
              </w:tc>
              <w:tc>
                <w:tcPr>
                  <w:tcW w:w="1307" w:type="pct"/>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Calibri" w:hAnsi="Calibri" w:cs="Times New Roman"/>
                      <w:color w:val="auto"/>
                    </w:rPr>
                    <w:t>24h/d</w:t>
                  </w:r>
                  <w:r>
                    <w:rPr>
                      <w:rFonts w:hint="default" w:ascii="Calibri" w:hAnsi="Calibri" w:eastAsia="宋体" w:cs="Times New Roman"/>
                      <w:color w:val="auto"/>
                    </w:rPr>
                    <w:t>【</w:t>
                  </w:r>
                  <w:r>
                    <w:rPr>
                      <w:rFonts w:hint="default" w:ascii="Calibri" w:hAnsi="Calibri" w:cs="Times New Roman"/>
                      <w:color w:val="auto"/>
                    </w:rPr>
                    <w:t>≤7200h</w:t>
                  </w:r>
                  <w:r>
                    <w:rPr>
                      <w:rFonts w:hint="default" w:ascii="Calibri" w:hAnsi="Calibri" w:eastAsia="宋体" w:cs="Times New Roman"/>
                      <w:color w:val="auto"/>
                    </w:rPr>
                    <w:t>（</w:t>
                  </w:r>
                  <w:r>
                    <w:rPr>
                      <w:rFonts w:hint="default" w:ascii="Calibri" w:hAnsi="Calibri" w:cs="Times New Roman"/>
                      <w:color w:val="auto"/>
                    </w:rPr>
                    <w:t>300d×24h</w:t>
                  </w:r>
                  <w:r>
                    <w:rPr>
                      <w:rFonts w:hint="default" w:ascii="Calibri" w:hAnsi="Calibri"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pStyle w:val="99"/>
                    <w:keepNext w:val="0"/>
                    <w:keepLines w:val="0"/>
                    <w:suppressLineNumbers w:val="0"/>
                    <w:spacing w:before="0" w:beforeAutospacing="0" w:after="0" w:afterAutospacing="0"/>
                    <w:ind w:left="0" w:right="0"/>
                    <w:rPr>
                      <w:rFonts w:hint="default" w:ascii="Calibri" w:hAnsi="Calibri" w:cs="Times New Roman"/>
                      <w:color w:val="auto"/>
                    </w:rPr>
                  </w:pPr>
                  <w:r>
                    <w:rPr>
                      <w:rFonts w:hint="default" w:ascii="Times New Roman" w:hAnsi="Times New Roman" w:eastAsia="宋体" w:cs="Times New Roman"/>
                      <w:color w:val="auto"/>
                      <w:sz w:val="18"/>
                      <w:szCs w:val="18"/>
                    </w:rPr>
                    <w:t>注：原点位于项目区东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角（项目用地红线东</w:t>
                  </w:r>
                  <w:r>
                    <w:rPr>
                      <w:rFonts w:hint="eastAsia" w:ascii="Times New Roman" w:hAnsi="Times New Roman" w:eastAsia="宋体" w:cs="Times New Roman"/>
                      <w:color w:val="auto"/>
                      <w:sz w:val="18"/>
                      <w:szCs w:val="18"/>
                      <w:lang w:eastAsia="zh-CN"/>
                    </w:rPr>
                    <w:t>北</w:t>
                  </w:r>
                  <w:r>
                    <w:rPr>
                      <w:rFonts w:hint="default" w:ascii="Times New Roman" w:hAnsi="Times New Roman" w:eastAsia="宋体" w:cs="Times New Roman"/>
                      <w:color w:val="auto"/>
                      <w:sz w:val="18"/>
                      <w:szCs w:val="18"/>
                    </w:rPr>
                    <w:t>拐角处）</w:t>
                  </w:r>
                </w:p>
              </w:tc>
            </w:tr>
          </w:tbl>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2.预测结果</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rPr>
            </w:pPr>
            <w:r>
              <w:rPr>
                <w:rFonts w:hint="eastAsia" w:ascii="宋体" w:hAnsi="宋体" w:cs="宋体"/>
                <w:color w:val="auto"/>
                <w:spacing w:val="0"/>
                <w:kern w:val="2"/>
                <w:sz w:val="24"/>
                <w:lang w:val="en-US"/>
              </w:rPr>
              <w:t>1）预测模式</w:t>
            </w:r>
          </w:p>
          <w:p>
            <w:pPr>
              <w:pStyle w:val="64"/>
              <w:keepNext w:val="0"/>
              <w:keepLines w:val="0"/>
              <w:suppressLineNumbers w:val="0"/>
              <w:spacing w:before="0" w:beforeAutospacing="0" w:after="0" w:afterAutospacing="0"/>
              <w:ind w:left="0" w:right="0" w:firstLine="480" w:firstLineChars="200"/>
              <w:rPr>
                <w:rFonts w:hint="eastAsia" w:ascii="宋体" w:hAnsi="宋体" w:cs="宋体"/>
                <w:color w:val="auto"/>
                <w:spacing w:val="0"/>
                <w:kern w:val="2"/>
                <w:sz w:val="24"/>
                <w:lang w:val="en-US" w:eastAsia="zh-CN"/>
              </w:rPr>
            </w:pPr>
            <w:r>
              <w:rPr>
                <w:rFonts w:hint="eastAsia" w:ascii="宋体" w:hAnsi="宋体" w:cs="宋体"/>
                <w:color w:val="auto"/>
                <w:spacing w:val="0"/>
                <w:kern w:val="2"/>
                <w:sz w:val="24"/>
                <w:lang w:val="en-US" w:eastAsia="zh-CN"/>
              </w:rPr>
              <w:t>采用</w:t>
            </w:r>
            <w:r>
              <w:rPr>
                <w:rFonts w:hint="eastAsia" w:ascii="宋体" w:hAnsi="宋体" w:cs="宋体"/>
                <w:color w:val="auto"/>
                <w:spacing w:val="0"/>
                <w:kern w:val="2"/>
                <w:sz w:val="24"/>
                <w:lang w:val="en-US"/>
              </w:rPr>
              <w:t>《环境影响评价技术导则 声环境》</w:t>
            </w:r>
            <w:r>
              <w:rPr>
                <w:rFonts w:hint="eastAsia" w:ascii="宋体" w:hAnsi="宋体" w:cs="宋体"/>
                <w:color w:val="auto"/>
                <w:spacing w:val="0"/>
                <w:kern w:val="2"/>
                <w:sz w:val="24"/>
                <w:lang w:val="en-US" w:eastAsia="zh-CN"/>
              </w:rPr>
              <w:t>（</w:t>
            </w:r>
            <w:r>
              <w:rPr>
                <w:rFonts w:hint="eastAsia" w:ascii="宋体" w:hAnsi="宋体" w:cs="宋体"/>
                <w:color w:val="auto"/>
                <w:spacing w:val="0"/>
                <w:kern w:val="2"/>
                <w:sz w:val="24"/>
                <w:lang w:val="en-US"/>
              </w:rPr>
              <w:t>HJ2.4-20</w:t>
            </w:r>
            <w:r>
              <w:rPr>
                <w:rFonts w:hint="default" w:ascii="宋体" w:hAnsi="宋体" w:cs="宋体"/>
                <w:color w:val="auto"/>
                <w:spacing w:val="0"/>
                <w:kern w:val="2"/>
                <w:sz w:val="24"/>
                <w:lang w:val="en-US"/>
              </w:rPr>
              <w:t>21</w:t>
            </w:r>
            <w:r>
              <w:rPr>
                <w:rFonts w:hint="eastAsia" w:ascii="宋体" w:hAnsi="宋体" w:cs="宋体"/>
                <w:color w:val="auto"/>
                <w:spacing w:val="0"/>
                <w:kern w:val="2"/>
                <w:sz w:val="24"/>
                <w:lang w:val="en-US" w:eastAsia="zh-CN"/>
              </w:rPr>
              <w:t>）中相关要求进行预测。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①计算某一室内声源靠近围护结构处产生的倍频带声压级或A声级： </w:t>
            </w:r>
          </w:p>
          <w:p>
            <w:pPr>
              <w:pStyle w:val="6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kern w:val="2"/>
                <w:sz w:val="24"/>
                <w:szCs w:val="24"/>
                <w:lang w:val="en-US" w:eastAsia="zh-CN"/>
              </w:rPr>
            </w:pPr>
            <m:oMathPara>
              <m:oMath>
                <m:sSub>
                  <m:sSubPr>
                    <m:ctrlPr>
                      <w:rPr>
                        <w:rFonts w:hint="default" w:ascii="Cambria Math" w:hAnsi="Cambria Math" w:eastAsia="宋体" w:cs="Times New Roman"/>
                        <w:color w:val="auto"/>
                        <w:spacing w:val="0"/>
                        <w:kern w:val="2"/>
                        <w:sz w:val="24"/>
                        <w:szCs w:val="24"/>
                        <w:lang w:val="en-US" w:eastAsia="zh-CN" w:bidi="ar-SA"/>
                      </w:rPr>
                    </m:ctrlPr>
                  </m:sSubPr>
                  <m:e>
                    <m:r>
                      <m:rPr>
                        <m:sty m:val="p"/>
                      </m:rPr>
                      <w:rPr>
                        <w:rFonts w:hint="default" w:ascii="Cambria Math" w:hAnsi="Cambria Math" w:eastAsia="宋体" w:cs="Times New Roman"/>
                        <w:color w:val="auto"/>
                        <w:spacing w:val="0"/>
                        <w:kern w:val="2"/>
                        <w:sz w:val="24"/>
                        <w:szCs w:val="24"/>
                        <w:lang w:val="en-US" w:eastAsia="zh-CN" w:bidi="ar-SA"/>
                      </w:rPr>
                      <m:t>L</m:t>
                    </m:r>
                    <m:ctrlPr>
                      <w:rPr>
                        <w:rFonts w:hint="default" w:ascii="Cambria Math" w:hAnsi="Cambria Math" w:eastAsia="宋体" w:cs="Times New Roman"/>
                        <w:color w:val="auto"/>
                        <w:spacing w:val="0"/>
                        <w:kern w:val="2"/>
                        <w:sz w:val="24"/>
                        <w:szCs w:val="24"/>
                        <w:lang w:val="en-US" w:eastAsia="zh-CN" w:bidi="ar-SA"/>
                      </w:rPr>
                    </m:ctrlPr>
                  </m:e>
                  <m:sub>
                    <m:r>
                      <m:rPr>
                        <m:sty m:val="p"/>
                      </m:rPr>
                      <w:rPr>
                        <w:rFonts w:hint="default" w:ascii="Cambria Math" w:hAnsi="Cambria Math" w:eastAsia="宋体" w:cs="Times New Roman"/>
                        <w:color w:val="auto"/>
                        <w:spacing w:val="0"/>
                        <w:kern w:val="2"/>
                        <w:sz w:val="24"/>
                        <w:szCs w:val="24"/>
                        <w:lang w:val="en-US" w:eastAsia="zh-CN" w:bidi="ar-SA"/>
                      </w:rPr>
                      <m:t>p1</m:t>
                    </m:r>
                    <m:ctrlPr>
                      <w:rPr>
                        <w:rFonts w:hint="default" w:ascii="Cambria Math" w:hAnsi="Cambria Math" w:eastAsia="宋体" w:cs="Times New Roman"/>
                        <w:color w:val="auto"/>
                        <w:spacing w:val="0"/>
                        <w:kern w:val="2"/>
                        <w:sz w:val="24"/>
                        <w:szCs w:val="24"/>
                        <w:lang w:val="en-US" w:eastAsia="zh-CN" w:bidi="ar-SA"/>
                      </w:rPr>
                    </m:ctrlPr>
                  </m:sub>
                </m:sSub>
                <m:r>
                  <m:rPr>
                    <m:sty m:val="p"/>
                  </m:rPr>
                  <w:rPr>
                    <w:rFonts w:hint="default" w:ascii="Cambria Math" w:hAnsi="Cambria Math" w:eastAsia="宋体" w:cs="Times New Roman"/>
                    <w:color w:val="auto"/>
                    <w:spacing w:val="0"/>
                    <w:kern w:val="2"/>
                    <w:sz w:val="24"/>
                    <w:szCs w:val="24"/>
                    <w:lang w:val="en-US" w:eastAsia="zh-CN" w:bidi="ar-SA"/>
                  </w:rPr>
                  <m:t>=</m:t>
                </m:r>
                <m:sSub>
                  <m:sSubPr>
                    <m:ctrlPr>
                      <w:rPr>
                        <w:rFonts w:hint="default" w:ascii="Cambria Math" w:hAnsi="Cambria Math" w:eastAsia="宋体" w:cs="Times New Roman"/>
                        <w:color w:val="auto"/>
                        <w:spacing w:val="0"/>
                        <w:kern w:val="2"/>
                        <w:sz w:val="24"/>
                        <w:szCs w:val="24"/>
                        <w:lang w:val="en-US" w:eastAsia="zh-CN" w:bidi="ar-SA"/>
                      </w:rPr>
                    </m:ctrlPr>
                  </m:sSubPr>
                  <m:e>
                    <m:r>
                      <m:rPr>
                        <m:sty m:val="p"/>
                      </m:rPr>
                      <w:rPr>
                        <w:rFonts w:hint="default" w:ascii="Cambria Math" w:hAnsi="Cambria Math" w:eastAsia="宋体" w:cs="Times New Roman"/>
                        <w:color w:val="auto"/>
                        <w:spacing w:val="0"/>
                        <w:kern w:val="2"/>
                        <w:sz w:val="24"/>
                        <w:szCs w:val="24"/>
                        <w:lang w:val="en-US" w:eastAsia="zh-CN" w:bidi="ar-SA"/>
                      </w:rPr>
                      <m:t>L</m:t>
                    </m:r>
                    <m:ctrlPr>
                      <w:rPr>
                        <w:rFonts w:hint="default" w:ascii="Cambria Math" w:hAnsi="Cambria Math" w:eastAsia="宋体" w:cs="Times New Roman"/>
                        <w:color w:val="auto"/>
                        <w:spacing w:val="0"/>
                        <w:kern w:val="2"/>
                        <w:sz w:val="24"/>
                        <w:szCs w:val="24"/>
                        <w:lang w:val="en-US" w:eastAsia="zh-CN" w:bidi="ar-SA"/>
                      </w:rPr>
                    </m:ctrlPr>
                  </m:e>
                  <m:sub>
                    <m:r>
                      <m:rPr>
                        <m:sty m:val="p"/>
                      </m:rPr>
                      <w:rPr>
                        <w:rFonts w:hint="default" w:ascii="Cambria Math" w:hAnsi="Cambria Math" w:eastAsia="宋体" w:cs="Times New Roman"/>
                        <w:color w:val="auto"/>
                        <w:spacing w:val="0"/>
                        <w:kern w:val="2"/>
                        <w:sz w:val="24"/>
                        <w:szCs w:val="24"/>
                        <w:lang w:val="en-US" w:eastAsia="zh-CN" w:bidi="ar-SA"/>
                      </w:rPr>
                      <m:t>w</m:t>
                    </m:r>
                    <m:ctrlPr>
                      <w:rPr>
                        <w:rFonts w:hint="default" w:ascii="Cambria Math" w:hAnsi="Cambria Math" w:eastAsia="宋体" w:cs="Times New Roman"/>
                        <w:color w:val="auto"/>
                        <w:spacing w:val="0"/>
                        <w:kern w:val="2"/>
                        <w:sz w:val="24"/>
                        <w:szCs w:val="24"/>
                        <w:lang w:val="en-US" w:eastAsia="zh-CN" w:bidi="ar-SA"/>
                      </w:rPr>
                    </m:ctrlPr>
                  </m:sub>
                </m:sSub>
                <m:r>
                  <m:rPr>
                    <m:sty m:val="p"/>
                  </m:rPr>
                  <w:rPr>
                    <w:rFonts w:hint="default" w:ascii="Cambria Math" w:hAnsi="Cambria Math" w:eastAsia="宋体" w:cs="Times New Roman"/>
                    <w:color w:val="auto"/>
                    <w:spacing w:val="0"/>
                    <w:kern w:val="2"/>
                    <w:sz w:val="24"/>
                    <w:szCs w:val="24"/>
                    <w:lang w:val="en-US" w:eastAsia="zh-CN" w:bidi="ar-SA"/>
                  </w:rPr>
                  <m:t>+10lg（</m:t>
                </m:r>
                <m:f>
                  <m:fPr>
                    <m:ctrlPr>
                      <w:rPr>
                        <w:rFonts w:hint="default" w:ascii="Cambria Math" w:hAnsi="Cambria Math" w:eastAsia="宋体" w:cs="Times New Roman"/>
                        <w:color w:val="auto"/>
                        <w:spacing w:val="0"/>
                        <w:kern w:val="2"/>
                        <w:sz w:val="24"/>
                        <w:szCs w:val="24"/>
                        <w:lang w:val="en-US" w:eastAsia="zh-CN" w:bidi="ar-SA"/>
                      </w:rPr>
                    </m:ctrlPr>
                  </m:fPr>
                  <m:num>
                    <m:r>
                      <m:rPr>
                        <m:sty m:val="p"/>
                      </m:rPr>
                      <w:rPr>
                        <w:rFonts w:hint="default" w:ascii="Cambria Math" w:hAnsi="Cambria Math" w:eastAsia="宋体" w:cs="Times New Roman"/>
                        <w:color w:val="auto"/>
                        <w:spacing w:val="0"/>
                        <w:kern w:val="2"/>
                        <w:sz w:val="24"/>
                        <w:szCs w:val="24"/>
                        <w:lang w:val="en-US" w:eastAsia="zh-CN" w:bidi="ar-SA"/>
                      </w:rPr>
                      <m:t>Q</m:t>
                    </m:r>
                    <m:ctrlPr>
                      <w:rPr>
                        <w:rFonts w:hint="default" w:ascii="Cambria Math" w:hAnsi="Cambria Math" w:eastAsia="宋体" w:cs="Times New Roman"/>
                        <w:color w:val="auto"/>
                        <w:spacing w:val="0"/>
                        <w:kern w:val="2"/>
                        <w:sz w:val="24"/>
                        <w:szCs w:val="24"/>
                        <w:lang w:val="en-US" w:eastAsia="zh-CN" w:bidi="ar-SA"/>
                      </w:rPr>
                    </m:ctrlPr>
                  </m:num>
                  <m:den>
                    <m:r>
                      <m:rPr>
                        <m:sty m:val="p"/>
                      </m:rPr>
                      <w:rPr>
                        <w:rFonts w:hint="default" w:ascii="Cambria Math" w:hAnsi="Cambria Math" w:eastAsia="宋体" w:cs="Times New Roman"/>
                        <w:color w:val="auto"/>
                        <w:spacing w:val="0"/>
                        <w:kern w:val="2"/>
                        <w:sz w:val="24"/>
                        <w:szCs w:val="24"/>
                        <w:lang w:val="en-US" w:eastAsia="zh-CN" w:bidi="ar-SA"/>
                      </w:rPr>
                      <m:t>4</m:t>
                    </m:r>
                    <m:r>
                      <m:rPr>
                        <m:sty m:val="p"/>
                      </m:rPr>
                      <w:rPr>
                        <w:rFonts w:hint="default" w:ascii="Cambria Math" w:hAnsi="Cambria Math" w:eastAsia="宋体" w:cs="Times New Roman"/>
                        <w:color w:val="auto"/>
                        <w:spacing w:val="0"/>
                        <w:kern w:val="2"/>
                        <w:sz w:val="24"/>
                        <w:szCs w:val="24"/>
                        <w:lang w:val="en-US" w:bidi="ar-SA"/>
                      </w:rPr>
                      <m:t>π</m:t>
                    </m:r>
                    <m:sSup>
                      <m:sSupPr>
                        <m:ctrlPr>
                          <w:rPr>
                            <w:rFonts w:hint="default" w:ascii="Cambria Math" w:hAnsi="Cambria Math" w:eastAsia="宋体" w:cs="Times New Roman"/>
                            <w:color w:val="auto"/>
                            <w:spacing w:val="0"/>
                            <w:kern w:val="2"/>
                            <w:sz w:val="24"/>
                            <w:szCs w:val="24"/>
                            <w:lang w:val="en-US" w:bidi="ar-SA"/>
                          </w:rPr>
                        </m:ctrlPr>
                      </m:sSupPr>
                      <m:e>
                        <m:r>
                          <m:rPr>
                            <m:sty m:val="p"/>
                          </m:rPr>
                          <w:rPr>
                            <w:rFonts w:hint="default" w:ascii="Cambria Math" w:hAnsi="Cambria Math" w:eastAsia="宋体" w:cs="Times New Roman"/>
                            <w:color w:val="auto"/>
                            <w:spacing w:val="0"/>
                            <w:kern w:val="2"/>
                            <w:sz w:val="24"/>
                            <w:szCs w:val="24"/>
                            <w:lang w:val="en-US" w:bidi="ar-SA"/>
                          </w:rPr>
                          <m:t>r</m:t>
                        </m:r>
                        <m:ctrlPr>
                          <w:rPr>
                            <w:rFonts w:hint="default" w:ascii="Cambria Math" w:hAnsi="Cambria Math" w:eastAsia="宋体" w:cs="Times New Roman"/>
                            <w:color w:val="auto"/>
                            <w:spacing w:val="0"/>
                            <w:kern w:val="2"/>
                            <w:sz w:val="24"/>
                            <w:szCs w:val="24"/>
                            <w:lang w:val="en-US" w:bidi="ar-SA"/>
                          </w:rPr>
                        </m:ctrlPr>
                      </m:e>
                      <m:sup>
                        <m:r>
                          <m:rPr>
                            <m:sty m:val="p"/>
                          </m:rPr>
                          <w:rPr>
                            <w:rFonts w:hint="default" w:ascii="Cambria Math" w:hAnsi="Cambria Math" w:eastAsia="宋体" w:cs="Times New Roman"/>
                            <w:color w:val="auto"/>
                            <w:spacing w:val="0"/>
                            <w:kern w:val="2"/>
                            <w:sz w:val="24"/>
                            <w:szCs w:val="24"/>
                            <w:lang w:val="en-US" w:bidi="ar-SA"/>
                          </w:rPr>
                          <m:t>2</m:t>
                        </m:r>
                        <m:ctrlPr>
                          <w:rPr>
                            <w:rFonts w:hint="default" w:ascii="Cambria Math" w:hAnsi="Cambria Math" w:eastAsia="宋体" w:cs="Times New Roman"/>
                            <w:color w:val="auto"/>
                            <w:spacing w:val="0"/>
                            <w:kern w:val="2"/>
                            <w:sz w:val="24"/>
                            <w:szCs w:val="24"/>
                            <w:lang w:val="en-US" w:bidi="ar-SA"/>
                          </w:rPr>
                        </m:ctrlPr>
                      </m:sup>
                    </m:sSup>
                    <m:ctrlPr>
                      <w:rPr>
                        <w:rFonts w:hint="default" w:ascii="Cambria Math" w:hAnsi="Cambria Math" w:eastAsia="宋体" w:cs="Times New Roman"/>
                        <w:color w:val="auto"/>
                        <w:spacing w:val="0"/>
                        <w:kern w:val="2"/>
                        <w:sz w:val="24"/>
                        <w:szCs w:val="24"/>
                        <w:lang w:val="en-US" w:eastAsia="zh-CN" w:bidi="ar-SA"/>
                      </w:rPr>
                    </m:ctrlPr>
                  </m:den>
                </m:f>
                <m:r>
                  <m:rPr>
                    <m:sty m:val="p"/>
                  </m:rPr>
                  <w:rPr>
                    <w:rFonts w:hint="default" w:ascii="Cambria Math" w:hAnsi="Cambria Math" w:eastAsia="宋体" w:cs="Times New Roman"/>
                    <w:color w:val="auto"/>
                    <w:spacing w:val="0"/>
                    <w:kern w:val="2"/>
                    <w:sz w:val="24"/>
                    <w:szCs w:val="24"/>
                    <w:lang w:val="en-US" w:eastAsia="zh-CN" w:bidi="ar-SA"/>
                  </w:rPr>
                  <m:t>+</m:t>
                </m:r>
                <m:f>
                  <m:fPr>
                    <m:ctrlPr>
                      <w:rPr>
                        <w:rFonts w:hint="default" w:ascii="Cambria Math" w:hAnsi="Cambria Math" w:eastAsia="宋体" w:cs="Times New Roman"/>
                        <w:i w:val="0"/>
                        <w:color w:val="auto"/>
                        <w:spacing w:val="0"/>
                        <w:kern w:val="2"/>
                        <w:sz w:val="24"/>
                        <w:szCs w:val="24"/>
                        <w:lang w:val="en-US" w:eastAsia="zh-CN" w:bidi="ar-SA"/>
                      </w:rPr>
                    </m:ctrlPr>
                  </m:fPr>
                  <m:num>
                    <m:r>
                      <m:rPr>
                        <m:sty m:val="p"/>
                      </m:rPr>
                      <w:rPr>
                        <w:rFonts w:hint="default" w:ascii="Cambria Math" w:hAnsi="Cambria Math" w:eastAsia="宋体" w:cs="Times New Roman"/>
                        <w:color w:val="auto"/>
                        <w:spacing w:val="0"/>
                        <w:kern w:val="2"/>
                        <w:sz w:val="24"/>
                        <w:szCs w:val="24"/>
                        <w:lang w:val="en-US" w:eastAsia="zh-CN" w:bidi="ar-SA"/>
                      </w:rPr>
                      <m:t>4</m:t>
                    </m:r>
                    <m:ctrlPr>
                      <w:rPr>
                        <w:rFonts w:hint="default" w:ascii="Cambria Math" w:hAnsi="Cambria Math" w:eastAsia="宋体" w:cs="Times New Roman"/>
                        <w:i w:val="0"/>
                        <w:color w:val="auto"/>
                        <w:spacing w:val="0"/>
                        <w:kern w:val="2"/>
                        <w:sz w:val="24"/>
                        <w:szCs w:val="24"/>
                        <w:lang w:val="en-US" w:eastAsia="zh-CN" w:bidi="ar-SA"/>
                      </w:rPr>
                    </m:ctrlPr>
                  </m:num>
                  <m:den>
                    <m:r>
                      <m:rPr>
                        <m:sty m:val="p"/>
                      </m:rPr>
                      <w:rPr>
                        <w:rFonts w:hint="default" w:ascii="Cambria Math" w:hAnsi="Cambria Math" w:eastAsia="宋体" w:cs="Times New Roman"/>
                        <w:color w:val="auto"/>
                        <w:spacing w:val="0"/>
                        <w:kern w:val="2"/>
                        <w:sz w:val="24"/>
                        <w:szCs w:val="24"/>
                        <w:lang w:val="en-US" w:eastAsia="zh-CN" w:bidi="ar-SA"/>
                      </w:rPr>
                      <m:t>R</m:t>
                    </m:r>
                    <m:ctrlPr>
                      <w:rPr>
                        <w:rFonts w:hint="default" w:ascii="Cambria Math" w:hAnsi="Cambria Math" w:eastAsia="宋体" w:cs="Times New Roman"/>
                        <w:i w:val="0"/>
                        <w:color w:val="auto"/>
                        <w:spacing w:val="0"/>
                        <w:kern w:val="2"/>
                        <w:sz w:val="24"/>
                        <w:szCs w:val="24"/>
                        <w:lang w:val="en-US" w:eastAsia="zh-CN" w:bidi="ar-SA"/>
                      </w:rPr>
                    </m:ctrlPr>
                  </m:den>
                </m:f>
                <m:r>
                  <m:rPr>
                    <m:sty m:val="p"/>
                  </m:rPr>
                  <w:rPr>
                    <w:rFonts w:hint="default" w:ascii="Cambria Math" w:hAnsi="Cambria Math" w:eastAsia="宋体" w:cs="Times New Roman"/>
                    <w:color w:val="auto"/>
                    <w:spacing w:val="0"/>
                    <w:kern w:val="2"/>
                    <w:sz w:val="24"/>
                    <w:szCs w:val="24"/>
                    <w:lang w:val="en-US" w:eastAsia="zh-CN" w:bidi="ar-SA"/>
                  </w:rPr>
                  <m:t>）</m:t>
                </m:r>
              </m:oMath>
            </m:oMathPara>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式中：Lp1：靠近开口处（或窗户）室内某倍频带的声压级或A声级，dB；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Lw ：点声源声功率级（A计权或倍频带），dB；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Q：指向性因数；通常对无指向性声源，当声源放在房间中心时，Q=1；当放在一面墙的中心时，Q=2；当放在两面墙夹角处时，Q=4；当放在三面墙夹角处时，Q=8；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R——房间常数；R=Sa/（1-a），S 为房间内表面面积，m2；α为平均吸声系数；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声源位于室内，室内声源可采用等效室外声源声功率级法进行计算。设靠近开口处（或窗户）室内、室外某倍频带的声压级或A声级分别为Lp1和Lp2。若声源所在室内声场为近似扩散声场，则室外的倍频带声压级可按以下公式近似求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m:oMathPara>
              <m:oMath>
                <m:sSub>
                  <m:sSubPr>
                    <m:ctrlPr>
                      <w:rPr>
                        <w:rFonts w:hint="default" w:ascii="Cambria Math" w:hAnsi="Cambria Math" w:eastAsia="宋体" w:cs="Times New Roman"/>
                        <w:i w:val="0"/>
                        <w:iCs/>
                        <w:color w:val="auto"/>
                        <w:sz w:val="24"/>
                        <w:szCs w:val="24"/>
                        <w:lang w:val="en-US"/>
                      </w:rPr>
                    </m:ctrlPr>
                  </m:sSubPr>
                  <m:e>
                    <m:r>
                      <m:rPr>
                        <m:sty m:val="p"/>
                      </m:rPr>
                      <w:rPr>
                        <w:rFonts w:hint="default" w:ascii="Cambria Math" w:hAnsi="Cambria Math" w:eastAsia="宋体" w:cs="Times New Roman"/>
                        <w:color w:val="auto"/>
                        <w:sz w:val="24"/>
                        <w:szCs w:val="24"/>
                        <w:lang w:val="en-US"/>
                      </w:rPr>
                      <m:t>L</m:t>
                    </m:r>
                    <m:ctrlPr>
                      <w:rPr>
                        <w:rFonts w:hint="default" w:ascii="Cambria Math" w:hAnsi="Cambria Math" w:eastAsia="宋体" w:cs="Times New Roman"/>
                        <w:i w:val="0"/>
                        <w:iCs/>
                        <w:color w:val="auto"/>
                        <w:sz w:val="24"/>
                        <w:szCs w:val="24"/>
                        <w:lang w:val="en-US"/>
                      </w:rPr>
                    </m:ctrlPr>
                  </m:e>
                  <m:sub>
                    <m:r>
                      <m:rPr>
                        <m:sty m:val="p"/>
                      </m:rPr>
                      <w:rPr>
                        <w:rFonts w:hint="default" w:ascii="Cambria Math" w:hAnsi="Cambria Math" w:eastAsia="宋体" w:cs="Times New Roman"/>
                        <w:color w:val="auto"/>
                        <w:sz w:val="24"/>
                        <w:szCs w:val="24"/>
                        <w:lang w:val="en-US"/>
                      </w:rPr>
                      <m:t>p2</m:t>
                    </m:r>
                    <m:ctrlPr>
                      <w:rPr>
                        <w:rFonts w:hint="default" w:ascii="Cambria Math" w:hAnsi="Cambria Math" w:eastAsia="宋体" w:cs="Times New Roman"/>
                        <w:i w:val="0"/>
                        <w:iCs/>
                        <w:color w:val="auto"/>
                        <w:sz w:val="24"/>
                        <w:szCs w:val="24"/>
                        <w:lang w:val="en-US"/>
                      </w:rPr>
                    </m:ctrlPr>
                  </m:sub>
                </m:sSub>
                <m:r>
                  <m:rPr>
                    <m:sty m:val="p"/>
                  </m:rPr>
                  <w:rPr>
                    <w:rFonts w:hint="default" w:ascii="Cambria Math" w:hAnsi="Cambria Math" w:eastAsia="宋体" w:cs="Times New Roman"/>
                    <w:color w:val="auto"/>
                    <w:sz w:val="24"/>
                    <w:szCs w:val="24"/>
                    <w:lang w:val="en-US"/>
                  </w:rPr>
                  <m:t>=</m:t>
                </m:r>
                <m:sSub>
                  <m:sSubPr>
                    <m:ctrlPr>
                      <w:rPr>
                        <w:rFonts w:hint="default" w:ascii="Cambria Math" w:hAnsi="Cambria Math" w:eastAsia="宋体" w:cs="Times New Roman"/>
                        <w:i w:val="0"/>
                        <w:iCs/>
                        <w:color w:val="auto"/>
                        <w:sz w:val="24"/>
                        <w:szCs w:val="24"/>
                        <w:lang w:val="en-US"/>
                      </w:rPr>
                    </m:ctrlPr>
                  </m:sSubPr>
                  <m:e>
                    <m:r>
                      <m:rPr>
                        <m:sty m:val="p"/>
                      </m:rPr>
                      <w:rPr>
                        <w:rFonts w:hint="default" w:ascii="Cambria Math" w:hAnsi="Cambria Math" w:eastAsia="宋体" w:cs="Times New Roman"/>
                        <w:color w:val="auto"/>
                        <w:sz w:val="24"/>
                        <w:szCs w:val="24"/>
                        <w:lang w:val="en-US"/>
                      </w:rPr>
                      <m:t>L</m:t>
                    </m:r>
                    <m:ctrlPr>
                      <w:rPr>
                        <w:rFonts w:hint="default" w:ascii="Cambria Math" w:hAnsi="Cambria Math" w:eastAsia="宋体" w:cs="Times New Roman"/>
                        <w:i w:val="0"/>
                        <w:iCs/>
                        <w:color w:val="auto"/>
                        <w:sz w:val="24"/>
                        <w:szCs w:val="24"/>
                        <w:lang w:val="en-US"/>
                      </w:rPr>
                    </m:ctrlPr>
                  </m:e>
                  <m:sub>
                    <m:r>
                      <m:rPr>
                        <m:sty m:val="p"/>
                      </m:rPr>
                      <w:rPr>
                        <w:rFonts w:hint="default" w:ascii="Cambria Math" w:hAnsi="Cambria Math" w:eastAsia="宋体" w:cs="Times New Roman"/>
                        <w:color w:val="auto"/>
                        <w:sz w:val="24"/>
                        <w:szCs w:val="24"/>
                        <w:lang w:val="en-US"/>
                      </w:rPr>
                      <m:t>p1</m:t>
                    </m:r>
                    <m:ctrlPr>
                      <w:rPr>
                        <w:rFonts w:hint="default" w:ascii="Cambria Math" w:hAnsi="Cambria Math" w:eastAsia="宋体" w:cs="Times New Roman"/>
                        <w:i w:val="0"/>
                        <w:iCs/>
                        <w:color w:val="auto"/>
                        <w:sz w:val="24"/>
                        <w:szCs w:val="24"/>
                        <w:lang w:val="en-US"/>
                      </w:rPr>
                    </m:ctrlPr>
                  </m:sub>
                </m:sSub>
                <m:r>
                  <m:rPr>
                    <m:sty m:val="p"/>
                  </m:rPr>
                  <w:rPr>
                    <w:rFonts w:hint="default" w:ascii="Cambria Math" w:hAnsi="Cambria Math" w:eastAsia="宋体" w:cs="Times New Roman"/>
                    <w:color w:val="auto"/>
                    <w:sz w:val="24"/>
                    <w:szCs w:val="24"/>
                    <w:lang w:val="en-US"/>
                  </w:rPr>
                  <m:t>−</m:t>
                </m:r>
                <m:r>
                  <m:rPr>
                    <m:sty m:val="p"/>
                  </m:rPr>
                  <w:rPr>
                    <w:rFonts w:hint="default" w:ascii="Cambria Math" w:hAnsi="Cambria Math" w:eastAsia="宋体" w:cs="Times New Roman"/>
                    <w:color w:val="auto"/>
                    <w:sz w:val="24"/>
                    <w:szCs w:val="24"/>
                    <w:lang w:val="en-US" w:eastAsia="zh-CN"/>
                  </w:rPr>
                  <m:t>（TL+6）</m:t>
                </m:r>
              </m:oMath>
            </m:oMathPara>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式中：Lp1：靠近开口处（或窗户）室内某倍频带的声压级或A声级，dB；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Lp2：靠近开口处（或窗户）室外某倍频带的声压级或A声级，dB；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TL：隔墙（或窗户）倍频带或A声级的隔声量，dB。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③无指向性点声源的几何发散衰减公式进行预测：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LA(r)=LA(r0)-20lg(r/r0)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式中：r、ro——距离噪声源的距离，m；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LA(r)、LA(r0)——距离噪声源 r、r0处的A声级，dB（A）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④预测点的贡献值和背景值按能量叠加方法计算得到的声级。噪声预测值（Leq）计算公式为：</w:t>
            </w:r>
          </w:p>
          <w:p>
            <w:pPr>
              <w:pStyle w:val="6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kern w:val="2"/>
                <w:sz w:val="24"/>
                <w:szCs w:val="24"/>
                <w:lang w:val="en-US" w:eastAsia="zh-CN"/>
              </w:rPr>
            </w:pPr>
            <m:oMathPara>
              <m:oMath>
                <m:sSub>
                  <m:sSubPr>
                    <m:ctrlPr>
                      <w:rPr>
                        <w:rFonts w:hint="default" w:ascii="Cambria Math" w:hAnsi="Cambria Math" w:eastAsia="宋体" w:cs="Times New Roman"/>
                        <w:i w:val="0"/>
                        <w:iCs/>
                        <w:color w:val="auto"/>
                        <w:spacing w:val="0"/>
                        <w:kern w:val="2"/>
                        <w:sz w:val="24"/>
                        <w:szCs w:val="24"/>
                        <w:lang w:val="en-US"/>
                      </w:rPr>
                    </m:ctrlPr>
                  </m:sSubPr>
                  <m:e>
                    <m:r>
                      <m:rPr>
                        <m:sty m:val="p"/>
                      </m:rPr>
                      <w:rPr>
                        <w:rFonts w:hint="default" w:ascii="Cambria Math" w:hAnsi="Cambria Math" w:eastAsia="宋体" w:cs="Times New Roman"/>
                        <w:color w:val="auto"/>
                        <w:spacing w:val="0"/>
                        <w:kern w:val="2"/>
                        <w:sz w:val="24"/>
                        <w:szCs w:val="24"/>
                        <w:lang w:val="en-US"/>
                      </w:rPr>
                      <m:t>L</m:t>
                    </m:r>
                    <m:ctrlPr>
                      <w:rPr>
                        <w:rFonts w:hint="default" w:ascii="Cambria Math" w:hAnsi="Cambria Math" w:eastAsia="宋体" w:cs="Times New Roman"/>
                        <w:i w:val="0"/>
                        <w:iCs/>
                        <w:color w:val="auto"/>
                        <w:spacing w:val="0"/>
                        <w:kern w:val="2"/>
                        <w:sz w:val="24"/>
                        <w:szCs w:val="24"/>
                        <w:lang w:val="en-US"/>
                      </w:rPr>
                    </m:ctrlPr>
                  </m:e>
                  <m:sub>
                    <m:r>
                      <m:rPr>
                        <m:sty m:val="p"/>
                      </m:rPr>
                      <w:rPr>
                        <w:rFonts w:hint="default" w:ascii="Cambria Math" w:hAnsi="Cambria Math" w:eastAsia="宋体" w:cs="Times New Roman"/>
                        <w:color w:val="auto"/>
                        <w:spacing w:val="0"/>
                        <w:kern w:val="2"/>
                        <w:sz w:val="24"/>
                        <w:szCs w:val="24"/>
                        <w:lang w:val="en-US"/>
                      </w:rPr>
                      <m:t>eq</m:t>
                    </m:r>
                    <m:ctrlPr>
                      <w:rPr>
                        <w:rFonts w:hint="default" w:ascii="Cambria Math" w:hAnsi="Cambria Math" w:eastAsia="宋体" w:cs="Times New Roman"/>
                        <w:i w:val="0"/>
                        <w:iCs/>
                        <w:color w:val="auto"/>
                        <w:spacing w:val="0"/>
                        <w:kern w:val="2"/>
                        <w:sz w:val="24"/>
                        <w:szCs w:val="24"/>
                        <w:lang w:val="en-US"/>
                      </w:rPr>
                    </m:ctrlPr>
                  </m:sub>
                </m:sSub>
                <m:r>
                  <m:rPr>
                    <m:sty m:val="p"/>
                  </m:rPr>
                  <w:rPr>
                    <w:rFonts w:hint="default" w:ascii="Cambria Math" w:hAnsi="Cambria Math" w:eastAsia="宋体" w:cs="Times New Roman"/>
                    <w:color w:val="auto"/>
                    <w:spacing w:val="0"/>
                    <w:kern w:val="2"/>
                    <w:sz w:val="24"/>
                    <w:szCs w:val="24"/>
                    <w:lang w:val="en-US"/>
                  </w:rPr>
                  <m:t>=10lg</m:t>
                </m:r>
                <m:r>
                  <m:rPr>
                    <m:sty m:val="p"/>
                  </m:rPr>
                  <w:rPr>
                    <w:rFonts w:hint="default" w:ascii="Cambria Math" w:hAnsi="Cambria Math" w:eastAsia="宋体" w:cs="Times New Roman"/>
                    <w:color w:val="auto"/>
                    <w:spacing w:val="0"/>
                    <w:kern w:val="2"/>
                    <w:sz w:val="24"/>
                    <w:szCs w:val="24"/>
                    <w:lang w:val="en-US" w:eastAsia="zh-CN"/>
                  </w:rPr>
                  <m:t>（</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10</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0.1</m:t>
                    </m:r>
                    <m:sSub>
                      <m:sSubPr>
                        <m:ctrlPr>
                          <w:rPr>
                            <w:rFonts w:hint="default" w:ascii="Cambria Math" w:hAnsi="Cambria Math" w:eastAsia="宋体" w:cs="Times New Roman"/>
                            <w:i w:val="0"/>
                            <w:iCs/>
                            <w:color w:val="auto"/>
                            <w:spacing w:val="0"/>
                            <w:kern w:val="2"/>
                            <w:sz w:val="24"/>
                            <w:szCs w:val="24"/>
                            <w:lang w:val="en-US" w:eastAsia="zh-CN"/>
                          </w:rPr>
                        </m:ctrlPr>
                      </m:sSubPr>
                      <m:e>
                        <m:r>
                          <m:rPr>
                            <m:sty m:val="p"/>
                          </m:rPr>
                          <w:rPr>
                            <w:rFonts w:hint="default" w:ascii="Cambria Math" w:hAnsi="Cambria Math" w:eastAsia="宋体" w:cs="Times New Roman"/>
                            <w:color w:val="auto"/>
                            <w:spacing w:val="0"/>
                            <w:kern w:val="2"/>
                            <w:sz w:val="24"/>
                            <w:szCs w:val="24"/>
                            <w:lang w:val="en-US" w:eastAsia="zh-CN"/>
                          </w:rPr>
                          <m:t>L</m:t>
                        </m:r>
                        <m:ctrlPr>
                          <w:rPr>
                            <w:rFonts w:hint="default" w:ascii="Cambria Math" w:hAnsi="Cambria Math" w:eastAsia="宋体" w:cs="Times New Roman"/>
                            <w:i w:val="0"/>
                            <w:iCs/>
                            <w:color w:val="auto"/>
                            <w:spacing w:val="0"/>
                            <w:kern w:val="2"/>
                            <w:sz w:val="24"/>
                            <w:szCs w:val="24"/>
                            <w:lang w:val="en-US" w:eastAsia="zh-CN"/>
                          </w:rPr>
                        </m:ctrlPr>
                      </m:e>
                      <m:sub>
                        <m:r>
                          <m:rPr>
                            <m:sty m:val="p"/>
                          </m:rPr>
                          <w:rPr>
                            <w:rFonts w:hint="default" w:ascii="Cambria Math" w:hAnsi="Cambria Math" w:eastAsia="宋体" w:cs="Times New Roman"/>
                            <w:color w:val="auto"/>
                            <w:spacing w:val="0"/>
                            <w:kern w:val="2"/>
                            <w:sz w:val="24"/>
                            <w:szCs w:val="24"/>
                            <w:lang w:val="en-US" w:eastAsia="zh-CN"/>
                          </w:rPr>
                          <m:t>eqg</m:t>
                        </m:r>
                        <m:ctrlPr>
                          <w:rPr>
                            <w:rFonts w:hint="default" w:ascii="Cambria Math" w:hAnsi="Cambria Math" w:eastAsia="宋体" w:cs="Times New Roman"/>
                            <w:i w:val="0"/>
                            <w:iCs/>
                            <w:color w:val="auto"/>
                            <w:spacing w:val="0"/>
                            <w:kern w:val="2"/>
                            <w:sz w:val="24"/>
                            <w:szCs w:val="24"/>
                            <w:lang w:val="en-US" w:eastAsia="zh-CN"/>
                          </w:rPr>
                        </m:ctrlPr>
                      </m:sub>
                    </m:sSub>
                    <m:ctrlPr>
                      <w:rPr>
                        <w:rFonts w:hint="default" w:ascii="Cambria Math" w:hAnsi="Cambria Math" w:eastAsia="宋体" w:cs="Times New Roman"/>
                        <w:i w:val="0"/>
                        <w:iCs/>
                        <w:color w:val="auto"/>
                        <w:spacing w:val="0"/>
                        <w:kern w:val="2"/>
                        <w:sz w:val="24"/>
                        <w:szCs w:val="24"/>
                        <w:lang w:val="en-US" w:eastAsia="zh-CN"/>
                      </w:rPr>
                    </m:ctrlPr>
                  </m:sup>
                </m:sSup>
                <m:r>
                  <m:rPr>
                    <m:sty m:val="p"/>
                  </m:rPr>
                  <w:rPr>
                    <w:rFonts w:hint="default" w:ascii="Cambria Math" w:hAnsi="Cambria Math" w:eastAsia="宋体" w:cs="Times New Roman"/>
                    <w:color w:val="auto"/>
                    <w:spacing w:val="0"/>
                    <w:kern w:val="2"/>
                    <w:sz w:val="24"/>
                    <w:szCs w:val="24"/>
                    <w:lang w:val="en-US" w:eastAsia="zh-CN"/>
                  </w:rPr>
                  <m:t>+</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10</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0.1</m:t>
                    </m:r>
                    <m:sSup>
                      <m:sSupPr>
                        <m:ctrlPr>
                          <w:rPr>
                            <w:rFonts w:hint="default" w:ascii="Cambria Math" w:hAnsi="Cambria Math" w:eastAsia="宋体" w:cs="Times New Roman"/>
                            <w:i w:val="0"/>
                            <w:iCs/>
                            <w:color w:val="auto"/>
                            <w:spacing w:val="0"/>
                            <w:kern w:val="2"/>
                            <w:sz w:val="24"/>
                            <w:szCs w:val="24"/>
                            <w:lang w:val="en-US" w:eastAsia="zh-CN"/>
                          </w:rPr>
                        </m:ctrlPr>
                      </m:sSupPr>
                      <m:e>
                        <m:r>
                          <m:rPr>
                            <m:sty m:val="p"/>
                          </m:rPr>
                          <w:rPr>
                            <w:rFonts w:hint="default" w:ascii="Cambria Math" w:hAnsi="Cambria Math" w:eastAsia="宋体" w:cs="Times New Roman"/>
                            <w:color w:val="auto"/>
                            <w:spacing w:val="0"/>
                            <w:kern w:val="2"/>
                            <w:sz w:val="24"/>
                            <w:szCs w:val="24"/>
                            <w:lang w:val="en-US" w:eastAsia="zh-CN"/>
                          </w:rPr>
                          <m:t>L</m:t>
                        </m:r>
                        <m:ctrlPr>
                          <w:rPr>
                            <w:rFonts w:hint="default" w:ascii="Cambria Math" w:hAnsi="Cambria Math" w:eastAsia="宋体" w:cs="Times New Roman"/>
                            <w:i w:val="0"/>
                            <w:iCs/>
                            <w:color w:val="auto"/>
                            <w:spacing w:val="0"/>
                            <w:kern w:val="2"/>
                            <w:sz w:val="24"/>
                            <w:szCs w:val="24"/>
                            <w:lang w:val="en-US" w:eastAsia="zh-CN"/>
                          </w:rPr>
                        </m:ctrlPr>
                      </m:e>
                      <m:sup>
                        <m:r>
                          <m:rPr>
                            <m:sty m:val="p"/>
                          </m:rPr>
                          <w:rPr>
                            <w:rFonts w:hint="default" w:ascii="Cambria Math" w:hAnsi="Cambria Math" w:eastAsia="宋体" w:cs="Times New Roman"/>
                            <w:color w:val="auto"/>
                            <w:spacing w:val="0"/>
                            <w:kern w:val="2"/>
                            <w:sz w:val="24"/>
                            <w:szCs w:val="24"/>
                            <w:lang w:val="en-US" w:eastAsia="zh-CN"/>
                          </w:rPr>
                          <m:t>eqb</m:t>
                        </m:r>
                        <m:ctrlPr>
                          <w:rPr>
                            <w:rFonts w:hint="default" w:ascii="Cambria Math" w:hAnsi="Cambria Math" w:eastAsia="宋体" w:cs="Times New Roman"/>
                            <w:i w:val="0"/>
                            <w:iCs/>
                            <w:color w:val="auto"/>
                            <w:spacing w:val="0"/>
                            <w:kern w:val="2"/>
                            <w:sz w:val="24"/>
                            <w:szCs w:val="24"/>
                            <w:lang w:val="en-US" w:eastAsia="zh-CN"/>
                          </w:rPr>
                        </m:ctrlPr>
                      </m:sup>
                    </m:sSup>
                    <m:ctrlPr>
                      <w:rPr>
                        <w:rFonts w:hint="default" w:ascii="Cambria Math" w:hAnsi="Cambria Math" w:eastAsia="宋体" w:cs="Times New Roman"/>
                        <w:i w:val="0"/>
                        <w:iCs/>
                        <w:color w:val="auto"/>
                        <w:spacing w:val="0"/>
                        <w:kern w:val="2"/>
                        <w:sz w:val="24"/>
                        <w:szCs w:val="24"/>
                        <w:lang w:val="en-US" w:eastAsia="zh-CN"/>
                      </w:rPr>
                    </m:ctrlPr>
                  </m:sup>
                </m:sSup>
                <m:r>
                  <m:rPr>
                    <m:sty m:val="p"/>
                  </m:rPr>
                  <w:rPr>
                    <w:rFonts w:hint="default" w:ascii="Cambria Math" w:hAnsi="Cambria Math" w:eastAsia="宋体" w:cs="Times New Roman"/>
                    <w:color w:val="auto"/>
                    <w:spacing w:val="0"/>
                    <w:kern w:val="2"/>
                    <w:sz w:val="24"/>
                    <w:szCs w:val="24"/>
                    <w:lang w:val="en-US" w:eastAsia="zh-CN"/>
                  </w:rPr>
                  <m:t>）</m:t>
                </m:r>
              </m:oMath>
            </m:oMathPara>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式中：Leq：预测点的噪声预测值，dB；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Leqg：建设项目声源在预测点产生的噪声贡献值，dB；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Leqb ：预测点的背景噪声值，dB。 </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2）预测结果</w:t>
            </w:r>
          </w:p>
          <w:p>
            <w:pPr>
              <w:keepNext w:val="0"/>
              <w:keepLines w:val="0"/>
              <w:widowControl/>
              <w:suppressLineNumbers w:val="0"/>
              <w:spacing w:before="0" w:beforeAutospacing="0" w:after="0" w:afterAutospacing="0"/>
              <w:ind w:left="0" w:right="0" w:firstLine="480" w:firstLineChars="200"/>
              <w:jc w:val="left"/>
              <w:rPr>
                <w:rFonts w:hint="default" w:ascii="Calibri" w:hAnsi="Calibri" w:cs="Times New Roman"/>
                <w:color w:val="auto"/>
              </w:rPr>
            </w:pPr>
            <w:r>
              <w:rPr>
                <w:rFonts w:hint="eastAsia" w:ascii="宋体" w:hAnsi="宋体" w:eastAsia="宋体" w:cs="宋体"/>
                <w:color w:val="auto"/>
                <w:kern w:val="0"/>
                <w:sz w:val="24"/>
                <w:szCs w:val="24"/>
                <w:lang w:val="en-US" w:eastAsia="zh-CN" w:bidi="ar"/>
              </w:rPr>
              <w:t>通过预测模型计算，项目厂界噪声预测结果与达标分析见表</w:t>
            </w:r>
            <w:r>
              <w:rPr>
                <w:rFonts w:hint="default" w:ascii="Times New Roman" w:hAnsi="Times New Roman" w:eastAsia="宋体" w:cs="Times New Roman"/>
                <w:color w:val="auto"/>
                <w:kern w:val="0"/>
                <w:sz w:val="24"/>
                <w:szCs w:val="24"/>
                <w:lang w:val="en-US" w:eastAsia="zh-CN" w:bidi="ar"/>
              </w:rPr>
              <w:t>4-10</w:t>
            </w:r>
            <w:r>
              <w:rPr>
                <w:rFonts w:hint="eastAsia" w:ascii="宋体" w:hAnsi="宋体" w:eastAsia="宋体" w:cs="宋体"/>
                <w:color w:val="auto"/>
                <w:kern w:val="0"/>
                <w:sz w:val="24"/>
                <w:szCs w:val="24"/>
                <w:lang w:val="en-US" w:eastAsia="zh-CN" w:bidi="ar"/>
              </w:rPr>
              <w:t>。</w:t>
            </w:r>
          </w:p>
          <w:p>
            <w:pPr>
              <w:keepNext w:val="0"/>
              <w:keepLines w:val="0"/>
              <w:suppressLineNumbers w:val="0"/>
              <w:tabs>
                <w:tab w:val="left" w:pos="1060"/>
              </w:tabs>
              <w:spacing w:before="0" w:beforeAutospacing="0" w:after="0" w:afterAutospacing="0"/>
              <w:ind w:left="198" w:right="0"/>
              <w:jc w:val="center"/>
              <w:rPr>
                <w:rFonts w:hint="eastAsia" w:ascii="宋体" w:hAnsi="宋体" w:cs="宋体"/>
                <w:b/>
                <w:color w:val="auto"/>
                <w:sz w:val="24"/>
                <w:szCs w:val="24"/>
              </w:rPr>
            </w:pPr>
            <w:r>
              <w:rPr>
                <w:rFonts w:hint="eastAsia" w:ascii="宋体" w:hAnsi="宋体" w:cs="宋体"/>
                <w:b/>
                <w:color w:val="auto"/>
                <w:sz w:val="24"/>
                <w:szCs w:val="24"/>
              </w:rPr>
              <w:t>表4-</w:t>
            </w:r>
            <w:r>
              <w:rPr>
                <w:rFonts w:hint="default" w:ascii="宋体" w:hAnsi="宋体" w:cs="宋体"/>
                <w:b/>
                <w:color w:val="auto"/>
                <w:sz w:val="24"/>
                <w:szCs w:val="24"/>
                <w:lang w:val="en-US"/>
              </w:rPr>
              <w:t>10</w:t>
            </w:r>
            <w:r>
              <w:rPr>
                <w:rFonts w:hint="eastAsia" w:ascii="宋体" w:hAnsi="宋体" w:cs="宋体"/>
                <w:b/>
                <w:color w:val="auto"/>
                <w:sz w:val="24"/>
                <w:szCs w:val="24"/>
              </w:rPr>
              <w:t xml:space="preserve"> 项目各厂界的噪声贡献预测值   单位：dB(A)</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287"/>
              <w:gridCol w:w="2236"/>
              <w:gridCol w:w="247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4"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155"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声环境保护目标名称</w:t>
                  </w:r>
                </w:p>
              </w:tc>
              <w:tc>
                <w:tcPr>
                  <w:tcW w:w="1129"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噪声标准/dB（A）</w:t>
                  </w:r>
                </w:p>
              </w:tc>
              <w:tc>
                <w:tcPr>
                  <w:tcW w:w="1248"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噪声预测值/dB（A）</w:t>
                  </w:r>
                </w:p>
              </w:tc>
              <w:tc>
                <w:tcPr>
                  <w:tcW w:w="1002"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超标和达标情况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155"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东侧厂界</w:t>
                  </w:r>
                </w:p>
              </w:tc>
              <w:tc>
                <w:tcPr>
                  <w:tcW w:w="1129"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60</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rPr>
                    <w:t>50</w:t>
                  </w:r>
                </w:p>
              </w:tc>
              <w:tc>
                <w:tcPr>
                  <w:tcW w:w="1248"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28</w:t>
                  </w:r>
                </w:p>
              </w:tc>
              <w:tc>
                <w:tcPr>
                  <w:tcW w:w="1002"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64"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155"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南侧厂界</w:t>
                  </w:r>
                </w:p>
              </w:tc>
              <w:tc>
                <w:tcPr>
                  <w:tcW w:w="1129"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60</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rPr>
                    <w:t>50</w:t>
                  </w:r>
                </w:p>
              </w:tc>
              <w:tc>
                <w:tcPr>
                  <w:tcW w:w="1248"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30</w:t>
                  </w:r>
                </w:p>
              </w:tc>
              <w:tc>
                <w:tcPr>
                  <w:tcW w:w="1002"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64"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155"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西侧厂界</w:t>
                  </w:r>
                </w:p>
              </w:tc>
              <w:tc>
                <w:tcPr>
                  <w:tcW w:w="1129"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60</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rPr>
                    <w:t>50</w:t>
                  </w:r>
                </w:p>
              </w:tc>
              <w:tc>
                <w:tcPr>
                  <w:tcW w:w="1248"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28</w:t>
                  </w:r>
                </w:p>
              </w:tc>
              <w:tc>
                <w:tcPr>
                  <w:tcW w:w="1002"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64"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155"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北侧厂界</w:t>
                  </w:r>
                </w:p>
              </w:tc>
              <w:tc>
                <w:tcPr>
                  <w:tcW w:w="1129"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60</w:t>
                  </w:r>
                  <w:r>
                    <w:rPr>
                      <w:rFonts w:hint="eastAsia"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rPr>
                    <w:t>50</w:t>
                  </w:r>
                </w:p>
              </w:tc>
              <w:tc>
                <w:tcPr>
                  <w:tcW w:w="1248"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29</w:t>
                  </w:r>
                </w:p>
              </w:tc>
              <w:tc>
                <w:tcPr>
                  <w:tcW w:w="1002" w:type="pct"/>
                  <w:noWrap w:val="0"/>
                  <w:vAlign w:val="center"/>
                </w:tcPr>
                <w:p>
                  <w:pPr>
                    <w:pStyle w:val="99"/>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根据预测，本项目昼间和夜间厂界噪声贡献值满足</w:t>
            </w:r>
            <w:r>
              <w:rPr>
                <w:rFonts w:hint="default" w:ascii="Times New Roman" w:hAnsi="Times New Roman" w:eastAsia="宋体"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fldChar w:fldCharType="begin"/>
            </w:r>
            <w:r>
              <w:rPr>
                <w:rFonts w:hint="default" w:ascii="Times New Roman" w:hAnsi="Times New Roman" w:eastAsia="宋体" w:cs="Times New Roman"/>
                <w:i w:val="0"/>
                <w:iCs w:val="0"/>
                <w:color w:val="auto"/>
                <w:sz w:val="24"/>
                <w:szCs w:val="24"/>
                <w:lang w:val="en-US" w:eastAsia="zh-CN"/>
              </w:rPr>
              <w:instrText xml:space="preserve"> HYPERLINK "https://www.mee.gov.cn/ywgz/fgbz/bz/bzwb/wlhj/hjzspfbz/200809/W020111121353694435553.pdf" </w:instrText>
            </w:r>
            <w:r>
              <w:rPr>
                <w:rFonts w:hint="default" w:ascii="Times New Roman" w:hAnsi="Times New Roman" w:eastAsia="宋体" w:cs="Times New Roman"/>
                <w:i w:val="0"/>
                <w:iCs w:val="0"/>
                <w:color w:val="auto"/>
                <w:sz w:val="24"/>
                <w:szCs w:val="24"/>
                <w:lang w:val="en-US" w:eastAsia="zh-CN"/>
              </w:rPr>
              <w:fldChar w:fldCharType="separate"/>
            </w:r>
            <w:r>
              <w:rPr>
                <w:rFonts w:hint="eastAsia" w:ascii="Times New Roman" w:hAnsi="Times New Roman" w:eastAsia="宋体" w:cs="Times New Roman"/>
                <w:i w:val="0"/>
                <w:iCs w:val="0"/>
                <w:color w:val="auto"/>
                <w:sz w:val="24"/>
                <w:szCs w:val="24"/>
                <w:lang w:val="en-US" w:eastAsia="zh-CN"/>
              </w:rPr>
              <w:t xml:space="preserve">社会生活环境噪声排放标准（GB </w:t>
            </w:r>
            <w:r>
              <w:rPr>
                <w:rFonts w:hint="eastAsia" w:cs="Times New Roman"/>
                <w:i w:val="0"/>
                <w:iCs w:val="0"/>
                <w:color w:val="auto"/>
                <w:sz w:val="24"/>
                <w:szCs w:val="24"/>
                <w:lang w:val="en-US" w:eastAsia="zh-CN"/>
              </w:rPr>
              <w:t>*****</w:t>
            </w:r>
            <w:r>
              <w:rPr>
                <w:rFonts w:hint="default" w:ascii="Times New Roman" w:hAnsi="Times New Roman" w:eastAsia="宋体" w:cs="Times New Roman"/>
                <w:i w:val="0"/>
                <w:iCs w:val="0"/>
                <w:color w:val="auto"/>
                <w:sz w:val="24"/>
                <w:szCs w:val="24"/>
                <w:lang w:val="en-US" w:eastAsia="zh-CN"/>
              </w:rPr>
              <w:t>-</w:t>
            </w:r>
            <w:r>
              <w:rPr>
                <w:rFonts w:hint="eastAsia" w:ascii="Times New Roman" w:hAnsi="Times New Roman" w:eastAsia="宋体" w:cs="Times New Roman"/>
                <w:i w:val="0"/>
                <w:iCs w:val="0"/>
                <w:color w:val="auto"/>
                <w:sz w:val="24"/>
                <w:szCs w:val="24"/>
                <w:lang w:val="en-US" w:eastAsia="zh-CN"/>
              </w:rPr>
              <w:t>2008）</w:t>
            </w:r>
            <w:r>
              <w:rPr>
                <w:rFonts w:hint="eastAsia" w:ascii="Times New Roman" w:hAnsi="Times New Roman" w:eastAsia="宋体" w:cs="Times New Roman"/>
                <w:i w:val="0"/>
                <w:iCs w:val="0"/>
                <w:color w:val="auto"/>
                <w:sz w:val="24"/>
                <w:szCs w:val="24"/>
                <w:lang w:val="en-US" w:eastAsia="zh-CN"/>
              </w:rPr>
              <w:fldChar w:fldCharType="end"/>
            </w:r>
            <w:r>
              <w:rPr>
                <w:rFonts w:hint="default" w:ascii="Times New Roman" w:hAnsi="Times New Roman" w:eastAsia="宋体" w:cs="Times New Roman"/>
                <w:i w:val="0"/>
                <w:iCs w:val="0"/>
                <w:color w:val="auto"/>
                <w:sz w:val="24"/>
                <w:szCs w:val="24"/>
              </w:rPr>
              <w:t>2类标准</w:t>
            </w:r>
            <w:r>
              <w:rPr>
                <w:rFonts w:hint="eastAsia" w:ascii="宋体" w:hAnsi="宋体" w:cs="宋体"/>
                <w:color w:val="auto"/>
                <w:sz w:val="24"/>
                <w:szCs w:val="24"/>
              </w:rPr>
              <w:t>，厂界噪声达标排放。</w:t>
            </w:r>
          </w:p>
          <w:p>
            <w:pPr>
              <w:pStyle w:val="64"/>
              <w:keepNext w:val="0"/>
              <w:keepLines w:val="0"/>
              <w:suppressLineNumbers w:val="0"/>
              <w:spacing w:before="0" w:beforeAutospacing="0" w:after="0" w:afterAutospacing="0"/>
              <w:ind w:left="0" w:right="0" w:firstLine="496" w:firstLineChars="200"/>
              <w:rPr>
                <w:rFonts w:hint="eastAsia" w:ascii="宋体" w:hAnsi="宋体" w:cs="宋体"/>
                <w:color w:val="auto"/>
                <w:sz w:val="24"/>
                <w:lang w:val="en-US"/>
              </w:rPr>
            </w:pPr>
            <w:r>
              <w:rPr>
                <w:rFonts w:hint="eastAsia" w:ascii="宋体" w:hAnsi="宋体" w:cs="宋体"/>
                <w:color w:val="auto"/>
                <w:sz w:val="24"/>
                <w:lang w:val="en-US"/>
              </w:rPr>
              <w:t>因此本项目设备噪声对环保目标的影响程度小。</w:t>
            </w:r>
          </w:p>
          <w:p>
            <w:pPr>
              <w:pStyle w:val="6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96"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rPr>
              <w:t>3.</w:t>
            </w:r>
            <w:r>
              <w:rPr>
                <w:rFonts w:hint="default" w:ascii="Times New Roman" w:hAnsi="Times New Roman" w:eastAsia="宋体" w:cs="Times New Roman"/>
                <w:color w:val="auto"/>
                <w:sz w:val="24"/>
                <w:lang w:val="en-US" w:eastAsia="zh-CN"/>
              </w:rPr>
              <w:t>监测要求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Calibri" w:hAnsi="Calibri" w:cs="Times New Roman"/>
                <w:color w:val="auto"/>
              </w:rPr>
            </w:pPr>
            <w:r>
              <w:rPr>
                <w:rFonts w:hint="default" w:ascii="Times New Roman" w:hAnsi="Times New Roman" w:eastAsia="宋体" w:cs="Times New Roman"/>
                <w:color w:val="auto"/>
                <w:kern w:val="0"/>
                <w:sz w:val="24"/>
                <w:szCs w:val="24"/>
                <w:lang w:val="en-US" w:eastAsia="zh-CN" w:bidi="ar"/>
              </w:rPr>
              <w:t>参考《排污许可证申请与核发技术规范医疗机构》（HJ</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-2020），项目噪声监测计划见表4-11。</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center"/>
              <w:rPr>
                <w:rFonts w:hint="default" w:ascii="Calibri" w:hAnsi="Calibri" w:cs="Times New Roman"/>
                <w:color w:val="auto"/>
                <w:sz w:val="24"/>
                <w:szCs w:val="24"/>
              </w:rPr>
            </w:pPr>
            <w:r>
              <w:rPr>
                <w:rFonts w:hint="eastAsia" w:ascii="宋体" w:hAnsi="宋体" w:eastAsia="宋体" w:cs="宋体"/>
                <w:b/>
                <w:bCs/>
                <w:color w:val="auto"/>
                <w:kern w:val="0"/>
                <w:sz w:val="24"/>
                <w:szCs w:val="24"/>
                <w:lang w:val="en-US" w:eastAsia="zh-CN" w:bidi="ar"/>
              </w:rPr>
              <w:t>表</w:t>
            </w:r>
            <w:r>
              <w:rPr>
                <w:rFonts w:hint="default" w:ascii="Times New Roman" w:hAnsi="Times New Roman" w:eastAsia="宋体" w:cs="Times New Roman"/>
                <w:b/>
                <w:bCs/>
                <w:color w:val="auto"/>
                <w:kern w:val="0"/>
                <w:sz w:val="24"/>
                <w:szCs w:val="24"/>
                <w:lang w:val="en-US" w:eastAsia="zh-CN" w:bidi="ar"/>
              </w:rPr>
              <w:t xml:space="preserve">4-11 </w:t>
            </w:r>
            <w:r>
              <w:rPr>
                <w:rFonts w:hint="eastAsia" w:ascii="宋体" w:hAnsi="宋体" w:eastAsia="宋体" w:cs="宋体"/>
                <w:b/>
                <w:bCs/>
                <w:color w:val="auto"/>
                <w:kern w:val="0"/>
                <w:sz w:val="24"/>
                <w:szCs w:val="24"/>
                <w:lang w:val="en-US" w:eastAsia="zh-CN" w:bidi="ar"/>
              </w:rPr>
              <w:t>厂界噪声监测计划</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600"/>
              <w:gridCol w:w="1487"/>
              <w:gridCol w:w="1688"/>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环境要素</w:t>
                  </w:r>
                </w:p>
              </w:tc>
              <w:tc>
                <w:tcPr>
                  <w:tcW w:w="1600"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监测项目</w:t>
                  </w:r>
                </w:p>
              </w:tc>
              <w:tc>
                <w:tcPr>
                  <w:tcW w:w="1487"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监测点位</w:t>
                  </w:r>
                </w:p>
              </w:tc>
              <w:tc>
                <w:tcPr>
                  <w:tcW w:w="1688"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监测频次</w:t>
                  </w:r>
                </w:p>
              </w:tc>
              <w:tc>
                <w:tcPr>
                  <w:tcW w:w="3983"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1600"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等效连续A声级</w:t>
                  </w:r>
                </w:p>
              </w:tc>
              <w:tc>
                <w:tcPr>
                  <w:tcW w:w="1487"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厂界四周1m处</w:t>
                  </w:r>
                </w:p>
              </w:tc>
              <w:tc>
                <w:tcPr>
                  <w:tcW w:w="1688"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季度/次</w:t>
                  </w:r>
                </w:p>
              </w:tc>
              <w:tc>
                <w:tcPr>
                  <w:tcW w:w="3983" w:type="dxa"/>
                  <w:vAlign w:val="center"/>
                </w:tcPr>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i w:val="0"/>
                      <w:iCs w:val="0"/>
                      <w:color w:val="auto"/>
                      <w:sz w:val="21"/>
                      <w:szCs w:val="21"/>
                      <w:lang w:val="en-US" w:eastAsia="zh-CN"/>
                    </w:rPr>
                    <w:t>《</w:t>
                  </w:r>
                  <w:r>
                    <w:rPr>
                      <w:rFonts w:hint="default" w:ascii="Times New Roman" w:hAnsi="Times New Roman" w:eastAsia="宋体" w:cs="Times New Roman"/>
                      <w:i w:val="0"/>
                      <w:iCs w:val="0"/>
                      <w:color w:val="auto"/>
                      <w:sz w:val="21"/>
                      <w:szCs w:val="21"/>
                      <w:lang w:val="en-US" w:eastAsia="zh-CN"/>
                    </w:rPr>
                    <w:fldChar w:fldCharType="begin"/>
                  </w:r>
                  <w:r>
                    <w:rPr>
                      <w:rFonts w:hint="default" w:ascii="Times New Roman" w:hAnsi="Times New Roman" w:eastAsia="宋体" w:cs="Times New Roman"/>
                      <w:i w:val="0"/>
                      <w:iCs w:val="0"/>
                      <w:color w:val="auto"/>
                      <w:sz w:val="21"/>
                      <w:szCs w:val="21"/>
                      <w:lang w:val="en-US" w:eastAsia="zh-CN"/>
                    </w:rPr>
                    <w:instrText xml:space="preserve"> HYPERLINK "https://www.mee.gov.cn/ywgz/fgbz/bz/bzwb/wlhj/hjzspfbz/200809/W020111121353694435553.pdf" </w:instrText>
                  </w:r>
                  <w:r>
                    <w:rPr>
                      <w:rFonts w:hint="default" w:ascii="Times New Roman" w:hAnsi="Times New Roman" w:eastAsia="宋体" w:cs="Times New Roman"/>
                      <w:i w:val="0"/>
                      <w:iCs w:val="0"/>
                      <w:color w:val="auto"/>
                      <w:sz w:val="21"/>
                      <w:szCs w:val="21"/>
                      <w:lang w:val="en-US" w:eastAsia="zh-CN"/>
                    </w:rPr>
                    <w:fldChar w:fldCharType="separate"/>
                  </w:r>
                  <w:r>
                    <w:rPr>
                      <w:rFonts w:hint="default" w:ascii="Times New Roman" w:hAnsi="Times New Roman" w:eastAsia="宋体" w:cs="Times New Roman"/>
                      <w:i w:val="0"/>
                      <w:iCs w:val="0"/>
                      <w:color w:val="auto"/>
                      <w:sz w:val="21"/>
                      <w:szCs w:val="21"/>
                      <w:lang w:val="en-US" w:eastAsia="zh-CN"/>
                    </w:rPr>
                    <w:t xml:space="preserve">社会生活环境噪声排放标准（GB </w:t>
                  </w:r>
                  <w:r>
                    <w:rPr>
                      <w:rFonts w:hint="eastAsia" w:cs="Times New Roman"/>
                      <w:i w:val="0"/>
                      <w:iCs w:val="0"/>
                      <w:color w:val="auto"/>
                      <w:sz w:val="21"/>
                      <w:szCs w:val="21"/>
                      <w:lang w:val="en-US" w:eastAsia="zh-CN"/>
                    </w:rPr>
                    <w:t>*****</w:t>
                  </w:r>
                  <w:r>
                    <w:rPr>
                      <w:rFonts w:hint="default" w:ascii="Times New Roman" w:hAnsi="Times New Roman" w:eastAsia="宋体" w:cs="Times New Roman"/>
                      <w:i w:val="0"/>
                      <w:iCs w:val="0"/>
                      <w:color w:val="auto"/>
                      <w:sz w:val="21"/>
                      <w:szCs w:val="21"/>
                      <w:lang w:val="en-US" w:eastAsia="zh-CN"/>
                    </w:rPr>
                    <w:t>-2008）</w:t>
                  </w:r>
                  <w:r>
                    <w:rPr>
                      <w:rFonts w:hint="default" w:ascii="Times New Roman" w:hAnsi="Times New Roman" w:eastAsia="宋体" w:cs="Times New Roman"/>
                      <w:i w:val="0"/>
                      <w:iCs w:val="0"/>
                      <w:color w:val="auto"/>
                      <w:sz w:val="21"/>
                      <w:szCs w:val="21"/>
                      <w:lang w:val="en-US" w:eastAsia="zh-CN"/>
                    </w:rPr>
                    <w:fldChar w:fldCharType="end"/>
                  </w:r>
                  <w:r>
                    <w:rPr>
                      <w:rFonts w:hint="default" w:ascii="Times New Roman" w:hAnsi="Times New Roman" w:eastAsia="宋体" w:cs="Times New Roman"/>
                      <w:i w:val="0"/>
                      <w:iCs w:val="0"/>
                      <w:color w:val="auto"/>
                      <w:sz w:val="21"/>
                      <w:szCs w:val="21"/>
                    </w:rPr>
                    <w:t>2类标准</w:t>
                  </w:r>
                </w:p>
              </w:tc>
            </w:tr>
          </w:tbl>
          <w:p>
            <w:pPr>
              <w:pStyle w:val="64"/>
              <w:keepNext w:val="0"/>
              <w:keepLines w:val="0"/>
              <w:suppressLineNumbers w:val="0"/>
              <w:spacing w:before="0" w:beforeAutospacing="0" w:after="0" w:afterAutospacing="0"/>
              <w:ind w:left="0" w:leftChars="0" w:right="0" w:firstLine="0" w:firstLineChars="0"/>
              <w:rPr>
                <w:rFonts w:hint="default" w:ascii="宋体" w:hAnsi="宋体" w:cs="宋体"/>
                <w:color w:val="auto"/>
                <w:sz w:val="24"/>
                <w:lang w:val="en-US"/>
              </w:rPr>
            </w:pP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eastAsia" w:ascii="宋体" w:hAnsi="宋体" w:cs="宋体"/>
                <w:b/>
                <w:color w:val="auto"/>
                <w:sz w:val="24"/>
                <w:szCs w:val="24"/>
              </w:rPr>
              <w:t>4、固废</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（1）生活垃圾</w:t>
            </w:r>
          </w:p>
          <w:p>
            <w:pPr>
              <w:pStyle w:val="13"/>
              <w:keepNext w:val="0"/>
              <w:keepLines w:val="0"/>
              <w:suppressLineNumbers w:val="0"/>
              <w:spacing w:before="0" w:beforeAutospacing="0" w:after="0" w:afterAutospacing="0" w:line="360" w:lineRule="auto"/>
              <w:ind w:left="0" w:right="0" w:firstLine="480" w:firstLineChars="200"/>
              <w:rPr>
                <w:rFonts w:hAnsi="宋体" w:cs="宋体"/>
                <w:color w:val="auto"/>
                <w:sz w:val="24"/>
                <w:szCs w:val="24"/>
              </w:rPr>
            </w:pPr>
            <w:r>
              <w:rPr>
                <w:rFonts w:hAnsi="宋体" w:cs="宋体"/>
                <w:color w:val="auto"/>
                <w:sz w:val="24"/>
                <w:szCs w:val="24"/>
              </w:rPr>
              <w:t>项目共设病床数为</w:t>
            </w:r>
            <w:r>
              <w:rPr>
                <w:rFonts w:hint="default" w:hAnsi="宋体" w:cs="宋体"/>
                <w:color w:val="auto"/>
                <w:sz w:val="24"/>
                <w:szCs w:val="24"/>
              </w:rPr>
              <w:t>2</w:t>
            </w:r>
            <w:r>
              <w:rPr>
                <w:rFonts w:hint="default" w:hAnsi="宋体" w:cs="宋体"/>
                <w:color w:val="auto"/>
                <w:sz w:val="24"/>
                <w:szCs w:val="24"/>
                <w:lang w:val="en-US"/>
              </w:rPr>
              <w:t>5</w:t>
            </w:r>
            <w:r>
              <w:rPr>
                <w:rFonts w:hAnsi="宋体" w:cs="宋体"/>
                <w:color w:val="auto"/>
                <w:sz w:val="24"/>
                <w:szCs w:val="24"/>
              </w:rPr>
              <w:t>0张，住院病人按每病床每日产生生活垃圾按1.0kg 计，产生生活垃圾</w:t>
            </w:r>
            <w:r>
              <w:rPr>
                <w:rFonts w:hint="default" w:hAnsi="宋体" w:cs="宋体"/>
                <w:color w:val="auto"/>
                <w:sz w:val="24"/>
                <w:szCs w:val="24"/>
              </w:rPr>
              <w:t>2</w:t>
            </w:r>
            <w:r>
              <w:rPr>
                <w:rFonts w:hint="default" w:hAnsi="宋体" w:cs="宋体"/>
                <w:color w:val="auto"/>
                <w:sz w:val="24"/>
                <w:szCs w:val="24"/>
                <w:lang w:val="en-US"/>
              </w:rPr>
              <w:t>5</w:t>
            </w:r>
            <w:r>
              <w:rPr>
                <w:rFonts w:hAnsi="宋体" w:cs="宋体"/>
                <w:color w:val="auto"/>
                <w:sz w:val="24"/>
                <w:szCs w:val="24"/>
              </w:rPr>
              <w:t>0kg/d；门诊垃圾按0.2kg/人·日，门诊人数</w:t>
            </w:r>
            <w:r>
              <w:rPr>
                <w:rFonts w:hint="default" w:hAnsi="宋体" w:cs="宋体"/>
                <w:color w:val="auto"/>
                <w:sz w:val="24"/>
                <w:szCs w:val="24"/>
                <w:lang w:val="en-US"/>
              </w:rPr>
              <w:t>8</w:t>
            </w:r>
            <w:r>
              <w:rPr>
                <w:rFonts w:hint="default" w:hAnsi="宋体" w:cs="宋体"/>
                <w:color w:val="auto"/>
                <w:sz w:val="24"/>
                <w:szCs w:val="24"/>
              </w:rPr>
              <w:t>0</w:t>
            </w:r>
            <w:r>
              <w:rPr>
                <w:rFonts w:hAnsi="宋体" w:cs="宋体"/>
                <w:color w:val="auto"/>
                <w:sz w:val="24"/>
                <w:szCs w:val="24"/>
              </w:rPr>
              <w:t>人，产生生活垃圾</w:t>
            </w:r>
            <w:r>
              <w:rPr>
                <w:rFonts w:hint="default" w:hAnsi="宋体" w:cs="宋体"/>
                <w:color w:val="auto"/>
                <w:sz w:val="24"/>
                <w:szCs w:val="24"/>
                <w:lang w:val="en-US"/>
              </w:rPr>
              <w:t>16</w:t>
            </w:r>
            <w:r>
              <w:rPr>
                <w:rFonts w:hAnsi="宋体" w:cs="宋体"/>
                <w:color w:val="auto"/>
                <w:sz w:val="24"/>
                <w:szCs w:val="24"/>
              </w:rPr>
              <w:t>kg/d；医院员工</w:t>
            </w:r>
            <w:r>
              <w:rPr>
                <w:rFonts w:hint="default" w:hAnsi="宋体" w:cs="宋体"/>
                <w:color w:val="auto"/>
                <w:sz w:val="24"/>
                <w:szCs w:val="24"/>
              </w:rPr>
              <w:t>110</w:t>
            </w:r>
            <w:r>
              <w:rPr>
                <w:rFonts w:hAnsi="宋体" w:cs="宋体"/>
                <w:color w:val="auto"/>
                <w:sz w:val="24"/>
                <w:szCs w:val="24"/>
              </w:rPr>
              <w:t>人，按0.5kg/d 计，产生生活垃圾</w:t>
            </w:r>
            <w:r>
              <w:rPr>
                <w:rFonts w:hint="default" w:hAnsi="宋体" w:cs="宋体"/>
                <w:color w:val="auto"/>
                <w:sz w:val="24"/>
                <w:szCs w:val="24"/>
              </w:rPr>
              <w:t>55</w:t>
            </w:r>
            <w:r>
              <w:rPr>
                <w:rFonts w:hAnsi="宋体" w:cs="宋体"/>
                <w:color w:val="auto"/>
                <w:sz w:val="24"/>
                <w:szCs w:val="24"/>
              </w:rPr>
              <w:t>kg/d，全院共产生生活垃圾</w:t>
            </w:r>
            <w:r>
              <w:rPr>
                <w:rFonts w:hint="default" w:hAnsi="宋体" w:cs="宋体"/>
                <w:color w:val="auto"/>
                <w:sz w:val="24"/>
                <w:szCs w:val="24"/>
                <w:lang w:val="en-US"/>
              </w:rPr>
              <w:t>321</w:t>
            </w:r>
            <w:r>
              <w:rPr>
                <w:rFonts w:hAnsi="宋体" w:cs="宋体"/>
                <w:color w:val="auto"/>
                <w:sz w:val="24"/>
                <w:szCs w:val="24"/>
              </w:rPr>
              <w:t>kg/d(约</w:t>
            </w:r>
            <w:r>
              <w:rPr>
                <w:rFonts w:hint="default" w:hAnsi="宋体" w:cs="宋体"/>
                <w:color w:val="auto"/>
                <w:sz w:val="24"/>
                <w:szCs w:val="24"/>
                <w:lang w:val="en-US"/>
              </w:rPr>
              <w:t>117.165</w:t>
            </w:r>
            <w:r>
              <w:rPr>
                <w:rFonts w:hAnsi="宋体" w:cs="宋体"/>
                <w:color w:val="auto"/>
                <w:sz w:val="24"/>
                <w:szCs w:val="24"/>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生活垃圾使用垃圾桶集中收集，委托环卫部门按日清运。</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（2）污泥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Calibri" w:hAnsi="Calibri" w:cs="Times New Roman"/>
                <w:color w:val="auto"/>
              </w:rPr>
            </w:pPr>
            <w:r>
              <w:rPr>
                <w:rFonts w:hint="eastAsia" w:ascii="宋体" w:hAnsi="宋体" w:cs="宋体"/>
                <w:color w:val="auto"/>
                <w:sz w:val="24"/>
                <w:szCs w:val="24"/>
              </w:rPr>
              <w:t>根据《云南省生态环境厅关于进一步加强医疗机构医疗污水环境管理工作的通知》 格渣、化粪池和污水处理站污泥均属于危险废物，应按危险废物进行处理和处置。经类比同类项目，污泥产生量一般约为污水量的0.1%，本项目污水处理量为</w:t>
            </w:r>
            <w:r>
              <w:rPr>
                <w:rFonts w:hint="default" w:ascii="宋体" w:hAnsi="宋体" w:cs="宋体"/>
                <w:color w:val="auto"/>
                <w:sz w:val="24"/>
                <w:szCs w:val="24"/>
                <w:lang w:val="en-US"/>
              </w:rPr>
              <w:t>39449.565</w:t>
            </w:r>
            <w:r>
              <w:rPr>
                <w:rFonts w:hint="eastAsia" w:ascii="宋体" w:hAnsi="宋体" w:cs="宋体"/>
                <w:color w:val="auto"/>
                <w:sz w:val="24"/>
                <w:szCs w:val="24"/>
              </w:rPr>
              <w:t>m</w:t>
            </w:r>
            <w:r>
              <w:rPr>
                <w:rFonts w:hint="eastAsia" w:ascii="宋体" w:hAnsi="宋体" w:cs="宋体"/>
                <w:color w:val="auto"/>
                <w:sz w:val="24"/>
                <w:szCs w:val="24"/>
                <w:vertAlign w:val="superscript"/>
              </w:rPr>
              <w:t>3</w:t>
            </w:r>
            <w:r>
              <w:rPr>
                <w:rFonts w:hint="eastAsia" w:ascii="宋体" w:hAnsi="宋体" w:cs="宋体"/>
                <w:color w:val="auto"/>
                <w:sz w:val="24"/>
                <w:szCs w:val="24"/>
              </w:rPr>
              <w:t>/a，污泥产生量</w:t>
            </w:r>
            <w:r>
              <w:rPr>
                <w:rFonts w:hint="default" w:ascii="宋体" w:hAnsi="宋体" w:cs="宋体"/>
                <w:color w:val="auto"/>
                <w:sz w:val="24"/>
                <w:szCs w:val="24"/>
                <w:lang w:val="en-US"/>
              </w:rPr>
              <w:t>39.45</w:t>
            </w:r>
            <w:r>
              <w:rPr>
                <w:rFonts w:hint="eastAsia" w:ascii="宋体" w:hAnsi="宋体" w:cs="宋体"/>
                <w:color w:val="auto"/>
                <w:sz w:val="24"/>
                <w:szCs w:val="24"/>
              </w:rPr>
              <w:t>t/a；污泥委托有资质的单位</w:t>
            </w:r>
            <w:r>
              <w:rPr>
                <w:rFonts w:hint="eastAsia" w:ascii="宋体" w:hAnsi="宋体" w:cs="宋体"/>
                <w:color w:val="auto"/>
                <w:sz w:val="24"/>
                <w:szCs w:val="24"/>
                <w:lang w:eastAsia="zh-CN"/>
              </w:rPr>
              <w:t>现场消毒脱水并</w:t>
            </w:r>
            <w:r>
              <w:rPr>
                <w:rFonts w:hint="eastAsia" w:ascii="宋体" w:hAnsi="宋体" w:cs="宋体"/>
                <w:color w:val="auto"/>
                <w:sz w:val="24"/>
                <w:szCs w:val="24"/>
              </w:rPr>
              <w:t>处置。</w:t>
            </w:r>
          </w:p>
          <w:p>
            <w:pPr>
              <w:pStyle w:val="2"/>
              <w:keepNext w:val="0"/>
              <w:keepLines w:val="0"/>
              <w:suppressLineNumbers w:val="0"/>
              <w:spacing w:beforeAutospacing="0" w:after="0" w:afterAutospacing="0" w:line="360" w:lineRule="auto"/>
              <w:ind w:firstLine="482" w:firstLineChars="200"/>
              <w:rPr>
                <w:rFonts w:hint="eastAsia" w:ascii="宋体" w:hAnsi="宋体" w:cs="宋体"/>
                <w:b/>
                <w:bCs/>
                <w:color w:val="auto"/>
                <w:sz w:val="24"/>
              </w:rPr>
            </w:pPr>
            <w:r>
              <w:rPr>
                <w:rFonts w:hint="eastAsia" w:ascii="宋体" w:hAnsi="宋体" w:cs="宋体"/>
                <w:b/>
                <w:bCs/>
                <w:color w:val="auto"/>
                <w:sz w:val="24"/>
              </w:rPr>
              <w:t>（3）医疗废物</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医疗废弃物来源广泛、成分复杂，</w:t>
            </w:r>
            <w:r>
              <w:rPr>
                <w:rFonts w:hint="eastAsia" w:ascii="宋体" w:hAnsi="宋体" w:cs="宋体"/>
                <w:color w:val="auto"/>
                <w:sz w:val="24"/>
              </w:rPr>
              <w:t>如化学试剂、过期药品</w:t>
            </w:r>
            <w:r>
              <w:rPr>
                <w:rFonts w:hint="eastAsia" w:ascii="宋体" w:hAnsi="宋体" w:cs="宋体"/>
                <w:color w:val="auto"/>
                <w:sz w:val="24"/>
              </w:rPr>
              <w:t>、一次性医疗器具等；废弃物成分包括金属、玻璃、塑料、纸类、纱布等，往往还带有大量病毒、细菌，具有较高的感染性。其中医院医疗废物已列入我国危险废物名录（编号 HW01），必须规范处置。</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据项目诊疗科室设置，本项目不产生病理性废物，项目药品主要为镇定类药物，医院的过期药品药房工作人员将快到禁销期的药品，提前三个月联系医药公司，做退货处理。过期药品的药物管控要求：严格执行《品管理法条例》、《精神药品管理条例》、《处方管理办法》的相关规定，做好用药流程的管理，对近期近期失效药品提前三个月退还供应商。</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本项目医疗废物主要为门诊、住院部产生的废输液管、废输液袋</w:t>
            </w:r>
            <w:r>
              <w:rPr>
                <w:rFonts w:hint="default" w:ascii="宋体" w:hAnsi="宋体" w:cs="宋体"/>
                <w:color w:val="auto"/>
                <w:sz w:val="24"/>
              </w:rPr>
              <w:t>/</w:t>
            </w:r>
            <w:r>
              <w:rPr>
                <w:rFonts w:hint="eastAsia" w:ascii="宋体" w:hAnsi="宋体" w:cs="宋体"/>
                <w:color w:val="auto"/>
                <w:sz w:val="24"/>
              </w:rPr>
              <w:t>瓶、废棉签棒、过期药品等，其中废输液管、废输液袋</w:t>
            </w:r>
            <w:r>
              <w:rPr>
                <w:rFonts w:hint="default" w:ascii="宋体" w:hAnsi="宋体" w:cs="宋体"/>
                <w:color w:val="auto"/>
                <w:sz w:val="24"/>
              </w:rPr>
              <w:t>/</w:t>
            </w:r>
            <w:r>
              <w:rPr>
                <w:rFonts w:hint="eastAsia" w:ascii="宋体" w:hAnsi="宋体" w:cs="宋体"/>
                <w:color w:val="auto"/>
                <w:sz w:val="24"/>
              </w:rPr>
              <w:t>瓶、废棉签棒等属于《国家危废管理名录》（</w:t>
            </w:r>
            <w:r>
              <w:rPr>
                <w:rFonts w:hint="default" w:ascii="宋体" w:hAnsi="宋体" w:cs="宋体"/>
                <w:color w:val="auto"/>
                <w:sz w:val="24"/>
              </w:rPr>
              <w:t>2021</w:t>
            </w:r>
            <w:r>
              <w:rPr>
                <w:rFonts w:hint="eastAsia" w:ascii="宋体" w:hAnsi="宋体" w:cs="宋体"/>
                <w:color w:val="auto"/>
                <w:sz w:val="24"/>
              </w:rPr>
              <w:t>版）中“</w:t>
            </w:r>
            <w:r>
              <w:rPr>
                <w:rFonts w:hint="default" w:ascii="宋体" w:hAnsi="宋体" w:cs="宋体"/>
                <w:color w:val="auto"/>
                <w:sz w:val="24"/>
              </w:rPr>
              <w:t>HW01</w:t>
            </w:r>
            <w:r>
              <w:rPr>
                <w:rFonts w:hint="eastAsia" w:ascii="宋体" w:hAnsi="宋体" w:cs="宋体"/>
                <w:color w:val="auto"/>
                <w:sz w:val="24"/>
              </w:rPr>
              <w:t xml:space="preserve">医疗废物——感染性废物，废物代码为 </w:t>
            </w:r>
            <w:r>
              <w:rPr>
                <w:rFonts w:hint="default" w:ascii="宋体" w:hAnsi="宋体" w:cs="宋体"/>
                <w:color w:val="auto"/>
                <w:sz w:val="24"/>
              </w:rPr>
              <w:t>841-00</w:t>
            </w:r>
            <w:r>
              <w:rPr>
                <w:rFonts w:hint="eastAsia" w:ascii="宋体" w:hAnsi="宋体" w:cs="宋体"/>
                <w:color w:val="auto"/>
                <w:sz w:val="24"/>
              </w:rPr>
              <w:t>1</w:t>
            </w:r>
            <w:r>
              <w:rPr>
                <w:rFonts w:hint="default" w:ascii="宋体" w:hAnsi="宋体" w:cs="宋体"/>
                <w:color w:val="auto"/>
                <w:sz w:val="24"/>
              </w:rPr>
              <w:t>-01</w:t>
            </w:r>
            <w:r>
              <w:rPr>
                <w:rFonts w:hint="eastAsia" w:ascii="宋体" w:hAnsi="宋体" w:cs="宋体"/>
                <w:color w:val="auto"/>
                <w:sz w:val="24"/>
              </w:rPr>
              <w:t>”；废针头属于《国家危废管理名录》（</w:t>
            </w:r>
            <w:r>
              <w:rPr>
                <w:rFonts w:hint="default" w:ascii="宋体" w:hAnsi="宋体" w:cs="宋体"/>
                <w:color w:val="auto"/>
                <w:sz w:val="24"/>
              </w:rPr>
              <w:t>2021</w:t>
            </w:r>
            <w:r>
              <w:rPr>
                <w:rFonts w:hint="eastAsia" w:ascii="宋体" w:hAnsi="宋体" w:cs="宋体"/>
                <w:color w:val="auto"/>
                <w:sz w:val="24"/>
              </w:rPr>
              <w:t>版）中“</w:t>
            </w:r>
            <w:r>
              <w:rPr>
                <w:rFonts w:hint="default" w:ascii="宋体" w:hAnsi="宋体" w:cs="宋体"/>
                <w:color w:val="auto"/>
                <w:sz w:val="24"/>
              </w:rPr>
              <w:t xml:space="preserve">HW01 </w:t>
            </w:r>
            <w:r>
              <w:rPr>
                <w:rFonts w:hint="eastAsia" w:ascii="宋体" w:hAnsi="宋体" w:cs="宋体"/>
                <w:color w:val="auto"/>
                <w:sz w:val="24"/>
              </w:rPr>
              <w:t xml:space="preserve">医疗废物——损伤性废物，废物代码为 </w:t>
            </w:r>
            <w:r>
              <w:rPr>
                <w:rFonts w:hint="default" w:ascii="宋体" w:hAnsi="宋体" w:cs="宋体"/>
                <w:color w:val="auto"/>
                <w:sz w:val="24"/>
              </w:rPr>
              <w:t>841-002-01</w:t>
            </w:r>
            <w:r>
              <w:rPr>
                <w:rFonts w:hint="eastAsia" w:ascii="宋体" w:hAnsi="宋体" w:cs="宋体"/>
                <w:color w:val="auto"/>
                <w:sz w:val="24"/>
              </w:rPr>
              <w:t>”；</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①门诊部医疗废物：项目门诊部产生的废物主要为废输液管、废输液袋、废针头等。门诊病人医疗废物产生系数按0.2kg/人•日计，门诊病人医疗废物产生量约为</w:t>
            </w:r>
            <w:r>
              <w:rPr>
                <w:rFonts w:hint="default" w:ascii="宋体" w:hAnsi="宋体" w:cs="宋体"/>
                <w:color w:val="auto"/>
                <w:sz w:val="24"/>
                <w:lang w:val="en-US"/>
              </w:rPr>
              <w:t>16kg/d</w:t>
            </w:r>
            <w:r>
              <w:rPr>
                <w:rFonts w:hint="eastAsia" w:ascii="宋体" w:hAnsi="宋体" w:cs="宋体"/>
                <w:color w:val="auto"/>
                <w:sz w:val="24"/>
                <w:lang w:val="en-US" w:eastAsia="zh-CN"/>
              </w:rPr>
              <w:t>，</w:t>
            </w:r>
            <w:r>
              <w:rPr>
                <w:rFonts w:hint="default" w:ascii="宋体" w:hAnsi="宋体" w:cs="宋体"/>
                <w:color w:val="auto"/>
                <w:sz w:val="24"/>
                <w:lang w:val="en-US"/>
              </w:rPr>
              <w:t>5.84</w:t>
            </w:r>
            <w:r>
              <w:rPr>
                <w:rFonts w:hint="eastAsia" w:ascii="宋体" w:hAnsi="宋体" w:cs="宋体"/>
                <w:color w:val="auto"/>
                <w:sz w:val="24"/>
              </w:rPr>
              <w:t>t/a。</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②住院部医疗废物：本项目住院病人医疗废物产生系数按0.53kg/床•日，医疗废物产生量约为</w:t>
            </w:r>
            <w:r>
              <w:rPr>
                <w:rFonts w:hint="default" w:ascii="宋体" w:hAnsi="宋体" w:cs="宋体"/>
                <w:color w:val="auto"/>
                <w:sz w:val="24"/>
                <w:lang w:val="en-US"/>
              </w:rPr>
              <w:t>132.5kg/d</w:t>
            </w:r>
            <w:r>
              <w:rPr>
                <w:rFonts w:hint="eastAsia" w:ascii="宋体" w:hAnsi="宋体" w:cs="宋体"/>
                <w:color w:val="auto"/>
                <w:sz w:val="24"/>
                <w:lang w:val="en-US" w:eastAsia="zh-CN"/>
              </w:rPr>
              <w:t>，</w:t>
            </w:r>
            <w:r>
              <w:rPr>
                <w:rFonts w:hint="default" w:ascii="宋体" w:hAnsi="宋体" w:cs="宋体"/>
                <w:color w:val="auto"/>
                <w:sz w:val="24"/>
                <w:lang w:val="en-US"/>
              </w:rPr>
              <w:t>48.36</w:t>
            </w:r>
            <w:r>
              <w:rPr>
                <w:rFonts w:hint="eastAsia" w:ascii="宋体" w:hAnsi="宋体" w:cs="宋体"/>
                <w:color w:val="auto"/>
                <w:sz w:val="24"/>
              </w:rPr>
              <w:t>t/a。</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本项目医疗废物产生量合计</w:t>
            </w:r>
            <w:r>
              <w:rPr>
                <w:rFonts w:hint="default" w:ascii="宋体" w:hAnsi="宋体" w:cs="宋体"/>
                <w:color w:val="auto"/>
                <w:sz w:val="24"/>
                <w:lang w:val="en-US"/>
              </w:rPr>
              <w:t>54.2</w:t>
            </w:r>
            <w:r>
              <w:rPr>
                <w:rFonts w:hint="eastAsia" w:ascii="宋体" w:hAnsi="宋体" w:cs="宋体"/>
                <w:color w:val="auto"/>
                <w:sz w:val="24"/>
              </w:rPr>
              <w:t>t/a，医疗废物分类暂存在医疗废物暂存间内，委托有资质单位清运处置。</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本项目医疗废物据感染性废物、损伤性废物两类进行分类后，暂存在医疗废物暂存间内，不能混合收集。医疗废物暂存间位于外院西北角，平时有专人看管，不得随意进出。</w:t>
            </w:r>
          </w:p>
          <w:p>
            <w:pPr>
              <w:keepNext w:val="0"/>
              <w:keepLines w:val="0"/>
              <w:suppressLineNumbers w:val="0"/>
              <w:adjustRightInd w:val="0"/>
              <w:snapToGrid w:val="0"/>
              <w:spacing w:before="0" w:beforeAutospacing="0" w:after="0" w:afterAutospacing="0"/>
              <w:ind w:left="0" w:right="0"/>
              <w:jc w:val="center"/>
              <w:rPr>
                <w:rFonts w:hint="eastAsia" w:ascii="Calibri" w:hAnsi="Calibri" w:cs="Times New Roman"/>
                <w:b/>
                <w:bCs/>
                <w:color w:val="auto"/>
                <w:sz w:val="24"/>
                <w:szCs w:val="22"/>
              </w:rPr>
            </w:pPr>
            <w:r>
              <w:rPr>
                <w:rFonts w:hint="eastAsia" w:ascii="宋体" w:hAnsi="宋体" w:cs="宋体"/>
                <w:b/>
                <w:bCs/>
                <w:color w:val="auto"/>
                <w:sz w:val="24"/>
              </w:rPr>
              <w:t>表4-</w:t>
            </w:r>
            <w:r>
              <w:rPr>
                <w:rFonts w:hint="default" w:ascii="宋体" w:hAnsi="宋体" w:cs="宋体"/>
                <w:b/>
                <w:bCs/>
                <w:color w:val="auto"/>
                <w:sz w:val="24"/>
              </w:rPr>
              <w:t>1</w:t>
            </w:r>
            <w:r>
              <w:rPr>
                <w:rFonts w:hint="default" w:ascii="宋体" w:hAnsi="宋体" w:cs="宋体"/>
                <w:b/>
                <w:bCs/>
                <w:color w:val="auto"/>
                <w:sz w:val="24"/>
                <w:lang w:val="en-US"/>
              </w:rPr>
              <w:t>2</w:t>
            </w:r>
            <w:r>
              <w:rPr>
                <w:rFonts w:hint="default" w:ascii="宋体" w:hAnsi="宋体" w:cs="宋体"/>
                <w:b/>
                <w:bCs/>
                <w:color w:val="auto"/>
                <w:sz w:val="24"/>
              </w:rPr>
              <w:t xml:space="preserve"> </w:t>
            </w:r>
            <w:r>
              <w:rPr>
                <w:rFonts w:hint="eastAsia" w:ascii="Calibri" w:hAnsi="Calibri" w:cs="Times New Roman"/>
                <w:b/>
                <w:bCs/>
                <w:color w:val="auto"/>
                <w:sz w:val="24"/>
                <w:szCs w:val="22"/>
              </w:rPr>
              <w:t>医疗救治过程的医疗废物属性一览表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488"/>
              <w:gridCol w:w="1428"/>
              <w:gridCol w:w="1420"/>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废物名称</w:t>
                  </w:r>
                </w:p>
              </w:tc>
              <w:tc>
                <w:tcPr>
                  <w:tcW w:w="751"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废物类别</w:t>
                  </w:r>
                </w:p>
              </w:tc>
              <w:tc>
                <w:tcPr>
                  <w:tcW w:w="72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2"/>
                    </w:rPr>
                  </w:pPr>
                  <w:r>
                    <w:rPr>
                      <w:rFonts w:hint="eastAsia" w:ascii="Times New Roman" w:hAnsi="Times New Roman" w:cs="Times New Roman"/>
                      <w:color w:val="auto"/>
                      <w:szCs w:val="22"/>
                    </w:rPr>
                    <w:t>废物代码</w:t>
                  </w:r>
                </w:p>
              </w:tc>
              <w:tc>
                <w:tcPr>
                  <w:tcW w:w="717"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废物来源</w:t>
                  </w:r>
                </w:p>
              </w:tc>
              <w:tc>
                <w:tcPr>
                  <w:tcW w:w="1810"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常见危害组分或废物名称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废输液管、废输液袋</w:t>
                  </w:r>
                </w:p>
              </w:tc>
              <w:tc>
                <w:tcPr>
                  <w:tcW w:w="751" w:type="pct"/>
                  <w:noWrap w:val="0"/>
                  <w:vAlign w:val="center"/>
                </w:tcPr>
                <w:p>
                  <w:pPr>
                    <w:pStyle w:val="82"/>
                    <w:keepNext w:val="0"/>
                    <w:keepLines w:val="0"/>
                    <w:suppressLineNumbers w:val="0"/>
                    <w:spacing w:before="16" w:beforeAutospacing="0" w:after="0" w:afterAutospacing="0" w:line="241" w:lineRule="exact"/>
                    <w:ind w:left="93" w:right="88"/>
                    <w:jc w:val="center"/>
                    <w:rPr>
                      <w:rFonts w:hint="default" w:ascii="Times New Roman" w:hAnsi="Calibri" w:cs="Times New Roman"/>
                      <w:color w:val="auto"/>
                      <w:sz w:val="21"/>
                    </w:rPr>
                  </w:pPr>
                  <w:r>
                    <w:rPr>
                      <w:rFonts w:hint="default" w:ascii="Times New Roman" w:hAnsi="Calibri" w:cs="Times New Roman"/>
                      <w:color w:val="auto"/>
                      <w:sz w:val="21"/>
                    </w:rPr>
                    <w:t>HW01</w:t>
                  </w:r>
                </w:p>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医疗废物</w:t>
                  </w:r>
                </w:p>
              </w:tc>
              <w:tc>
                <w:tcPr>
                  <w:tcW w:w="72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2"/>
                    </w:rPr>
                  </w:pPr>
                  <w:r>
                    <w:rPr>
                      <w:rFonts w:hint="eastAsia" w:ascii="Times New Roman" w:hAnsi="Times New Roman" w:cs="Times New Roman"/>
                      <w:color w:val="auto"/>
                      <w:szCs w:val="22"/>
                    </w:rPr>
                    <w:t>841-005-01</w:t>
                  </w:r>
                </w:p>
              </w:tc>
              <w:tc>
                <w:tcPr>
                  <w:tcW w:w="717"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门诊、住院</w:t>
                  </w:r>
                </w:p>
              </w:tc>
              <w:tc>
                <w:tcPr>
                  <w:tcW w:w="1810"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被病人血液、体液、排泄物污染的物品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废针头</w:t>
                  </w:r>
                </w:p>
              </w:tc>
              <w:tc>
                <w:tcPr>
                  <w:tcW w:w="751" w:type="pct"/>
                  <w:noWrap w:val="0"/>
                  <w:vAlign w:val="center"/>
                </w:tcPr>
                <w:p>
                  <w:pPr>
                    <w:pStyle w:val="82"/>
                    <w:keepNext w:val="0"/>
                    <w:keepLines w:val="0"/>
                    <w:suppressLineNumbers w:val="0"/>
                    <w:spacing w:before="19" w:beforeAutospacing="0" w:after="0" w:afterAutospacing="0" w:line="241" w:lineRule="exact"/>
                    <w:ind w:left="93" w:right="88"/>
                    <w:jc w:val="center"/>
                    <w:rPr>
                      <w:rFonts w:hint="default" w:ascii="Times New Roman" w:hAnsi="Calibri" w:cs="Times New Roman"/>
                      <w:color w:val="auto"/>
                      <w:sz w:val="21"/>
                    </w:rPr>
                  </w:pPr>
                  <w:r>
                    <w:rPr>
                      <w:rFonts w:hint="default" w:ascii="Times New Roman" w:hAnsi="Calibri" w:cs="Times New Roman"/>
                      <w:color w:val="auto"/>
                      <w:sz w:val="21"/>
                    </w:rPr>
                    <w:t>HW01</w:t>
                  </w:r>
                </w:p>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医疗废物</w:t>
                  </w:r>
                </w:p>
              </w:tc>
              <w:tc>
                <w:tcPr>
                  <w:tcW w:w="72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2"/>
                    </w:rPr>
                  </w:pPr>
                  <w:r>
                    <w:rPr>
                      <w:rFonts w:hint="eastAsia" w:ascii="Times New Roman" w:hAnsi="Times New Roman" w:cs="Times New Roman"/>
                      <w:color w:val="auto"/>
                      <w:szCs w:val="22"/>
                    </w:rPr>
                    <w:t>841-002-01</w:t>
                  </w:r>
                </w:p>
              </w:tc>
              <w:tc>
                <w:tcPr>
                  <w:tcW w:w="717" w:type="pct"/>
                  <w:noWrap w:val="0"/>
                  <w:vAlign w:val="center"/>
                </w:tcPr>
                <w:p>
                  <w:pPr>
                    <w:keepNext w:val="0"/>
                    <w:keepLines w:val="0"/>
                    <w:suppressLineNumbers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szCs w:val="22"/>
                    </w:rPr>
                    <w:t>门诊、住院</w:t>
                  </w:r>
                </w:p>
              </w:tc>
              <w:tc>
                <w:tcPr>
                  <w:tcW w:w="1810" w:type="pct"/>
                  <w:noWrap w:val="0"/>
                  <w:vAlign w:val="center"/>
                </w:tcPr>
                <w:p>
                  <w:pPr>
                    <w:keepNext w:val="0"/>
                    <w:keepLines w:val="0"/>
                    <w:suppressLineNumbers w:val="0"/>
                    <w:spacing w:before="0" w:beforeAutospacing="0" w:after="0" w:afterAutospacing="0"/>
                    <w:ind w:left="0" w:right="0"/>
                    <w:jc w:val="center"/>
                    <w:rPr>
                      <w:rFonts w:hint="eastAsia" w:ascii="Calibri" w:hAnsi="Calibri" w:cs="Times New Roman"/>
                      <w:color w:val="auto"/>
                    </w:rPr>
                  </w:pPr>
                  <w:r>
                    <w:rPr>
                      <w:rFonts w:hint="eastAsia" w:ascii="Calibri" w:hAnsi="Calibri" w:cs="Times New Roman"/>
                      <w:color w:val="auto"/>
                      <w:szCs w:val="22"/>
                    </w:rPr>
                    <w:t>能够扎（刺）伤或者割伤人体的废弃的</w:t>
                  </w:r>
                  <w:r>
                    <w:rPr>
                      <w:rFonts w:hint="eastAsia" w:ascii="Calibri" w:hAnsi="Calibri" w:cs="Times New Roman"/>
                      <w:color w:val="auto"/>
                      <w:spacing w:val="-8"/>
                      <w:szCs w:val="22"/>
                    </w:rPr>
                    <w:t>锐利器物</w:t>
                  </w:r>
                  <w:r>
                    <w:rPr>
                      <w:rFonts w:hint="eastAsia" w:ascii="Calibri" w:hAnsi="Calibri" w:cs="Times New Roman"/>
                      <w:color w:val="auto"/>
                      <w:szCs w:val="22"/>
                    </w:rPr>
                    <w:t>（所有锐器视为感染性</w:t>
                  </w:r>
                  <w:r>
                    <w:rPr>
                      <w:rFonts w:hint="eastAsia" w:ascii="Calibri" w:hAnsi="Calibri" w:cs="Times New Roman"/>
                      <w:color w:val="auto"/>
                      <w:spacing w:val="-29"/>
                      <w:szCs w:val="22"/>
                    </w:rPr>
                    <w:t>），</w:t>
                  </w:r>
                  <w:r>
                    <w:rPr>
                      <w:rFonts w:hint="eastAsia" w:ascii="Calibri" w:hAnsi="Calibri" w:cs="Times New Roman"/>
                      <w:color w:val="auto"/>
                      <w:spacing w:val="-10"/>
                      <w:szCs w:val="22"/>
                    </w:rPr>
                    <w:t>如针头、缝合针、各类刀、锯、废弃的载</w:t>
                  </w:r>
                  <w:r>
                    <w:rPr>
                      <w:rFonts w:hint="eastAsia" w:ascii="Calibri" w:hAnsi="Calibri" w:cs="Times New Roman"/>
                      <w:color w:val="auto"/>
                      <w:szCs w:val="22"/>
                    </w:rPr>
                    <w:t>玻片、玻璃试管等。</w:t>
                  </w:r>
                </w:p>
              </w:tc>
            </w:tr>
          </w:tbl>
          <w:p>
            <w:pPr>
              <w:pStyle w:val="22"/>
              <w:keepNext w:val="0"/>
              <w:keepLines w:val="0"/>
              <w:suppressLineNumbers w:val="0"/>
              <w:spacing w:before="0" w:beforeAutospacing="0" w:after="0" w:afterAutospacing="0" w:line="360" w:lineRule="auto"/>
              <w:ind w:left="0" w:right="0" w:firstLine="482" w:firstLineChars="200"/>
              <w:jc w:val="both"/>
              <w:rPr>
                <w:rFonts w:hint="eastAsia" w:cs="宋体"/>
                <w:b/>
                <w:bCs/>
                <w:color w:val="auto"/>
                <w:szCs w:val="24"/>
              </w:rPr>
            </w:pPr>
            <w:r>
              <w:rPr>
                <w:rFonts w:hint="eastAsia" w:cs="宋体"/>
                <w:b/>
                <w:bCs/>
                <w:color w:val="auto"/>
                <w:szCs w:val="24"/>
              </w:rPr>
              <w:t>（4）医疗废物暂存间</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医院所产生医疗废物主要包括损伤性废物、感染性废物。</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医疗垃圾严格按照《医疗废物管理条例》及时收集本单位产生的医疗废物，并按照类别分置于防渗漏、防锐器穿透的专用包装物或者密闭的容器内，医疗废物专用包装物、容器，应当有明显的警示标识和警示说明；委托有资质的单位进行处置。</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本项目新建一栋</w:t>
            </w:r>
            <w:r>
              <w:rPr>
                <w:rFonts w:hint="eastAsia" w:ascii="宋体" w:hAnsi="宋体" w:cs="宋体"/>
                <w:color w:val="auto"/>
                <w:sz w:val="24"/>
              </w:rPr>
              <w:t>医废楼</w:t>
            </w:r>
            <w:r>
              <w:rPr>
                <w:rFonts w:hint="eastAsia" w:ascii="宋体" w:hAnsi="宋体" w:cs="宋体"/>
                <w:color w:val="auto"/>
                <w:sz w:val="24"/>
              </w:rPr>
              <w:t>进行暂存，面积</w:t>
            </w:r>
            <w:r>
              <w:rPr>
                <w:rFonts w:hint="default" w:ascii="宋体" w:hAnsi="宋体" w:cs="宋体"/>
                <w:color w:val="auto"/>
                <w:sz w:val="24"/>
              </w:rPr>
              <w:t>43.8</w:t>
            </w:r>
            <w:r>
              <w:rPr>
                <w:rFonts w:hint="eastAsia" w:ascii="宋体" w:hAnsi="宋体" w:cs="宋体"/>
                <w:color w:val="auto"/>
                <w:sz w:val="24"/>
              </w:rPr>
              <w:t>m</w:t>
            </w:r>
            <w:r>
              <w:rPr>
                <w:rFonts w:hint="eastAsia" w:ascii="宋体" w:hAnsi="宋体" w:cs="宋体"/>
                <w:color w:val="auto"/>
                <w:sz w:val="24"/>
                <w:vertAlign w:val="superscript"/>
              </w:rPr>
              <w:t>2</w:t>
            </w:r>
            <w:r>
              <w:rPr>
                <w:rFonts w:hint="eastAsia" w:ascii="宋体" w:hAnsi="宋体" w:cs="宋体"/>
                <w:color w:val="auto"/>
                <w:sz w:val="24"/>
              </w:rPr>
              <w:t>。医疗废物污染环境、传播疾病、威胁健康，危害很大，是《国家危险废物名录》规定的危险废物，医疗废物混入生活垃圾，极易成为疾病的传染源。</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宋体" w:hAnsi="宋体" w:cs="宋体"/>
                <w:b/>
                <w:bCs/>
                <w:color w:val="auto"/>
                <w:sz w:val="24"/>
                <w:szCs w:val="24"/>
              </w:rPr>
            </w:pPr>
            <w:r>
              <w:rPr>
                <w:rFonts w:hint="eastAsia" w:ascii="宋体" w:hAnsi="宋体" w:cs="宋体"/>
                <w:b/>
                <w:bCs/>
                <w:color w:val="auto"/>
                <w:sz w:val="24"/>
                <w:szCs w:val="24"/>
              </w:rPr>
              <w:t xml:space="preserve">1）医疗废物暂存间管理要求  </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①根据医疗废物的类别，将医疗废物分置于符合《医疗废物专用包装物、容器的标准和警示标识的规定》的包装物或者容器内；</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②在盛装医疗废物前，应当对医疗废物包装物或者容器进行认真检查，确保无破损、渗漏和其它缺陷；性废物不能混合收集。</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③感染性废物、损伤性废物及其相关的废物的管理，依照有关法律、行政法规和国家有关规定、标准执行；</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④放入包装物或者容器内的感染性废物、损伤性废物不得取出。</w:t>
            </w:r>
          </w:p>
          <w:p>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2）医疗废物的暂存</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①医疗废物产生地点应当有医疗废物分类收集方法的示意图或者文字说明。</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②盛装的医疗废物达到包装物或者容器的3/4时，应当使用有效的封口方式，使包装物或者容器的封口紧实、严密。</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③包装物或者容器的外表面被感染性废物污染时，应当对被污染处进行消毒处理或者增加一层包装。</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④盛装医疗废物的每个包装物、容器外表面应当有警示标识，在每个包装物、容器上应当系中文标签，中文标签的内容应当包括：医疗废物产生单位、产生日期、类别及需要的特别说明等。</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⑤医疗卫生机构应当建立医疗废物暂时贮存设施、设备，不得露天存放医疗废物；医疗废物暂时贮存的时间不得超过48h。</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⑥医疗卫生机构应当将医疗废物交由取得县级以上人民政府环境保护行政主管部门许可的医疗废物集中处置单位处置，依照危险废物转移联单制度填写和保存转移联单。</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⑦医疗卫生机构应当对医疗废物进行登记，登记内容应当包括医疗废物的来源、种类、重量或者数量、交接时间、最终去向以及经办人签名等项目。登记资料至少保存3年。</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⑧医疗废物转交出去后，应当对暂时贮存地点、设施及时进行清洁和消毒处理。</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⑨禁止医疗卫生机构工作人员转让买卖医疗废物。</w:t>
            </w:r>
          </w:p>
          <w:p>
            <w:pPr>
              <w:keepNext w:val="0"/>
              <w:keepLines w:val="0"/>
              <w:suppressLineNumbers w:val="0"/>
              <w:spacing w:before="0" w:beforeAutospacing="0" w:after="0" w:afterAutospacing="0" w:line="360" w:lineRule="auto"/>
              <w:ind w:left="0" w:right="0" w:firstLine="480" w:firstLineChars="200"/>
              <w:jc w:val="left"/>
              <w:rPr>
                <w:rFonts w:hint="eastAsia" w:ascii="Calibri" w:hAnsi="Calibri" w:cs="Times New Roman"/>
                <w:color w:val="auto"/>
              </w:rPr>
            </w:pPr>
            <w:r>
              <w:rPr>
                <w:rFonts w:hint="eastAsia" w:ascii="宋体" w:hAnsi="宋体" w:cs="宋体"/>
                <w:color w:val="auto"/>
                <w:sz w:val="24"/>
                <w:szCs w:val="24"/>
              </w:rPr>
              <w:t>⑩禁止在非收集、非暂时贮存地点倾倒、堆放医疗废物，禁止将医疗废物混入其它废物和生活垃圾。</w:t>
            </w:r>
          </w:p>
          <w:p>
            <w:pPr>
              <w:keepNext w:val="0"/>
              <w:keepLines w:val="0"/>
              <w:suppressLineNumbers w:val="0"/>
              <w:adjustRightInd w:val="0"/>
              <w:snapToGrid w:val="0"/>
              <w:spacing w:before="0" w:beforeAutospacing="0" w:after="0" w:afterAutospacing="0" w:line="360" w:lineRule="auto"/>
              <w:ind w:left="420" w:leftChars="200" w:right="0"/>
              <w:rPr>
                <w:rFonts w:hint="eastAsia" w:ascii="Calibri" w:hAnsi="Calibri" w:eastAsia="宋体" w:cs="Times New Roman"/>
                <w:b/>
                <w:bCs/>
                <w:color w:val="auto"/>
                <w:sz w:val="24"/>
                <w:szCs w:val="24"/>
                <w:lang w:eastAsia="zh-CN"/>
              </w:rPr>
            </w:pPr>
            <w:r>
              <w:rPr>
                <w:rFonts w:hint="default" w:ascii="Times New Roman" w:hAnsi="Times New Roman" w:cs="宋体"/>
                <w:b/>
                <w:bCs/>
                <w:color w:val="auto"/>
                <w:sz w:val="24"/>
                <w:szCs w:val="24"/>
                <w:lang w:val="en-US" w:bidi="ar"/>
              </w:rPr>
              <w:t>3</w:t>
            </w:r>
            <w:r>
              <w:rPr>
                <w:rFonts w:hint="eastAsia" w:ascii="Times New Roman" w:hAnsi="Times New Roman" w:cs="宋体"/>
                <w:b/>
                <w:bCs/>
                <w:color w:val="auto"/>
                <w:sz w:val="24"/>
                <w:szCs w:val="24"/>
                <w:lang w:bidi="ar"/>
              </w:rPr>
              <w:t>）</w:t>
            </w:r>
            <w:r>
              <w:rPr>
                <w:rFonts w:hint="eastAsia" w:ascii="Times New Roman" w:hAnsi="Times New Roman" w:cs="宋体"/>
                <w:b/>
                <w:bCs/>
                <w:color w:val="auto"/>
                <w:sz w:val="24"/>
                <w:szCs w:val="24"/>
                <w:lang w:eastAsia="zh-CN" w:bidi="ar"/>
              </w:rPr>
              <w:t>医疗</w:t>
            </w:r>
            <w:r>
              <w:rPr>
                <w:rFonts w:hint="eastAsia" w:ascii="Times New Roman" w:hAnsi="Times New Roman" w:cs="宋体"/>
                <w:b/>
                <w:bCs/>
                <w:color w:val="auto"/>
                <w:sz w:val="24"/>
                <w:szCs w:val="24"/>
                <w:lang w:bidi="ar"/>
              </w:rPr>
              <w:t>废物暂存间</w:t>
            </w:r>
            <w:r>
              <w:rPr>
                <w:rFonts w:hint="eastAsia" w:ascii="Times New Roman" w:hAnsi="Times New Roman" w:cs="宋体"/>
                <w:b/>
                <w:bCs/>
                <w:color w:val="auto"/>
                <w:sz w:val="24"/>
                <w:szCs w:val="24"/>
                <w:lang w:eastAsia="zh-CN" w:bidi="ar"/>
              </w:rPr>
              <w:t>建设要求</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rPr>
              <w:t>A</w:t>
            </w:r>
            <w:r>
              <w:rPr>
                <w:rFonts w:hint="default" w:ascii="Times New Roman" w:hAnsi="Times New Roman" w:eastAsia="宋体" w:cs="Times New Roman"/>
                <w:color w:val="auto"/>
                <w:kern w:val="2"/>
                <w:sz w:val="24"/>
                <w:szCs w:val="24"/>
                <w:lang w:val="en-US" w:eastAsia="zh-CN"/>
              </w:rPr>
              <w:t>.房屋要求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①项目共设有1间，建筑面积均为43.8m</w:t>
            </w:r>
            <w:r>
              <w:rPr>
                <w:rFonts w:hint="default" w:ascii="Times New Roman" w:hAnsi="Times New Roman" w:eastAsia="宋体"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②地面和墙裙（不低于1.0m高）必须进行防渗处理，且地面要有良好的排水性能，易于清洁和消毒；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③清洁和消毒产生的废水应采用管道直接排入医疗医疗废水处理设施，不得排入外环境；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④有严密的封闭措施，达到防蝇、防鼠、防盗以及预防儿童接触等要求；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⑤室内应分医疗废物存放处及工作人员防护用品、工具用具存放处，并设有分类存放的标识；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⑥应根据《危险废物贮存污染控制标准》（GB </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-2023）中对危废暂存间要求建设，贮存设施应根据危险废物的形态、物理化学性质、包装形式和污染物迁移途径，采取必要的防风、防晒、防雨、防漏、防渗、防腐以及其他环境污染防治措施，不应露天堆放危险废物。贮存设施或贮存分区内地面、墙面裙脚、堵截泄漏的围堰、接触危险废物的隔板和墙体等应采用坚固的材料建造，表面无裂缝。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 xml:space="preserve"> cm/s），或至少2mm 厚高密度聚乙烯膜等人工防渗材料（渗透系数不大于10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 xml:space="preserve"> cm/s），或其他防渗性能等效的材料。同一贮存设施宜采用相同的防渗、防腐工艺（包括防渗、防腐结构或材料），防渗、防腐材料应覆盖所有可能与废物及其渗滤液、渗漏液等接触的构筑物表面；采用不同防渗、防腐工艺应分别建设贮存分区。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lang w:val="en-US" w:eastAsia="zh-CN"/>
              </w:rPr>
              <w:t>B.</w:t>
            </w:r>
            <w:r>
              <w:rPr>
                <w:rFonts w:hint="default" w:ascii="Times New Roman" w:hAnsi="Times New Roman" w:eastAsia="宋体" w:cs="Times New Roman"/>
                <w:color w:val="auto"/>
                <w:kern w:val="0"/>
                <w:sz w:val="24"/>
                <w:szCs w:val="24"/>
                <w:lang w:val="en-US" w:eastAsia="zh-CN" w:bidi="ar"/>
              </w:rPr>
              <w:t xml:space="preserve">标识要求：暂存间门外应张贴“医疗废物暂存间”、“废物暂存间”、及“禁止吸烟、饮食”的警示标识。 </w:t>
            </w:r>
          </w:p>
          <w:p>
            <w:pPr>
              <w:keepNext w:val="0"/>
              <w:keepLines w:val="0"/>
              <w:suppressLineNumbers w:val="0"/>
              <w:spacing w:before="0" w:beforeAutospacing="0" w:after="0" w:afterAutospacing="0" w:line="360" w:lineRule="auto"/>
              <w:ind w:left="0" w:right="0" w:firstLine="482" w:firstLineChars="200"/>
              <w:rPr>
                <w:rFonts w:hint="eastAsia" w:ascii="宋体" w:hAnsi="宋体" w:cs="宋体"/>
                <w:b/>
                <w:bCs/>
                <w:color w:val="auto"/>
                <w:sz w:val="24"/>
                <w:szCs w:val="24"/>
              </w:rPr>
            </w:pPr>
            <w:r>
              <w:rPr>
                <w:rFonts w:hint="eastAsia" w:ascii="宋体" w:hAnsi="宋体" w:cs="宋体"/>
                <w:b/>
                <w:bCs/>
                <w:color w:val="auto"/>
                <w:sz w:val="24"/>
                <w:szCs w:val="24"/>
              </w:rPr>
              <w:t>（</w:t>
            </w:r>
            <w:r>
              <w:rPr>
                <w:rFonts w:hint="default" w:ascii="宋体" w:hAnsi="宋体" w:cs="宋体"/>
                <w:b/>
                <w:bCs/>
                <w:color w:val="auto"/>
                <w:sz w:val="24"/>
                <w:szCs w:val="24"/>
                <w:lang w:val="en-US"/>
              </w:rPr>
              <w:t>5</w:t>
            </w:r>
            <w:r>
              <w:rPr>
                <w:rFonts w:hint="eastAsia" w:ascii="宋体" w:hAnsi="宋体" w:cs="宋体"/>
                <w:b/>
                <w:bCs/>
                <w:color w:val="auto"/>
                <w:sz w:val="24"/>
                <w:szCs w:val="24"/>
              </w:rPr>
              <w:t>）小结</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本项目生活垃圾使用垃圾桶收集后委托环卫部门清运；污泥委托有资质单位</w:t>
            </w:r>
            <w:r>
              <w:rPr>
                <w:rFonts w:hint="eastAsia" w:ascii="宋体" w:hAnsi="宋体" w:cs="宋体"/>
                <w:color w:val="auto"/>
                <w:sz w:val="24"/>
                <w:lang w:eastAsia="zh-CN"/>
              </w:rPr>
              <w:t>现场消毒脱水并清运</w:t>
            </w:r>
            <w:r>
              <w:rPr>
                <w:rFonts w:hint="eastAsia" w:ascii="宋体" w:hAnsi="宋体" w:cs="宋体"/>
                <w:color w:val="auto"/>
                <w:sz w:val="24"/>
              </w:rPr>
              <w:t>处置；医疗废物委托有资质的单位进行处置，固体废物均得到妥善处置，处置率为100%，对周围环境影响不大。</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5</w:t>
            </w:r>
            <w:r>
              <w:rPr>
                <w:rFonts w:hint="eastAsia" w:ascii="宋体" w:hAnsi="宋体" w:cs="宋体"/>
                <w:b/>
                <w:color w:val="auto"/>
                <w:sz w:val="24"/>
                <w:szCs w:val="24"/>
              </w:rPr>
              <w:t>、环境风险影响分析</w:t>
            </w:r>
          </w:p>
          <w:p>
            <w:pPr>
              <w:keepNext w:val="0"/>
              <w:keepLines w:val="0"/>
              <w:suppressLineNumbers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5</w:t>
            </w:r>
            <w:r>
              <w:rPr>
                <w:rFonts w:hint="eastAsia" w:ascii="宋体" w:hAnsi="宋体" w:cs="宋体"/>
                <w:b/>
                <w:color w:val="auto"/>
                <w:sz w:val="24"/>
                <w:szCs w:val="24"/>
              </w:rPr>
              <w:t xml:space="preserve">.1环境风险评价依据 </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（1）评价目的</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lang w:bidi="ar"/>
              </w:rPr>
            </w:pPr>
            <w:r>
              <w:rPr>
                <w:rFonts w:hint="eastAsia" w:ascii="宋体" w:hAnsi="宋体" w:cs="宋体"/>
                <w:color w:val="auto"/>
                <w:sz w:val="24"/>
                <w:szCs w:val="24"/>
                <w:lang w:bidi="ar"/>
              </w:rPr>
              <w:t>环境风险评价的目的是分析和预测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据《建设项目环境风险评价技术导则》（HJ</w:t>
            </w:r>
            <w:r>
              <w:rPr>
                <w:rFonts w:hint="eastAsia" w:ascii="宋体" w:hAnsi="宋体" w:cs="宋体"/>
                <w:color w:val="auto"/>
                <w:sz w:val="24"/>
                <w:szCs w:val="24"/>
                <w:lang w:eastAsia="zh-CN"/>
              </w:rPr>
              <w:t>***</w:t>
            </w:r>
            <w:r>
              <w:rPr>
                <w:rFonts w:hint="eastAsia" w:ascii="宋体" w:hAnsi="宋体" w:cs="宋体"/>
                <w:color w:val="auto"/>
                <w:sz w:val="24"/>
                <w:szCs w:val="24"/>
              </w:rPr>
              <w:t>-2018）的要求，对于涉及有毒有害和易燃易爆物质的生产、使用、储存的建设项目可能发生突发性事故的应进行环境风险评价。本次环境风险评价的目的在于识别、分析、评估项目生产运行及物料储运中的风险所造成对人身安全与环境的影响和损害，并针对潜在的环境风险，提出相应的预防措施，力求将项目建设中潜在的风险危害程度降至最低。</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（2）风险调查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污水处理站消毒剂使用次氯酸钠，本</w:t>
            </w:r>
            <w:r>
              <w:rPr>
                <w:rFonts w:hint="eastAsia" w:ascii="Calibri" w:hAnsi="Calibri" w:cs="Times New Roman"/>
                <w:color w:val="auto"/>
                <w:spacing w:val="-10"/>
                <w:sz w:val="24"/>
                <w:szCs w:val="22"/>
              </w:rPr>
              <w:t xml:space="preserve">项目设置有 </w:t>
            </w:r>
            <w:r>
              <w:rPr>
                <w:rFonts w:hint="default" w:ascii="Times New Roman" w:hAnsi="Times New Roman" w:eastAsia="Times New Roman" w:cs="Times New Roman"/>
                <w:color w:val="auto"/>
                <w:sz w:val="24"/>
                <w:szCs w:val="22"/>
              </w:rPr>
              <w:t xml:space="preserve">1 </w:t>
            </w:r>
            <w:r>
              <w:rPr>
                <w:rFonts w:hint="eastAsia" w:ascii="Calibri" w:hAnsi="Calibri" w:cs="Times New Roman"/>
                <w:color w:val="auto"/>
                <w:spacing w:val="-7"/>
                <w:sz w:val="24"/>
                <w:szCs w:val="22"/>
              </w:rPr>
              <w:t>台备用柴油发电机作为备用电源，仅供停电时使用，该发电机采用轻质柴油（含硫率</w:t>
            </w:r>
            <w:r>
              <w:rPr>
                <w:rFonts w:hint="default" w:ascii="Times New Roman" w:hAnsi="Times New Roman" w:eastAsia="Times New Roman" w:cs="Times New Roman"/>
                <w:color w:val="auto"/>
                <w:spacing w:val="-7"/>
                <w:sz w:val="24"/>
                <w:szCs w:val="22"/>
              </w:rPr>
              <w:t>≤10mg/kg</w:t>
            </w:r>
            <w:r>
              <w:rPr>
                <w:rFonts w:hint="eastAsia" w:ascii="Calibri" w:hAnsi="Calibri" w:cs="Times New Roman"/>
                <w:color w:val="auto"/>
                <w:spacing w:val="-7"/>
                <w:sz w:val="24"/>
                <w:szCs w:val="22"/>
              </w:rPr>
              <w:t>）作燃料；</w:t>
            </w:r>
            <w:r>
              <w:rPr>
                <w:rFonts w:hint="eastAsia" w:ascii="宋体" w:hAnsi="宋体" w:cs="宋体"/>
                <w:color w:val="auto"/>
                <w:sz w:val="24"/>
                <w:szCs w:val="24"/>
              </w:rPr>
              <w:t>本项目涉及到的危险化学品主要为</w:t>
            </w:r>
            <w:r>
              <w:rPr>
                <w:rFonts w:hint="eastAsia" w:ascii="宋体" w:hAnsi="宋体" w:cs="宋体"/>
                <w:color w:val="auto"/>
                <w:sz w:val="24"/>
                <w:szCs w:val="24"/>
                <w:lang w:eastAsia="zh-CN"/>
              </w:rPr>
              <w:t>实验试剂、</w:t>
            </w:r>
            <w:r>
              <w:rPr>
                <w:rFonts w:hint="eastAsia" w:ascii="宋体" w:hAnsi="宋体" w:cs="宋体"/>
                <w:color w:val="auto"/>
                <w:sz w:val="24"/>
                <w:szCs w:val="24"/>
              </w:rPr>
              <w:t>次氯酸钠和柴油。</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次氯酸钠、柴油的理化性质及危险特性详见下表。</w:t>
            </w:r>
          </w:p>
          <w:p>
            <w:pPr>
              <w:pStyle w:val="92"/>
              <w:keepNext/>
              <w:keepLines/>
              <w:widowControl w:val="0"/>
              <w:suppressLineNumbers w:val="0"/>
              <w:shd w:val="clear" w:color="auto" w:fill="auto"/>
              <w:tabs>
                <w:tab w:val="left" w:pos="9158"/>
              </w:tabs>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color w:val="auto"/>
                <w:sz w:val="24"/>
                <w:szCs w:val="24"/>
                <w:lang w:val="en-US"/>
              </w:rPr>
              <w:t xml:space="preserve"> </w:t>
            </w:r>
            <w:r>
              <w:rPr>
                <w:rFonts w:hint="eastAsia" w:ascii="宋体" w:hAnsi="宋体" w:eastAsia="宋体" w:cs="宋体"/>
                <w:b/>
                <w:bCs/>
                <w:color w:val="auto"/>
                <w:sz w:val="24"/>
                <w:szCs w:val="24"/>
                <w:lang w:val="en-US"/>
              </w:rPr>
              <w:t xml:space="preserve"> 表4-1</w:t>
            </w:r>
            <w:r>
              <w:rPr>
                <w:rFonts w:hint="default" w:ascii="宋体" w:hAnsi="宋体" w:eastAsia="宋体" w:cs="宋体"/>
                <w:b/>
                <w:bCs/>
                <w:color w:val="auto"/>
                <w:sz w:val="24"/>
                <w:szCs w:val="24"/>
                <w:lang w:val="en-US"/>
              </w:rPr>
              <w:t xml:space="preserve">3 </w:t>
            </w:r>
            <w:r>
              <w:rPr>
                <w:rFonts w:hint="eastAsia" w:ascii="宋体" w:hAnsi="宋体" w:eastAsia="宋体" w:cs="宋体"/>
                <w:b/>
                <w:bCs/>
                <w:color w:val="auto"/>
                <w:sz w:val="24"/>
                <w:szCs w:val="24"/>
              </w:rPr>
              <w:t>次氯酸钠溶液的理化性质及危险特性</w:t>
            </w:r>
          </w:p>
          <w:tbl>
            <w:tblPr>
              <w:tblStyle w:val="26"/>
              <w:tblW w:w="0" w:type="auto"/>
              <w:jc w:val="center"/>
              <w:tblLayout w:type="autofit"/>
              <w:tblCellMar>
                <w:top w:w="0" w:type="dxa"/>
                <w:left w:w="10" w:type="dxa"/>
                <w:bottom w:w="0" w:type="dxa"/>
                <w:right w:w="10" w:type="dxa"/>
              </w:tblCellMar>
            </w:tblPr>
            <w:tblGrid>
              <w:gridCol w:w="979"/>
              <w:gridCol w:w="1489"/>
              <w:gridCol w:w="982"/>
              <w:gridCol w:w="893"/>
              <w:gridCol w:w="1653"/>
              <w:gridCol w:w="397"/>
              <w:gridCol w:w="2111"/>
            </w:tblGrid>
            <w:tr>
              <w:trPr>
                <w:trHeight w:val="376"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标识</w:t>
                  </w:r>
                </w:p>
              </w:tc>
              <w:tc>
                <w:tcPr>
                  <w:tcW w:w="5414" w:type="dxa"/>
                  <w:gridSpan w:val="5"/>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firstLine="210" w:firstLineChars="100"/>
                    <w:jc w:val="both"/>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bidi="ar-SA"/>
                    </w:rPr>
                    <w:t>中文名：次氯酸钠溶液 [含有效氯〉5%]：漂白水</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危险货物编号：83501</w:t>
                  </w:r>
                </w:p>
              </w:tc>
            </w:tr>
            <w:tr>
              <w:tblPrEx>
                <w:tblCellMar>
                  <w:top w:w="0" w:type="dxa"/>
                  <w:left w:w="10" w:type="dxa"/>
                  <w:bottom w:w="0" w:type="dxa"/>
                  <w:right w:w="10" w:type="dxa"/>
                </w:tblCellMar>
              </w:tblPrEx>
              <w:trPr>
                <w:trHeight w:val="63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英文名</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 xml:space="preserve">Sodium hypochloritesolutio ncontainingmore than </w:t>
                  </w:r>
                  <w:r>
                    <w:rPr>
                      <w:rFonts w:hint="eastAsia" w:ascii="宋体" w:hAnsi="宋体" w:eastAsia="宋体" w:cs="宋体"/>
                      <w:color w:val="auto"/>
                      <w:sz w:val="21"/>
                      <w:szCs w:val="21"/>
                      <w:lang w:val="en-US"/>
                    </w:rPr>
                    <w:t xml:space="preserve">5% </w:t>
                  </w:r>
                  <w:r>
                    <w:rPr>
                      <w:rFonts w:hint="eastAsia" w:ascii="宋体" w:hAnsi="宋体" w:eastAsia="宋体" w:cs="宋体"/>
                      <w:color w:val="auto"/>
                      <w:sz w:val="21"/>
                      <w:szCs w:val="21"/>
                      <w:lang w:val="en-US" w:eastAsia="en-US" w:bidi="en-US"/>
                    </w:rPr>
                    <w:t>available chlorine</w:t>
                  </w:r>
                  <w:r>
                    <w:rPr>
                      <w:rFonts w:hint="eastAsia" w:ascii="宋体" w:hAnsi="宋体" w:eastAsia="宋体" w:cs="宋体"/>
                      <w:color w:val="auto"/>
                      <w:sz w:val="21"/>
                      <w:szCs w:val="21"/>
                      <w:lang w:val="en-US" w:bidi="en-US"/>
                    </w:rPr>
                    <w:t>:</w:t>
                  </w:r>
                  <w:r>
                    <w:rPr>
                      <w:rFonts w:hint="eastAsia" w:ascii="宋体" w:hAnsi="宋体" w:eastAsia="宋体" w:cs="宋体"/>
                      <w:color w:val="auto"/>
                      <w:sz w:val="21"/>
                      <w:szCs w:val="21"/>
                      <w:lang w:val="en-US" w:eastAsia="en-US" w:bidi="en-US"/>
                    </w:rPr>
                    <w:t xml:space="preserve"> Javele</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UN</w:t>
                  </w:r>
                  <w:r>
                    <w:rPr>
                      <w:rFonts w:hint="eastAsia" w:ascii="宋体" w:hAnsi="宋体" w:eastAsia="宋体" w:cs="宋体"/>
                      <w:color w:val="auto"/>
                      <w:sz w:val="21"/>
                      <w:szCs w:val="21"/>
                    </w:rPr>
                    <w:t>编号：1791</w:t>
                  </w:r>
                </w:p>
              </w:tc>
            </w:tr>
            <w:tr>
              <w:tblPrEx>
                <w:tblCellMar>
                  <w:top w:w="0" w:type="dxa"/>
                  <w:left w:w="10" w:type="dxa"/>
                  <w:bottom w:w="0" w:type="dxa"/>
                  <w:right w:w="10" w:type="dxa"/>
                </w:tblCellMar>
              </w:tblPrEx>
              <w:trPr>
                <w:trHeight w:val="342"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5414" w:type="dxa"/>
                  <w:gridSpan w:val="5"/>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661"/>
                    </w:tabs>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分子式</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NaC</w:t>
                  </w:r>
                  <w:r>
                    <w:rPr>
                      <w:rFonts w:hint="eastAsia" w:ascii="宋体" w:hAnsi="宋体" w:eastAsia="宋体" w:cs="宋体"/>
                      <w:color w:val="auto"/>
                      <w:sz w:val="21"/>
                      <w:szCs w:val="21"/>
                      <w:lang w:val="en-US" w:bidi="en-US"/>
                    </w:rPr>
                    <w:t>l</w:t>
                  </w:r>
                  <w:r>
                    <w:rPr>
                      <w:rFonts w:hint="eastAsia" w:ascii="宋体" w:hAnsi="宋体" w:eastAsia="宋体" w:cs="宋体"/>
                      <w:color w:val="auto"/>
                      <w:sz w:val="21"/>
                      <w:szCs w:val="21"/>
                      <w:lang w:val="en-US" w:eastAsia="en-US" w:bidi="en-US"/>
                    </w:rPr>
                    <w:t>O</w:t>
                  </w:r>
                  <w:r>
                    <w:rPr>
                      <w:rFonts w:hint="eastAsia" w:ascii="宋体" w:hAnsi="宋体" w:eastAsia="宋体" w:cs="宋体"/>
                      <w:color w:val="auto"/>
                      <w:sz w:val="21"/>
                      <w:szCs w:val="21"/>
                      <w:lang w:val="en-US" w:bidi="en-US"/>
                    </w:rPr>
                    <w:t xml:space="preserve">  </w:t>
                  </w:r>
                  <w:r>
                    <w:rPr>
                      <w:rFonts w:hint="eastAsia" w:ascii="宋体" w:hAnsi="宋体" w:eastAsia="宋体" w:cs="宋体"/>
                      <w:color w:val="auto"/>
                      <w:sz w:val="21"/>
                      <w:szCs w:val="21"/>
                    </w:rPr>
                    <w:t>分子量</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en-US" w:bidi="en-US"/>
                    </w:rPr>
                    <w:t>74.44</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CAS</w:t>
                  </w:r>
                  <w:r>
                    <w:rPr>
                      <w:rFonts w:hint="eastAsia" w:ascii="宋体" w:hAnsi="宋体" w:eastAsia="宋体" w:cs="宋体"/>
                      <w:color w:val="auto"/>
                      <w:sz w:val="21"/>
                      <w:szCs w:val="21"/>
                    </w:rPr>
                    <w:t>号：</w:t>
                  </w:r>
                  <w:r>
                    <w:rPr>
                      <w:rFonts w:hint="eastAsia" w:ascii="宋体" w:hAnsi="宋体" w:eastAsia="宋体" w:cs="宋体"/>
                      <w:color w:val="auto"/>
                      <w:sz w:val="21"/>
                      <w:szCs w:val="21"/>
                      <w:lang w:val="en-US" w:eastAsia="en-US" w:bidi="en-US"/>
                    </w:rPr>
                    <w:t>7681-52-9</w:t>
                  </w:r>
                </w:p>
              </w:tc>
            </w:tr>
            <w:tr>
              <w:tblPrEx>
                <w:tblCellMar>
                  <w:top w:w="0" w:type="dxa"/>
                  <w:left w:w="10" w:type="dxa"/>
                  <w:bottom w:w="0" w:type="dxa"/>
                  <w:right w:w="10" w:type="dxa"/>
                </w:tblCellMar>
              </w:tblPrEx>
              <w:trPr>
                <w:trHeight w:val="386"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理化性质</w:t>
                  </w: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外观与性状</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微黄色溶液，有似氯气的气味。</w:t>
                  </w:r>
                </w:p>
              </w:tc>
            </w:tr>
            <w:tr>
              <w:tblPrEx>
                <w:tblCellMar>
                  <w:top w:w="0" w:type="dxa"/>
                  <w:left w:w="10" w:type="dxa"/>
                  <w:bottom w:w="0" w:type="dxa"/>
                  <w:right w:w="10" w:type="dxa"/>
                </w:tblCellMar>
              </w:tblPrEx>
              <w:trPr>
                <w:trHeight w:val="34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熔点（</w:t>
                  </w:r>
                  <w:r>
                    <w:rPr>
                      <w:rFonts w:hint="eastAsia" w:ascii="宋体" w:hAnsi="宋体" w:eastAsia="宋体" w:cs="宋体"/>
                      <w:color w:val="auto"/>
                      <w:sz w:val="21"/>
                      <w:szCs w:val="21"/>
                      <w:lang w:val="en-US" w:eastAsia="en-US" w:bidi="en-US"/>
                    </w:rPr>
                    <w:t xml:space="preserve">C </w:t>
                  </w:r>
                  <w:r>
                    <w:rPr>
                      <w:rFonts w:hint="eastAsia" w:ascii="宋体" w:hAnsi="宋体" w:eastAsia="宋体" w:cs="宋体"/>
                      <w:color w:val="auto"/>
                      <w:sz w:val="21"/>
                      <w:szCs w:val="21"/>
                    </w:rPr>
                    <w:t>）</w:t>
                  </w:r>
                </w:p>
              </w:tc>
              <w:tc>
                <w:tcPr>
                  <w:tcW w:w="1875"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-6</w:t>
                  </w:r>
                </w:p>
              </w:tc>
              <w:tc>
                <w:tcPr>
                  <w:tcW w:w="2050"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3810"/>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相对密度（水=1）</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en-US" w:bidi="en-US"/>
                    </w:rPr>
                    <w:t>1.10</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3938"/>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相对密度（空气=1）/</w:t>
                  </w:r>
                </w:p>
              </w:tc>
            </w:tr>
            <w:tr>
              <w:trPr>
                <w:trHeight w:val="321"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沸点（</w:t>
                  </w:r>
                  <w:r>
                    <w:rPr>
                      <w:rFonts w:hint="eastAsia" w:ascii="宋体" w:hAnsi="宋体" w:eastAsia="宋体" w:cs="宋体"/>
                      <w:color w:val="auto"/>
                      <w:sz w:val="21"/>
                      <w:szCs w:val="21"/>
                      <w:lang w:val="en-US" w:eastAsia="en-US" w:bidi="en-US"/>
                    </w:rPr>
                    <w:t xml:space="preserve">C </w:t>
                  </w:r>
                  <w:r>
                    <w:rPr>
                      <w:rFonts w:hint="eastAsia" w:ascii="宋体" w:hAnsi="宋体" w:eastAsia="宋体" w:cs="宋体"/>
                      <w:color w:val="auto"/>
                      <w:sz w:val="21"/>
                      <w:szCs w:val="21"/>
                    </w:rPr>
                    <w:t>）</w:t>
                  </w:r>
                </w:p>
              </w:tc>
              <w:tc>
                <w:tcPr>
                  <w:tcW w:w="1875"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102.2</w:t>
                  </w:r>
                </w:p>
              </w:tc>
              <w:tc>
                <w:tcPr>
                  <w:tcW w:w="2050"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饱和蒸气压（</w:t>
                  </w:r>
                  <w:r>
                    <w:rPr>
                      <w:rFonts w:hint="eastAsia" w:ascii="宋体" w:hAnsi="宋体" w:eastAsia="宋体" w:cs="宋体"/>
                      <w:color w:val="auto"/>
                      <w:sz w:val="21"/>
                      <w:szCs w:val="21"/>
                      <w:lang w:val="en-US" w:bidi="en-US"/>
                    </w:rPr>
                    <w:t>kPa</w:t>
                  </w:r>
                  <w:r>
                    <w:rPr>
                      <w:rFonts w:hint="eastAsia" w:ascii="宋体" w:hAnsi="宋体" w:eastAsia="宋体" w:cs="宋体"/>
                      <w:color w:val="auto"/>
                      <w:sz w:val="21"/>
                      <w:szCs w:val="21"/>
                    </w:rPr>
                    <w:t>）</w:t>
                  </w:r>
                </w:p>
              </w:tc>
              <w:tc>
                <w:tcPr>
                  <w:tcW w:w="2111" w:type="dxa"/>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CellMar>
                  <w:top w:w="0" w:type="dxa"/>
                  <w:left w:w="10" w:type="dxa"/>
                  <w:bottom w:w="0" w:type="dxa"/>
                  <w:right w:w="10" w:type="dxa"/>
                </w:tblCellMar>
              </w:tblPrEx>
              <w:trPr>
                <w:trHeight w:val="31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溶解性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溶于水。</w:t>
                  </w:r>
                </w:p>
              </w:tc>
            </w:tr>
            <w:tr>
              <w:trPr>
                <w:trHeight w:val="303"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毒性及健康危害</w:t>
                  </w: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侵入途径</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吸入、食入、经皮吸收。</w:t>
                  </w:r>
                </w:p>
              </w:tc>
            </w:tr>
            <w:tr>
              <w:tblPrEx>
                <w:tblCellMar>
                  <w:top w:w="0" w:type="dxa"/>
                  <w:left w:w="10" w:type="dxa"/>
                  <w:bottom w:w="0" w:type="dxa"/>
                  <w:right w:w="10" w:type="dxa"/>
                </w:tblCellMar>
              </w:tblPrEx>
              <w:trPr>
                <w:trHeight w:val="326"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毒性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bidi="en-US"/>
                    </w:rPr>
                    <w:t xml:space="preserve">LD </w:t>
                  </w:r>
                  <w:r>
                    <w:rPr>
                      <w:rFonts w:hint="eastAsia" w:ascii="宋体" w:hAnsi="宋体" w:eastAsia="宋体" w:cs="宋体"/>
                      <w:color w:val="auto"/>
                      <w:sz w:val="21"/>
                      <w:szCs w:val="21"/>
                    </w:rPr>
                    <w:t xml:space="preserve">50: </w:t>
                  </w:r>
                  <w:r>
                    <w:rPr>
                      <w:rFonts w:hint="eastAsia" w:ascii="宋体" w:hAnsi="宋体" w:eastAsia="宋体" w:cs="宋体"/>
                      <w:color w:val="auto"/>
                      <w:sz w:val="21"/>
                      <w:szCs w:val="21"/>
                      <w:lang w:val="en-US" w:eastAsia="en-US" w:bidi="en-US"/>
                    </w:rPr>
                    <w:t>5800mg/kg（</w:t>
                  </w:r>
                  <w:r>
                    <w:rPr>
                      <w:rFonts w:hint="eastAsia" w:ascii="宋体" w:hAnsi="宋体" w:eastAsia="宋体" w:cs="宋体"/>
                      <w:color w:val="auto"/>
                      <w:sz w:val="21"/>
                      <w:szCs w:val="21"/>
                    </w:rPr>
                    <w:t>小鼠经口</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en-US" w:bidi="en-US"/>
                    </w:rPr>
                    <w:t xml:space="preserve">LC </w:t>
                  </w:r>
                  <w:r>
                    <w:rPr>
                      <w:rFonts w:hint="eastAsia" w:ascii="宋体" w:hAnsi="宋体" w:eastAsia="宋体" w:cs="宋体"/>
                      <w:color w:val="auto"/>
                      <w:sz w:val="21"/>
                      <w:szCs w:val="21"/>
                    </w:rPr>
                    <w:t>50:</w:t>
                  </w:r>
                </w:p>
              </w:tc>
            </w:tr>
            <w:tr>
              <w:trPr>
                <w:trHeight w:val="799"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健康危害</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次氯酸钠放出的游离氯可引起中毒，亦可引起皮肤病。已知本品有 致敏作用。用次氯酸钠漂白液洗手的工人，手掌大量出汗，指甲薄，毛发脱落。</w:t>
                  </w:r>
                </w:p>
              </w:tc>
            </w:tr>
            <w:tr>
              <w:tblPrEx>
                <w:tblCellMar>
                  <w:top w:w="0" w:type="dxa"/>
                  <w:left w:w="10" w:type="dxa"/>
                  <w:bottom w:w="0" w:type="dxa"/>
                  <w:right w:w="10" w:type="dxa"/>
                </w:tblCellMar>
              </w:tblPrEx>
              <w:trPr>
                <w:trHeight w:val="1148"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急救方法</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皮肤接触：脱去被污染的衣着，用大量流动清水冲洗。眼睛接触：提起眼睑，用流动清水或生理盐水冲洗。就医。吸入：迅速脱离现场至空气新鲜处。保持呼吸道通畅。如呼吸困难，给输氧。如呼吸停止，立即进行人工呼吸。就医。食入：饮足量温水，催吐。就医。</w:t>
                  </w:r>
                </w:p>
              </w:tc>
            </w:tr>
            <w:tr>
              <w:trPr>
                <w:trHeight w:val="316" w:hRule="exact"/>
                <w:jc w:val="center"/>
              </w:trPr>
              <w:tc>
                <w:tcPr>
                  <w:tcW w:w="979" w:type="dxa"/>
                  <w:vMerge w:val="restart"/>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燃烧爆炸危险性</w:t>
                  </w: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燃烧性</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不燃</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燃烧分解物</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氯化物。</w:t>
                  </w:r>
                </w:p>
              </w:tc>
            </w:tr>
            <w:tr>
              <w:tblPrEx>
                <w:tblCellMar>
                  <w:top w:w="0" w:type="dxa"/>
                  <w:left w:w="10" w:type="dxa"/>
                  <w:bottom w:w="0" w:type="dxa"/>
                  <w:right w:w="10" w:type="dxa"/>
                </w:tblCellMar>
              </w:tblPrEx>
              <w:trPr>
                <w:trHeight w:val="402"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闪点</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爆炸上限（V%）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rPr>
                <w:trHeight w:val="419"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引燃温度</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爆炸下限（V%）</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CellMar>
                  <w:top w:w="0" w:type="dxa"/>
                  <w:left w:w="10" w:type="dxa"/>
                  <w:bottom w:w="0" w:type="dxa"/>
                  <w:right w:w="10" w:type="dxa"/>
                </w:tblCellMar>
              </w:tblPrEx>
              <w:trPr>
                <w:trHeight w:val="544"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危险特性</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6135"/>
                    </w:tabs>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与有机物、日光接触发出有毒的氯气。对大多数金属有轻微的腐蚀。与酸接触时散出具有强刺激性和腐蚀性气体。</w:t>
                  </w:r>
                </w:p>
              </w:tc>
            </w:tr>
            <w:tr>
              <w:trPr>
                <w:trHeight w:val="335"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火险分级</w:t>
                  </w:r>
                </w:p>
              </w:tc>
              <w:tc>
                <w:tcPr>
                  <w:tcW w:w="982"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戊</w:t>
                  </w:r>
                </w:p>
              </w:tc>
              <w:tc>
                <w:tcPr>
                  <w:tcW w:w="2546" w:type="dxa"/>
                  <w:gridSpan w:val="2"/>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594"/>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稳定性：不稳定</w:t>
                  </w:r>
                </w:p>
              </w:tc>
              <w:tc>
                <w:tcPr>
                  <w:tcW w:w="2508" w:type="dxa"/>
                  <w:gridSpan w:val="2"/>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tabs>
                      <w:tab w:val="left" w:pos="2503"/>
                    </w:tabs>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聚合危害：不聚合</w:t>
                  </w:r>
                </w:p>
              </w:tc>
            </w:tr>
            <w:tr>
              <w:tblPrEx>
                <w:tblCellMar>
                  <w:top w:w="0" w:type="dxa"/>
                  <w:left w:w="10" w:type="dxa"/>
                  <w:bottom w:w="0" w:type="dxa"/>
                  <w:right w:w="10" w:type="dxa"/>
                </w:tblCellMar>
              </w:tblPrEx>
              <w:trPr>
                <w:trHeight w:val="318"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eastAsia="en-US" w:bidi="en-US"/>
                    </w:rPr>
                  </w:pPr>
                </w:p>
              </w:tc>
              <w:tc>
                <w:tcPr>
                  <w:tcW w:w="1489" w:type="dxa"/>
                  <w:tcBorders>
                    <w:top w:val="single" w:color="auto" w:sz="4" w:space="0"/>
                    <w:lef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禁忌物</w:t>
                  </w:r>
                </w:p>
              </w:tc>
              <w:tc>
                <w:tcPr>
                  <w:tcW w:w="6036" w:type="dxa"/>
                  <w:gridSpan w:val="5"/>
                  <w:tcBorders>
                    <w:top w:val="single" w:color="auto" w:sz="4" w:space="0"/>
                    <w:left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还原剂、易燃或可燃物、自燃物、酸类、碱类。</w:t>
                  </w:r>
                </w:p>
              </w:tc>
            </w:tr>
            <w:tr>
              <w:tblPrEx>
                <w:tblCellMar>
                  <w:top w:w="0" w:type="dxa"/>
                  <w:left w:w="10" w:type="dxa"/>
                  <w:bottom w:w="0" w:type="dxa"/>
                  <w:right w:w="10" w:type="dxa"/>
                </w:tblCellMar>
              </w:tblPrEx>
              <w:trPr>
                <w:trHeight w:val="2761" w:hRule="exact"/>
                <w:jc w:val="center"/>
              </w:trPr>
              <w:tc>
                <w:tcPr>
                  <w:tcW w:w="979" w:type="dxa"/>
                  <w:vMerge w:val="continue"/>
                  <w:tcBorders>
                    <w:left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储运条件与泄漏处理</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储运条件：储存于阴凉、干燥、通风的仓间内。远离火种、热源， 防止阳光直射。应与还原剂、易燃或可燃物、酸类、碱类分开存放。 分装和搬运作业应注意个人防护。搬运时应轻装轻卸，防止包装和 容器损坏。泄漏处理：迅速撤离泄漏污染区人员至安全区，并进行隔离，严格限制出入。建议应急处理人员戴自给正压式呼吸器，穿一般作业工作服。不要直接接触泄漏物。尽可能切断泄漏源。防止进入下水道、排洪沟 等限制性空间。小量泄漏：用砂土、蛭石或其它惰性材料吸收。大量泄漏：构筑围堤或挖坑收容。用泡沫覆盖，降低蒸气灾害。用泵转移至槽车或专用收集器内。回收或运至废物处理场所处置。</w:t>
                  </w:r>
                </w:p>
              </w:tc>
            </w:tr>
            <w:tr>
              <w:tblPrEx>
                <w:tblCellMar>
                  <w:top w:w="0" w:type="dxa"/>
                  <w:left w:w="10" w:type="dxa"/>
                  <w:bottom w:w="0" w:type="dxa"/>
                  <w:right w:w="10" w:type="dxa"/>
                </w:tblCellMar>
              </w:tblPrEx>
              <w:trPr>
                <w:trHeight w:val="384" w:hRule="exact"/>
                <w:jc w:val="center"/>
              </w:trPr>
              <w:tc>
                <w:tcPr>
                  <w:tcW w:w="979" w:type="dxa"/>
                  <w:vMerge w:val="continue"/>
                  <w:tcBorders>
                    <w:left w:val="single" w:color="auto" w:sz="4" w:space="0"/>
                    <w:bottom w:val="single" w:color="auto" w:sz="4" w:space="0"/>
                  </w:tcBorders>
                  <w:shd w:val="clear" w:color="auto" w:fill="FFFFFF"/>
                  <w:noWrap w:val="0"/>
                  <w:vAlign w:val="center"/>
                </w:tcPr>
                <w:p>
                  <w:pPr>
                    <w:pStyle w:val="76"/>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bidi="en-US"/>
                    </w:rPr>
                  </w:pPr>
                </w:p>
              </w:tc>
              <w:tc>
                <w:tcPr>
                  <w:tcW w:w="1489" w:type="dxa"/>
                  <w:tcBorders>
                    <w:top w:val="single" w:color="auto" w:sz="4" w:space="0"/>
                    <w:left w:val="single" w:color="auto" w:sz="4" w:space="0"/>
                    <w:bottom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灭火方法</w:t>
                  </w:r>
                </w:p>
              </w:tc>
              <w:tc>
                <w:tcPr>
                  <w:tcW w:w="603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3"/>
                    <w:keepNext w:val="0"/>
                    <w:keepLines w:val="0"/>
                    <w:widowControl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用雾状水、泡沫、二氧化碳、砂土灭火。</w:t>
                  </w:r>
                </w:p>
              </w:tc>
            </w:tr>
          </w:tbl>
          <w:p>
            <w:pPr>
              <w:keepNext w:val="0"/>
              <w:keepLines w:val="0"/>
              <w:suppressLineNumbers w:val="0"/>
              <w:spacing w:before="0" w:beforeAutospacing="0" w:after="0" w:afterAutospacing="0"/>
              <w:ind w:left="0" w:right="0" w:firstLine="2168" w:firstLineChars="900"/>
              <w:rPr>
                <w:rFonts w:hint="eastAsia" w:ascii="宋体" w:hAnsi="宋体" w:cs="宋体"/>
                <w:b/>
                <w:bCs/>
                <w:color w:val="auto"/>
                <w:sz w:val="24"/>
                <w:szCs w:val="24"/>
              </w:rPr>
            </w:pPr>
          </w:p>
          <w:p>
            <w:pPr>
              <w:keepNext w:val="0"/>
              <w:keepLines w:val="0"/>
              <w:suppressLineNumbers w:val="0"/>
              <w:spacing w:before="0" w:beforeAutospacing="0" w:after="0" w:afterAutospacing="0"/>
              <w:ind w:left="0" w:right="0" w:firstLine="2168" w:firstLineChars="900"/>
              <w:rPr>
                <w:rFonts w:hint="eastAsia" w:ascii="宋体" w:hAnsi="宋体" w:cs="宋体"/>
                <w:b/>
                <w:bCs/>
                <w:color w:val="auto"/>
                <w:sz w:val="24"/>
                <w:szCs w:val="24"/>
              </w:rPr>
            </w:pPr>
          </w:p>
          <w:p>
            <w:pPr>
              <w:keepNext w:val="0"/>
              <w:keepLines w:val="0"/>
              <w:suppressLineNumbers w:val="0"/>
              <w:spacing w:before="0" w:beforeAutospacing="0" w:after="0" w:afterAutospacing="0"/>
              <w:ind w:left="0" w:right="0" w:firstLine="2168" w:firstLineChars="900"/>
              <w:rPr>
                <w:rFonts w:hint="eastAsia" w:ascii="Calibri" w:hAnsi="Calibri" w:cs="Times New Roman"/>
                <w:b/>
                <w:bCs/>
                <w:color w:val="auto"/>
                <w:sz w:val="28"/>
              </w:rPr>
            </w:pPr>
            <w:r>
              <w:rPr>
                <w:rFonts w:hint="eastAsia" w:ascii="宋体" w:hAnsi="宋体" w:cs="宋体"/>
                <w:b/>
                <w:bCs/>
                <w:color w:val="auto"/>
                <w:sz w:val="24"/>
                <w:szCs w:val="24"/>
              </w:rPr>
              <w:t>表4-1</w:t>
            </w:r>
            <w:r>
              <w:rPr>
                <w:rFonts w:hint="default" w:ascii="宋体" w:hAnsi="宋体" w:cs="宋体"/>
                <w:b/>
                <w:bCs/>
                <w:color w:val="auto"/>
                <w:sz w:val="24"/>
                <w:szCs w:val="24"/>
                <w:lang w:val="en-US"/>
              </w:rPr>
              <w:t>4</w:t>
            </w:r>
            <w:r>
              <w:rPr>
                <w:rFonts w:hint="eastAsia" w:ascii="宋体" w:hAnsi="宋体" w:cs="宋体"/>
                <w:b/>
                <w:bCs/>
                <w:color w:val="auto"/>
                <w:sz w:val="24"/>
                <w:szCs w:val="24"/>
              </w:rPr>
              <w:t xml:space="preserve">  柴油的理化性质及危险特性表</w:t>
            </w:r>
          </w:p>
          <w:tbl>
            <w:tblPr>
              <w:tblStyle w:val="26"/>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166"/>
              <w:gridCol w:w="351"/>
              <w:gridCol w:w="503"/>
              <w:gridCol w:w="851"/>
              <w:gridCol w:w="732"/>
              <w:gridCol w:w="191"/>
              <w:gridCol w:w="978"/>
              <w:gridCol w:w="404"/>
              <w:gridCol w:w="652"/>
              <w:gridCol w:w="405"/>
              <w:gridCol w:w="463"/>
              <w:gridCol w:w="184"/>
              <w:gridCol w:w="174"/>
              <w:gridCol w:w="152"/>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标</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识</w:t>
                  </w: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中文名</w:t>
                  </w:r>
                </w:p>
              </w:tc>
              <w:tc>
                <w:tcPr>
                  <w:tcW w:w="869"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柴油</w:t>
                  </w:r>
                </w:p>
              </w:tc>
              <w:tc>
                <w:tcPr>
                  <w:tcW w:w="866"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英文名</w:t>
                  </w:r>
                </w:p>
              </w:tc>
              <w:tc>
                <w:tcPr>
                  <w:tcW w:w="2364"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Diesel oil; Diesel fuel</w:t>
                  </w:r>
                </w:p>
              </w:tc>
              <w:tc>
                <w:tcPr>
                  <w:tcW w:w="1738"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危险货物编号</w:t>
                  </w:r>
                </w:p>
              </w:tc>
              <w:tc>
                <w:tcPr>
                  <w:tcW w:w="1179"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分子式</w:t>
                  </w:r>
                </w:p>
              </w:tc>
              <w:tc>
                <w:tcPr>
                  <w:tcW w:w="869"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866"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分子量</w:t>
                  </w:r>
                </w:p>
              </w:tc>
              <w:tc>
                <w:tcPr>
                  <w:tcW w:w="74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1615"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UN编号</w:t>
                  </w:r>
                </w:p>
              </w:tc>
              <w:tc>
                <w:tcPr>
                  <w:tcW w:w="665"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1073"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CAS编号</w:t>
                  </w:r>
                </w:p>
              </w:tc>
              <w:tc>
                <w:tcPr>
                  <w:tcW w:w="1179"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危险类别</w:t>
                  </w:r>
                </w:p>
              </w:tc>
              <w:tc>
                <w:tcPr>
                  <w:tcW w:w="7016" w:type="dxa"/>
                  <w:gridSpan w:val="14"/>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理</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化</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性</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质</w:t>
                  </w:r>
                </w:p>
              </w:tc>
              <w:tc>
                <w:tcPr>
                  <w:tcW w:w="1189"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性  状</w:t>
                  </w:r>
                </w:p>
              </w:tc>
              <w:tc>
                <w:tcPr>
                  <w:tcW w:w="7016" w:type="dxa"/>
                  <w:gridSpan w:val="14"/>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稍有粘性的棕色液体。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熔  点（℃）</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-18</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临界压力（Mpa）</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沸  点（℃）</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282～338</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相对密度（水＝1）</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0.87～0.9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饱和蒸汽压（kpa）</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无资料</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相对密度（空气＝1）</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临界温度（℃）</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燃烧热（KJ·mol</w:t>
                  </w:r>
                  <w:r>
                    <w:rPr>
                      <w:rFonts w:hint="eastAsia" w:ascii="宋体" w:hAnsi="宋体" w:cs="宋体"/>
                      <w:color w:val="auto"/>
                      <w:vertAlign w:val="superscript"/>
                    </w:rPr>
                    <w:t>-1</w:t>
                  </w:r>
                  <w:r>
                    <w:rPr>
                      <w:rFonts w:hint="eastAsia" w:ascii="宋体" w:hAnsi="宋体" w:cs="宋体"/>
                      <w:color w:val="auto"/>
                    </w:rPr>
                    <w:t>）</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溶  解  性</w:t>
                  </w:r>
                </w:p>
              </w:tc>
              <w:tc>
                <w:tcPr>
                  <w:tcW w:w="6662" w:type="dxa"/>
                  <w:gridSpan w:val="13"/>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烧</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爆</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炸</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险</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性</w:t>
                  </w: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  烧  性</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可燃</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闪点（℃）</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爆炸极限（％）</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0.7～5.0</w:t>
                  </w: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最小点火能（MJ）</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引燃温度（℃）</w:t>
                  </w:r>
                </w:p>
              </w:tc>
              <w:tc>
                <w:tcPr>
                  <w:tcW w:w="2130"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c>
                <w:tcPr>
                  <w:tcW w:w="3165" w:type="dxa"/>
                  <w:gridSpan w:val="6"/>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最大爆炸压力（Mpa）</w:t>
                  </w:r>
                </w:p>
              </w:tc>
              <w:tc>
                <w:tcPr>
                  <w:tcW w:w="1367"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危 险 特 性</w:t>
                  </w:r>
                </w:p>
              </w:tc>
              <w:tc>
                <w:tcPr>
                  <w:tcW w:w="6662" w:type="dxa"/>
                  <w:gridSpan w:val="13"/>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遇明火、高热或与氧化剂接触，有引起燃烧爆炸的危险。若遇高热，容器内压增大，有开裂和爆炸的危险。对环境有危害，对水体和大气可造成污染。本品易燃，具刺激性。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灭 火 方 法</w:t>
                  </w:r>
                </w:p>
              </w:tc>
              <w:tc>
                <w:tcPr>
                  <w:tcW w:w="6662" w:type="dxa"/>
                  <w:gridSpan w:val="13"/>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消防人员须佩戴防毒面具、穿全身消防服，在上风向灭火。尽可能将容器从火场移至空旷处。喷水保持火场容器冷却，直至灭火结束。处在火场中的容器若已变色或从安全泄压装置中产生声音，必须马上撤离。</w:t>
                  </w:r>
                </w:p>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禁  忌  物</w:t>
                  </w:r>
                </w:p>
              </w:tc>
              <w:tc>
                <w:tcPr>
                  <w:tcW w:w="4823" w:type="dxa"/>
                  <w:gridSpan w:val="8"/>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氧化剂</w:t>
                  </w:r>
                </w:p>
              </w:tc>
              <w:tc>
                <w:tcPr>
                  <w:tcW w:w="988"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稳定性</w:t>
                  </w:r>
                </w:p>
              </w:tc>
              <w:tc>
                <w:tcPr>
                  <w:tcW w:w="851"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燃 烧 产 物</w:t>
                  </w:r>
                </w:p>
              </w:tc>
              <w:tc>
                <w:tcPr>
                  <w:tcW w:w="4823" w:type="dxa"/>
                  <w:gridSpan w:val="8"/>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一氧化碳、二氧化碳</w:t>
                  </w:r>
                </w:p>
              </w:tc>
              <w:tc>
                <w:tcPr>
                  <w:tcW w:w="988" w:type="dxa"/>
                  <w:gridSpan w:val="4"/>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聚合危害</w:t>
                  </w:r>
                </w:p>
              </w:tc>
              <w:tc>
                <w:tcPr>
                  <w:tcW w:w="851"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55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毒性及健康危害</w:t>
                  </w:r>
                </w:p>
              </w:tc>
              <w:tc>
                <w:tcPr>
                  <w:tcW w:w="1543"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急 性 毒 性</w:t>
                  </w:r>
                </w:p>
              </w:tc>
              <w:tc>
                <w:tcPr>
                  <w:tcW w:w="2328" w:type="dxa"/>
                  <w:gridSpan w:val="4"/>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rPr>
                  </w:pPr>
                  <w:r>
                    <w:rPr>
                      <w:rFonts w:hint="eastAsia" w:ascii="宋体" w:hAnsi="宋体" w:cs="宋体"/>
                      <w:color w:val="auto"/>
                    </w:rPr>
                    <w:t>LD</w:t>
                  </w:r>
                  <w:r>
                    <w:rPr>
                      <w:rFonts w:hint="eastAsia" w:ascii="宋体" w:hAnsi="宋体" w:cs="宋体"/>
                      <w:color w:val="auto"/>
                      <w:vertAlign w:val="subscript"/>
                    </w:rPr>
                    <w:t>50</w:t>
                  </w:r>
                  <w:r>
                    <w:rPr>
                      <w:rFonts w:hint="eastAsia" w:ascii="宋体" w:hAnsi="宋体" w:cs="宋体"/>
                      <w:color w:val="auto"/>
                    </w:rPr>
                    <w:t>（mg/kg，大鼠经口）</w:t>
                  </w:r>
                </w:p>
              </w:tc>
              <w:tc>
                <w:tcPr>
                  <w:tcW w:w="997" w:type="dxa"/>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无资料</w:t>
                  </w:r>
                </w:p>
              </w:tc>
              <w:tc>
                <w:tcPr>
                  <w:tcW w:w="2333" w:type="dxa"/>
                  <w:gridSpan w:val="6"/>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LC</w:t>
                  </w:r>
                  <w:r>
                    <w:rPr>
                      <w:rFonts w:hint="eastAsia" w:ascii="宋体" w:hAnsi="宋体" w:cs="宋体"/>
                      <w:color w:val="auto"/>
                      <w:vertAlign w:val="subscript"/>
                    </w:rPr>
                    <w:t>50</w:t>
                  </w:r>
                  <w:r>
                    <w:rPr>
                      <w:rFonts w:hint="eastAsia" w:ascii="宋体" w:hAnsi="宋体" w:cs="宋体"/>
                      <w:color w:val="auto"/>
                    </w:rPr>
                    <w:t>（mg/kg）</w:t>
                  </w:r>
                </w:p>
              </w:tc>
              <w:tc>
                <w:tcPr>
                  <w:tcW w:w="1004" w:type="dxa"/>
                  <w:gridSpan w:val="2"/>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健 康 危 害</w:t>
                  </w:r>
                </w:p>
              </w:tc>
              <w:tc>
                <w:tcPr>
                  <w:tcW w:w="3325" w:type="dxa"/>
                  <w:gridSpan w:val="5"/>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卫生标准</w:t>
                  </w:r>
                </w:p>
              </w:tc>
              <w:tc>
                <w:tcPr>
                  <w:tcW w:w="3337" w:type="dxa"/>
                  <w:gridSpan w:val="8"/>
                  <w:noWrap w:val="0"/>
                  <w:vAlign w:val="top"/>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jc w:val="center"/>
              </w:trPr>
              <w:tc>
                <w:tcPr>
                  <w:tcW w:w="552" w:type="dxa"/>
                  <w:vMerge w:val="continue"/>
                  <w:noWrap w:val="0"/>
                  <w:vAlign w:val="top"/>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1543" w:type="dxa"/>
                  <w:gridSpan w:val="2"/>
                  <w:vMerge w:val="continue"/>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rPr>
                  </w:pPr>
                </w:p>
              </w:tc>
              <w:tc>
                <w:tcPr>
                  <w:tcW w:w="6662" w:type="dxa"/>
                  <w:gridSpan w:val="13"/>
                  <w:noWrap w:val="0"/>
                  <w:vAlign w:val="center"/>
                </w:tcPr>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侵入途径：吸如、食入；</w:t>
                  </w:r>
                </w:p>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皮肤接触可为主要吸收途径，可致急性肾脏损害。柴油可引起接触性皮炎、油性痤疮。吸入其雾滴或液体呛入可引起吸入性肺炎。能经胎盘进入胎儿血中。柴油废气可引起眼、鼻刺激症状，头晕及头痛。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急</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p>
                <w:p>
                  <w:pPr>
                    <w:keepNext w:val="0"/>
                    <w:keepLines w:val="0"/>
                    <w:suppressLineNumbers w:val="0"/>
                    <w:spacing w:before="0" w:beforeAutospacing="0" w:after="0" w:afterAutospacing="0" w:line="240" w:lineRule="exact"/>
                    <w:ind w:left="0" w:right="0"/>
                    <w:jc w:val="center"/>
                    <w:rPr>
                      <w:rFonts w:hint="eastAsia" w:ascii="宋体" w:hAnsi="宋体" w:cs="宋体"/>
                      <w:b/>
                      <w:bCs/>
                      <w:color w:val="auto"/>
                    </w:rPr>
                  </w:pPr>
                  <w:r>
                    <w:rPr>
                      <w:rFonts w:hint="eastAsia" w:ascii="宋体" w:hAnsi="宋体" w:cs="宋体"/>
                      <w:color w:val="auto"/>
                    </w:rPr>
                    <w:t>救</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皮肤接触：立即脱去被污染的衣着，用大量清水冲洗；</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眼睛接触：立即提起眼睑，用大量流动清水或生理盐水彻底冲洗至少15分钟，就医；</w:t>
                  </w:r>
                </w:p>
                <w:p>
                  <w:pPr>
                    <w:keepNext w:val="0"/>
                    <w:keepLines w:val="0"/>
                    <w:suppressLineNumbers w:val="0"/>
                    <w:spacing w:before="0" w:beforeAutospacing="0" w:after="0" w:afterAutospacing="0"/>
                    <w:ind w:left="-107" w:leftChars="-51" w:right="0" w:firstLine="1"/>
                    <w:jc w:val="left"/>
                    <w:rPr>
                      <w:rFonts w:hint="eastAsia" w:ascii="宋体" w:hAnsi="宋体" w:cs="宋体"/>
                      <w:color w:val="auto"/>
                      <w:kern w:val="0"/>
                      <w:lang w:val="zh-CN" w:bidi="zh-CN"/>
                    </w:rPr>
                  </w:pPr>
                  <w:r>
                    <w:rPr>
                      <w:rFonts w:hint="eastAsia" w:ascii="宋体" w:hAnsi="宋体" w:cs="宋体"/>
                      <w:color w:val="auto"/>
                      <w:kern w:val="0"/>
                      <w:lang w:val="zh-CN" w:bidi="zh-CN"/>
                    </w:rPr>
                    <w:t>吸入：迅速脱离现场至空气新鲜处，保持呼吸道通畅，如呼吸困难，给输氧；如呼吸停止立即进行人工呼吸，就医；</w:t>
                  </w:r>
                </w:p>
                <w:p>
                  <w:pPr>
                    <w:keepNext w:val="0"/>
                    <w:keepLines w:val="0"/>
                    <w:suppressLineNumbers w:val="0"/>
                    <w:spacing w:before="0" w:beforeAutospacing="0" w:after="0" w:afterAutospacing="0"/>
                    <w:ind w:left="-107" w:leftChars="-51" w:right="0" w:firstLine="1"/>
                    <w:jc w:val="left"/>
                    <w:rPr>
                      <w:rFonts w:hint="eastAsia" w:ascii="宋体" w:hAnsi="宋体" w:cs="宋体"/>
                      <w:color w:val="auto"/>
                      <w:kern w:val="0"/>
                      <w:lang w:val="zh-CN" w:bidi="zh-CN"/>
                    </w:rPr>
                  </w:pPr>
                  <w:r>
                    <w:rPr>
                      <w:rFonts w:hint="eastAsia" w:ascii="宋体" w:hAnsi="宋体" w:cs="宋体"/>
                      <w:color w:val="auto"/>
                      <w:kern w:val="0"/>
                      <w:lang w:val="zh-CN" w:bidi="zh-CN"/>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4"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防</w:t>
                  </w:r>
                </w:p>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护</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工程控制：密闭操作，注意通风；</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 xml:space="preserve">呼吸系统防护：空气中浓度超标时，建议佩戴自吸过滤式防毒面具（半面罩）。紧急事态抢救或撤离时，应该佩戴空气呼吸器。 </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眼睛防护：戴化学安全防护眼镜。</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身体防护：穿一般作业防护服；</w:t>
                  </w:r>
                </w:p>
                <w:p>
                  <w:pPr>
                    <w:keepNext w:val="0"/>
                    <w:keepLines w:val="0"/>
                    <w:suppressLineNumbers w:val="0"/>
                    <w:spacing w:before="0" w:beforeAutospacing="0" w:after="0" w:afterAutospacing="0"/>
                    <w:ind w:left="520" w:leftChars="-51" w:right="0" w:hanging="627" w:hangingChars="299"/>
                    <w:rPr>
                      <w:rFonts w:hint="eastAsia" w:ascii="宋体" w:hAnsi="宋体" w:cs="宋体"/>
                      <w:color w:val="auto"/>
                      <w:kern w:val="0"/>
                      <w:lang w:val="zh-CN" w:bidi="zh-CN"/>
                    </w:rPr>
                  </w:pPr>
                  <w:r>
                    <w:rPr>
                      <w:rFonts w:hint="eastAsia" w:ascii="宋体" w:hAnsi="宋体" w:cs="宋体"/>
                      <w:color w:val="auto"/>
                      <w:kern w:val="0"/>
                      <w:lang w:val="zh-CN" w:bidi="zh-CN"/>
                    </w:rPr>
                    <w:t>手防护：戴橡胶耐油手套；</w:t>
                  </w:r>
                </w:p>
                <w:p>
                  <w:pPr>
                    <w:keepNext w:val="0"/>
                    <w:keepLines w:val="0"/>
                    <w:suppressLineNumbers w:val="0"/>
                    <w:spacing w:before="0" w:beforeAutospacing="0" w:after="0" w:afterAutospacing="0"/>
                    <w:ind w:left="520" w:leftChars="-51" w:right="0" w:hanging="627" w:hangingChars="299"/>
                    <w:rPr>
                      <w:rFonts w:hint="eastAsia" w:ascii="宋体" w:hAnsi="宋体" w:cs="宋体"/>
                      <w:color w:val="auto"/>
                      <w:kern w:val="0"/>
                      <w:lang w:val="zh-CN" w:bidi="zh-CN"/>
                    </w:rPr>
                  </w:pPr>
                  <w:r>
                    <w:rPr>
                      <w:rFonts w:hint="eastAsia" w:ascii="宋体" w:hAnsi="宋体" w:cs="宋体"/>
                      <w:color w:val="auto"/>
                      <w:kern w:val="0"/>
                      <w:lang w:val="zh-CN" w:bidi="zh-CN"/>
                    </w:rPr>
                    <w:t>其他：工作现场严禁吸烟。避免长期反复接触。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泄漏处理</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迅速撤离泄漏污染区人员至安全区，并进行隔离，严格限制出入。切断火源。建议应急处理人员戴自给正压式呼吸器，穿一般作业工作服。尽可能切断泄漏源。防止流入下水道、排洪沟等限制性空间。</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小量泄漏：用活性炭或其它惰性材料吸收。</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55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rPr>
                  </w:pPr>
                  <w:r>
                    <w:rPr>
                      <w:rFonts w:hint="eastAsia" w:ascii="宋体" w:hAnsi="宋体" w:cs="宋体"/>
                      <w:color w:val="auto"/>
                    </w:rPr>
                    <w:t>储运</w:t>
                  </w:r>
                </w:p>
              </w:tc>
              <w:tc>
                <w:tcPr>
                  <w:tcW w:w="8205" w:type="dxa"/>
                  <w:gridSpan w:val="15"/>
                  <w:noWrap w:val="0"/>
                  <w:vAlign w:val="center"/>
                </w:tcPr>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储存于阴凉、通风的库房。远离火种、热源。应与氧化剂、卤素分开存放，切忌混储。采用防爆型照明、通风设施。禁止使用易产生火花的机械设备和工具。储区应备有泄漏应急处理设备和合适的收容材料。</w:t>
                  </w:r>
                </w:p>
                <w:p>
                  <w:pPr>
                    <w:keepNext w:val="0"/>
                    <w:keepLines w:val="0"/>
                    <w:suppressLineNumbers w:val="0"/>
                    <w:spacing w:before="0" w:beforeAutospacing="0" w:after="0" w:afterAutospacing="0"/>
                    <w:ind w:left="-107" w:leftChars="-51" w:right="0" w:firstLine="1"/>
                    <w:rPr>
                      <w:rFonts w:hint="eastAsia" w:ascii="宋体" w:hAnsi="宋体" w:cs="宋体"/>
                      <w:color w:val="auto"/>
                      <w:kern w:val="0"/>
                      <w:lang w:val="zh-CN" w:bidi="zh-CN"/>
                    </w:rPr>
                  </w:pPr>
                  <w:r>
                    <w:rPr>
                      <w:rFonts w:hint="eastAsia" w:ascii="宋体" w:hAnsi="宋体" w:cs="宋体"/>
                      <w:color w:val="auto"/>
                      <w:kern w:val="0"/>
                      <w:lang w:val="zh-CN" w:bidi="zh-CN"/>
                    </w:rPr>
                    <w:t>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color w:val="auto"/>
                <w:sz w:val="24"/>
                <w:szCs w:val="24"/>
              </w:rPr>
            </w:pPr>
            <w:r>
              <w:rPr>
                <w:rFonts w:hint="eastAsia" w:ascii="宋体" w:hAnsi="宋体" w:cs="宋体"/>
                <w:color w:val="auto"/>
                <w:sz w:val="24"/>
                <w:szCs w:val="24"/>
              </w:rPr>
              <w:t>（3）风险潜势初判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据风险调查结果，本项目生产、使用、储存过程中涉及的有毒有害、易燃易爆物质主要为次氯酸钠和柴油，项目区内次氯酸钠最大储存量</w:t>
            </w:r>
            <w:r>
              <w:rPr>
                <w:rFonts w:hint="default" w:ascii="宋体" w:hAnsi="宋体" w:cs="宋体"/>
                <w:color w:val="auto"/>
                <w:sz w:val="24"/>
                <w:szCs w:val="24"/>
              </w:rPr>
              <w:t>0.5t</w:t>
            </w:r>
            <w:r>
              <w:rPr>
                <w:rFonts w:hint="eastAsia" w:ascii="宋体" w:hAnsi="宋体" w:cs="宋体"/>
                <w:color w:val="auto"/>
                <w:sz w:val="24"/>
                <w:szCs w:val="24"/>
              </w:rPr>
              <w:t>，柴油最大储存量</w:t>
            </w:r>
            <w:r>
              <w:rPr>
                <w:rFonts w:hint="default" w:ascii="宋体" w:hAnsi="宋体" w:cs="宋体"/>
                <w:color w:val="auto"/>
                <w:sz w:val="24"/>
                <w:szCs w:val="24"/>
              </w:rPr>
              <w:t>1t</w:t>
            </w:r>
            <w:r>
              <w:rPr>
                <w:rFonts w:hint="eastAsia" w:ascii="宋体" w:hAnsi="宋体" w:cs="宋体"/>
                <w:color w:val="auto"/>
                <w:sz w:val="24"/>
                <w:szCs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 xml:space="preserve">据《建设项目环境风险评价技术导则》（HJ/T </w:t>
            </w:r>
            <w:r>
              <w:rPr>
                <w:rFonts w:hint="eastAsia" w:ascii="宋体" w:hAnsi="宋体" w:cs="宋体"/>
                <w:color w:val="auto"/>
                <w:sz w:val="24"/>
                <w:szCs w:val="24"/>
                <w:lang w:eastAsia="zh-CN"/>
              </w:rPr>
              <w:t>***</w:t>
            </w:r>
            <w:r>
              <w:rPr>
                <w:rFonts w:hint="eastAsia" w:ascii="宋体" w:hAnsi="宋体" w:cs="宋体"/>
                <w:color w:val="auto"/>
                <w:sz w:val="24"/>
                <w:szCs w:val="24"/>
              </w:rPr>
              <w:t>-2018）附录B，次氯酸钠临界量为5t，柴油临界量为2500t。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
                <w:color w:val="auto"/>
                <w:sz w:val="24"/>
                <w:szCs w:val="24"/>
              </w:rPr>
            </w:pPr>
            <w:r>
              <w:rPr>
                <w:rFonts w:hint="eastAsia" w:ascii="宋体" w:hAnsi="宋体" w:cs="宋体"/>
                <w:color w:val="auto"/>
                <w:sz w:val="24"/>
                <w:szCs w:val="24"/>
              </w:rPr>
              <w:t>本项目涉及的环境风险物质临界量见下表。</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表4-1</w:t>
            </w:r>
            <w:r>
              <w:rPr>
                <w:rFonts w:hint="default" w:ascii="宋体" w:hAnsi="宋体" w:cs="宋体"/>
                <w:b/>
                <w:color w:val="auto"/>
                <w:sz w:val="24"/>
                <w:szCs w:val="24"/>
                <w:lang w:val="en-US"/>
              </w:rPr>
              <w:t>5</w:t>
            </w:r>
            <w:r>
              <w:rPr>
                <w:rFonts w:hint="eastAsia" w:ascii="宋体" w:hAnsi="宋体" w:cs="宋体"/>
                <w:b/>
                <w:color w:val="auto"/>
                <w:sz w:val="24"/>
                <w:szCs w:val="24"/>
              </w:rPr>
              <w:t xml:space="preserve"> 环境风险物质的临界量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686"/>
              <w:gridCol w:w="199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55"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危险物质名称</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《建设项目环境风险评价技术导则》（HJ</w:t>
                  </w:r>
                  <w:r>
                    <w:rPr>
                      <w:rFonts w:hint="eastAsia" w:ascii="宋体" w:hAnsi="宋体" w:cs="宋体"/>
                      <w:bCs/>
                      <w:color w:val="auto"/>
                      <w:lang w:eastAsia="zh-CN"/>
                    </w:rPr>
                    <w:t>***</w:t>
                  </w:r>
                  <w:r>
                    <w:rPr>
                      <w:rFonts w:hint="eastAsia" w:ascii="宋体" w:hAnsi="宋体" w:cs="宋体"/>
                      <w:bCs/>
                      <w:color w:val="auto"/>
                    </w:rPr>
                    <w:t>-2018）附录B</w:t>
                  </w:r>
                </w:p>
              </w:tc>
              <w:tc>
                <w:tcPr>
                  <w:tcW w:w="1993"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最大存在总量（t）</w:t>
                  </w:r>
                </w:p>
              </w:tc>
              <w:tc>
                <w:tcPr>
                  <w:tcW w:w="1391"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55"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Cs/>
                      <w:color w:val="auto"/>
                    </w:rPr>
                    <w:t>临界量（t）</w:t>
                  </w:r>
                </w:p>
              </w:tc>
              <w:tc>
                <w:tcPr>
                  <w:tcW w:w="1993"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p>
              </w:tc>
              <w:tc>
                <w:tcPr>
                  <w:tcW w:w="1391"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5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次氯酸钠</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5</w:t>
                  </w:r>
                </w:p>
              </w:tc>
              <w:tc>
                <w:tcPr>
                  <w:tcW w:w="199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w:t>
                  </w:r>
                  <w:r>
                    <w:rPr>
                      <w:rFonts w:hint="default" w:ascii="宋体" w:hAnsi="宋体" w:cs="宋体"/>
                      <w:color w:val="auto"/>
                    </w:rPr>
                    <w:t>5</w:t>
                  </w:r>
                </w:p>
              </w:tc>
              <w:tc>
                <w:tcPr>
                  <w:tcW w:w="1391"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5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柴油</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2500</w:t>
                  </w:r>
                </w:p>
              </w:tc>
              <w:tc>
                <w:tcPr>
                  <w:tcW w:w="1993"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default" w:ascii="宋体" w:hAnsi="宋体" w:cs="宋体"/>
                      <w:color w:val="auto"/>
                    </w:rPr>
                    <w:t>1</w:t>
                  </w:r>
                </w:p>
              </w:tc>
              <w:tc>
                <w:tcPr>
                  <w:tcW w:w="139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default" w:ascii="宋体" w:hAnsi="宋体" w:cs="宋体"/>
                      <w:color w:val="auto"/>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5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合计</w:t>
                  </w:r>
                </w:p>
              </w:tc>
              <w:tc>
                <w:tcPr>
                  <w:tcW w:w="3686"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w:t>
                  </w:r>
                </w:p>
              </w:tc>
              <w:tc>
                <w:tcPr>
                  <w:tcW w:w="1993"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eastAsia" w:ascii="宋体" w:hAnsi="宋体" w:cs="宋体"/>
                      <w:color w:val="auto"/>
                    </w:rPr>
                    <w:t>/</w:t>
                  </w:r>
                </w:p>
              </w:tc>
              <w:tc>
                <w:tcPr>
                  <w:tcW w:w="1391"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cs="宋体"/>
                      <w:color w:val="auto"/>
                    </w:rPr>
                  </w:pPr>
                  <w:r>
                    <w:rPr>
                      <w:rFonts w:hint="default" w:ascii="宋体" w:hAnsi="宋体" w:cs="宋体"/>
                      <w:color w:val="auto"/>
                    </w:rPr>
                    <w:t>0.1004</w:t>
                  </w:r>
                </w:p>
              </w:tc>
            </w:tr>
          </w:tbl>
          <w:p>
            <w:pPr>
              <w:keepNext w:val="0"/>
              <w:keepLines w:val="0"/>
              <w:suppressLineNumbers w:val="0"/>
              <w:snapToGrid w:val="0"/>
              <w:spacing w:before="12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危险物质数量与临界量比值（Q）按照下式计算：</w:t>
            </w:r>
          </w:p>
          <w:p>
            <w:pPr>
              <w:keepNext w:val="0"/>
              <w:keepLines w:val="0"/>
              <w:widowControl/>
              <w:suppressLineNumbers w:val="0"/>
              <w:snapToGrid w:val="0"/>
              <w:spacing w:before="0" w:beforeAutospacing="0" w:after="0" w:afterAutospacing="0" w:line="360" w:lineRule="auto"/>
              <w:ind w:left="0" w:right="0"/>
              <w:jc w:val="center"/>
              <w:rPr>
                <w:rFonts w:hint="eastAsia" w:ascii="宋体" w:hAnsi="宋体" w:cs="宋体"/>
                <w:color w:val="auto"/>
                <w:sz w:val="24"/>
                <w:szCs w:val="24"/>
              </w:rPr>
            </w:pPr>
            <w:r>
              <w:rPr>
                <w:rFonts w:hint="eastAsia" w:ascii="宋体" w:hAnsi="宋体" w:cs="宋体"/>
                <w:color w:val="auto"/>
                <w:sz w:val="24"/>
                <w:szCs w:val="24"/>
              </w:rPr>
              <w:drawing>
                <wp:inline distT="0" distB="0" distL="114300" distR="114300">
                  <wp:extent cx="2001520" cy="588645"/>
                  <wp:effectExtent l="0" t="0" r="17780" b="1905"/>
                  <wp:docPr id="11" name="图片 9" descr="C:\Users\yy\AppData\Roaming\Tencent\Users\765388791\QQ\WinTemp\RichOle\$1QT$EWYPX3``9(%LQXJ$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Users\yy\AppData\Roaming\Tencent\Users\765388791\QQ\WinTemp\RichOle\$1QT$EWYPX3``9(%LQXJ$TU.png"/>
                          <pic:cNvPicPr>
                            <a:picLocks noChangeAspect="1"/>
                          </pic:cNvPicPr>
                        </pic:nvPicPr>
                        <pic:blipFill>
                          <a:blip r:embed="rId30"/>
                          <a:stretch>
                            <a:fillRect/>
                          </a:stretch>
                        </pic:blipFill>
                        <pic:spPr>
                          <a:xfrm>
                            <a:off x="0" y="0"/>
                            <a:ext cx="2001520" cy="58864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式中：q</w:t>
            </w:r>
            <w:r>
              <w:rPr>
                <w:rFonts w:hint="eastAsia" w:ascii="宋体" w:hAnsi="宋体" w:cs="宋体"/>
                <w:color w:val="auto"/>
                <w:kern w:val="24"/>
                <w:sz w:val="24"/>
                <w:szCs w:val="24"/>
                <w:vertAlign w:val="subscript"/>
              </w:rPr>
              <w:t>1</w:t>
            </w:r>
            <w:r>
              <w:rPr>
                <w:rFonts w:hint="eastAsia" w:ascii="宋体" w:hAnsi="宋体" w:cs="宋体"/>
                <w:color w:val="auto"/>
                <w:kern w:val="24"/>
                <w:sz w:val="24"/>
                <w:szCs w:val="24"/>
              </w:rPr>
              <w:t>，q</w:t>
            </w:r>
            <w:r>
              <w:rPr>
                <w:rFonts w:hint="eastAsia" w:ascii="宋体" w:hAnsi="宋体" w:cs="宋体"/>
                <w:color w:val="auto"/>
                <w:kern w:val="24"/>
                <w:sz w:val="24"/>
                <w:szCs w:val="24"/>
                <w:vertAlign w:val="subscript"/>
              </w:rPr>
              <w:t>2</w:t>
            </w:r>
            <w:r>
              <w:rPr>
                <w:rFonts w:hint="eastAsia" w:ascii="宋体" w:hAnsi="宋体" w:cs="宋体"/>
                <w:color w:val="auto"/>
                <w:kern w:val="24"/>
                <w:sz w:val="24"/>
                <w:szCs w:val="24"/>
              </w:rPr>
              <w:t>······，qn—每种危险物质的最大存在总量，t；</w:t>
            </w:r>
          </w:p>
          <w:p>
            <w:pPr>
              <w:keepNext w:val="0"/>
              <w:keepLines w:val="0"/>
              <w:suppressLineNumbers w:val="0"/>
              <w:adjustRightInd w:val="0"/>
              <w:snapToGrid w:val="0"/>
              <w:spacing w:before="0" w:beforeAutospacing="0" w:after="0" w:afterAutospacing="0" w:line="360" w:lineRule="auto"/>
              <w:ind w:left="0" w:right="0" w:firstLine="1200" w:firstLineChars="500"/>
              <w:rPr>
                <w:rFonts w:hint="eastAsia" w:ascii="宋体" w:hAnsi="宋体" w:cs="宋体"/>
                <w:color w:val="auto"/>
                <w:kern w:val="24"/>
                <w:sz w:val="24"/>
                <w:szCs w:val="24"/>
              </w:rPr>
            </w:pPr>
            <w:r>
              <w:rPr>
                <w:rFonts w:hint="eastAsia" w:ascii="宋体" w:hAnsi="宋体" w:cs="宋体"/>
                <w:color w:val="auto"/>
                <w:kern w:val="24"/>
                <w:sz w:val="24"/>
                <w:szCs w:val="24"/>
              </w:rPr>
              <w:t>Q</w:t>
            </w:r>
            <w:r>
              <w:rPr>
                <w:rFonts w:hint="eastAsia" w:ascii="宋体" w:hAnsi="宋体" w:cs="宋体"/>
                <w:color w:val="auto"/>
                <w:kern w:val="24"/>
                <w:sz w:val="24"/>
                <w:szCs w:val="24"/>
                <w:vertAlign w:val="subscript"/>
              </w:rPr>
              <w:t>1</w:t>
            </w:r>
            <w:r>
              <w:rPr>
                <w:rFonts w:hint="eastAsia" w:ascii="宋体" w:hAnsi="宋体" w:cs="宋体"/>
                <w:color w:val="auto"/>
                <w:kern w:val="24"/>
                <w:sz w:val="24"/>
                <w:szCs w:val="24"/>
              </w:rPr>
              <w:t>，Q</w:t>
            </w:r>
            <w:r>
              <w:rPr>
                <w:rFonts w:hint="eastAsia" w:ascii="宋体" w:hAnsi="宋体" w:cs="宋体"/>
                <w:color w:val="auto"/>
                <w:kern w:val="24"/>
                <w:sz w:val="24"/>
                <w:szCs w:val="24"/>
                <w:vertAlign w:val="subscript"/>
              </w:rPr>
              <w:t>2</w:t>
            </w:r>
            <w:r>
              <w:rPr>
                <w:rFonts w:hint="eastAsia" w:ascii="宋体" w:hAnsi="宋体" w:cs="宋体"/>
                <w:color w:val="auto"/>
                <w:kern w:val="24"/>
                <w:sz w:val="24"/>
                <w:szCs w:val="24"/>
              </w:rPr>
              <w:t>······，Qn—每种危险物质的临界量，t。</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当Q＜1时，该项目环境风险潜势为Ⅰ。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当Q≥1时，将Q值划分为：（1）1≤Q小于10；（2）10≤Q＜100；（3）Q≥100.</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经计算本项目Q值为</w:t>
            </w:r>
            <w:r>
              <w:rPr>
                <w:rFonts w:hint="default" w:ascii="宋体" w:hAnsi="宋体" w:cs="宋体"/>
                <w:color w:val="auto"/>
                <w:kern w:val="24"/>
                <w:sz w:val="24"/>
                <w:szCs w:val="24"/>
              </w:rPr>
              <w:t>0.1004</w:t>
            </w:r>
            <w:r>
              <w:rPr>
                <w:rFonts w:hint="eastAsia" w:ascii="宋体" w:hAnsi="宋体" w:cs="宋体"/>
                <w:color w:val="auto"/>
                <w:kern w:val="24"/>
                <w:sz w:val="24"/>
                <w:szCs w:val="24"/>
              </w:rPr>
              <w:t>，据《建设项目环境风险评价技术导则》（HJ</w:t>
            </w:r>
            <w:r>
              <w:rPr>
                <w:rFonts w:hint="eastAsia" w:ascii="宋体" w:hAnsi="宋体" w:cs="宋体"/>
                <w:color w:val="auto"/>
                <w:kern w:val="24"/>
                <w:sz w:val="24"/>
                <w:szCs w:val="24"/>
                <w:lang w:eastAsia="zh-CN"/>
              </w:rPr>
              <w:t>***</w:t>
            </w:r>
            <w:r>
              <w:rPr>
                <w:rFonts w:hint="eastAsia" w:ascii="宋体" w:hAnsi="宋体" w:cs="宋体"/>
                <w:color w:val="auto"/>
                <w:kern w:val="24"/>
                <w:sz w:val="24"/>
                <w:szCs w:val="24"/>
              </w:rPr>
              <w:t>-2018），项目环境风险物质数量与临界量比值Q＜1，环境风险潜势为Ⅰ。</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bCs/>
                <w:color w:val="auto"/>
                <w:sz w:val="24"/>
                <w:szCs w:val="24"/>
              </w:rPr>
            </w:pPr>
            <w:r>
              <w:rPr>
                <w:rFonts w:hint="eastAsia" w:ascii="宋体" w:hAnsi="宋体" w:cs="宋体"/>
                <w:bCs/>
                <w:color w:val="auto"/>
                <w:sz w:val="24"/>
                <w:szCs w:val="24"/>
              </w:rPr>
              <w:t>（4）评价</w:t>
            </w:r>
            <w:r>
              <w:rPr>
                <w:rFonts w:hint="eastAsia" w:ascii="宋体" w:hAnsi="宋体" w:cs="宋体"/>
                <w:bCs/>
                <w:color w:val="auto"/>
                <w:sz w:val="24"/>
                <w:szCs w:val="24"/>
                <w:lang w:eastAsia="zh-CN"/>
              </w:rPr>
              <w:t>工作</w:t>
            </w:r>
            <w:r>
              <w:rPr>
                <w:rFonts w:hint="eastAsia" w:ascii="宋体" w:hAnsi="宋体" w:cs="宋体"/>
                <w:bCs/>
                <w:color w:val="auto"/>
                <w:sz w:val="24"/>
                <w:szCs w:val="24"/>
              </w:rPr>
              <w:t>等级</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24"/>
                <w:sz w:val="24"/>
                <w:szCs w:val="24"/>
              </w:rPr>
            </w:pPr>
            <w:r>
              <w:rPr>
                <w:rFonts w:hint="eastAsia" w:ascii="宋体" w:hAnsi="宋体" w:cs="宋体"/>
                <w:color w:val="auto"/>
                <w:kern w:val="24"/>
                <w:sz w:val="24"/>
                <w:szCs w:val="24"/>
              </w:rPr>
              <w:t>本项目危险物质数量与临界量比值Q＜1，按照《建设项目环境风险评价技术导则》（HJ</w:t>
            </w:r>
            <w:r>
              <w:rPr>
                <w:rFonts w:hint="eastAsia" w:ascii="宋体" w:hAnsi="宋体" w:cs="宋体"/>
                <w:color w:val="auto"/>
                <w:kern w:val="24"/>
                <w:sz w:val="24"/>
                <w:szCs w:val="24"/>
                <w:lang w:eastAsia="zh-CN"/>
              </w:rPr>
              <w:t>***</w:t>
            </w:r>
            <w:r>
              <w:rPr>
                <w:rFonts w:hint="eastAsia" w:ascii="宋体" w:hAnsi="宋体" w:cs="宋体"/>
                <w:color w:val="auto"/>
                <w:kern w:val="24"/>
                <w:sz w:val="24"/>
                <w:szCs w:val="24"/>
              </w:rPr>
              <w:t>-2018），环境风险潜势为Ⅰ。根据风险潜势判定，确定项目环境风险评价等级为简单分析。项目环境风险评价等级划分如表4-1</w:t>
            </w:r>
            <w:r>
              <w:rPr>
                <w:rFonts w:hint="default" w:ascii="宋体" w:hAnsi="宋体" w:cs="宋体"/>
                <w:color w:val="auto"/>
                <w:kern w:val="24"/>
                <w:sz w:val="24"/>
                <w:szCs w:val="24"/>
                <w:lang w:val="en-US"/>
              </w:rPr>
              <w:t>6</w:t>
            </w:r>
            <w:r>
              <w:rPr>
                <w:rFonts w:hint="eastAsia" w:ascii="宋体" w:hAnsi="宋体" w:cs="宋体"/>
                <w:color w:val="auto"/>
                <w:kern w:val="24"/>
                <w:sz w:val="24"/>
                <w:szCs w:val="24"/>
              </w:rPr>
              <w:t>所示：</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表4-1</w:t>
            </w:r>
            <w:r>
              <w:rPr>
                <w:rFonts w:hint="default" w:ascii="宋体" w:hAnsi="宋体" w:cs="宋体"/>
                <w:b/>
                <w:color w:val="auto"/>
                <w:sz w:val="24"/>
                <w:szCs w:val="24"/>
                <w:lang w:val="en-US"/>
              </w:rPr>
              <w:t>6</w:t>
            </w:r>
            <w:r>
              <w:rPr>
                <w:rFonts w:hint="eastAsia" w:ascii="宋体" w:hAnsi="宋体" w:cs="宋体"/>
                <w:b/>
                <w:color w:val="auto"/>
                <w:sz w:val="24"/>
                <w:szCs w:val="24"/>
              </w:rPr>
              <w:t xml:space="preserve"> 环境风险评价等级划分表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1826"/>
              <w:gridCol w:w="1683"/>
              <w:gridCol w:w="153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环境风险潜势</w:t>
                  </w:r>
                </w:p>
              </w:tc>
              <w:tc>
                <w:tcPr>
                  <w:tcW w:w="18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Ⅳ、Ⅳ</w:t>
                  </w:r>
                  <w:r>
                    <w:rPr>
                      <w:rFonts w:hint="eastAsia" w:ascii="宋体" w:hAnsi="宋体" w:cs="宋体"/>
                      <w:b/>
                      <w:color w:val="auto"/>
                      <w:vertAlign w:val="superscript"/>
                    </w:rPr>
                    <w:t>+</w:t>
                  </w:r>
                </w:p>
              </w:tc>
              <w:tc>
                <w:tcPr>
                  <w:tcW w:w="168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Ⅲ</w:t>
                  </w:r>
                </w:p>
              </w:tc>
              <w:tc>
                <w:tcPr>
                  <w:tcW w:w="153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Ⅱ</w:t>
                  </w:r>
                </w:p>
              </w:tc>
              <w:tc>
                <w:tcPr>
                  <w:tcW w:w="1788"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b/>
                      <w:color w:val="auto"/>
                    </w:rPr>
                  </w:pPr>
                  <w:r>
                    <w:rPr>
                      <w:rFonts w:hint="eastAsia" w:ascii="宋体" w:hAnsi="宋体" w:cs="宋体"/>
                      <w:b/>
                      <w:color w:val="auto"/>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评价工作等级</w:t>
                  </w:r>
                </w:p>
              </w:tc>
              <w:tc>
                <w:tcPr>
                  <w:tcW w:w="1826"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一</w:t>
                  </w:r>
                </w:p>
              </w:tc>
              <w:tc>
                <w:tcPr>
                  <w:tcW w:w="168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二</w:t>
                  </w:r>
                </w:p>
              </w:tc>
              <w:tc>
                <w:tcPr>
                  <w:tcW w:w="153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三</w:t>
                  </w:r>
                </w:p>
              </w:tc>
              <w:tc>
                <w:tcPr>
                  <w:tcW w:w="1788"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rPr>
                  </w:pPr>
                  <w:r>
                    <w:rPr>
                      <w:rFonts w:hint="eastAsia" w:ascii="宋体" w:hAnsi="宋体" w:cs="宋体"/>
                      <w:color w:val="auto"/>
                    </w:rPr>
                    <w:t>简单分析</w:t>
                  </w:r>
                </w:p>
              </w:tc>
            </w:tr>
          </w:tbl>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0"/>
              </w:rPr>
              <w:t>确定本次风险评价工作等级为简单分析。</w:t>
            </w:r>
          </w:p>
          <w:p>
            <w:pPr>
              <w:keepNext w:val="0"/>
              <w:keepLines w:val="0"/>
              <w:suppressLineNumbers w:val="0"/>
              <w:spacing w:before="0" w:beforeAutospacing="0" w:after="0" w:afterAutospacing="0" w:line="360" w:lineRule="auto"/>
              <w:ind w:left="0" w:right="0"/>
              <w:rPr>
                <w:rFonts w:hint="eastAsia" w:ascii="宋体" w:hAnsi="宋体" w:cs="宋体"/>
                <w:b/>
                <w:bCs/>
                <w:color w:val="auto"/>
                <w:sz w:val="24"/>
                <w:szCs w:val="24"/>
              </w:rPr>
            </w:pPr>
            <w:r>
              <w:rPr>
                <w:rFonts w:hint="default" w:ascii="宋体" w:hAnsi="宋体" w:cs="宋体"/>
                <w:b/>
                <w:bCs/>
                <w:color w:val="auto"/>
                <w:sz w:val="24"/>
                <w:szCs w:val="24"/>
              </w:rPr>
              <w:t>5</w:t>
            </w:r>
            <w:r>
              <w:rPr>
                <w:rFonts w:hint="eastAsia" w:ascii="宋体" w:hAnsi="宋体" w:cs="宋体"/>
                <w:b/>
                <w:bCs/>
                <w:color w:val="auto"/>
                <w:sz w:val="24"/>
                <w:szCs w:val="24"/>
              </w:rPr>
              <w:t>.2环境风险识别</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bCs/>
                <w:color w:val="auto"/>
                <w:sz w:val="24"/>
                <w:szCs w:val="22"/>
              </w:rPr>
            </w:pPr>
            <w:r>
              <w:rPr>
                <w:rFonts w:hint="eastAsia" w:ascii="Times New Roman" w:hAnsi="Times New Roman" w:cs="Times New Roman"/>
                <w:bCs/>
                <w:color w:val="auto"/>
                <w:sz w:val="24"/>
                <w:szCs w:val="22"/>
              </w:rPr>
              <w:t>根据《建设项目环境风险评价技术导则》（HJ</w:t>
            </w:r>
            <w:r>
              <w:rPr>
                <w:rFonts w:hint="eastAsia" w:cs="Times New Roman"/>
                <w:bCs/>
                <w:color w:val="auto"/>
                <w:sz w:val="24"/>
                <w:szCs w:val="22"/>
                <w:lang w:eastAsia="zh-CN"/>
              </w:rPr>
              <w:t>***</w:t>
            </w:r>
            <w:r>
              <w:rPr>
                <w:rFonts w:hint="eastAsia" w:ascii="Times New Roman" w:hAnsi="Times New Roman" w:cs="Times New Roman"/>
                <w:bCs/>
                <w:color w:val="auto"/>
                <w:sz w:val="24"/>
                <w:szCs w:val="22"/>
              </w:rPr>
              <w:t>-2018）规定，风险评价首先要确定建设项目所用原辅材料的毒性、易燃易爆性等危险性级别。项目储存的风险物质有次氯酸钠、柴油，另外医院的医疗废水和危险废物泄露也会对环境产生不利影响；主要影响途径为通过大气和地下水影响环境。</w:t>
            </w:r>
          </w:p>
          <w:p>
            <w:pPr>
              <w:keepNext w:val="0"/>
              <w:keepLines w:val="0"/>
              <w:suppressLineNumbers w:val="0"/>
              <w:spacing w:before="0" w:beforeAutospacing="0" w:after="0" w:afterAutospacing="0" w:line="360" w:lineRule="auto"/>
              <w:ind w:left="0" w:right="0"/>
              <w:rPr>
                <w:rFonts w:hint="eastAsia" w:ascii="宋体" w:hAnsi="宋体" w:cs="宋体"/>
                <w:b/>
                <w:bCs/>
                <w:color w:val="auto"/>
                <w:sz w:val="24"/>
                <w:szCs w:val="24"/>
              </w:rPr>
            </w:pPr>
            <w:r>
              <w:rPr>
                <w:rFonts w:hint="default" w:ascii="宋体" w:hAnsi="宋体" w:cs="宋体"/>
                <w:b/>
                <w:bCs/>
                <w:color w:val="auto"/>
                <w:sz w:val="24"/>
                <w:szCs w:val="24"/>
              </w:rPr>
              <w:t>5</w:t>
            </w:r>
            <w:r>
              <w:rPr>
                <w:rFonts w:hint="eastAsia" w:ascii="宋体" w:hAnsi="宋体" w:cs="宋体"/>
                <w:b/>
                <w:bCs/>
                <w:color w:val="auto"/>
                <w:sz w:val="24"/>
                <w:szCs w:val="24"/>
              </w:rPr>
              <w:t>.3环境风险分析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1）项目消毒试剂泄露事故排放风险分析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医院在运营过程中，主要使用的消毒剂有酒精、</w:t>
            </w:r>
            <w:r>
              <w:rPr>
                <w:rFonts w:hint="eastAsia" w:ascii="Times New Roman" w:hAnsi="Times New Roman" w:eastAsia="宋体" w:cs="Times New Roman"/>
                <w:color w:val="auto"/>
                <w:kern w:val="0"/>
                <w:sz w:val="24"/>
                <w:szCs w:val="24"/>
                <w:lang w:val="en-US" w:eastAsia="zh-CN" w:bidi="ar"/>
              </w:rPr>
              <w:t>次氯酸钠</w:t>
            </w:r>
            <w:r>
              <w:rPr>
                <w:rFonts w:hint="default" w:ascii="Times New Roman" w:hAnsi="Times New Roman" w:eastAsia="宋体" w:cs="Times New Roman"/>
                <w:color w:val="auto"/>
                <w:kern w:val="0"/>
                <w:sz w:val="24"/>
                <w:szCs w:val="24"/>
                <w:lang w:val="en-US" w:eastAsia="zh-CN" w:bidi="ar"/>
              </w:rPr>
              <w:t>等。</w:t>
            </w:r>
            <w:r>
              <w:rPr>
                <w:rFonts w:hint="eastAsia" w:ascii="Times New Roman" w:hAnsi="Times New Roman" w:eastAsia="宋体" w:cs="Times New Roman"/>
                <w:color w:val="auto"/>
                <w:kern w:val="0"/>
                <w:sz w:val="24"/>
                <w:szCs w:val="24"/>
                <w:lang w:val="en-US" w:eastAsia="zh-CN" w:bidi="ar"/>
              </w:rPr>
              <w:t>次氯酸钠</w:t>
            </w:r>
            <w:r>
              <w:rPr>
                <w:rFonts w:hint="default" w:ascii="Times New Roman" w:hAnsi="Times New Roman" w:eastAsia="宋体" w:cs="Times New Roman"/>
                <w:color w:val="auto"/>
                <w:kern w:val="0"/>
                <w:sz w:val="24"/>
                <w:szCs w:val="24"/>
                <w:lang w:val="en-US" w:eastAsia="zh-CN" w:bidi="ar"/>
              </w:rPr>
              <w:t xml:space="preserve">主要用于地面消毒；酒精主要用于消毒（擦洗伤口或打针前处理），乙醇由瓶子储存。发生泄漏事故的因素有：瓶破损、人为操作不当打翻等引起泄漏事故。若发生泄漏，应及时收集，可在医院内得到控制，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2）火灾、爆炸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医院在运行过程会因为安全事故引发火灾爆炸事故，项目内乙醇、氧气</w:t>
            </w:r>
            <w:r>
              <w:rPr>
                <w:rFonts w:hint="eastAsia" w:ascii="Times New Roman" w:hAnsi="Times New Roman" w:eastAsia="宋体" w:cs="Times New Roman"/>
                <w:color w:val="auto"/>
                <w:kern w:val="0"/>
                <w:sz w:val="24"/>
                <w:szCs w:val="24"/>
                <w:lang w:val="en-US" w:eastAsia="zh-CN" w:bidi="ar"/>
              </w:rPr>
              <w:t>、柴油</w:t>
            </w:r>
            <w:r>
              <w:rPr>
                <w:rFonts w:hint="default" w:ascii="Times New Roman" w:hAnsi="Times New Roman" w:eastAsia="宋体" w:cs="Times New Roman"/>
                <w:color w:val="auto"/>
                <w:kern w:val="0"/>
                <w:sz w:val="24"/>
                <w:szCs w:val="24"/>
                <w:lang w:val="en-US" w:eastAsia="zh-CN" w:bidi="ar"/>
              </w:rPr>
              <w:t xml:space="preserve">为可燃物质，可引发火灾、爆炸事故，火灾爆炸事故中会产生次生或衍生灾害，会对大气环境、地表水环境造成污染。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医院已按照要求配备灭火设施，加强管理，禁止在库房、医院各区域吸烟、使用明火，项目区乙醇、氧气</w:t>
            </w:r>
            <w:r>
              <w:rPr>
                <w:rFonts w:hint="eastAsia" w:ascii="Times New Roman" w:hAnsi="Times New Roman" w:eastAsia="宋体" w:cs="Times New Roman"/>
                <w:color w:val="auto"/>
                <w:kern w:val="0"/>
                <w:sz w:val="24"/>
                <w:szCs w:val="24"/>
                <w:lang w:val="en-US" w:eastAsia="zh-CN" w:bidi="ar"/>
              </w:rPr>
              <w:t>、柴油</w:t>
            </w:r>
            <w:r>
              <w:rPr>
                <w:rFonts w:hint="default" w:ascii="Times New Roman" w:hAnsi="Times New Roman" w:eastAsia="宋体" w:cs="Times New Roman"/>
                <w:color w:val="auto"/>
                <w:kern w:val="0"/>
                <w:sz w:val="24"/>
                <w:szCs w:val="24"/>
                <w:lang w:val="en-US" w:eastAsia="zh-CN" w:bidi="ar"/>
              </w:rPr>
              <w:t xml:space="preserve">储存量较少，项目若发生火灾的情况在可控范围内，发生环境风险危害较低。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3）项目医疗废水事故排放风险分析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医疗废水处理设施操作不当或处理设施失灵，如：管道破裂、泵设备损坏或失效、人为操作失误等，废水不能达标而直接排放。医院污水会沾染病人的血、尿、便，或受到粪便、传染性细菌和病毒等病原性微生物污染，具有传染性，可以诱发疾病或造成伤害；含有悬浮固体、BOD</w:t>
            </w:r>
            <w:r>
              <w:rPr>
                <w:rFonts w:hint="default" w:ascii="Times New Roman" w:hAnsi="Times New Roman" w:eastAsia="宋体" w:cs="Times New Roman"/>
                <w:color w:val="auto"/>
                <w:kern w:val="0"/>
                <w:sz w:val="24"/>
                <w:szCs w:val="24"/>
                <w:vertAlign w:val="subscript"/>
                <w:lang w:val="en-US" w:eastAsia="zh-CN" w:bidi="ar"/>
              </w:rPr>
              <w:t>5</w:t>
            </w:r>
            <w:r>
              <w:rPr>
                <w:rFonts w:hint="default" w:ascii="Times New Roman" w:hAnsi="Times New Roman" w:eastAsia="宋体" w:cs="Times New Roman"/>
                <w:color w:val="auto"/>
                <w:kern w:val="0"/>
                <w:sz w:val="24"/>
                <w:szCs w:val="24"/>
                <w:lang w:val="en-US" w:eastAsia="zh-CN" w:bidi="ar"/>
              </w:rPr>
              <w:t xml:space="preserve">、CODcr 和动植物油等污染物和有毒、有害物质及多种致病菌、病毒和寄生虫卵，它们在环境中具有一定的适应力，有的甚至在污水中存活较长，危害性较大。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若项目医疗废水处理设施发生故障而停止运转，建设单位须立即关闭污水排口闸门，同时使用化粪池、污水处理设施、应急事故池暂存污水，及时维修污水处理站，将情况控制在可控范围内，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4）医疗固废在收集、贮存、运送过程中的风险分析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医疗垃圾中可能存在传染性病菌、病毒、化学污染物等有害物质，由于医疗垃圾具有空间污染、急性传染和潜伏性污染等特征，其病毒、病菌的危害性是普通生活垃圾的几十、几百甚至上千倍，且基本没有回收再利用的价值。医疗垃圾残留及衍生的大量病菌是十分有害有毒的物质，如果不经分类收集等有效处理的话，很容易引起各种疾病的传播和蔓延。项目定期委托有资质的单位清运处置医疗废物，医疗废物暂时贮存的时间不超过2天；医疗废物的暂时贮存设施、设备应当定期消毒 和清洁；设专（兼）职人员管理，并建立登记制度，登记内容应当包括医疗废物的来源、种类、重量或者数量、交接时间、最终去向以及经办人签名等；设有明显的 医疗废物警示标识和“禁止吸烟、饮食”的警示标识，将风险控制在可控范围内，发生环境风险危害较低。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因此，本项目的环境风险较低，可以接受。 </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bCs/>
                <w:color w:val="auto"/>
                <w:sz w:val="24"/>
                <w:szCs w:val="24"/>
              </w:rPr>
            </w:pPr>
            <w:r>
              <w:rPr>
                <w:rFonts w:hint="default" w:ascii="宋体" w:hAnsi="宋体" w:cs="宋体"/>
                <w:b/>
                <w:bCs/>
                <w:color w:val="auto"/>
                <w:sz w:val="24"/>
                <w:szCs w:val="24"/>
              </w:rPr>
              <w:t>5</w:t>
            </w:r>
            <w:r>
              <w:rPr>
                <w:rFonts w:hint="eastAsia" w:ascii="宋体" w:hAnsi="宋体" w:cs="宋体"/>
                <w:b/>
                <w:bCs/>
                <w:color w:val="auto"/>
                <w:sz w:val="24"/>
                <w:szCs w:val="24"/>
              </w:rPr>
              <w:t>.4环境风险防范措施及应急要求</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在危险品使用过程中，应该严格参照《危险化学品安全管理条例》要求，需要做好化学品的贮存、使用，防止火灾风险事故的发生。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规范管理，加强职工培训。各类事故及非正常生产情况的发生大多数与操作管理不当有直接关系，因此，必须建立健全一整套严格的管理制度。管理制度应在以下几个方面予以关注：</w:t>
            </w:r>
          </w:p>
          <w:p>
            <w:pPr>
              <w:keepNext w:val="0"/>
              <w:keepLines w:val="0"/>
              <w:widowControl/>
              <w:suppressLineNumbers w:val="0"/>
              <w:adjustRightInd w:val="0"/>
              <w:snapToGrid w:val="0"/>
              <w:spacing w:before="0" w:beforeAutospacing="0" w:after="0" w:afterAutospacing="0" w:line="360" w:lineRule="auto"/>
              <w:ind w:left="0" w:right="0" w:firstLine="460" w:firstLineChars="200"/>
              <w:jc w:val="left"/>
              <w:outlineLvl w:val="2"/>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加风险物质储存设施的管理，严格防止跑、冒、滴、漏现象发生。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把每个工作人员在业务上、工作上与消防安全管理上的职责、责任明确起来，层层把关，杜绝事故的发生。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对各类贮存容器、机电装置、安全设施、消防器材等，进行各种日常的、定期的、专业的防火安全检查，并将发现的问题落实到人、限期落实整改。开展各种形式的安全教育和宣传，增强全员安全意识。加强职工培训，增强职工的安全意识和相关知识。</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（1）化学品泄漏事故防范应急措施</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若次氯酸钠发生泄漏，次氯酸钠能与许多化学物质发生爆炸性反应。对热、震动、撞击和摩擦相当敏感，极易分解发生爆炸。受热和受光照或遇有机物等能促进氧化作用的物质时，能促进分解并易引起爆炸。一旦发生次氯酸钠泄露，医院必须隔离泄漏污染区，周围设警告标志，建议应急处理人员戴好防毒面具，穿</w:t>
            </w:r>
            <w:r>
              <w:rPr>
                <w:rFonts w:hint="eastAsia" w:ascii="宋体" w:hAnsi="宋体" w:cs="宋体"/>
                <w:color w:val="auto"/>
                <w:spacing w:val="-5"/>
                <w:sz w:val="24"/>
                <w:szCs w:val="24"/>
                <w:lang w:bidi="ar"/>
              </w:rPr>
              <w:fldChar w:fldCharType="begin"/>
            </w:r>
            <w:r>
              <w:rPr>
                <w:rFonts w:hint="eastAsia" w:ascii="宋体" w:hAnsi="宋体" w:cs="宋体"/>
                <w:color w:val="auto"/>
                <w:spacing w:val="-5"/>
                <w:sz w:val="24"/>
                <w:szCs w:val="24"/>
                <w:lang w:bidi="ar"/>
              </w:rPr>
              <w:instrText xml:space="preserve"> HYPERLINK "https://baike.baidu.com/item/%E5%8C%96%E5%AD%A6%E9%98%B2%E6%8A%A4%E6%9C%8D/5679523" \t "https://baike.baidu.com/item/%E6%9D%80%E8%97%BB%E9%93%B5/_blank" </w:instrText>
            </w:r>
            <w:r>
              <w:rPr>
                <w:rFonts w:hint="eastAsia" w:ascii="宋体" w:hAnsi="宋体" w:cs="宋体"/>
                <w:color w:val="auto"/>
                <w:spacing w:val="-5"/>
                <w:sz w:val="24"/>
                <w:szCs w:val="24"/>
                <w:lang w:bidi="ar"/>
              </w:rPr>
              <w:fldChar w:fldCharType="separate"/>
            </w:r>
            <w:r>
              <w:rPr>
                <w:rFonts w:hint="eastAsia" w:ascii="宋体" w:hAnsi="宋体" w:cs="宋体"/>
                <w:color w:val="auto"/>
                <w:spacing w:val="-5"/>
                <w:sz w:val="24"/>
                <w:szCs w:val="24"/>
                <w:lang w:bidi="ar"/>
              </w:rPr>
              <w:t>化学防护服</w:t>
            </w:r>
            <w:r>
              <w:rPr>
                <w:rFonts w:hint="eastAsia" w:ascii="宋体" w:hAnsi="宋体" w:cs="宋体"/>
                <w:color w:val="auto"/>
                <w:spacing w:val="-5"/>
                <w:sz w:val="24"/>
                <w:szCs w:val="24"/>
                <w:lang w:bidi="ar"/>
              </w:rPr>
              <w:fldChar w:fldCharType="end"/>
            </w:r>
            <w:r>
              <w:rPr>
                <w:rFonts w:hint="eastAsia" w:ascii="宋体" w:hAnsi="宋体" w:cs="宋体"/>
                <w:color w:val="auto"/>
                <w:spacing w:val="-5"/>
                <w:sz w:val="24"/>
                <w:szCs w:val="24"/>
                <w:lang w:bidi="ar"/>
              </w:rPr>
              <w:t>。避免与可燃物或易燃物接触。用大量水冲洗，经稀释的污水放入废水处理系统。</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（2）院区内致病微生物风险防范措施</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一旦发现可能的传染性疾病，医院应第一时间上报卫生管理部门，由专门的医疗救治机构带走进行治疗。</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（3）医疗废物防范措施</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医疗废物必须经科学地分类收集、贮存运送后交由有资质的单位妥善处理。</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鉴于医疗废物的极大危害性，项目在收集、贮存、运送医疗废物的过程中存在着一定的风险。为保证项目产生的医疗废物得到有效处置，使其风险减少到最小程度，而不会对周围环境造成不良影响，应具体采取如下的措施进行防范。</w:t>
            </w:r>
          </w:p>
          <w:p>
            <w:pPr>
              <w:keepNext w:val="0"/>
              <w:keepLines w:val="0"/>
              <w:suppressLineNumbers w:val="0"/>
              <w:adjustRightInd w:val="0"/>
              <w:snapToGrid w:val="0"/>
              <w:spacing w:before="0" w:beforeAutospacing="0" w:after="0" w:afterAutospacing="0" w:line="360" w:lineRule="auto"/>
              <w:ind w:left="0" w:right="0" w:firstLine="460" w:firstLineChars="200"/>
              <w:rPr>
                <w:rFonts w:hint="eastAsia" w:ascii="宋体" w:hAnsi="宋体" w:cs="宋体"/>
                <w:color w:val="auto"/>
                <w:spacing w:val="-5"/>
                <w:sz w:val="24"/>
                <w:szCs w:val="24"/>
                <w:lang w:bidi="ar"/>
              </w:rPr>
            </w:pPr>
            <w:r>
              <w:rPr>
                <w:rFonts w:hint="eastAsia" w:ascii="宋体" w:hAnsi="宋体" w:cs="宋体"/>
                <w:color w:val="auto"/>
                <w:spacing w:val="-5"/>
                <w:sz w:val="24"/>
                <w:szCs w:val="24"/>
                <w:lang w:bidi="ar"/>
              </w:rPr>
              <w:t>①应对项目产生的医疗废物进行科学的分类收集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科学的分类是消除污染、无害化处置的保证，要采用专用容器，明确各类废弃物标识，分类包装，分类堆放，并本着及时、方便、安全、快捷的原则，进行收集。感染性废物、损伤性废物是不能混合收集；放入包装物或者容器内的 性废物不得取出。当盛装的医疗废物达到包装物或者容器的3/4时，应当使用有效的封口方式，使包装物或者容器的封口紧实、严密。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 xml:space="preserve">对于盛装医疗废物的塑料包装袋应当符合下列规格： </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黄色—700×550mm 塑料袋：感染性废物；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红色—700×550mm 塑料袋：传染性废物；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绿色—400×300mm 塑料袋：损伤性废物；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红色—400×300mm 塑料袋：传染性损伤性废物。</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而盛装医疗废物的外包装纸箱符合下列要求：</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印有红色“传染性废物”—600×400×500mm 纸箱；</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印有绿色“损伤性废物”—400×200×300mm 纸箱；</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印有红色“传染性损伤性废物”—600×400×500mm 纸箱。</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生物危害”标志。有液体的感染性废料时，应确保容器无泄漏。</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为保证有害废料在产生、堆集和保存期间不发生意外、泄漏、破损等，应采取必要的控制措施，如：通风措施、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和塑料制品，包装中加入吸附性材料。</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医院建立的医疗废物暂时贮存设施、设备应当达到以下要求：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A、远离医疗区、食品加工区、人员活动区和生活垃圾存放场所，方便医疗废物运送人员及运送工具、车辆的出入；</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B、有严密的封闭措施，设专（兼）职人员管理，防止非工作人员接触医疗废物；</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C、有防鼠、防蚊蝇、防蟑螂的安全措施；防止渗漏和雨水冲刷；易于清洁和消毒；避免阳光直射；</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D、设有明显的医疗废物警示标识和“禁止吸烟、饮食”的警示标识。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对于感染性废料和锐利废物，其贮存地应有“生物危险”标志和进入管理限制，且应位于产生废物地点附近。同时感染性废物和锐利废物的贮存应满足以下要求：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A、保证包装内容物不暴露于空气和受潮；</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B、保存温度及时间应使保存物无腐败发生，必要时可用低温保存，以防微生物生长和产生异味；</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C、贮存地及包装应确保内容物不成为鼠类或其它生物的食物来源；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D、贮存地不得对公众开放。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E、医疗废物转交出去后，应当对暂时贮存地点、设施及时进行清洁和消毒处理。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F、对于医疗固体废物，禁止将其在非收集、非暂时贮存地点倾倒、堆放；禁止将医疗废物混入其它废物和生活垃圾；禁止在内部运送过程中丢弃医疗废物。</w:t>
            </w:r>
          </w:p>
          <w:p>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auto"/>
                <w:kern w:val="0"/>
                <w:sz w:val="24"/>
                <w:szCs w:val="24"/>
              </w:rPr>
            </w:pPr>
            <w:r>
              <w:rPr>
                <w:rFonts w:hint="eastAsia" w:ascii="宋体" w:hAnsi="宋体" w:cs="宋体"/>
                <w:color w:val="auto"/>
                <w:kern w:val="0"/>
                <w:sz w:val="24"/>
                <w:szCs w:val="24"/>
              </w:rPr>
              <w:t>医疗废物转交出去后，应当对暂时贮存地点、设施及时进行清洁和消毒处理。对于医疗固体废物，禁止将其在非收集、非暂时贮存地点倾倒、堆放；禁止将医疗废物混入其它废物和生活垃圾；禁止在内部运送过程中丢弃医疗废物；转交运输时应填写医疗废物转移联单。</w:t>
            </w:r>
          </w:p>
          <w:p>
            <w:pPr>
              <w:keepNext w:val="0"/>
              <w:keepLines w:val="0"/>
              <w:widowControl/>
              <w:suppressLineNumbers w:val="0"/>
              <w:adjustRightInd w:val="0"/>
              <w:snapToGrid w:val="0"/>
              <w:spacing w:before="0" w:beforeAutospacing="0" w:after="0" w:afterAutospacing="0" w:line="360" w:lineRule="auto"/>
              <w:ind w:left="0" w:right="0" w:firstLine="480" w:firstLineChars="200"/>
              <w:outlineLvl w:val="3"/>
              <w:rPr>
                <w:rFonts w:hint="eastAsia" w:ascii="宋体" w:hAnsi="宋体" w:cs="宋体"/>
                <w:color w:val="auto"/>
                <w:kern w:val="0"/>
                <w:sz w:val="24"/>
                <w:szCs w:val="24"/>
              </w:rPr>
            </w:pPr>
            <w:r>
              <w:rPr>
                <w:rFonts w:hint="eastAsia" w:ascii="宋体" w:hAnsi="宋体" w:cs="宋体"/>
                <w:color w:val="auto"/>
                <w:kern w:val="0"/>
                <w:sz w:val="24"/>
                <w:szCs w:val="24"/>
              </w:rPr>
              <w:t>（4）应急要求</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医院应按国家有关规定要求，编制突发环境事件应急预案，报送当地生态环境行政主管部门审查备案。当发生环境风险事故时，按应急预案要求，认真落实各项事故应急措施，做到责任到位、落实到人、常备不懈。</w:t>
            </w:r>
          </w:p>
          <w:p>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5</w:t>
            </w:r>
            <w:r>
              <w:rPr>
                <w:rFonts w:hint="eastAsia" w:ascii="宋体" w:hAnsi="宋体" w:cs="宋体"/>
                <w:b/>
                <w:color w:val="auto"/>
                <w:sz w:val="24"/>
                <w:szCs w:val="24"/>
              </w:rPr>
              <w:t>.5分析结论</w:t>
            </w:r>
          </w:p>
          <w:p>
            <w:pPr>
              <w:keepNext w:val="0"/>
              <w:keepLines w:val="0"/>
              <w:suppressLineNumbers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医院加强管理，次氯酸钠严格按照有关规定进行储存、管理、操作，发生风险的可能性小，发生环境风险危害性较小，对人员和环境的危害不大。</w:t>
            </w:r>
          </w:p>
          <w:p>
            <w:pPr>
              <w:pStyle w:val="2"/>
              <w:keepNext w:val="0"/>
              <w:keepLines w:val="0"/>
              <w:suppressLineNumbers w:val="0"/>
              <w:spacing w:beforeAutospacing="0" w:after="0" w:afterAutospacing="0" w:line="360" w:lineRule="auto"/>
              <w:ind w:firstLine="480" w:firstLineChars="200"/>
              <w:rPr>
                <w:rFonts w:hint="eastAsia" w:ascii="宋体" w:hAnsi="宋体" w:cs="宋体"/>
                <w:color w:val="auto"/>
                <w:sz w:val="24"/>
              </w:rPr>
            </w:pPr>
            <w:r>
              <w:rPr>
                <w:rFonts w:hint="eastAsia" w:ascii="宋体" w:hAnsi="宋体" w:cs="宋体"/>
                <w:color w:val="auto"/>
                <w:sz w:val="24"/>
              </w:rPr>
              <w:t>在全面落实上述环境风险防范措施，认真执行医疗废水的处理和管理、医疗废物处理处置规范，强化运营中的环境保护管理，可以避免环境风险事故的发生，大大减少风险事故发生的概率。因此，本项目环境风险属于可接受水平，环境污染事故可控。</w:t>
            </w:r>
          </w:p>
          <w:p>
            <w:pPr>
              <w:keepNext w:val="0"/>
              <w:keepLines w:val="0"/>
              <w:suppressLineNumbers w:val="0"/>
              <w:spacing w:before="0" w:beforeAutospacing="0" w:after="0" w:afterAutospacing="0"/>
              <w:ind w:left="0" w:right="0"/>
              <w:jc w:val="center"/>
              <w:rPr>
                <w:rFonts w:hint="eastAsia" w:ascii="宋体" w:hAnsi="宋体" w:cs="宋体"/>
                <w:b/>
                <w:color w:val="auto"/>
                <w:sz w:val="24"/>
                <w:szCs w:val="24"/>
              </w:rPr>
            </w:pPr>
            <w:r>
              <w:rPr>
                <w:rFonts w:hint="eastAsia" w:ascii="宋体" w:hAnsi="宋体" w:cs="宋体"/>
                <w:b/>
                <w:color w:val="auto"/>
                <w:sz w:val="24"/>
                <w:szCs w:val="24"/>
              </w:rPr>
              <w:t>表4-1</w:t>
            </w:r>
            <w:r>
              <w:rPr>
                <w:rFonts w:hint="default" w:ascii="宋体" w:hAnsi="宋体" w:cs="宋体"/>
                <w:b/>
                <w:color w:val="auto"/>
                <w:sz w:val="24"/>
                <w:szCs w:val="24"/>
                <w:lang w:val="en-US"/>
              </w:rPr>
              <w:t>7</w:t>
            </w:r>
            <w:r>
              <w:rPr>
                <w:rFonts w:hint="default" w:ascii="宋体" w:hAnsi="宋体" w:cs="宋体"/>
                <w:b/>
                <w:color w:val="auto"/>
                <w:sz w:val="24"/>
                <w:szCs w:val="24"/>
              </w:rPr>
              <w:t xml:space="preserve"> </w:t>
            </w:r>
            <w:r>
              <w:rPr>
                <w:rFonts w:hint="eastAsia" w:ascii="宋体" w:hAnsi="宋体" w:cs="宋体"/>
                <w:b/>
                <w:color w:val="auto"/>
                <w:sz w:val="24"/>
                <w:szCs w:val="24"/>
              </w:rPr>
              <w:t>建设项目环境风险简单内容表</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903"/>
              <w:gridCol w:w="2406"/>
              <w:gridCol w:w="1109"/>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建设项目名称</w:t>
                  </w:r>
                </w:p>
              </w:tc>
              <w:tc>
                <w:tcPr>
                  <w:tcW w:w="4111" w:type="pct"/>
                  <w:gridSpan w:val="4"/>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昆明市东川区精神病院整体迁建项目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建设地点</w:t>
                  </w:r>
                </w:p>
              </w:tc>
              <w:tc>
                <w:tcPr>
                  <w:tcW w:w="4111" w:type="pct"/>
                  <w:gridSpan w:val="4"/>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云南省昆明市东川区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地理坐标</w:t>
                  </w:r>
                </w:p>
              </w:tc>
              <w:tc>
                <w:tcPr>
                  <w:tcW w:w="961"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经度</w:t>
                  </w:r>
                </w:p>
              </w:tc>
              <w:tc>
                <w:tcPr>
                  <w:tcW w:w="1215"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Calibri" w:hAnsi="Calibri" w:cs="Times New Roman"/>
                      <w:color w:val="auto"/>
                    </w:rPr>
                    <w:t>10</w:t>
                  </w:r>
                  <w:r>
                    <w:rPr>
                      <w:rFonts w:hint="default" w:ascii="Calibri" w:hAnsi="Calibri" w:cs="Times New Roman"/>
                      <w:color w:val="auto"/>
                    </w:rPr>
                    <w:t>3</w:t>
                  </w:r>
                  <w:r>
                    <w:rPr>
                      <w:rFonts w:hint="eastAsia" w:ascii="Calibri" w:hAnsi="Calibri" w:cs="Times New Roman"/>
                      <w:color w:val="auto"/>
                    </w:rPr>
                    <w:t>°1</w:t>
                  </w:r>
                  <w:r>
                    <w:rPr>
                      <w:rFonts w:hint="default" w:ascii="Calibri" w:hAnsi="Calibri" w:cs="Times New Roman"/>
                      <w:color w:val="auto"/>
                    </w:rPr>
                    <w:t>0</w:t>
                  </w:r>
                  <w:r>
                    <w:rPr>
                      <w:rFonts w:hint="eastAsia" w:ascii="Calibri" w:hAnsi="Calibri" w:cs="Times New Roman"/>
                      <w:color w:val="auto"/>
                    </w:rPr>
                    <w:t>′</w:t>
                  </w:r>
                  <w:r>
                    <w:rPr>
                      <w:rFonts w:hint="default" w:ascii="Calibri" w:hAnsi="Calibri" w:cs="Times New Roman"/>
                      <w:color w:val="auto"/>
                    </w:rPr>
                    <w:t>42.608</w:t>
                  </w:r>
                  <w:r>
                    <w:rPr>
                      <w:rFonts w:hint="eastAsia" w:ascii="Calibri" w:hAnsi="Calibri" w:cs="Times New Roman"/>
                      <w:color w:val="auto"/>
                    </w:rPr>
                    <w:t>″</w:t>
                  </w:r>
                </w:p>
              </w:tc>
              <w:tc>
                <w:tcPr>
                  <w:tcW w:w="560"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纬度</w:t>
                  </w:r>
                </w:p>
              </w:tc>
              <w:tc>
                <w:tcPr>
                  <w:tcW w:w="1373"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Calibri" w:hAnsi="Calibri" w:cs="Times New Roman"/>
                      <w:color w:val="auto"/>
                    </w:rPr>
                    <w:t>2</w:t>
                  </w:r>
                  <w:r>
                    <w:rPr>
                      <w:rFonts w:hint="default" w:ascii="Calibri" w:hAnsi="Calibri" w:cs="Times New Roman"/>
                      <w:color w:val="auto"/>
                    </w:rPr>
                    <w:t>6</w:t>
                  </w:r>
                  <w:r>
                    <w:rPr>
                      <w:rFonts w:hint="eastAsia" w:ascii="Calibri" w:hAnsi="Calibri" w:cs="Times New Roman"/>
                      <w:color w:val="auto"/>
                    </w:rPr>
                    <w:t>°</w:t>
                  </w:r>
                  <w:r>
                    <w:rPr>
                      <w:rFonts w:hint="default" w:ascii="Calibri" w:hAnsi="Calibri" w:cs="Times New Roman"/>
                      <w:color w:val="auto"/>
                    </w:rPr>
                    <w:t>4</w:t>
                  </w:r>
                  <w:r>
                    <w:rPr>
                      <w:rFonts w:hint="eastAsia" w:ascii="Calibri" w:hAnsi="Calibri" w:cs="Times New Roman"/>
                      <w:color w:val="auto"/>
                    </w:rPr>
                    <w:t>′</w:t>
                  </w:r>
                  <w:r>
                    <w:rPr>
                      <w:rFonts w:hint="default" w:ascii="Calibri" w:hAnsi="Calibri" w:cs="Times New Roman"/>
                      <w:color w:val="auto"/>
                    </w:rPr>
                    <w:t>9.695</w:t>
                  </w:r>
                  <w:r>
                    <w:rPr>
                      <w:rFonts w:hint="eastAsia" w:ascii="Calibri" w:hAnsi="Calibri"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主要危险物质及分布</w:t>
                  </w:r>
                </w:p>
              </w:tc>
              <w:tc>
                <w:tcPr>
                  <w:tcW w:w="4111" w:type="pct"/>
                  <w:gridSpan w:val="4"/>
                  <w:noWrap w:val="0"/>
                  <w:vAlign w:val="top"/>
                </w:tcPr>
                <w:p>
                  <w:pPr>
                    <w:keepNext w:val="0"/>
                    <w:keepLines w:val="0"/>
                    <w:suppressLineNumbers w:val="0"/>
                    <w:spacing w:before="0" w:beforeAutospacing="0" w:after="0" w:afterAutospacing="0"/>
                    <w:ind w:left="0" w:right="0"/>
                    <w:jc w:val="left"/>
                    <w:rPr>
                      <w:rFonts w:hint="default" w:ascii="宋体" w:hAnsi="宋体" w:cs="宋体"/>
                      <w:bCs/>
                      <w:color w:val="auto"/>
                    </w:rPr>
                  </w:pPr>
                  <w:r>
                    <w:rPr>
                      <w:rFonts w:hint="eastAsia" w:ascii="宋体" w:hAnsi="宋体" w:cs="宋体"/>
                      <w:bCs/>
                      <w:color w:val="auto"/>
                    </w:rPr>
                    <w:t>危险物质为次氯酸钠、柴油；属于HJ</w:t>
                  </w:r>
                  <w:r>
                    <w:rPr>
                      <w:rFonts w:hint="eastAsia" w:ascii="宋体" w:hAnsi="宋体" w:cs="宋体"/>
                      <w:bCs/>
                      <w:color w:val="auto"/>
                      <w:lang w:eastAsia="zh-CN"/>
                    </w:rPr>
                    <w:t>***</w:t>
                  </w:r>
                  <w:r>
                    <w:rPr>
                      <w:rFonts w:hint="eastAsia" w:ascii="宋体" w:hAnsi="宋体" w:cs="宋体"/>
                      <w:bCs/>
                      <w:color w:val="auto"/>
                    </w:rPr>
                    <w:t>-2018附录B.2规定的“环境风险物质”，最大储存量</w:t>
                  </w:r>
                  <w:r>
                    <w:rPr>
                      <w:rFonts w:hint="default" w:ascii="宋体" w:hAnsi="宋体" w:cs="宋体"/>
                      <w:bCs/>
                      <w:color w:val="auto"/>
                    </w:rPr>
                    <w:t>1</w:t>
                  </w:r>
                  <w:r>
                    <w:rPr>
                      <w:rFonts w:hint="eastAsia" w:ascii="宋体" w:hAnsi="宋体" w:cs="宋体"/>
                      <w:bCs/>
                      <w:color w:val="auto"/>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pct"/>
                  <w:noWrap w:val="0"/>
                  <w:vAlign w:val="top"/>
                </w:tcPr>
                <w:p>
                  <w:pPr>
                    <w:keepNext w:val="0"/>
                    <w:keepLines w:val="0"/>
                    <w:suppressLineNumbers w:val="0"/>
                    <w:spacing w:before="0" w:beforeAutospacing="0" w:after="0" w:afterAutospacing="0"/>
                    <w:ind w:left="0" w:right="0"/>
                    <w:jc w:val="center"/>
                    <w:rPr>
                      <w:rFonts w:hint="eastAsia" w:ascii="宋体" w:hAnsi="宋体" w:cs="宋体"/>
                      <w:bCs/>
                      <w:color w:val="auto"/>
                    </w:rPr>
                  </w:pPr>
                  <w:r>
                    <w:rPr>
                      <w:rFonts w:hint="eastAsia" w:ascii="宋体" w:hAnsi="宋体" w:cs="宋体"/>
                      <w:bCs/>
                      <w:color w:val="auto"/>
                    </w:rPr>
                    <w:t>环境影响途径及危害后果</w:t>
                  </w:r>
                </w:p>
              </w:tc>
              <w:tc>
                <w:tcPr>
                  <w:tcW w:w="4111" w:type="pct"/>
                  <w:gridSpan w:val="4"/>
                  <w:noWrap w:val="0"/>
                  <w:vAlign w:val="top"/>
                </w:tcPr>
                <w:p>
                  <w:pPr>
                    <w:keepNext w:val="0"/>
                    <w:keepLines w:val="0"/>
                    <w:suppressLineNumbers w:val="0"/>
                    <w:spacing w:before="0" w:beforeAutospacing="0" w:after="0" w:afterAutospacing="0"/>
                    <w:ind w:left="0" w:right="0"/>
                    <w:jc w:val="left"/>
                    <w:rPr>
                      <w:rFonts w:hint="eastAsia" w:ascii="宋体" w:hAnsi="宋体" w:cs="宋体"/>
                      <w:bCs/>
                      <w:color w:val="auto"/>
                    </w:rPr>
                  </w:pPr>
                  <w:r>
                    <w:rPr>
                      <w:rFonts w:hint="eastAsia" w:ascii="宋体" w:hAnsi="宋体" w:cs="宋体"/>
                      <w:bCs/>
                      <w:color w:val="auto"/>
                    </w:rPr>
                    <w:t>（1）医疗废水事故排放引起的风险影响</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因污水处理设施非正常使用，如管道破裂、泵设备损坏或失效、人为操作失误等，导致废水未经处理直接进入市政管网。</w:t>
                  </w:r>
                </w:p>
                <w:p>
                  <w:pPr>
                    <w:pStyle w:val="13"/>
                    <w:keepNext w:val="0"/>
                    <w:keepLines w:val="0"/>
                    <w:suppressLineNumbers w:val="0"/>
                    <w:spacing w:before="0" w:beforeAutospacing="0" w:after="0" w:afterAutospacing="0"/>
                    <w:ind w:left="0" w:right="0"/>
                    <w:rPr>
                      <w:rFonts w:hAnsi="宋体" w:cs="宋体"/>
                      <w:color w:val="auto"/>
                    </w:rPr>
                  </w:pPr>
                  <w:r>
                    <w:rPr>
                      <w:rFonts w:hAnsi="宋体" w:cs="宋体"/>
                      <w:color w:val="auto"/>
                    </w:rPr>
                    <w:t>（2）院区内致病微生物环境风险分析</w:t>
                  </w:r>
                </w:p>
                <w:p>
                  <w:pPr>
                    <w:pStyle w:val="13"/>
                    <w:keepNext w:val="0"/>
                    <w:keepLines w:val="0"/>
                    <w:suppressLineNumbers w:val="0"/>
                    <w:spacing w:before="0" w:beforeAutospacing="0" w:after="0" w:afterAutospacing="0"/>
                    <w:ind w:left="0" w:right="0" w:firstLine="420" w:firstLineChars="200"/>
                    <w:rPr>
                      <w:rFonts w:hAnsi="宋体" w:cs="宋体"/>
                      <w:color w:val="auto"/>
                    </w:rPr>
                  </w:pPr>
                  <w:r>
                    <w:rPr>
                      <w:rFonts w:hAnsi="宋体" w:cs="宋体"/>
                      <w:color w:val="auto"/>
                    </w:rPr>
                    <w:t>由于医院方与众多病患及家属的高频接触，日常医疗过程中会接触到带有致病性微生物病人，如：流感病人、痢疾病人等等，存在产生环境风险的潜在可能性。</w:t>
                  </w:r>
                </w:p>
                <w:p>
                  <w:pPr>
                    <w:pStyle w:val="14"/>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（3）医疗废物环境风险分析</w:t>
                  </w:r>
                </w:p>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   医疗废物残留及衍生的大量病菌是十分有害有毒的物质，如果不经分类收集等有效处理的话，很容易引起各种疾病的传播和蔓延。例如，如果医疗废物和生活垃圾混合一起的话，则可能会将含病毒细菌的医疗废物经非法收集回收加工后成为人们需要的日常生活用品，将极大地危害人们身心健康，成为疫病流行的源头，后果是不可想象的。</w:t>
                  </w:r>
                </w:p>
                <w:p>
                  <w:pPr>
                    <w:pStyle w:val="13"/>
                    <w:keepNext w:val="0"/>
                    <w:keepLines w:val="0"/>
                    <w:suppressLineNumbers w:val="0"/>
                    <w:spacing w:before="0" w:beforeAutospacing="0" w:after="0" w:afterAutospacing="0"/>
                    <w:ind w:left="0" w:right="0"/>
                    <w:rPr>
                      <w:rFonts w:hAnsi="宋体" w:cs="宋体"/>
                      <w:color w:val="auto"/>
                    </w:rPr>
                  </w:pPr>
                  <w:r>
                    <w:rPr>
                      <w:rFonts w:hAnsi="宋体" w:cs="宋体"/>
                      <w:color w:val="auto"/>
                    </w:rPr>
                    <w:t>（4）次氯酸钠环境风险分析</w:t>
                  </w:r>
                </w:p>
                <w:p>
                  <w:pPr>
                    <w:pStyle w:val="13"/>
                    <w:keepNext w:val="0"/>
                    <w:keepLines w:val="0"/>
                    <w:suppressLineNumbers w:val="0"/>
                    <w:spacing w:before="0" w:beforeAutospacing="0" w:after="0" w:afterAutospacing="0"/>
                    <w:ind w:left="0" w:right="0"/>
                    <w:rPr>
                      <w:rFonts w:hAnsi="宋体" w:cs="宋体"/>
                      <w:color w:val="auto"/>
                    </w:rPr>
                  </w:pPr>
                  <w:r>
                    <w:rPr>
                      <w:rFonts w:hAnsi="宋体" w:cs="宋体"/>
                      <w:color w:val="auto"/>
                    </w:rPr>
                    <w:t>① 对大气环境的影响</w:t>
                  </w:r>
                </w:p>
                <w:p>
                  <w:pPr>
                    <w:pStyle w:val="13"/>
                    <w:keepNext w:val="0"/>
                    <w:keepLines w:val="0"/>
                    <w:suppressLineNumbers w:val="0"/>
                    <w:spacing w:before="0" w:beforeAutospacing="0" w:after="0" w:afterAutospacing="0"/>
                    <w:ind w:left="0" w:right="0" w:firstLine="420" w:firstLineChars="200"/>
                    <w:rPr>
                      <w:rFonts w:hAnsi="宋体" w:cs="宋体"/>
                      <w:color w:val="auto"/>
                    </w:rPr>
                  </w:pPr>
                  <w:r>
                    <w:rPr>
                      <w:rFonts w:hAnsi="宋体" w:cs="宋体"/>
                      <w:color w:val="auto"/>
                    </w:rPr>
                    <w:t>次氯酸钠泄漏对周围环境的影响主要表现为次氯酸钠具有一定挥发性，挥发与空气中的CO</w:t>
                  </w:r>
                  <w:r>
                    <w:rPr>
                      <w:rFonts w:hAnsi="宋体" w:cs="宋体"/>
                      <w:color w:val="auto"/>
                      <w:vertAlign w:val="subscript"/>
                    </w:rPr>
                    <w:t>2</w:t>
                  </w:r>
                  <w:r>
                    <w:rPr>
                      <w:rFonts w:hAnsi="宋体" w:cs="宋体"/>
                      <w:color w:val="auto"/>
                    </w:rPr>
                    <w:t>反应生成次氯酸，次氯酸不稳定，见光易分解成HCl和O</w:t>
                  </w:r>
                  <w:r>
                    <w:rPr>
                      <w:rFonts w:hAnsi="宋体" w:cs="宋体"/>
                      <w:color w:val="auto"/>
                      <w:vertAlign w:val="subscript"/>
                    </w:rPr>
                    <w:t>2</w:t>
                  </w:r>
                  <w:r>
                    <w:rPr>
                      <w:rFonts w:hAnsi="宋体" w:cs="宋体"/>
                      <w:color w:val="auto"/>
                    </w:rPr>
                    <w:t>，对区域环境空气造成污染。</w:t>
                  </w:r>
                </w:p>
                <w:p>
                  <w:pPr>
                    <w:pStyle w:val="14"/>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rPr>
                    <w:t xml:space="preserve"> ② 对地下水的影响</w:t>
                  </w:r>
                </w:p>
                <w:p>
                  <w:pPr>
                    <w:pStyle w:val="14"/>
                    <w:keepNext w:val="0"/>
                    <w:keepLines w:val="0"/>
                    <w:suppressLineNumbers w:val="0"/>
                    <w:spacing w:before="0" w:beforeAutospacing="0" w:after="0" w:afterAutospacing="0"/>
                    <w:ind w:left="0" w:right="0" w:firstLine="420" w:firstLineChars="200"/>
                    <w:rPr>
                      <w:rFonts w:hint="eastAsia" w:ascii="宋体" w:hAnsi="宋体" w:cs="宋体"/>
                      <w:color w:val="auto"/>
                    </w:rPr>
                  </w:pPr>
                  <w:r>
                    <w:rPr>
                      <w:rFonts w:hint="eastAsia" w:ascii="宋体" w:hAnsi="宋体" w:cs="宋体"/>
                      <w:color w:val="auto"/>
                    </w:rPr>
                    <w:t>项目次氯酸钠泄露进入地下水，污染环境。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888" w:type="pct"/>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风险防范措施要求</w:t>
                  </w:r>
                </w:p>
              </w:tc>
              <w:tc>
                <w:tcPr>
                  <w:tcW w:w="4111" w:type="pct"/>
                  <w:gridSpan w:val="4"/>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（1）废水事故防范应急措施</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rPr>
                  </w:pPr>
                  <w:r>
                    <w:rPr>
                      <w:rFonts w:hint="eastAsia" w:ascii="Times New Roman" w:hAnsi="Times New Roman" w:cs="Times New Roman"/>
                      <w:color w:val="auto"/>
                    </w:rPr>
                    <w:t>医疗废水处理过程中的事故因素包括两方面：一是管理不当、操作不当或处理设施失灵，废水发生泄漏或不能做到达标排放。二是虽然废水水质处理达标，但未能较好的控制水量，使过多的粪大肠菌群事故排放。</w:t>
                  </w:r>
                </w:p>
                <w:p>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（2）化学品泄漏事故防范应急措施</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rPr>
                  </w:pPr>
                  <w:r>
                    <w:rPr>
                      <w:rFonts w:hint="eastAsia" w:ascii="Times New Roman" w:hAnsi="Times New Roman" w:cs="Times New Roman"/>
                      <w:color w:val="auto"/>
                    </w:rPr>
                    <w:t>若次氯酸钠发生泄漏，医院必须隔离泄漏污染区，周围设警告标志，建议应急处理人员戴好防毒面具，穿化学防护服。避免与可燃物或易燃物接触。用大量水冲洗，经稀释的污水放入废水系统。</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eastAsia" w:ascii="Times New Roman" w:hAnsi="Times New Roman" w:cs="Times New Roman"/>
                      <w:color w:val="auto"/>
                    </w:rPr>
                    <w:t>（3）项目次氯酸钠罐采取地面硬化。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5000" w:type="pct"/>
                  <w:gridSpan w:val="5"/>
                  <w:noWrap w:val="0"/>
                  <w:vAlign w:val="top"/>
                </w:tcPr>
                <w:p>
                  <w:pPr>
                    <w:keepNext w:val="0"/>
                    <w:keepLines w:val="0"/>
                    <w:suppressLineNumbers w:val="0"/>
                    <w:spacing w:before="0" w:beforeAutospacing="0" w:after="0" w:afterAutospacing="0"/>
                    <w:ind w:left="0" w:right="0"/>
                    <w:jc w:val="left"/>
                    <w:rPr>
                      <w:rFonts w:hint="eastAsia" w:ascii="宋体" w:hAnsi="宋体" w:cs="宋体"/>
                      <w:bCs/>
                      <w:color w:val="auto"/>
                    </w:rPr>
                  </w:pPr>
                  <w:r>
                    <w:rPr>
                      <w:rFonts w:hint="eastAsia" w:ascii="宋体" w:hAnsi="宋体" w:cs="宋体"/>
                      <w:bCs/>
                      <w:color w:val="auto"/>
                    </w:rPr>
                    <w:t>填表说明（列出项目相关信息及评价说明）</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项目环境风险物质为次氯酸钠和柴油，属于HJ</w:t>
                  </w:r>
                  <w:r>
                    <w:rPr>
                      <w:rFonts w:hint="eastAsia" w:ascii="宋体" w:hAnsi="宋体" w:cs="宋体"/>
                      <w:bCs/>
                      <w:color w:val="auto"/>
                      <w:lang w:eastAsia="zh-CN"/>
                    </w:rPr>
                    <w:t>***</w:t>
                  </w:r>
                  <w:r>
                    <w:rPr>
                      <w:rFonts w:hint="eastAsia" w:ascii="宋体" w:hAnsi="宋体" w:cs="宋体"/>
                      <w:bCs/>
                      <w:color w:val="auto"/>
                    </w:rPr>
                    <w:t>-2018附录B.2规定的“环境风险物质”；医院废水为医疗废水，污染物主要有</w:t>
                  </w:r>
                  <w:r>
                    <w:rPr>
                      <w:rFonts w:hint="eastAsia" w:ascii="宋体" w:hAnsi="宋体" w:cs="宋体"/>
                      <w:color w:val="auto"/>
                    </w:rPr>
                    <w:t>COD、BOD</w:t>
                  </w:r>
                  <w:r>
                    <w:rPr>
                      <w:rFonts w:hint="eastAsia" w:ascii="宋体" w:hAnsi="宋体" w:cs="宋体"/>
                      <w:color w:val="auto"/>
                      <w:vertAlign w:val="subscript"/>
                    </w:rPr>
                    <w:t>5</w:t>
                  </w:r>
                  <w:r>
                    <w:rPr>
                      <w:rFonts w:hint="eastAsia" w:ascii="宋体" w:hAnsi="宋体" w:cs="宋体"/>
                      <w:color w:val="auto"/>
                    </w:rPr>
                    <w:t>、SS、氨氮、总磷等</w:t>
                  </w:r>
                  <w:r>
                    <w:rPr>
                      <w:rFonts w:hint="eastAsia" w:ascii="宋体" w:hAnsi="宋体" w:cs="宋体"/>
                      <w:bCs/>
                      <w:color w:val="auto"/>
                    </w:rPr>
                    <w:t>。</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项目次氯酸钠最大储存量0.05t，污水最大产生量为11.29m</w:t>
                  </w:r>
                  <w:r>
                    <w:rPr>
                      <w:rFonts w:hint="eastAsia" w:ascii="宋体" w:hAnsi="宋体" w:cs="宋体"/>
                      <w:bCs/>
                      <w:color w:val="auto"/>
                      <w:vertAlign w:val="superscript"/>
                    </w:rPr>
                    <w:t>3</w:t>
                  </w:r>
                  <w:r>
                    <w:rPr>
                      <w:rFonts w:hint="eastAsia" w:ascii="宋体" w:hAnsi="宋体" w:cs="宋体"/>
                      <w:bCs/>
                      <w:color w:val="auto"/>
                    </w:rPr>
                    <w:t>/d。</w:t>
                  </w:r>
                </w:p>
                <w:p>
                  <w:pPr>
                    <w:keepNext w:val="0"/>
                    <w:keepLines w:val="0"/>
                    <w:suppressLineNumbers w:val="0"/>
                    <w:spacing w:before="0" w:beforeAutospacing="0" w:after="0" w:afterAutospacing="0"/>
                    <w:ind w:left="0" w:right="0" w:firstLine="420" w:firstLineChars="200"/>
                    <w:jc w:val="left"/>
                    <w:rPr>
                      <w:rFonts w:hint="eastAsia" w:ascii="宋体" w:hAnsi="宋体" w:cs="宋体"/>
                      <w:bCs/>
                      <w:color w:val="auto"/>
                    </w:rPr>
                  </w:pPr>
                  <w:r>
                    <w:rPr>
                      <w:rFonts w:hint="eastAsia" w:ascii="宋体" w:hAnsi="宋体" w:cs="宋体"/>
                      <w:bCs/>
                      <w:color w:val="auto"/>
                    </w:rPr>
                    <w:t>危险物质数量与临界量比值（Q）计算，Q=0.01002。根据HJ</w:t>
                  </w:r>
                  <w:r>
                    <w:rPr>
                      <w:rFonts w:hint="eastAsia" w:ascii="宋体" w:hAnsi="宋体" w:cs="宋体"/>
                      <w:bCs/>
                      <w:color w:val="auto"/>
                      <w:lang w:eastAsia="zh-CN"/>
                    </w:rPr>
                    <w:t>***</w:t>
                  </w:r>
                  <w:r>
                    <w:rPr>
                      <w:rFonts w:hint="eastAsia" w:ascii="宋体" w:hAnsi="宋体" w:cs="宋体"/>
                      <w:bCs/>
                      <w:color w:val="auto"/>
                    </w:rPr>
                    <w:t>-2018附录C.1.1，当Q&lt;1时，项目环境物质潜势为Ⅰ。则项目环境风险等级判定为进行简单分析，在危险物质、环境影响途径、危害后果、风险防范措施给出定性的说明。</w:t>
                  </w:r>
                </w:p>
              </w:tc>
            </w:tr>
          </w:tbl>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6</w:t>
            </w:r>
            <w:r>
              <w:rPr>
                <w:rFonts w:hint="eastAsia" w:ascii="宋体" w:hAnsi="宋体" w:cs="宋体"/>
                <w:b/>
                <w:color w:val="auto"/>
                <w:sz w:val="24"/>
                <w:szCs w:val="24"/>
              </w:rPr>
              <w:t>、地下水、土壤、生态影响和保护措施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（1）地下水</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本项目行业类别为《环境影响评价技术导则地下水环境》（HJ</w:t>
            </w:r>
            <w:r>
              <w:rPr>
                <w:rFonts w:hint="eastAsia" w:ascii="宋体" w:hAnsi="宋体" w:cs="宋体"/>
                <w:color w:val="auto"/>
                <w:sz w:val="24"/>
                <w:szCs w:val="24"/>
                <w:lang w:eastAsia="zh-CN"/>
              </w:rPr>
              <w:t>***</w:t>
            </w:r>
            <w:r>
              <w:rPr>
                <w:rFonts w:hint="eastAsia" w:ascii="宋体" w:hAnsi="宋体" w:cs="宋体"/>
                <w:color w:val="auto"/>
                <w:sz w:val="24"/>
                <w:szCs w:val="24"/>
              </w:rPr>
              <w:t>-2016）附录 A 中 IV 社会事业与服务业中专科防治院（所、站），环评类别为报告表。据（HJ</w:t>
            </w:r>
            <w:r>
              <w:rPr>
                <w:rFonts w:hint="eastAsia" w:ascii="宋体" w:hAnsi="宋体" w:cs="宋体"/>
                <w:color w:val="auto"/>
                <w:sz w:val="24"/>
                <w:szCs w:val="24"/>
                <w:lang w:eastAsia="zh-CN"/>
              </w:rPr>
              <w:t>***</w:t>
            </w:r>
            <w:r>
              <w:rPr>
                <w:rFonts w:hint="eastAsia" w:ascii="宋体" w:hAnsi="宋体" w:cs="宋体"/>
                <w:color w:val="auto"/>
                <w:sz w:val="24"/>
                <w:szCs w:val="24"/>
              </w:rPr>
              <w:t>-2016）“第 4.1条—IV类建设项目不开展地下水环境影响评价”，本项目属于地下水环境影响评价项目类别中的IV类，不开展地下水环境影响评价。</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（2）土壤</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本项目为专科医院，据《环境影响评价技术导则土壤环境（试行）》（HJ</w:t>
            </w:r>
            <w:r>
              <w:rPr>
                <w:rFonts w:hint="eastAsia" w:ascii="宋体" w:hAnsi="宋体" w:cs="宋体"/>
                <w:color w:val="auto"/>
                <w:sz w:val="24"/>
                <w:szCs w:val="24"/>
                <w:lang w:eastAsia="zh-CN"/>
              </w:rPr>
              <w:t>***</w:t>
            </w:r>
            <w:r>
              <w:rPr>
                <w:rFonts w:hint="eastAsia" w:ascii="宋体" w:hAnsi="宋体" w:cs="宋体"/>
                <w:color w:val="auto"/>
                <w:sz w:val="24"/>
                <w:szCs w:val="24"/>
              </w:rPr>
              <w:t>-2018）附录A，本项目行业类别为“社会事业与服务业”中“其他”类，根据（HJ</w:t>
            </w:r>
            <w:r>
              <w:rPr>
                <w:rFonts w:hint="eastAsia" w:ascii="宋体" w:hAnsi="宋体" w:cs="宋体"/>
                <w:color w:val="auto"/>
                <w:sz w:val="24"/>
                <w:szCs w:val="24"/>
                <w:lang w:eastAsia="zh-CN"/>
              </w:rPr>
              <w:t>***</w:t>
            </w:r>
            <w:r>
              <w:rPr>
                <w:rFonts w:hint="eastAsia" w:ascii="宋体" w:hAnsi="宋体" w:cs="宋体"/>
                <w:color w:val="auto"/>
                <w:sz w:val="24"/>
                <w:szCs w:val="24"/>
              </w:rPr>
              <w:t>-2018）“第4.2.2条—IV类建设项目不开展土壤环境影响评价”，土壤环境影响评价项目类别为IV类，即本项目无需开展土壤环境影响评价工作。</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（3）生态影响和保护措施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本项目位于云南省昆明市东川区城区西南角，规划道路东海路南延长线东侧，兴铜路西延长线南侧交汇路口，属于城市建成区，项目不在饮用水水源地、风景区、自然保护区等生态保护区内，对生态影响较小。</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color w:val="auto"/>
                <w:sz w:val="24"/>
                <w:szCs w:val="24"/>
              </w:rPr>
            </w:pPr>
            <w:r>
              <w:rPr>
                <w:rFonts w:hint="default" w:ascii="宋体" w:hAnsi="宋体" w:cs="宋体"/>
                <w:b/>
                <w:color w:val="auto"/>
                <w:sz w:val="24"/>
                <w:szCs w:val="24"/>
              </w:rPr>
              <w:t>7</w:t>
            </w:r>
            <w:r>
              <w:rPr>
                <w:rFonts w:hint="eastAsia" w:ascii="宋体" w:hAnsi="宋体" w:cs="宋体"/>
                <w:b/>
                <w:color w:val="auto"/>
                <w:sz w:val="24"/>
                <w:szCs w:val="24"/>
              </w:rPr>
              <w:t>、电磁辐射影响和保护措施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r>
              <w:rPr>
                <w:rFonts w:hint="eastAsia" w:ascii="宋体" w:hAnsi="宋体" w:cs="宋体"/>
                <w:color w:val="auto"/>
                <w:sz w:val="24"/>
                <w:szCs w:val="24"/>
              </w:rPr>
              <w:t>本项目DR辐射类设备不纳入本次评价，应单独办理相关环评手续。</w:t>
            </w:r>
          </w:p>
          <w:p>
            <w:pPr>
              <w:keepNext w:val="0"/>
              <w:keepLines w:val="0"/>
              <w:suppressLineNumbers w:val="0"/>
              <w:spacing w:before="0" w:beforeAutospacing="0" w:after="0" w:afterAutospacing="0" w:line="360" w:lineRule="auto"/>
              <w:ind w:left="0" w:right="0"/>
              <w:jc w:val="left"/>
              <w:rPr>
                <w:rFonts w:hint="eastAsia" w:ascii="宋体" w:hAnsi="宋体" w:cs="宋体"/>
                <w:b/>
                <w:bCs/>
                <w:color w:val="auto"/>
                <w:sz w:val="24"/>
                <w:szCs w:val="24"/>
              </w:rPr>
            </w:pPr>
            <w:r>
              <w:rPr>
                <w:rFonts w:hint="default" w:ascii="宋体" w:hAnsi="宋体" w:cs="宋体"/>
                <w:b/>
                <w:bCs/>
                <w:color w:val="auto"/>
                <w:sz w:val="24"/>
                <w:szCs w:val="24"/>
              </w:rPr>
              <w:t>8</w:t>
            </w:r>
            <w:r>
              <w:rPr>
                <w:rFonts w:hint="eastAsia" w:ascii="宋体" w:hAnsi="宋体" w:cs="宋体"/>
                <w:b/>
                <w:bCs/>
                <w:color w:val="auto"/>
                <w:sz w:val="24"/>
                <w:szCs w:val="24"/>
              </w:rPr>
              <w:t>、环保投资</w:t>
            </w:r>
          </w:p>
          <w:p>
            <w:pPr>
              <w:keepNext w:val="0"/>
              <w:keepLines w:val="0"/>
              <w:suppressLineNumbers w:val="0"/>
              <w:adjustRightInd w:val="0"/>
              <w:snapToGrid w:val="0"/>
              <w:spacing w:before="0" w:beforeAutospacing="0" w:after="0" w:afterAutospacing="0" w:line="360" w:lineRule="auto"/>
              <w:ind w:left="0" w:right="0" w:firstLine="482"/>
              <w:jc w:val="left"/>
              <w:rPr>
                <w:rFonts w:hint="eastAsia" w:ascii="宋体" w:hAnsi="宋体" w:cs="宋体"/>
                <w:color w:val="auto"/>
                <w:sz w:val="24"/>
                <w:szCs w:val="24"/>
              </w:rPr>
            </w:pPr>
            <w:r>
              <w:rPr>
                <w:rFonts w:hint="eastAsia" w:ascii="宋体" w:hAnsi="宋体" w:cs="宋体"/>
                <w:color w:val="auto"/>
                <w:sz w:val="24"/>
                <w:szCs w:val="24"/>
              </w:rPr>
              <w:t>本项目工程总投资</w:t>
            </w:r>
            <w:r>
              <w:rPr>
                <w:rFonts w:hint="default" w:ascii="宋体" w:hAnsi="宋体" w:cs="宋体"/>
                <w:color w:val="auto"/>
                <w:sz w:val="24"/>
                <w:szCs w:val="24"/>
              </w:rPr>
              <w:t>2</w:t>
            </w:r>
            <w:r>
              <w:rPr>
                <w:rFonts w:hint="eastAsia" w:ascii="宋体" w:hAnsi="宋体" w:cs="宋体"/>
                <w:color w:val="auto"/>
                <w:sz w:val="24"/>
                <w:szCs w:val="24"/>
              </w:rPr>
              <w:t>1000万元，其中环保投资</w:t>
            </w:r>
            <w:r>
              <w:rPr>
                <w:rFonts w:hint="default" w:ascii="宋体" w:hAnsi="宋体" w:cs="宋体"/>
                <w:color w:val="auto"/>
                <w:sz w:val="24"/>
                <w:szCs w:val="24"/>
              </w:rPr>
              <w:t>78.6</w:t>
            </w:r>
            <w:r>
              <w:rPr>
                <w:rFonts w:hint="eastAsia" w:ascii="宋体" w:hAnsi="宋体" w:cs="宋体"/>
                <w:color w:val="auto"/>
                <w:sz w:val="24"/>
                <w:szCs w:val="24"/>
              </w:rPr>
              <w:t>万元，占工程总投资的</w:t>
            </w:r>
            <w:r>
              <w:rPr>
                <w:rFonts w:hint="default" w:ascii="宋体" w:hAnsi="宋体" w:cs="宋体"/>
                <w:color w:val="auto"/>
                <w:sz w:val="24"/>
                <w:szCs w:val="24"/>
              </w:rPr>
              <w:t>0.4</w:t>
            </w:r>
            <w:r>
              <w:rPr>
                <w:rFonts w:hint="eastAsia" w:ascii="宋体" w:hAnsi="宋体" w:cs="宋体"/>
                <w:color w:val="auto"/>
                <w:sz w:val="24"/>
                <w:szCs w:val="24"/>
              </w:rPr>
              <w:t>%，项目环保投资估算见表</w:t>
            </w:r>
            <w:r>
              <w:rPr>
                <w:rFonts w:hint="default" w:ascii="宋体" w:hAnsi="宋体" w:cs="宋体"/>
                <w:color w:val="auto"/>
                <w:sz w:val="24"/>
                <w:szCs w:val="24"/>
              </w:rPr>
              <w:t>4-1</w:t>
            </w:r>
            <w:r>
              <w:rPr>
                <w:rFonts w:hint="default" w:ascii="宋体" w:hAnsi="宋体" w:cs="宋体"/>
                <w:color w:val="auto"/>
                <w:sz w:val="24"/>
                <w:szCs w:val="24"/>
                <w:lang w:val="en-US"/>
              </w:rPr>
              <w:t>8</w:t>
            </w:r>
            <w:r>
              <w:rPr>
                <w:rFonts w:hint="eastAsia" w:ascii="宋体" w:hAnsi="宋体" w:cs="宋体"/>
                <w:color w:val="auto"/>
                <w:sz w:val="24"/>
                <w:szCs w:val="24"/>
              </w:rPr>
              <w:t>。</w:t>
            </w:r>
          </w:p>
          <w:p>
            <w:pPr>
              <w:keepNext w:val="0"/>
              <w:keepLines w:val="0"/>
              <w:suppressLineNumbers w:val="0"/>
              <w:spacing w:before="0" w:beforeAutospacing="0" w:after="0" w:afterAutospacing="0"/>
              <w:ind w:left="0" w:right="0" w:firstLine="482"/>
              <w:jc w:val="center"/>
              <w:rPr>
                <w:rFonts w:hint="eastAsia" w:ascii="宋体" w:hAnsi="宋体" w:cs="宋体"/>
                <w:b/>
                <w:bCs/>
                <w:color w:val="auto"/>
                <w:sz w:val="24"/>
                <w:szCs w:val="24"/>
              </w:rPr>
            </w:pPr>
            <w:r>
              <w:rPr>
                <w:rFonts w:hint="eastAsia" w:ascii="宋体" w:hAnsi="宋体" w:cs="宋体"/>
                <w:b/>
                <w:bCs/>
                <w:color w:val="auto"/>
                <w:sz w:val="24"/>
                <w:szCs w:val="24"/>
              </w:rPr>
              <w:t>表</w:t>
            </w:r>
            <w:r>
              <w:rPr>
                <w:rFonts w:hint="default" w:ascii="宋体" w:hAnsi="宋体" w:cs="宋体"/>
                <w:b/>
                <w:bCs/>
                <w:color w:val="auto"/>
                <w:sz w:val="24"/>
                <w:szCs w:val="24"/>
              </w:rPr>
              <w:t>4-1</w:t>
            </w:r>
            <w:r>
              <w:rPr>
                <w:rFonts w:hint="default" w:ascii="宋体" w:hAnsi="宋体" w:cs="宋体"/>
                <w:b/>
                <w:bCs/>
                <w:color w:val="auto"/>
                <w:sz w:val="24"/>
                <w:szCs w:val="24"/>
                <w:lang w:val="en-US"/>
              </w:rPr>
              <w:t>8</w:t>
            </w:r>
            <w:r>
              <w:rPr>
                <w:rFonts w:hint="default" w:ascii="宋体" w:hAnsi="宋体" w:cs="宋体"/>
                <w:b/>
                <w:bCs/>
                <w:color w:val="auto"/>
                <w:sz w:val="24"/>
                <w:szCs w:val="24"/>
              </w:rPr>
              <w:t xml:space="preserve"> </w:t>
            </w:r>
            <w:r>
              <w:rPr>
                <w:rFonts w:hint="eastAsia" w:ascii="宋体" w:hAnsi="宋体" w:cs="宋体"/>
                <w:b/>
                <w:bCs/>
                <w:color w:val="auto"/>
                <w:sz w:val="24"/>
                <w:szCs w:val="24"/>
              </w:rPr>
              <w:t>环保投资估算表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89"/>
              <w:gridCol w:w="1502"/>
              <w:gridCol w:w="540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时段</w:t>
                  </w:r>
                </w:p>
              </w:tc>
              <w:tc>
                <w:tcPr>
                  <w:tcW w:w="499"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治理类型</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环保设施</w:t>
                  </w:r>
                </w:p>
              </w:tc>
              <w:tc>
                <w:tcPr>
                  <w:tcW w:w="2724"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设置规模</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投资(万元</w:t>
                  </w:r>
                  <w:r>
                    <w:rPr>
                      <w:rFonts w:hint="eastAsia" w:ascii="宋体" w:hAnsi="宋体" w:cs="宋体"/>
                      <w:color w:val="auto"/>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施工期</w:t>
                  </w: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废气</w:t>
                  </w:r>
                </w:p>
              </w:tc>
              <w:tc>
                <w:tcPr>
                  <w:tcW w:w="3483" w:type="pct"/>
                  <w:gridSpan w:val="2"/>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rPr>
                      <w:rFonts w:hint="eastAsia" w:ascii="宋体" w:hAnsi="宋体" w:cs="宋体"/>
                      <w:color w:val="auto"/>
                    </w:rPr>
                  </w:pPr>
                  <w:r>
                    <w:rPr>
                      <w:rFonts w:hint="eastAsia" w:ascii="宋体" w:hAnsi="宋体" w:cs="宋体"/>
                      <w:color w:val="auto"/>
                    </w:rPr>
                    <w:t>场地内进行洒水降尘，装修用建筑材料土工布遮盖，运输车辆帆布遮盖，定期清扫。</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default" w:ascii="宋体" w:hAnsi="宋体" w:cs="宋体"/>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废水</w:t>
                  </w:r>
                </w:p>
              </w:tc>
              <w:tc>
                <w:tcPr>
                  <w:tcW w:w="3483" w:type="pct"/>
                  <w:gridSpan w:val="2"/>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rPr>
                      <w:rFonts w:hint="eastAsia" w:ascii="宋体" w:hAnsi="宋体" w:cs="宋体"/>
                      <w:color w:val="auto"/>
                    </w:rPr>
                  </w:pPr>
                  <w:r>
                    <w:rPr>
                      <w:rFonts w:hint="eastAsia" w:ascii="宋体" w:hAnsi="宋体" w:cs="宋体"/>
                      <w:color w:val="auto"/>
                    </w:rPr>
                    <w:t>施工废水经沉淀处理后用于场地浇洒，不外排。</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default" w:ascii="宋体" w:hAnsi="宋体" w:cs="宋体"/>
                      <w:color w:val="auto"/>
                    </w:rPr>
                  </w:pPr>
                  <w:r>
                    <w:rPr>
                      <w:rFonts w:hint="default" w:ascii="宋体" w:hAnsi="宋体" w:cs="宋体"/>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固废</w:t>
                  </w:r>
                </w:p>
              </w:tc>
              <w:tc>
                <w:tcPr>
                  <w:tcW w:w="3483" w:type="pct"/>
                  <w:gridSpan w:val="2"/>
                  <w:noWrap w:val="0"/>
                  <w:vAlign w:val="center"/>
                </w:tcPr>
                <w:p>
                  <w:pPr>
                    <w:pStyle w:val="2"/>
                    <w:keepNext w:val="0"/>
                    <w:keepLines w:val="0"/>
                    <w:suppressLineNumbers w:val="0"/>
                    <w:snapToGrid w:val="0"/>
                    <w:spacing w:beforeAutospacing="0" w:after="0" w:afterAutospacing="0" w:line="240" w:lineRule="auto"/>
                    <w:contextualSpacing/>
                    <w:rPr>
                      <w:rFonts w:hint="eastAsia" w:ascii="宋体" w:hAnsi="宋体" w:cs="宋体"/>
                      <w:color w:val="auto"/>
                    </w:rPr>
                  </w:pPr>
                  <w:r>
                    <w:rPr>
                      <w:rFonts w:hint="eastAsia" w:ascii="宋体" w:hAnsi="宋体" w:cs="宋体"/>
                      <w:color w:val="auto"/>
                    </w:rPr>
                    <w:t xml:space="preserve">（1）生活垃圾分类收集后由环卫部门负责清运处理。 </w:t>
                  </w:r>
                </w:p>
                <w:p>
                  <w:pPr>
                    <w:pStyle w:val="2"/>
                    <w:keepNext w:val="0"/>
                    <w:keepLines w:val="0"/>
                    <w:suppressLineNumbers w:val="0"/>
                    <w:snapToGrid w:val="0"/>
                    <w:spacing w:beforeAutospacing="0" w:after="0" w:afterAutospacing="0" w:line="240" w:lineRule="auto"/>
                    <w:contextualSpacing/>
                    <w:rPr>
                      <w:rFonts w:hint="eastAsia" w:ascii="宋体" w:hAnsi="宋体" w:cs="宋体"/>
                      <w:color w:val="auto"/>
                    </w:rPr>
                  </w:pPr>
                  <w:r>
                    <w:rPr>
                      <w:rFonts w:hint="eastAsia" w:ascii="宋体" w:hAnsi="宋体" w:cs="宋体"/>
                      <w:color w:val="auto"/>
                    </w:rPr>
                    <w:t xml:space="preserve">（2）建筑垃圾送政府指定地点进行合法消纳。 </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default" w:ascii="宋体" w:hAnsi="宋体" w:cs="宋体"/>
                      <w:color w:val="auto"/>
                    </w:rPr>
                  </w:pPr>
                  <w:r>
                    <w:rPr>
                      <w:rFonts w:hint="default"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eastAsia" w:ascii="宋体" w:hAnsi="宋体" w:cs="宋体"/>
                      <w:color w:val="auto"/>
                    </w:rPr>
                  </w:pPr>
                  <w:r>
                    <w:rPr>
                      <w:rFonts w:hint="eastAsia" w:ascii="宋体" w:hAnsi="宋体" w:cs="宋体"/>
                      <w:color w:val="auto"/>
                    </w:rPr>
                    <w:t>噪声</w:t>
                  </w:r>
                </w:p>
              </w:tc>
              <w:tc>
                <w:tcPr>
                  <w:tcW w:w="3483" w:type="pct"/>
                  <w:gridSpan w:val="2"/>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rPr>
                      <w:rFonts w:hint="eastAsia" w:ascii="宋体" w:hAnsi="宋体" w:cs="宋体"/>
                      <w:color w:val="auto"/>
                    </w:rPr>
                  </w:pPr>
                  <w:r>
                    <w:rPr>
                      <w:rFonts w:hint="eastAsia" w:ascii="宋体" w:hAnsi="宋体" w:cs="宋体"/>
                      <w:color w:val="auto"/>
                    </w:rPr>
                    <w:t>选用低噪声设备，定期维护机械和车辆。</w:t>
                  </w:r>
                </w:p>
              </w:tc>
              <w:tc>
                <w:tcPr>
                  <w:tcW w:w="676" w:type="pct"/>
                  <w:noWrap w:val="0"/>
                  <w:vAlign w:val="center"/>
                </w:tcPr>
                <w:p>
                  <w:pPr>
                    <w:pStyle w:val="6"/>
                    <w:keepNext w:val="0"/>
                    <w:keepLines w:val="0"/>
                    <w:suppressLineNumbers w:val="0"/>
                    <w:adjustRightInd/>
                    <w:snapToGrid w:val="0"/>
                    <w:spacing w:before="0" w:beforeAutospacing="0" w:after="0" w:afterAutospacing="0" w:line="240" w:lineRule="auto"/>
                    <w:ind w:left="0" w:right="0" w:firstLine="0"/>
                    <w:contextualSpacing/>
                    <w:jc w:val="center"/>
                    <w:rPr>
                      <w:rFonts w:hint="default" w:ascii="宋体" w:hAnsi="宋体" w:cs="宋体"/>
                      <w:color w:val="auto"/>
                    </w:rPr>
                  </w:pPr>
                  <w:r>
                    <w:rPr>
                      <w:rFonts w:hint="default" w:ascii="宋体" w:hAnsi="宋体" w:cs="宋体"/>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9"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运营期</w:t>
                  </w:r>
                </w:p>
              </w:tc>
              <w:tc>
                <w:tcPr>
                  <w:tcW w:w="499"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废气</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异味</w:t>
                  </w:r>
                </w:p>
              </w:tc>
              <w:tc>
                <w:tcPr>
                  <w:tcW w:w="2724"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Calibri" w:hAnsi="Calibri" w:cs="Times New Roman"/>
                      <w:color w:val="auto"/>
                    </w:rPr>
                  </w:pPr>
                  <w:r>
                    <w:rPr>
                      <w:rFonts w:hint="eastAsia" w:ascii="Calibri" w:hAnsi="Calibri" w:cs="Times New Roman"/>
                      <w:color w:val="auto"/>
                    </w:rPr>
                    <w:t>生活垃圾使用带盖垃圾桶，及时收集清运；</w:t>
                  </w:r>
                </w:p>
                <w:p>
                  <w:pPr>
                    <w:keepNext w:val="0"/>
                    <w:keepLines w:val="0"/>
                    <w:suppressLineNumbers w:val="0"/>
                    <w:autoSpaceDE w:val="0"/>
                    <w:autoSpaceDN w:val="0"/>
                    <w:adjustRightInd w:val="0"/>
                    <w:spacing w:before="0" w:beforeAutospacing="0" w:after="0" w:afterAutospacing="0"/>
                    <w:ind w:left="0" w:right="0"/>
                    <w:jc w:val="left"/>
                    <w:rPr>
                      <w:rFonts w:hint="eastAsia" w:ascii="Calibri" w:hAnsi="Calibri" w:cs="Times New Roman"/>
                      <w:color w:val="auto"/>
                    </w:rPr>
                  </w:pPr>
                  <w:r>
                    <w:rPr>
                      <w:rFonts w:hint="eastAsia" w:ascii="Calibri" w:hAnsi="Calibri" w:cs="Times New Roman"/>
                      <w:color w:val="auto"/>
                    </w:rPr>
                    <w:t>医疗废物袋装收集后放置在密闭的专用的医疗废物暂存间内；</w:t>
                  </w:r>
                </w:p>
                <w:p>
                  <w:pPr>
                    <w:keepNext w:val="0"/>
                    <w:keepLines w:val="0"/>
                    <w:suppressLineNumbers w:val="0"/>
                    <w:snapToGrid w:val="0"/>
                    <w:spacing w:before="0" w:beforeAutospacing="0" w:after="0" w:afterAutospacing="0"/>
                    <w:ind w:left="0" w:right="0"/>
                    <w:contextualSpacing/>
                    <w:rPr>
                      <w:rFonts w:hint="eastAsia" w:ascii="Calibri" w:hAnsi="Calibri" w:cs="Times New Roman"/>
                      <w:color w:val="auto"/>
                    </w:rPr>
                  </w:pPr>
                  <w:r>
                    <w:rPr>
                      <w:rFonts w:hint="eastAsia" w:ascii="Calibri" w:hAnsi="Calibri" w:cs="Times New Roman"/>
                      <w:color w:val="auto"/>
                    </w:rPr>
                    <w:t>污水处理站反应池采用全封闭建设；</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厨房油烟</w:t>
                  </w:r>
                </w:p>
              </w:tc>
              <w:tc>
                <w:tcPr>
                  <w:tcW w:w="2724" w:type="pct"/>
                  <w:noWrap w:val="0"/>
                  <w:vAlign w:val="center"/>
                </w:tcPr>
                <w:p>
                  <w:pPr>
                    <w:keepNext w:val="0"/>
                    <w:keepLines w:val="0"/>
                    <w:suppressLineNumbers w:val="0"/>
                    <w:snapToGrid w:val="0"/>
                    <w:spacing w:before="0" w:beforeAutospacing="0" w:after="0" w:afterAutospacing="0"/>
                    <w:ind w:left="0" w:right="0"/>
                    <w:contextualSpacing/>
                    <w:rPr>
                      <w:rFonts w:hint="eastAsia" w:ascii="宋体" w:hAnsi="宋体" w:cs="宋体"/>
                      <w:color w:val="auto"/>
                    </w:rPr>
                  </w:pPr>
                  <w:r>
                    <w:rPr>
                      <w:rFonts w:hint="eastAsia" w:ascii="宋体" w:hAnsi="宋体" w:cs="宋体"/>
                      <w:color w:val="auto"/>
                    </w:rPr>
                    <w:t>1套油烟净化器</w:t>
                  </w:r>
                </w:p>
              </w:tc>
              <w:tc>
                <w:tcPr>
                  <w:tcW w:w="676"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rPr>
                      <w:rFonts w:hint="default" w:ascii="宋体" w:hAnsi="宋体" w:cs="宋体"/>
                      <w:color w:val="auto"/>
                    </w:rPr>
                  </w:pPr>
                  <w:r>
                    <w:rPr>
                      <w:rFonts w:hint="eastAsia" w:ascii="宋体" w:hAnsi="宋体" w:cs="宋体"/>
                      <w:color w:val="auto"/>
                    </w:rPr>
                    <w:t>备用发电机尾气</w:t>
                  </w:r>
                </w:p>
              </w:tc>
              <w:tc>
                <w:tcPr>
                  <w:tcW w:w="2724" w:type="pct"/>
                  <w:noWrap w:val="0"/>
                  <w:vAlign w:val="center"/>
                </w:tcPr>
                <w:p>
                  <w:pPr>
                    <w:keepNext w:val="0"/>
                    <w:keepLines w:val="0"/>
                    <w:suppressLineNumbers w:val="0"/>
                    <w:snapToGrid w:val="0"/>
                    <w:spacing w:before="0" w:beforeAutospacing="0" w:after="0" w:afterAutospacing="0"/>
                    <w:ind w:left="0" w:right="0"/>
                    <w:contextualSpacing/>
                    <w:rPr>
                      <w:rFonts w:hint="eastAsia" w:ascii="宋体" w:hAnsi="宋体" w:cs="宋体"/>
                      <w:color w:val="auto"/>
                    </w:rPr>
                  </w:pPr>
                  <w:r>
                    <w:rPr>
                      <w:rFonts w:hint="eastAsia" w:ascii="宋体" w:hAnsi="宋体" w:cs="宋体"/>
                      <w:color w:val="auto"/>
                    </w:rPr>
                    <w:t>备用发电机尾气需发电机自带的排气管通过专用烟道以无组织形式排入大气环境。</w:t>
                  </w:r>
                </w:p>
              </w:tc>
              <w:tc>
                <w:tcPr>
                  <w:tcW w:w="676"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废水</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废水治理措施</w:t>
                  </w:r>
                </w:p>
              </w:tc>
              <w:tc>
                <w:tcPr>
                  <w:tcW w:w="2724"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Calibri" w:hAnsi="Calibri" w:cs="Times New Roman"/>
                      <w:color w:val="auto"/>
                    </w:rPr>
                  </w:pPr>
                  <w:r>
                    <w:rPr>
                      <w:rFonts w:hint="eastAsia" w:ascii="Calibri" w:hAnsi="Calibri" w:cs="Times New Roman"/>
                      <w:color w:val="auto"/>
                    </w:rPr>
                    <w:t>①项目配备</w:t>
                  </w:r>
                  <w:r>
                    <w:rPr>
                      <w:rFonts w:hint="default" w:ascii="Calibri" w:hAnsi="Calibri" w:cs="Times New Roman"/>
                      <w:color w:val="auto"/>
                    </w:rPr>
                    <w:t>1</w:t>
                  </w:r>
                  <w:r>
                    <w:rPr>
                      <w:rFonts w:hint="eastAsia" w:ascii="Calibri" w:hAnsi="Calibri" w:cs="Times New Roman"/>
                      <w:color w:val="auto"/>
                    </w:rPr>
                    <w:t>个化粪池，布置在卫生间下方，化粪池容积</w:t>
                  </w:r>
                  <w:r>
                    <w:rPr>
                      <w:rFonts w:hint="default" w:ascii="Calibri" w:hAnsi="Calibri" w:cs="Times New Roman"/>
                      <w:color w:val="auto"/>
                      <w:lang w:val="en-US"/>
                    </w:rPr>
                    <w:t>10</w:t>
                  </w:r>
                  <w:r>
                    <w:rPr>
                      <w:rFonts w:hint="eastAsia" w:ascii="Calibri" w:hAnsi="Calibri" w:cs="Times New Roman"/>
                      <w:color w:val="auto"/>
                    </w:rPr>
                    <w:t>0m</w:t>
                  </w:r>
                  <w:r>
                    <w:rPr>
                      <w:rFonts w:hint="default" w:ascii="Calibri" w:hAnsi="Calibri" w:cs="Times New Roman"/>
                      <w:color w:val="auto"/>
                      <w:vertAlign w:val="superscript"/>
                    </w:rPr>
                    <w:t>3</w:t>
                  </w:r>
                  <w:r>
                    <w:rPr>
                      <w:rFonts w:hint="eastAsia" w:ascii="Calibri" w:hAnsi="Calibri" w:cs="Times New Roman"/>
                      <w:color w:val="auto"/>
                    </w:rPr>
                    <w:t>。</w:t>
                  </w:r>
                </w:p>
                <w:p>
                  <w:pPr>
                    <w:keepNext w:val="0"/>
                    <w:keepLines w:val="0"/>
                    <w:suppressLineNumbers w:val="0"/>
                    <w:autoSpaceDE w:val="0"/>
                    <w:autoSpaceDN w:val="0"/>
                    <w:adjustRightInd w:val="0"/>
                    <w:spacing w:before="0" w:beforeAutospacing="0" w:after="0" w:afterAutospacing="0"/>
                    <w:ind w:left="0" w:right="0"/>
                    <w:jc w:val="left"/>
                    <w:rPr>
                      <w:rFonts w:hint="default" w:ascii="Calibri" w:hAnsi="Calibri" w:cs="Times New Roman"/>
                      <w:color w:val="auto"/>
                    </w:rPr>
                  </w:pPr>
                  <w:r>
                    <w:rPr>
                      <w:rFonts w:hint="eastAsia" w:ascii="Calibri" w:hAnsi="Calibri" w:cs="Times New Roman"/>
                      <w:color w:val="auto"/>
                    </w:rPr>
                    <w:t>②厨房外侧配备1个隔油池，用于厨房废水的隔油处理。</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宋体"/>
                      <w:color w:val="auto"/>
                    </w:rPr>
                  </w:pPr>
                  <w:r>
                    <w:rPr>
                      <w:rFonts w:hint="eastAsia" w:ascii="Calibri" w:hAnsi="Calibri" w:cs="Times New Roman"/>
                      <w:color w:val="auto"/>
                    </w:rPr>
                    <w:t>③新建1套</w:t>
                  </w:r>
                  <w:r>
                    <w:rPr>
                      <w:rFonts w:hint="default" w:ascii="Calibri" w:hAnsi="Calibri" w:cs="Times New Roman"/>
                      <w:color w:val="auto"/>
                    </w:rPr>
                    <w:t>1</w:t>
                  </w:r>
                  <w:r>
                    <w:rPr>
                      <w:rFonts w:hint="default" w:ascii="Calibri" w:hAnsi="Calibri" w:cs="Times New Roman"/>
                      <w:color w:val="auto"/>
                      <w:lang w:val="en-US"/>
                    </w:rPr>
                    <w:t>30</w:t>
                  </w:r>
                  <w:r>
                    <w:rPr>
                      <w:rFonts w:hint="eastAsia" w:ascii="Calibri" w:hAnsi="Calibri" w:cs="Times New Roman"/>
                      <w:color w:val="auto"/>
                    </w:rPr>
                    <w:t>m</w:t>
                  </w:r>
                  <w:r>
                    <w:rPr>
                      <w:rFonts w:hint="eastAsia" w:ascii="Calibri" w:hAnsi="Calibri" w:cs="Times New Roman"/>
                      <w:color w:val="auto"/>
                      <w:vertAlign w:val="superscript"/>
                    </w:rPr>
                    <w:t>3</w:t>
                  </w:r>
                  <w:r>
                    <w:rPr>
                      <w:rFonts w:hint="eastAsia" w:ascii="Calibri" w:hAnsi="Calibri" w:cs="Times New Roman"/>
                      <w:color w:val="auto"/>
                    </w:rPr>
                    <w:t>/d的一体化污水处理站进行处理，采用SBR+次氯酸钠消毒工艺。</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default" w:ascii="宋体" w:hAnsi="宋体" w:cs="宋体"/>
                      <w:color w:val="auto"/>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5"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噪声</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减震降噪措施</w:t>
                  </w:r>
                </w:p>
              </w:tc>
              <w:tc>
                <w:tcPr>
                  <w:tcW w:w="2724" w:type="pct"/>
                  <w:noWrap w:val="0"/>
                  <w:vAlign w:val="center"/>
                </w:tcPr>
                <w:p>
                  <w:pPr>
                    <w:keepNext w:val="0"/>
                    <w:keepLines w:val="0"/>
                    <w:suppressLineNumbers w:val="0"/>
                    <w:spacing w:before="0" w:beforeAutospacing="0" w:after="0" w:afterAutospacing="0"/>
                    <w:ind w:left="0" w:right="0"/>
                    <w:rPr>
                      <w:rFonts w:hint="eastAsia" w:ascii="Calibri" w:hAnsi="Calibri" w:cs="Times New Roman"/>
                      <w:color w:val="auto"/>
                    </w:rPr>
                  </w:pPr>
                  <w:r>
                    <w:rPr>
                      <w:rFonts w:hint="eastAsia" w:ascii="Calibri" w:hAnsi="Calibri" w:cs="Times New Roman"/>
                      <w:color w:val="auto"/>
                    </w:rPr>
                    <w:t>1.调节池水泵设置为潜水泵，污水处理站水泵放置在一体化设施内部。一体化污水处理站为地上式，利用建筑物隔声。</w:t>
                  </w:r>
                </w:p>
                <w:p>
                  <w:pPr>
                    <w:keepNext w:val="0"/>
                    <w:keepLines w:val="0"/>
                    <w:suppressLineNumbers w:val="0"/>
                    <w:spacing w:before="0" w:beforeAutospacing="0" w:after="0" w:afterAutospacing="0"/>
                    <w:ind w:left="0" w:right="0"/>
                    <w:rPr>
                      <w:rFonts w:hint="eastAsia" w:ascii="Calibri" w:hAnsi="Calibri" w:cs="Times New Roman"/>
                      <w:color w:val="auto"/>
                    </w:rPr>
                  </w:pPr>
                  <w:r>
                    <w:rPr>
                      <w:rFonts w:hint="eastAsia" w:ascii="Calibri" w:hAnsi="Calibri" w:cs="Times New Roman"/>
                      <w:color w:val="auto"/>
                    </w:rPr>
                    <w:t>2.在医院车流入口处放置提示标语院内禁止鸣笛或低速慢行等标语。</w:t>
                  </w:r>
                </w:p>
                <w:p>
                  <w:pPr>
                    <w:keepNext w:val="0"/>
                    <w:keepLines w:val="0"/>
                    <w:suppressLineNumbers w:val="0"/>
                    <w:autoSpaceDE w:val="0"/>
                    <w:autoSpaceDN w:val="0"/>
                    <w:snapToGrid w:val="0"/>
                    <w:spacing w:before="0" w:beforeAutospacing="0" w:after="0" w:afterAutospacing="0"/>
                    <w:ind w:left="0" w:right="0"/>
                    <w:contextualSpacing/>
                    <w:rPr>
                      <w:rFonts w:hint="eastAsia" w:ascii="Calibri" w:hAnsi="Calibri" w:cs="Times New Roman"/>
                      <w:color w:val="auto"/>
                    </w:rPr>
                  </w:pPr>
                  <w:r>
                    <w:rPr>
                      <w:rFonts w:hint="eastAsia" w:ascii="Calibri" w:hAnsi="Calibri" w:cs="Times New Roman"/>
                      <w:color w:val="auto"/>
                    </w:rPr>
                    <w:t>3.医院内部贴标语“禁止大声喧哗”等，提醒病患和其他人员。</w:t>
                  </w:r>
                </w:p>
                <w:p>
                  <w:pPr>
                    <w:keepNext w:val="0"/>
                    <w:keepLines w:val="0"/>
                    <w:suppressLineNumbers w:val="0"/>
                    <w:autoSpaceDE w:val="0"/>
                    <w:autoSpaceDN w:val="0"/>
                    <w:snapToGrid w:val="0"/>
                    <w:spacing w:before="0" w:beforeAutospacing="0" w:after="0" w:afterAutospacing="0"/>
                    <w:ind w:left="0" w:right="0"/>
                    <w:contextualSpacing/>
                    <w:rPr>
                      <w:rFonts w:hint="eastAsia" w:ascii="Calibri" w:hAnsi="Calibri" w:cs="Times New Roman"/>
                      <w:color w:val="auto"/>
                    </w:rPr>
                  </w:pPr>
                  <w:r>
                    <w:rPr>
                      <w:rFonts w:hint="eastAsia" w:ascii="Calibri" w:hAnsi="Calibri" w:cs="Times New Roman"/>
                      <w:color w:val="auto"/>
                    </w:rPr>
                    <w:t>4.备用发电机置于单独的发电室内，并采取基础减震、构筑设施隔声、距离衰减。</w:t>
                  </w:r>
                </w:p>
                <w:p>
                  <w:pPr>
                    <w:pStyle w:val="9"/>
                    <w:keepNext w:val="0"/>
                    <w:keepLines w:val="0"/>
                    <w:suppressLineNumbers w:val="0"/>
                    <w:spacing w:before="0" w:beforeAutospacing="0" w:after="0" w:afterAutospacing="0" w:line="240" w:lineRule="auto"/>
                    <w:ind w:left="0"/>
                    <w:rPr>
                      <w:rFonts w:hint="default" w:ascii="Calibri" w:hAnsi="Calibri" w:cs="Times New Roman"/>
                      <w:color w:val="auto"/>
                      <w:kern w:val="0"/>
                      <w:sz w:val="18"/>
                      <w:szCs w:val="20"/>
                    </w:rPr>
                  </w:pPr>
                  <w:r>
                    <w:rPr>
                      <w:rFonts w:hint="eastAsia" w:ascii="宋体" w:hAnsi="宋体" w:cs="宋体"/>
                      <w:color w:val="auto"/>
                      <w:kern w:val="0"/>
                      <w:szCs w:val="21"/>
                    </w:rPr>
                    <w:t>5.在使用备用发电机时使用减震垫，在密闭的发电室内工作。</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restar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固废</w:t>
                  </w: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生活垃圾</w:t>
                  </w:r>
                </w:p>
              </w:tc>
              <w:tc>
                <w:tcPr>
                  <w:tcW w:w="2724" w:type="pct"/>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宋体"/>
                      <w:color w:val="auto"/>
                    </w:rPr>
                  </w:pPr>
                  <w:r>
                    <w:rPr>
                      <w:rFonts w:hint="eastAsia" w:ascii="宋体" w:hAnsi="宋体" w:cs="宋体"/>
                      <w:color w:val="auto"/>
                    </w:rPr>
                    <w:t>生活垃圾使用带盖垃圾桶集中收集。</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医疗废物</w:t>
                  </w:r>
                </w:p>
              </w:tc>
              <w:tc>
                <w:tcPr>
                  <w:tcW w:w="2724" w:type="pct"/>
                  <w:noWrap w:val="0"/>
                  <w:vAlign w:val="center"/>
                </w:tcPr>
                <w:p>
                  <w:pPr>
                    <w:keepNext w:val="0"/>
                    <w:keepLines w:val="0"/>
                    <w:suppressLineNumbers w:val="0"/>
                    <w:spacing w:before="0" w:beforeAutospacing="0" w:after="0" w:afterAutospacing="0"/>
                    <w:ind w:left="0" w:right="0"/>
                    <w:rPr>
                      <w:rFonts w:hint="eastAsia" w:ascii="宋体" w:hAnsi="宋体" w:cs="宋体"/>
                      <w:color w:val="auto"/>
                    </w:rPr>
                  </w:pPr>
                  <w:r>
                    <w:rPr>
                      <w:rFonts w:hint="eastAsia" w:ascii="Calibri" w:hAnsi="Calibri" w:cs="Times New Roman"/>
                      <w:color w:val="auto"/>
                    </w:rPr>
                    <w:t>在项目东南角单独建设1栋医废楼，面积</w:t>
                  </w:r>
                  <w:r>
                    <w:rPr>
                      <w:rFonts w:hint="default" w:ascii="Calibri" w:hAnsi="Calibri" w:cs="Times New Roman"/>
                      <w:color w:val="auto"/>
                    </w:rPr>
                    <w:t>43.8</w:t>
                  </w:r>
                  <w:r>
                    <w:rPr>
                      <w:rFonts w:hint="eastAsia" w:ascii="Calibri" w:hAnsi="Calibri" w:cs="Times New Roman"/>
                      <w:color w:val="auto"/>
                    </w:rPr>
                    <w:t>m</w:t>
                  </w:r>
                  <w:r>
                    <w:rPr>
                      <w:rFonts w:hint="eastAsia" w:ascii="Calibri" w:hAnsi="Calibri" w:cs="Times New Roman"/>
                      <w:color w:val="auto"/>
                      <w:vertAlign w:val="superscript"/>
                    </w:rPr>
                    <w:t>2</w:t>
                  </w:r>
                  <w:r>
                    <w:rPr>
                      <w:rFonts w:hint="eastAsia" w:ascii="Calibri" w:hAnsi="Calibri" w:cs="Times New Roman"/>
                      <w:color w:val="auto"/>
                    </w:rPr>
                    <w:t>，暂存医疗废物，委托有资质单位定期处置。</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default" w:ascii="宋体" w:hAnsi="宋体" w:cs="宋体"/>
                      <w:color w:val="auto"/>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49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758"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eastAsia" w:ascii="宋体" w:hAnsi="宋体" w:cs="宋体"/>
                      <w:color w:val="auto"/>
                    </w:rPr>
                    <w:t>危险废物</w:t>
                  </w:r>
                </w:p>
              </w:tc>
              <w:tc>
                <w:tcPr>
                  <w:tcW w:w="2724" w:type="pct"/>
                  <w:noWrap w:val="0"/>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rPr>
                    <w:t>格栅、化粪池及污水处理站污泥委托有资质单位定期</w:t>
                  </w:r>
                  <w:r>
                    <w:rPr>
                      <w:rFonts w:hint="eastAsia" w:ascii="宋体" w:hAnsi="宋体" w:cs="宋体"/>
                      <w:color w:val="auto"/>
                      <w:lang w:eastAsia="zh-CN"/>
                    </w:rPr>
                    <w:t>进行现场清掏消毒脱水并清运处置</w:t>
                  </w:r>
                  <w:r>
                    <w:rPr>
                      <w:rFonts w:hint="eastAsia" w:ascii="宋体" w:hAnsi="宋体" w:cs="宋体"/>
                      <w:color w:val="auto"/>
                    </w:rPr>
                    <w:t>。</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eastAsia" w:ascii="宋体" w:hAnsi="宋体" w:cs="宋体"/>
                      <w:color w:val="aut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vMerge w:val="continue"/>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3983" w:type="pct"/>
                  <w:gridSpan w:val="3"/>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环保设施运维护管理费用，环境</w:t>
                  </w:r>
                  <w:r>
                    <w:rPr>
                      <w:rFonts w:hint="eastAsia" w:ascii="宋体" w:hAnsi="宋体" w:cs="宋体"/>
                      <w:color w:val="auto"/>
                    </w:rPr>
                    <w:cr/>
                  </w:r>
                  <w:r>
                    <w:rPr>
                      <w:rFonts w:hint="eastAsia" w:ascii="宋体" w:hAnsi="宋体" w:cs="宋体"/>
                      <w:color w:val="auto"/>
                    </w:rPr>
                    <w:t>管理与监测费用</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 w:type="pct"/>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p>
              </w:tc>
              <w:tc>
                <w:tcPr>
                  <w:tcW w:w="3983" w:type="pct"/>
                  <w:gridSpan w:val="3"/>
                  <w:noWrap w:val="0"/>
                  <w:vAlign w:val="center"/>
                </w:tcPr>
                <w:p>
                  <w:pPr>
                    <w:keepNext w:val="0"/>
                    <w:keepLines w:val="0"/>
                    <w:suppressLineNumbers w:val="0"/>
                    <w:snapToGrid w:val="0"/>
                    <w:spacing w:before="0" w:beforeAutospacing="0" w:after="0" w:afterAutospacing="0"/>
                    <w:ind w:left="0" w:right="0"/>
                    <w:contextualSpacing/>
                    <w:jc w:val="center"/>
                    <w:rPr>
                      <w:rFonts w:hint="eastAsia" w:ascii="宋体" w:hAnsi="宋体" w:cs="宋体"/>
                      <w:color w:val="auto"/>
                    </w:rPr>
                  </w:pPr>
                  <w:r>
                    <w:rPr>
                      <w:rFonts w:hint="eastAsia" w:ascii="宋体" w:hAnsi="宋体" w:cs="宋体"/>
                      <w:color w:val="auto"/>
                    </w:rPr>
                    <w:t>合计</w:t>
                  </w:r>
                </w:p>
              </w:tc>
              <w:tc>
                <w:tcPr>
                  <w:tcW w:w="676" w:type="pct"/>
                  <w:noWrap w:val="0"/>
                  <w:vAlign w:val="center"/>
                </w:tcPr>
                <w:p>
                  <w:pPr>
                    <w:keepNext w:val="0"/>
                    <w:keepLines w:val="0"/>
                    <w:suppressLineNumbers w:val="0"/>
                    <w:snapToGrid w:val="0"/>
                    <w:spacing w:before="0" w:beforeAutospacing="0" w:after="0" w:afterAutospacing="0"/>
                    <w:ind w:left="0" w:right="0"/>
                    <w:contextualSpacing/>
                    <w:jc w:val="center"/>
                    <w:rPr>
                      <w:rFonts w:hint="default" w:ascii="宋体" w:hAnsi="宋体" w:cs="宋体"/>
                      <w:color w:val="auto"/>
                    </w:rPr>
                  </w:pPr>
                  <w:r>
                    <w:rPr>
                      <w:rFonts w:hint="default" w:ascii="宋体" w:hAnsi="宋体" w:cs="宋体"/>
                      <w:color w:val="auto"/>
                    </w:rPr>
                    <w:t>78.6</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sz w:val="24"/>
                <w:szCs w:val="24"/>
              </w:rPr>
            </w:pPr>
          </w:p>
          <w:p>
            <w:pPr>
              <w:pStyle w:val="6"/>
              <w:keepNext w:val="0"/>
              <w:keepLines w:val="0"/>
              <w:suppressLineNumbers w:val="0"/>
              <w:spacing w:before="0" w:beforeAutospacing="0" w:after="0" w:afterAutospacing="0" w:line="360" w:lineRule="auto"/>
              <w:ind w:left="0" w:right="0" w:firstLine="0"/>
              <w:rPr>
                <w:rFonts w:hint="eastAsia" w:ascii="宋体" w:hAnsi="宋体" w:cs="宋体"/>
                <w:color w:val="auto"/>
                <w:kern w:val="2"/>
                <w:sz w:val="24"/>
                <w:szCs w:val="24"/>
              </w:rPr>
            </w:pPr>
          </w:p>
        </w:tc>
      </w:tr>
    </w:tbl>
    <w:p>
      <w:pPr>
        <w:adjustRightInd w:val="0"/>
        <w:snapToGrid w:val="0"/>
        <w:spacing w:line="360" w:lineRule="auto"/>
        <w:rPr>
          <w:b/>
          <w:color w:val="auto"/>
          <w:kern w:val="0"/>
          <w:sz w:val="28"/>
          <w:szCs w:val="28"/>
        </w:rPr>
        <w:sectPr>
          <w:pgSz w:w="11907" w:h="16840"/>
          <w:pgMar w:top="1304" w:right="1134" w:bottom="1304" w:left="1531" w:header="851" w:footer="851" w:gutter="0"/>
          <w:cols w:space="720" w:num="1"/>
          <w:docGrid w:linePitch="312" w:charSpace="0"/>
        </w:sectPr>
      </w:pPr>
    </w:p>
    <w:p>
      <w:pPr>
        <w:pStyle w:val="3"/>
        <w:jc w:val="center"/>
        <w:rPr>
          <w:rFonts w:hint="eastAsia" w:ascii="Calibri" w:hAnsi="Calibri" w:cs="Calibri"/>
          <w:color w:val="auto"/>
        </w:rPr>
      </w:pPr>
      <w:bookmarkStart w:id="7" w:name="_Toc305"/>
      <w:r>
        <w:rPr>
          <w:rFonts w:hint="eastAsia" w:ascii="Calibri" w:hAnsi="Calibri" w:cs="Calibri"/>
          <w:color w:val="auto"/>
        </w:rPr>
        <w:t>五、</w:t>
      </w:r>
      <w:bookmarkStart w:id="8" w:name="_Hlk54167917"/>
      <w:r>
        <w:rPr>
          <w:rFonts w:hint="eastAsia" w:ascii="Calibri" w:hAnsi="Calibri" w:cs="Calibri"/>
          <w:color w:val="auto"/>
        </w:rPr>
        <w:t>环境保护措施监督检查清单</w:t>
      </w:r>
      <w:bookmarkEnd w:id="7"/>
      <w:bookmarkEnd w:id="8"/>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702"/>
        <w:gridCol w:w="1437"/>
        <w:gridCol w:w="2538"/>
        <w:gridCol w:w="2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1"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firstLine="210" w:firstLineChars="100"/>
              <w:jc w:val="center"/>
              <w:rPr>
                <w:rFonts w:hint="default" w:ascii="Calibri" w:hAnsi="Calibri" w:cs="Times New Roman"/>
                <w:color w:val="auto"/>
              </w:rPr>
            </w:pPr>
            <w:r>
              <w:rPr>
                <w:rFonts w:hint="default" w:ascii="Calibri" w:hAnsi="Calibri" w:cs="Times New Roman"/>
                <w:color w:val="auto"/>
              </w:rPr>
              <w:t>内容</w:t>
            </w:r>
          </w:p>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default" w:ascii="Calibri" w:hAnsi="Calibri" w:cs="Times New Roman"/>
                <w:color w:val="auto"/>
              </w:rPr>
              <w:t>要素</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排放口(编号、</w:t>
            </w:r>
          </w:p>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名称)/污染源</w:t>
            </w:r>
          </w:p>
        </w:tc>
        <w:tc>
          <w:tcPr>
            <w:tcW w:w="143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污染物项目</w:t>
            </w:r>
          </w:p>
        </w:tc>
        <w:tc>
          <w:tcPr>
            <w:tcW w:w="253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环境保护措施</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大气环境</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生活垃圾、化粪池、污水处理站</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lang w:eastAsia="zh-CN"/>
              </w:rPr>
            </w:pPr>
            <w:r>
              <w:rPr>
                <w:rFonts w:hint="eastAsia" w:ascii="宋体" w:hAnsi="宋体" w:cs="Times New Roman"/>
                <w:color w:val="auto"/>
                <w:lang w:eastAsia="zh-CN"/>
              </w:rPr>
              <w:t>硫化氢、氨、氯气、甲烷、臭气浓度</w:t>
            </w:r>
          </w:p>
        </w:tc>
        <w:tc>
          <w:tcPr>
            <w:tcW w:w="2538"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Calibri" w:hAnsi="Calibri" w:cs="Times New Roman"/>
                <w:color w:val="auto"/>
              </w:rPr>
            </w:pPr>
            <w:r>
              <w:rPr>
                <w:rFonts w:hint="eastAsia" w:ascii="Calibri" w:hAnsi="Calibri" w:cs="Times New Roman"/>
                <w:color w:val="auto"/>
              </w:rPr>
              <w:t>生活垃圾使</w:t>
            </w:r>
            <w:r>
              <w:rPr>
                <w:rFonts w:hint="default" w:ascii="Calibri" w:hAnsi="Calibri" w:cs="Times New Roman"/>
                <w:color w:val="auto"/>
              </w:rPr>
              <w:t>用带盖垃圾桶</w:t>
            </w:r>
            <w:r>
              <w:rPr>
                <w:rFonts w:hint="eastAsia" w:ascii="Calibri" w:hAnsi="Calibri" w:cs="Times New Roman"/>
                <w:color w:val="auto"/>
              </w:rPr>
              <w:t>，</w:t>
            </w:r>
            <w:r>
              <w:rPr>
                <w:rFonts w:hint="default" w:ascii="Calibri" w:hAnsi="Calibri" w:cs="Times New Roman"/>
                <w:color w:val="auto"/>
              </w:rPr>
              <w:t>及时收集清运；</w:t>
            </w:r>
            <w:r>
              <w:rPr>
                <w:rFonts w:hint="eastAsia" w:ascii="Calibri" w:hAnsi="Calibri" w:cs="Times New Roman"/>
                <w:color w:val="auto"/>
              </w:rPr>
              <w:t>医疗废物袋装收集后放置在密闭的专用的医疗废物暂存间内；</w:t>
            </w:r>
            <w:r>
              <w:rPr>
                <w:rFonts w:hint="default" w:ascii="Calibri" w:hAnsi="Calibri" w:cs="Times New Roman"/>
                <w:color w:val="auto"/>
              </w:rPr>
              <w:t>污水处理站</w:t>
            </w:r>
            <w:r>
              <w:rPr>
                <w:rFonts w:hint="eastAsia" w:ascii="Calibri" w:hAnsi="Calibri" w:cs="Times New Roman"/>
                <w:color w:val="auto"/>
              </w:rPr>
              <w:t>SBR反应池</w:t>
            </w:r>
            <w:r>
              <w:rPr>
                <w:rFonts w:hint="default" w:ascii="Calibri" w:hAnsi="Calibri" w:cs="Times New Roman"/>
                <w:color w:val="auto"/>
              </w:rPr>
              <w:t>采用全封闭建设</w:t>
            </w:r>
            <w:r>
              <w:rPr>
                <w:rFonts w:hint="eastAsia" w:ascii="Calibri" w:hAnsi="Calibri" w:cs="Times New Roman"/>
                <w:color w:val="auto"/>
              </w:rPr>
              <w:t>；</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Calibri"/>
                <w:color w:val="auto"/>
              </w:rPr>
            </w:pPr>
            <w:r>
              <w:rPr>
                <w:rFonts w:hint="default" w:ascii="宋体" w:hAnsi="宋体" w:cs="Calibri"/>
                <w:color w:val="auto"/>
              </w:rPr>
              <w:t>《医疗机构废水染物排放标准》（GB</w:t>
            </w:r>
            <w:r>
              <w:rPr>
                <w:rFonts w:hint="eastAsia" w:ascii="宋体" w:hAnsi="宋体" w:cs="Calibri"/>
                <w:color w:val="auto"/>
                <w:lang w:eastAsia="zh-CN"/>
              </w:rPr>
              <w:t>*****</w:t>
            </w:r>
            <w:r>
              <w:rPr>
                <w:rFonts w:hint="default" w:ascii="宋体" w:hAnsi="宋体" w:cs="Calibri"/>
                <w:color w:val="auto"/>
              </w:rPr>
              <w:t>-2005）中表3污水处理站周边大气污染物最高允许浓度限值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厨房</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油烟</w:t>
            </w:r>
          </w:p>
        </w:tc>
        <w:tc>
          <w:tcPr>
            <w:tcW w:w="253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油烟净化器</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Calibri"/>
                <w:color w:val="auto"/>
                <w:sz w:val="21"/>
                <w:szCs w:val="21"/>
              </w:rPr>
            </w:pPr>
            <w:r>
              <w:rPr>
                <w:rFonts w:hint="eastAsia" w:ascii="Times New Roman" w:hAnsi="Times New Roman" w:cs="Times New Roman"/>
                <w:color w:val="auto"/>
                <w:kern w:val="0"/>
                <w:sz w:val="21"/>
                <w:szCs w:val="21"/>
                <w:lang w:bidi="ar"/>
              </w:rPr>
              <w:t>《餐饮业油烟污染物排放要求》（DB</w:t>
            </w:r>
            <w:r>
              <w:rPr>
                <w:rFonts w:hint="eastAsia" w:cs="Times New Roman"/>
                <w:color w:val="auto"/>
                <w:kern w:val="0"/>
                <w:sz w:val="21"/>
                <w:szCs w:val="21"/>
                <w:lang w:eastAsia="zh-CN" w:bidi="ar"/>
              </w:rPr>
              <w:t>****</w:t>
            </w:r>
            <w:r>
              <w:rPr>
                <w:rFonts w:hint="eastAsia" w:ascii="Times New Roman" w:hAnsi="Times New Roman" w:cs="Times New Roman"/>
                <w:color w:val="auto"/>
                <w:kern w:val="0"/>
                <w:sz w:val="21"/>
                <w:szCs w:val="21"/>
                <w:lang w:bidi="ar"/>
              </w:rPr>
              <w:t>/T50</w:t>
            </w:r>
            <w:r>
              <w:rPr>
                <w:rFonts w:hint="eastAsia" w:ascii="Calibri" w:hAnsi="Calibri" w:cs="Times New Roman"/>
                <w:color w:val="auto"/>
                <w:kern w:val="0"/>
                <w:sz w:val="21"/>
                <w:szCs w:val="21"/>
                <w:lang w:bidi="ar"/>
              </w:rPr>
              <w:t>-</w:t>
            </w:r>
            <w:r>
              <w:rPr>
                <w:rFonts w:hint="eastAsia" w:ascii="Times New Roman" w:hAnsi="Times New Roman" w:cs="Times New Roman"/>
                <w:color w:val="auto"/>
                <w:kern w:val="0"/>
                <w:sz w:val="21"/>
                <w:szCs w:val="21"/>
                <w:lang w:bidi="ar"/>
              </w:rPr>
              <w:t>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702" w:type="dxa"/>
            <w:noWrap w:val="0"/>
            <w:vAlign w:val="center"/>
          </w:tcPr>
          <w:p>
            <w:pPr>
              <w:pStyle w:val="64"/>
              <w:keepNext w:val="0"/>
              <w:keepLines w:val="0"/>
              <w:suppressLineNumbers w:val="0"/>
              <w:spacing w:before="0" w:beforeAutospacing="0" w:after="0" w:afterAutospacing="0"/>
              <w:ind w:left="0" w:right="0" w:firstLine="0"/>
              <w:jc w:val="center"/>
              <w:rPr>
                <w:rFonts w:hint="eastAsia" w:ascii="宋体" w:hAnsi="宋体" w:cs="Times New Roman"/>
                <w:color w:val="auto"/>
              </w:rPr>
            </w:pPr>
            <w:r>
              <w:rPr>
                <w:rFonts w:hint="eastAsia" w:ascii="宋体" w:hAnsi="宋体" w:cs="宋体"/>
                <w:color w:val="auto"/>
                <w:szCs w:val="21"/>
                <w:lang w:val="en-US"/>
              </w:rPr>
              <w:t>备用发电机</w:t>
            </w:r>
          </w:p>
        </w:tc>
        <w:tc>
          <w:tcPr>
            <w:tcW w:w="143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尾气</w:t>
            </w:r>
          </w:p>
        </w:tc>
        <w:tc>
          <w:tcPr>
            <w:tcW w:w="2538" w:type="dxa"/>
            <w:noWrap w:val="0"/>
            <w:vAlign w:val="center"/>
          </w:tcPr>
          <w:p>
            <w:pPr>
              <w:pStyle w:val="64"/>
              <w:keepNext w:val="0"/>
              <w:keepLines w:val="0"/>
              <w:suppressLineNumbers w:val="0"/>
              <w:spacing w:before="0" w:beforeAutospacing="0" w:after="0" w:afterAutospacing="0" w:line="240" w:lineRule="auto"/>
              <w:ind w:left="0" w:right="0" w:firstLine="0"/>
              <w:rPr>
                <w:rFonts w:hint="eastAsia" w:ascii="宋体" w:hAnsi="宋体" w:cs="Times New Roman"/>
                <w:color w:val="auto"/>
                <w:szCs w:val="21"/>
                <w:lang w:val="en-US"/>
              </w:rPr>
            </w:pPr>
            <w:r>
              <w:rPr>
                <w:rFonts w:hint="eastAsia" w:ascii="宋体" w:hAnsi="宋体" w:cs="宋体"/>
                <w:color w:val="auto"/>
                <w:szCs w:val="21"/>
                <w:lang w:val="en-US"/>
              </w:rPr>
              <w:t>备用发电机使用轻质柴油为燃料，备用发电机尾气需发电机自带的排气管通过专用烟道以无组织形式排入大气环境。</w:t>
            </w:r>
          </w:p>
        </w:tc>
        <w:tc>
          <w:tcPr>
            <w:tcW w:w="242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Calibri"/>
                <w:color w:val="auto"/>
              </w:rPr>
            </w:pPr>
            <w:r>
              <w:rPr>
                <w:rFonts w:hint="eastAsia" w:ascii="宋体" w:hAnsi="宋体" w:cs="Calibri"/>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地表水环境</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rPr>
            </w:pPr>
          </w:p>
          <w:p>
            <w:pPr>
              <w:keepNext w:val="0"/>
              <w:keepLines w:val="0"/>
              <w:suppressLineNumbers w:val="0"/>
              <w:adjustRightInd w:val="0"/>
              <w:snapToGrid w:val="0"/>
              <w:spacing w:before="0" w:beforeAutospacing="0" w:after="0" w:afterAutospacing="0"/>
              <w:ind w:left="0" w:right="0"/>
              <w:jc w:val="left"/>
              <w:rPr>
                <w:rFonts w:hint="default" w:ascii="宋体" w:hAnsi="宋体" w:cs="Times New Roman"/>
                <w:color w:val="auto"/>
                <w:spacing w:val="2"/>
              </w:rPr>
            </w:pPr>
            <w:r>
              <w:rPr>
                <w:rFonts w:hint="eastAsia" w:ascii="宋体" w:hAnsi="宋体" w:cs="Times New Roman"/>
                <w:color w:val="auto"/>
              </w:rPr>
              <w:t>住院病床（含厨房废水）、门诊、检验科</w:t>
            </w:r>
          </w:p>
        </w:tc>
        <w:tc>
          <w:tcPr>
            <w:tcW w:w="1437" w:type="dxa"/>
            <w:noWrap w:val="0"/>
            <w:vAlign w:val="center"/>
          </w:tcPr>
          <w:p>
            <w:pPr>
              <w:keepNext w:val="0"/>
              <w:keepLines w:val="0"/>
              <w:widowControl/>
              <w:suppressLineNumbers w:val="0"/>
              <w:spacing w:before="0" w:beforeAutospacing="0" w:after="0" w:afterAutospacing="0"/>
              <w:ind w:left="0" w:right="0"/>
              <w:jc w:val="left"/>
              <w:rPr>
                <w:rFonts w:hint="default" w:ascii="宋体" w:hAnsi="宋体" w:cs="Times New Roman"/>
                <w:color w:val="auto"/>
                <w:spacing w:val="2"/>
                <w:highlight w:val="yellow"/>
              </w:rPr>
            </w:pPr>
            <w:r>
              <w:rPr>
                <w:rFonts w:hint="eastAsia" w:ascii="宋体" w:hAnsi="宋体" w:cs="Times New Roman"/>
                <w:bCs/>
                <w:color w:val="auto"/>
              </w:rPr>
              <w:t>pH、化学需氧量、悬浮物、生化需氧量、氨氮、粪大肠菌群数、总余氯、阴离子表面活性剂</w:t>
            </w:r>
            <w:r>
              <w:rPr>
                <w:rFonts w:hint="eastAsia" w:ascii="宋体" w:hAnsi="宋体" w:cs="Times New Roman"/>
                <w:bCs/>
                <w:color w:val="auto"/>
                <w:lang w:eastAsia="zh-CN"/>
              </w:rPr>
              <w:t>、氨氮、总磷</w:t>
            </w:r>
            <w:r>
              <w:rPr>
                <w:rFonts w:hint="eastAsia" w:ascii="宋体" w:hAnsi="宋体" w:cs="Times New Roman"/>
                <w:bCs/>
                <w:color w:val="auto"/>
              </w:rPr>
              <w:t>。</w:t>
            </w:r>
          </w:p>
        </w:tc>
        <w:tc>
          <w:tcPr>
            <w:tcW w:w="2538" w:type="dxa"/>
            <w:noWrap w:val="0"/>
            <w:vAlign w:val="center"/>
          </w:tcPr>
          <w:p>
            <w:pPr>
              <w:keepNext w:val="0"/>
              <w:keepLines w:val="0"/>
              <w:suppressLineNumbers w:val="0"/>
              <w:adjustRightInd w:val="0"/>
              <w:snapToGrid w:val="0"/>
              <w:spacing w:before="0" w:beforeAutospacing="0" w:after="0" w:afterAutospacing="0"/>
              <w:ind w:left="0" w:right="0"/>
              <w:jc w:val="left"/>
              <w:rPr>
                <w:rFonts w:hint="default" w:ascii="Calibri" w:hAnsi="Calibri" w:cs="Times New Roman"/>
                <w:color w:val="auto"/>
              </w:rPr>
            </w:pPr>
            <w:r>
              <w:rPr>
                <w:rFonts w:hint="eastAsia" w:ascii="宋体" w:hAnsi="宋体" w:cs="Times New Roman"/>
                <w:bCs/>
                <w:color w:val="auto"/>
              </w:rPr>
              <w:t>医院内部实施雨污分流制度，雨水经雨水沟排至市政雨水管网。</w:t>
            </w:r>
            <w:r>
              <w:rPr>
                <w:rFonts w:hint="eastAsia" w:ascii="宋体" w:hAnsi="宋体" w:cs="Times New Roman"/>
                <w:color w:val="auto"/>
              </w:rPr>
              <w:t>食</w:t>
            </w:r>
            <w:r>
              <w:rPr>
                <w:rFonts w:hint="eastAsia" w:ascii="宋体" w:hAnsi="宋体" w:cs="Times New Roman"/>
                <w:bCs/>
                <w:color w:val="auto"/>
              </w:rPr>
              <w:t>堂废水经隔油池处理，生活污水和医疗废水经化粪池处理后，进入1套</w:t>
            </w:r>
            <w:r>
              <w:rPr>
                <w:rFonts w:hint="default" w:ascii="宋体" w:hAnsi="宋体" w:cs="Times New Roman"/>
                <w:bCs/>
                <w:color w:val="auto"/>
              </w:rPr>
              <w:t>1</w:t>
            </w:r>
            <w:r>
              <w:rPr>
                <w:rFonts w:hint="default" w:ascii="宋体" w:hAnsi="宋体" w:cs="Times New Roman"/>
                <w:bCs/>
                <w:color w:val="auto"/>
                <w:lang w:val="en-US"/>
              </w:rPr>
              <w:t>30</w:t>
            </w:r>
            <w:r>
              <w:rPr>
                <w:rFonts w:hint="eastAsia" w:ascii="宋体" w:hAnsi="宋体" w:cs="Times New Roman"/>
                <w:bCs/>
                <w:color w:val="auto"/>
              </w:rPr>
              <w:t>m</w:t>
            </w:r>
            <w:r>
              <w:rPr>
                <w:rFonts w:hint="eastAsia" w:ascii="宋体" w:hAnsi="宋体" w:cs="Times New Roman"/>
                <w:bCs/>
                <w:color w:val="auto"/>
                <w:vertAlign w:val="superscript"/>
              </w:rPr>
              <w:t>3</w:t>
            </w:r>
            <w:r>
              <w:rPr>
                <w:rFonts w:hint="eastAsia" w:ascii="宋体" w:hAnsi="宋体" w:cs="Times New Roman"/>
                <w:bCs/>
                <w:color w:val="auto"/>
              </w:rPr>
              <w:t>/d的污水处理站进行处理，采用</w:t>
            </w:r>
            <w:r>
              <w:rPr>
                <w:rFonts w:hint="eastAsia" w:ascii="宋体" w:hAnsi="宋体" w:eastAsia="宋体" w:cs="Times New Roman"/>
                <w:bCs/>
                <w:color w:val="auto"/>
              </w:rPr>
              <w:t>化粪池+调节池+</w:t>
            </w:r>
            <w:r>
              <w:rPr>
                <w:rFonts w:hint="default" w:ascii="宋体" w:hAnsi="宋体" w:eastAsia="宋体" w:cs="Times New Roman"/>
                <w:bCs/>
                <w:color w:val="auto"/>
                <w:lang w:val="en-US"/>
              </w:rPr>
              <w:t>A</w:t>
            </w:r>
            <w:r>
              <w:rPr>
                <w:rFonts w:hint="eastAsia" w:ascii="宋体" w:hAnsi="宋体" w:eastAsia="宋体" w:cs="Times New Roman"/>
                <w:bCs/>
                <w:color w:val="auto"/>
                <w:lang w:val="en-US" w:eastAsia="zh-CN"/>
              </w:rPr>
              <w:t>级生物池</w:t>
            </w:r>
            <w:r>
              <w:rPr>
                <w:rFonts w:hint="default" w:ascii="宋体" w:hAnsi="宋体" w:eastAsia="宋体" w:cs="Times New Roman"/>
                <w:bCs/>
                <w:color w:val="auto"/>
                <w:lang w:val="en-US" w:eastAsia="zh-CN"/>
              </w:rPr>
              <w:t>+O</w:t>
            </w:r>
            <w:r>
              <w:rPr>
                <w:rFonts w:hint="eastAsia" w:ascii="宋体" w:hAnsi="宋体" w:eastAsia="宋体" w:cs="Times New Roman"/>
                <w:bCs/>
                <w:color w:val="auto"/>
                <w:lang w:val="en-US" w:eastAsia="zh-CN"/>
              </w:rPr>
              <w:t>级生物池</w:t>
            </w:r>
            <w:r>
              <w:rPr>
                <w:rFonts w:hint="default" w:ascii="宋体" w:hAnsi="宋体" w:eastAsia="宋体" w:cs="Times New Roman"/>
                <w:bCs/>
                <w:color w:val="auto"/>
                <w:lang w:val="en-US" w:eastAsia="zh-CN"/>
              </w:rPr>
              <w:t>+</w:t>
            </w:r>
            <w:r>
              <w:rPr>
                <w:rFonts w:hint="eastAsia" w:ascii="宋体" w:hAnsi="宋体" w:eastAsia="宋体" w:cs="Times New Roman"/>
                <w:bCs/>
                <w:color w:val="auto"/>
                <w:lang w:val="en-US" w:eastAsia="zh-CN"/>
              </w:rPr>
              <w:t>二沉池</w:t>
            </w:r>
            <w:r>
              <w:rPr>
                <w:rFonts w:hint="default" w:ascii="宋体" w:hAnsi="宋体" w:eastAsia="宋体" w:cs="Times New Roman"/>
                <w:bCs/>
                <w:color w:val="auto"/>
                <w:lang w:val="en-US" w:eastAsia="zh-CN"/>
              </w:rPr>
              <w:t>+</w:t>
            </w:r>
            <w:r>
              <w:rPr>
                <w:rFonts w:hint="eastAsia" w:ascii="宋体" w:hAnsi="宋体" w:eastAsia="宋体" w:cs="Times New Roman"/>
                <w:bCs/>
                <w:color w:val="auto"/>
                <w:lang w:val="en-US" w:eastAsia="zh-CN"/>
              </w:rPr>
              <w:t>清水池</w:t>
            </w:r>
            <w:r>
              <w:rPr>
                <w:rFonts w:hint="eastAsia" w:ascii="宋体" w:hAnsi="宋体" w:eastAsia="宋体" w:cs="Times New Roman"/>
                <w:bCs/>
                <w:color w:val="auto"/>
              </w:rPr>
              <w:t>+消毒工</w:t>
            </w:r>
            <w:r>
              <w:rPr>
                <w:rFonts w:hint="eastAsia" w:ascii="宋体" w:hAnsi="宋体" w:cs="Times New Roman"/>
                <w:bCs/>
                <w:color w:val="auto"/>
              </w:rPr>
              <w:t>艺，达标排入市政污水管网。最终进东川区污水处理厂处理。</w:t>
            </w:r>
          </w:p>
        </w:tc>
        <w:tc>
          <w:tcPr>
            <w:tcW w:w="2424" w:type="dxa"/>
            <w:noWrap w:val="0"/>
            <w:vAlign w:val="center"/>
          </w:tcPr>
          <w:p>
            <w:pPr>
              <w:pStyle w:val="13"/>
              <w:keepNext w:val="0"/>
              <w:keepLines w:val="0"/>
              <w:suppressLineNumbers w:val="0"/>
              <w:spacing w:before="0" w:beforeAutospacing="0" w:after="0" w:afterAutospacing="0" w:line="240" w:lineRule="auto"/>
              <w:ind w:left="0" w:right="0"/>
              <w:jc w:val="center"/>
              <w:rPr>
                <w:rFonts w:hAnsi="宋体" w:cs="Times New Roman"/>
                <w:color w:val="auto"/>
                <w:spacing w:val="2"/>
                <w:highlight w:val="yellow"/>
              </w:rPr>
            </w:pPr>
            <w:r>
              <w:rPr>
                <w:rFonts w:hAnsi="宋体" w:cs="Times New Roman"/>
                <w:color w:val="auto"/>
              </w:rPr>
              <w:t>《医疗机构水污染物排放标准》GB</w:t>
            </w:r>
            <w:r>
              <w:rPr>
                <w:rFonts w:hint="eastAsia" w:hAnsi="宋体" w:cs="Times New Roman"/>
                <w:color w:val="auto"/>
                <w:lang w:eastAsia="zh-CN"/>
              </w:rPr>
              <w:t>*****</w:t>
            </w:r>
            <w:r>
              <w:rPr>
                <w:rFonts w:hAnsi="宋体" w:cs="Times New Roman"/>
                <w:color w:val="auto"/>
              </w:rPr>
              <w:t>-2005表二综合医疗机构和其他医疗机构水污染排放限值（日均值），氨氮执行《污水排入城镇下水道水质标准》（GB/T</w:t>
            </w:r>
            <w:r>
              <w:rPr>
                <w:rFonts w:hint="eastAsia" w:hAnsi="宋体" w:cs="Times New Roman"/>
                <w:color w:val="auto"/>
                <w:lang w:eastAsia="zh-CN"/>
              </w:rPr>
              <w:t>*****</w:t>
            </w:r>
            <w:r>
              <w:rPr>
                <w:rFonts w:hAnsi="宋体" w:cs="Times New Roman"/>
                <w:color w:val="auto"/>
              </w:rPr>
              <w:t>-2015）中A等级标准。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2" w:hRule="atLeast"/>
          <w:jc w:val="center"/>
        </w:trPr>
        <w:tc>
          <w:tcPr>
            <w:tcW w:w="11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highlight w:val="yellow"/>
              </w:rPr>
            </w:pPr>
            <w:r>
              <w:rPr>
                <w:rFonts w:hint="default" w:ascii="宋体" w:hAnsi="宋体" w:cs="Times New Roman"/>
                <w:color w:val="auto"/>
              </w:rPr>
              <w:t>声环境</w:t>
            </w: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highlight w:val="yellow"/>
              </w:rPr>
            </w:pPr>
            <w:r>
              <w:rPr>
                <w:rFonts w:hint="default" w:ascii="Calibri" w:hAnsi="Calibri" w:cs="Times New Roman"/>
                <w:color w:val="auto"/>
              </w:rPr>
              <w:t>人群活动、排风扇、水泵</w:t>
            </w:r>
          </w:p>
        </w:tc>
        <w:tc>
          <w:tcPr>
            <w:tcW w:w="14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r>
              <w:rPr>
                <w:rFonts w:hint="eastAsia" w:ascii="宋体" w:hAnsi="宋体" w:cs="Times New Roman"/>
                <w:color w:val="auto"/>
              </w:rPr>
              <w:t>噪声</w:t>
            </w:r>
          </w:p>
        </w:tc>
        <w:tc>
          <w:tcPr>
            <w:tcW w:w="2538" w:type="dxa"/>
            <w:noWrap w:val="0"/>
            <w:vAlign w:val="center"/>
          </w:tcPr>
          <w:p>
            <w:pPr>
              <w:pStyle w:val="64"/>
              <w:keepNext w:val="0"/>
              <w:keepLines w:val="0"/>
              <w:suppressLineNumbers w:val="0"/>
              <w:spacing w:before="0" w:beforeAutospacing="0" w:after="0" w:afterAutospacing="0" w:line="240" w:lineRule="auto"/>
              <w:ind w:left="0" w:right="0" w:firstLine="0"/>
              <w:rPr>
                <w:rFonts w:hint="eastAsia" w:ascii="宋体" w:hAnsi="宋体" w:cs="宋体"/>
                <w:color w:val="auto"/>
                <w:spacing w:val="0"/>
                <w:kern w:val="2"/>
                <w:szCs w:val="21"/>
                <w:lang w:val="en-US"/>
              </w:rPr>
            </w:pPr>
            <w:r>
              <w:rPr>
                <w:rFonts w:hint="eastAsia" w:ascii="宋体" w:hAnsi="宋体" w:cs="宋体"/>
                <w:color w:val="auto"/>
                <w:spacing w:val="0"/>
                <w:kern w:val="2"/>
                <w:szCs w:val="21"/>
                <w:lang w:val="en-US"/>
              </w:rPr>
              <w:t>1）调节池水泵设置为潜水泵，污水处理站水泵放置在一体化设施内部。利用建筑物隔声，排风扇利用墙体和门窗隔声。</w:t>
            </w:r>
          </w:p>
          <w:p>
            <w:pPr>
              <w:pStyle w:val="64"/>
              <w:keepNext w:val="0"/>
              <w:keepLines w:val="0"/>
              <w:suppressLineNumbers w:val="0"/>
              <w:spacing w:before="0" w:beforeAutospacing="0" w:after="0" w:afterAutospacing="0" w:line="240" w:lineRule="auto"/>
              <w:ind w:left="0" w:right="0" w:firstLine="0"/>
              <w:rPr>
                <w:rFonts w:hint="eastAsia" w:ascii="宋体" w:hAnsi="宋体" w:cs="宋体"/>
                <w:color w:val="auto"/>
                <w:spacing w:val="0"/>
                <w:kern w:val="2"/>
                <w:szCs w:val="21"/>
                <w:lang w:val="en-US"/>
              </w:rPr>
            </w:pPr>
            <w:r>
              <w:rPr>
                <w:rFonts w:hint="eastAsia" w:ascii="宋体" w:hAnsi="宋体" w:cs="宋体"/>
                <w:color w:val="auto"/>
                <w:spacing w:val="0"/>
                <w:kern w:val="2"/>
                <w:szCs w:val="21"/>
                <w:lang w:val="en-US"/>
              </w:rPr>
              <w:t>2）在医院车流入口处放置提示标语院内禁止鸣笛或低速慢行等标语。</w:t>
            </w:r>
          </w:p>
          <w:p>
            <w:pPr>
              <w:pStyle w:val="64"/>
              <w:keepNext w:val="0"/>
              <w:keepLines w:val="0"/>
              <w:suppressLineNumbers w:val="0"/>
              <w:spacing w:before="0" w:beforeAutospacing="0" w:after="0" w:afterAutospacing="0" w:line="240" w:lineRule="auto"/>
              <w:ind w:left="0" w:right="0" w:firstLine="0"/>
              <w:rPr>
                <w:rFonts w:hint="eastAsia" w:ascii="宋体" w:hAnsi="宋体" w:cs="宋体"/>
                <w:color w:val="auto"/>
                <w:spacing w:val="0"/>
                <w:kern w:val="2"/>
                <w:szCs w:val="21"/>
                <w:lang w:val="en-US"/>
              </w:rPr>
            </w:pPr>
            <w:r>
              <w:rPr>
                <w:rFonts w:hint="eastAsia" w:ascii="宋体" w:hAnsi="宋体" w:cs="宋体"/>
                <w:color w:val="auto"/>
                <w:spacing w:val="0"/>
                <w:kern w:val="2"/>
                <w:szCs w:val="21"/>
                <w:lang w:val="en-US"/>
              </w:rPr>
              <w:t>3）医院内部贴标语“禁止大声喧哗”等，提醒病患和其他人员。</w:t>
            </w:r>
          </w:p>
          <w:p>
            <w:pPr>
              <w:pStyle w:val="64"/>
              <w:keepNext w:val="0"/>
              <w:keepLines w:val="0"/>
              <w:suppressLineNumbers w:val="0"/>
              <w:spacing w:before="0" w:beforeAutospacing="0" w:after="0" w:afterAutospacing="0" w:line="240" w:lineRule="auto"/>
              <w:ind w:left="0" w:right="0" w:firstLine="0"/>
              <w:rPr>
                <w:rFonts w:hint="eastAsia" w:ascii="Calibri" w:hAnsi="Calibri" w:cs="Times New Roman"/>
                <w:color w:val="auto"/>
                <w:spacing w:val="0"/>
                <w:kern w:val="2"/>
                <w:szCs w:val="21"/>
                <w:lang w:val="en-US"/>
              </w:rPr>
            </w:pPr>
            <w:r>
              <w:rPr>
                <w:rFonts w:hint="eastAsia" w:ascii="宋体" w:hAnsi="宋体" w:cs="宋体"/>
                <w:color w:val="auto"/>
                <w:spacing w:val="0"/>
                <w:kern w:val="2"/>
                <w:szCs w:val="21"/>
                <w:lang w:val="en-US"/>
              </w:rPr>
              <w:t>4）定期对产生噪声和振动的设备进行检修维护，避免设备产生故障噪声及振动。</w:t>
            </w:r>
          </w:p>
        </w:tc>
        <w:tc>
          <w:tcPr>
            <w:tcW w:w="2424" w:type="dxa"/>
            <w:vMerge w:val="restart"/>
            <w:noWrap w:val="0"/>
            <w:vAlign w:val="center"/>
          </w:tcPr>
          <w:p>
            <w:pPr>
              <w:keepNext w:val="0"/>
              <w:keepLines w:val="0"/>
              <w:suppressLineNumbers w:val="0"/>
              <w:spacing w:before="0" w:beforeAutospacing="0" w:after="0" w:afterAutospacing="0"/>
              <w:ind w:left="0" w:right="0"/>
              <w:rPr>
                <w:rFonts w:hint="eastAsia" w:ascii="宋体" w:hAnsi="宋体" w:cs="Times New Roman"/>
                <w:color w:val="auto"/>
              </w:rPr>
            </w:pPr>
            <w:r>
              <w:rPr>
                <w:rFonts w:hint="eastAsia" w:ascii="宋体" w:hAnsi="宋体" w:cs="Times New Roman"/>
                <w:color w:val="auto"/>
              </w:rPr>
              <w:t>院区东、西、北厂界执行《工业企业厂界环境噪声排放标准》（GB</w:t>
            </w:r>
            <w:r>
              <w:rPr>
                <w:rFonts w:hint="eastAsia" w:ascii="宋体" w:hAnsi="宋体" w:cs="Times New Roman"/>
                <w:color w:val="auto"/>
                <w:lang w:eastAsia="zh-CN"/>
              </w:rPr>
              <w:t>*****</w:t>
            </w:r>
            <w:r>
              <w:rPr>
                <w:rFonts w:hint="eastAsia" w:ascii="宋体" w:hAnsi="宋体" w:cs="Times New Roman"/>
                <w:color w:val="auto"/>
              </w:rPr>
              <w:t>—2008）2类标准，南厂界执行《工业企业厂界环境噪声排放标准》（GB</w:t>
            </w:r>
            <w:r>
              <w:rPr>
                <w:rFonts w:hint="eastAsia" w:ascii="宋体" w:hAnsi="宋体" w:cs="Times New Roman"/>
                <w:color w:val="auto"/>
                <w:lang w:eastAsia="zh-CN"/>
              </w:rPr>
              <w:t>*****</w:t>
            </w:r>
            <w:r>
              <w:rPr>
                <w:rFonts w:hint="eastAsia" w:ascii="宋体" w:hAnsi="宋体" w:cs="Times New Roman"/>
                <w:color w:val="auto"/>
              </w:rPr>
              <w:t>—2008）4类标准。</w:t>
            </w:r>
          </w:p>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p>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p>
        </w:tc>
        <w:tc>
          <w:tcPr>
            <w:tcW w:w="170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cs="Times New Roman"/>
                <w:color w:val="auto"/>
              </w:rPr>
            </w:pPr>
            <w:r>
              <w:rPr>
                <w:rFonts w:hint="eastAsia" w:ascii="Calibri" w:hAnsi="Calibri" w:cs="Times New Roman"/>
                <w:color w:val="auto"/>
              </w:rPr>
              <w:t>备用发电机</w:t>
            </w:r>
          </w:p>
        </w:tc>
        <w:tc>
          <w:tcPr>
            <w:tcW w:w="14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rPr>
            </w:pPr>
            <w:r>
              <w:rPr>
                <w:rFonts w:hint="eastAsia" w:ascii="宋体" w:hAnsi="宋体" w:cs="Times New Roman"/>
                <w:color w:val="auto"/>
              </w:rPr>
              <w:t>噪声</w:t>
            </w:r>
          </w:p>
        </w:tc>
        <w:tc>
          <w:tcPr>
            <w:tcW w:w="2538" w:type="dxa"/>
            <w:noWrap w:val="0"/>
            <w:vAlign w:val="center"/>
          </w:tcPr>
          <w:p>
            <w:pPr>
              <w:pStyle w:val="64"/>
              <w:keepNext w:val="0"/>
              <w:keepLines w:val="0"/>
              <w:suppressLineNumbers w:val="0"/>
              <w:spacing w:before="0" w:beforeAutospacing="0" w:after="0" w:afterAutospacing="0" w:line="240" w:lineRule="auto"/>
              <w:ind w:left="0" w:right="0" w:firstLine="0"/>
              <w:rPr>
                <w:rFonts w:hint="eastAsia" w:ascii="Calibri" w:hAnsi="Calibri" w:cs="Times New Roman"/>
                <w:color w:val="auto"/>
                <w:spacing w:val="-3"/>
                <w:szCs w:val="21"/>
              </w:rPr>
            </w:pPr>
            <w:r>
              <w:rPr>
                <w:rFonts w:hint="eastAsia" w:ascii="Calibri" w:hAnsi="Calibri" w:cs="Times New Roman"/>
                <w:color w:val="auto"/>
                <w:spacing w:val="-3"/>
                <w:szCs w:val="21"/>
              </w:rPr>
              <w:t>备用发电机置于</w:t>
            </w:r>
            <w:r>
              <w:rPr>
                <w:rFonts w:hint="eastAsia" w:ascii="Calibri" w:hAnsi="Calibri" w:cs="Times New Roman"/>
                <w:color w:val="auto"/>
                <w:szCs w:val="21"/>
              </w:rPr>
              <w:t>单独的发电室</w:t>
            </w:r>
            <w:r>
              <w:rPr>
                <w:rFonts w:hint="eastAsia" w:ascii="Calibri" w:hAnsi="Calibri" w:cs="Times New Roman"/>
                <w:color w:val="auto"/>
                <w:spacing w:val="-3"/>
                <w:szCs w:val="21"/>
              </w:rPr>
              <w:t>内，并采取基础减震、构筑设施隔声、距离衰减，</w:t>
            </w:r>
          </w:p>
          <w:p>
            <w:pPr>
              <w:pStyle w:val="64"/>
              <w:keepNext w:val="0"/>
              <w:keepLines w:val="0"/>
              <w:suppressLineNumbers w:val="0"/>
              <w:spacing w:before="0" w:beforeAutospacing="0" w:after="0" w:afterAutospacing="0" w:line="240" w:lineRule="auto"/>
              <w:ind w:left="0" w:right="0" w:firstLine="0"/>
              <w:rPr>
                <w:rFonts w:hint="eastAsia" w:ascii="Calibri" w:hAnsi="Calibri" w:cs="Times New Roman"/>
                <w:color w:val="auto"/>
                <w:spacing w:val="-3"/>
                <w:szCs w:val="21"/>
                <w:lang w:val="en-US"/>
              </w:rPr>
            </w:pPr>
            <w:r>
              <w:rPr>
                <w:rFonts w:hint="eastAsia" w:ascii="宋体" w:hAnsi="宋体" w:cs="宋体"/>
                <w:color w:val="auto"/>
                <w:szCs w:val="21"/>
                <w:lang w:val="en-US"/>
              </w:rPr>
              <w:t>在使用备用发电机时使用减震垫，在密闭的发电室内工作。</w:t>
            </w:r>
          </w:p>
        </w:tc>
        <w:tc>
          <w:tcPr>
            <w:tcW w:w="242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auto"/>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电磁辐射</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eastAsia" w:ascii="宋体" w:hAnsi="宋体"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highlight w:val="yellow"/>
              </w:rPr>
            </w:pPr>
            <w:r>
              <w:rPr>
                <w:rFonts w:hint="default" w:ascii="宋体" w:hAnsi="宋体" w:cs="Times New Roman"/>
                <w:color w:val="auto"/>
              </w:rPr>
              <w:t>固体废物</w:t>
            </w:r>
          </w:p>
        </w:tc>
        <w:tc>
          <w:tcPr>
            <w:tcW w:w="8101" w:type="dxa"/>
            <w:gridSpan w:val="4"/>
            <w:noWrap w:val="0"/>
            <w:vAlign w:val="center"/>
          </w:tcPr>
          <w:p>
            <w:pPr>
              <w:pStyle w:val="64"/>
              <w:keepNext w:val="0"/>
              <w:keepLines w:val="0"/>
              <w:suppressLineNumbers w:val="0"/>
              <w:spacing w:before="0" w:beforeAutospacing="0" w:after="0" w:afterAutospacing="0" w:line="240" w:lineRule="auto"/>
              <w:ind w:left="0" w:right="0" w:firstLine="0"/>
              <w:rPr>
                <w:rFonts w:hint="eastAsia" w:ascii="Calibri" w:hAnsi="Calibri" w:cs="Times New Roman"/>
                <w:color w:val="auto"/>
                <w:lang w:val="en-US"/>
              </w:rPr>
            </w:pPr>
            <w:r>
              <w:rPr>
                <w:rFonts w:hint="eastAsia" w:ascii="Calibri" w:hAnsi="Calibri" w:cs="Times New Roman"/>
                <w:color w:val="auto"/>
                <w:lang w:val="en-US"/>
              </w:rPr>
              <w:t>（1）生活垃圾：</w:t>
            </w:r>
            <w:r>
              <w:rPr>
                <w:rFonts w:hint="default" w:ascii="Calibri" w:hAnsi="Calibri" w:cs="Times New Roman"/>
                <w:color w:val="auto"/>
              </w:rPr>
              <w:t>生活垃圾</w:t>
            </w:r>
            <w:r>
              <w:rPr>
                <w:rFonts w:hint="eastAsia" w:ascii="Calibri" w:hAnsi="Calibri" w:cs="Times New Roman"/>
                <w:color w:val="auto"/>
                <w:lang w:val="en-US"/>
              </w:rPr>
              <w:t>使用垃圾桶</w:t>
            </w:r>
            <w:r>
              <w:rPr>
                <w:rFonts w:hint="default" w:ascii="Calibri" w:hAnsi="Calibri" w:cs="Times New Roman"/>
                <w:color w:val="auto"/>
              </w:rPr>
              <w:t>集中收集，委托环卫部门按日清运</w:t>
            </w:r>
            <w:r>
              <w:rPr>
                <w:rFonts w:hint="eastAsia" w:ascii="Calibri" w:hAnsi="Calibri" w:cs="Times New Roman"/>
                <w:color w:val="auto"/>
              </w:rPr>
              <w:t>。</w:t>
            </w:r>
            <w:r>
              <w:rPr>
                <w:rFonts w:hint="eastAsia" w:ascii="Calibri" w:hAnsi="Calibri" w:cs="Times New Roman"/>
                <w:color w:val="auto"/>
                <w:lang w:val="en-US"/>
              </w:rPr>
              <w:t>；</w:t>
            </w:r>
          </w:p>
          <w:p>
            <w:pPr>
              <w:pStyle w:val="64"/>
              <w:keepNext w:val="0"/>
              <w:keepLines w:val="0"/>
              <w:suppressLineNumbers w:val="0"/>
              <w:spacing w:before="0" w:beforeAutospacing="0" w:after="0" w:afterAutospacing="0" w:line="240" w:lineRule="auto"/>
              <w:ind w:left="0" w:right="0" w:firstLine="0"/>
              <w:rPr>
                <w:rFonts w:hint="eastAsia" w:ascii="Calibri" w:hAnsi="Calibri" w:cs="Times New Roman"/>
                <w:color w:val="auto"/>
                <w:lang w:val="en-US"/>
              </w:rPr>
            </w:pPr>
            <w:r>
              <w:rPr>
                <w:rFonts w:hint="eastAsia" w:ascii="Calibri" w:hAnsi="Calibri" w:cs="Times New Roman"/>
                <w:color w:val="auto"/>
                <w:lang w:val="en-US"/>
              </w:rPr>
              <w:t>（2）格栅、化粪池和污水处理站污泥经过消毒处理后，委托有资质的单位进行处置。</w:t>
            </w:r>
          </w:p>
          <w:p>
            <w:pPr>
              <w:pStyle w:val="2"/>
              <w:keepNext w:val="0"/>
              <w:keepLines w:val="0"/>
              <w:suppressLineNumbers w:val="0"/>
              <w:spacing w:beforeAutospacing="0" w:after="0" w:afterAutospacing="0" w:line="240" w:lineRule="auto"/>
              <w:rPr>
                <w:rFonts w:hint="default" w:ascii="Times New Roman" w:hAnsi="Times New Roman" w:cs="Times New Roman"/>
                <w:color w:val="auto"/>
              </w:rPr>
            </w:pPr>
            <w:r>
              <w:rPr>
                <w:rFonts w:hint="eastAsia" w:ascii="Times New Roman" w:hAnsi="Times New Roman" w:cs="Times New Roman"/>
                <w:color w:val="auto"/>
              </w:rPr>
              <w:t>（3）医疗废物分类收集，暂存在1间医疗废物暂存间内，委托有资质单位上门清运处置。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土壤及地下水</w:t>
            </w:r>
          </w:p>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污染防治措施</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生态保护措施</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4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Times New Roman"/>
                <w:color w:val="auto"/>
                <w:spacing w:val="-8"/>
                <w:highlight w:val="yellow"/>
              </w:rPr>
            </w:pPr>
            <w:r>
              <w:rPr>
                <w:rFonts w:hint="default" w:ascii="宋体" w:hAnsi="宋体" w:cs="Times New Roman"/>
                <w:color w:val="auto"/>
                <w:spacing w:val="-8"/>
              </w:rPr>
              <w:t>环境风险防范措施</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1.</w:t>
            </w:r>
            <w:r>
              <w:rPr>
                <w:rFonts w:hint="eastAsia" w:ascii="Times New Roman" w:hAnsi="Times New Roman" w:cs="Times New Roman"/>
                <w:color w:val="auto"/>
                <w:lang w:val="en-US" w:eastAsia="zh-CN"/>
              </w:rPr>
              <w:t>项目设置</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个事故应急池，容积为</w:t>
            </w:r>
            <w:r>
              <w:rPr>
                <w:rFonts w:hint="default" w:ascii="Times New Roman" w:hAnsi="Times New Roman" w:cs="Times New Roman"/>
                <w:color w:val="auto"/>
                <w:lang w:val="en-US" w:eastAsia="zh-CN"/>
              </w:rPr>
              <w:t>130m</w:t>
            </w:r>
            <w:r>
              <w:rPr>
                <w:rFonts w:hint="default"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，位于住院楼西南角。</w:t>
            </w:r>
          </w:p>
          <w:p>
            <w:pPr>
              <w:keepNext w:val="0"/>
              <w:keepLines w:val="0"/>
              <w:widowControl/>
              <w:suppressLineNumbers w:val="0"/>
              <w:spacing w:before="0" w:beforeAutospacing="0" w:after="0" w:afterAutospacing="0"/>
              <w:ind w:left="0" w:right="0"/>
              <w:jc w:val="left"/>
              <w:rPr>
                <w:rFonts w:hint="eastAsia" w:ascii="宋体" w:hAnsi="宋体" w:cs="Times New Roman"/>
                <w:color w:val="auto"/>
                <w:highlight w:val="yellow"/>
              </w:rPr>
            </w:pPr>
            <w:r>
              <w:rPr>
                <w:rFonts w:hint="default" w:ascii="Times New Roman" w:hAnsi="Times New Roman" w:cs="Times New Roman"/>
                <w:color w:val="auto"/>
                <w:lang w:val="en-US"/>
              </w:rPr>
              <w:t>2.</w:t>
            </w:r>
            <w:r>
              <w:rPr>
                <w:rFonts w:hint="default" w:ascii="Times New Roman" w:hAnsi="Times New Roman" w:cs="Times New Roman"/>
                <w:color w:val="auto"/>
              </w:rPr>
              <w:t>编制突发环境事件应急预案；消毒剂为次氯酸钠，专人管理，加强污水处理设施运行维护管理。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141"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rPr>
            </w:pPr>
            <w:r>
              <w:rPr>
                <w:rFonts w:hint="default" w:ascii="宋体" w:hAnsi="宋体" w:cs="Times New Roman"/>
                <w:color w:val="auto"/>
              </w:rPr>
              <w:t>其他环境管理要求</w:t>
            </w:r>
          </w:p>
        </w:tc>
        <w:tc>
          <w:tcPr>
            <w:tcW w:w="8101" w:type="dxa"/>
            <w:gridSpan w:val="4"/>
            <w:noWrap w:val="0"/>
            <w:vAlign w:val="center"/>
          </w:tcPr>
          <w:p>
            <w:pPr>
              <w:keepNext w:val="0"/>
              <w:keepLines w:val="0"/>
              <w:suppressLineNumbers w:val="0"/>
              <w:adjustRightInd w:val="0"/>
              <w:snapToGrid w:val="0"/>
              <w:spacing w:before="0" w:beforeAutospacing="0" w:after="0" w:afterAutospacing="0"/>
              <w:ind w:left="0" w:right="0"/>
              <w:jc w:val="left"/>
              <w:rPr>
                <w:rFonts w:hint="default" w:ascii="Calibri" w:hAnsi="Calibri" w:cs="Times New Roman"/>
                <w:color w:val="auto"/>
              </w:rPr>
            </w:pPr>
          </w:p>
          <w:p>
            <w:pPr>
              <w:pStyle w:val="13"/>
              <w:keepNext w:val="0"/>
              <w:keepLines w:val="0"/>
              <w:suppressLineNumbers w:val="0"/>
              <w:spacing w:before="0" w:beforeAutospacing="0" w:after="0" w:afterAutospacing="0"/>
              <w:ind w:left="0" w:right="0"/>
              <w:jc w:val="center"/>
              <w:rPr>
                <w:rFonts w:cs="Times New Roman"/>
                <w:color w:val="auto"/>
                <w:sz w:val="28"/>
              </w:rPr>
            </w:pPr>
            <w:r>
              <w:rPr>
                <w:rFonts w:hAnsi="宋体" w:cs="Times New Roman"/>
                <w:color w:val="auto"/>
              </w:rPr>
              <w:t>/</w:t>
            </w:r>
          </w:p>
        </w:tc>
      </w:tr>
    </w:tbl>
    <w:p>
      <w:pPr>
        <w:pStyle w:val="22"/>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9" w:name="_Toc14062"/>
      <w:r>
        <w:rPr>
          <w:rStyle w:val="35"/>
          <w:rFonts w:hint="eastAsia"/>
          <w:color w:val="auto"/>
        </w:rPr>
        <w:t>六、结论</w:t>
      </w:r>
      <w:bookmarkEnd w:id="9"/>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9" w:hRule="atLeast"/>
          <w:jc w:val="center"/>
        </w:trPr>
        <w:tc>
          <w:tcPr>
            <w:tcW w:w="9258" w:type="dxa"/>
            <w:noWrap w:val="0"/>
            <w:vAlign w:val="top"/>
          </w:tcPr>
          <w:p>
            <w:pPr>
              <w:pStyle w:val="16"/>
              <w:keepNext w:val="0"/>
              <w:keepLines w:val="0"/>
              <w:suppressLineNumbers w:val="0"/>
              <w:spacing w:before="0" w:beforeAutospacing="0" w:after="0" w:afterAutospacing="0" w:line="360" w:lineRule="auto"/>
              <w:ind w:left="0" w:leftChars="0" w:right="0" w:firstLine="480" w:firstLineChars="200"/>
              <w:rPr>
                <w:rFonts w:hint="eastAsia" w:ascii="宋体" w:hAnsi="宋体" w:cs="宋体"/>
                <w:color w:val="auto"/>
                <w:sz w:val="24"/>
                <w:szCs w:val="24"/>
              </w:rPr>
            </w:pPr>
            <w:r>
              <w:rPr>
                <w:rFonts w:hint="eastAsia" w:ascii="宋体" w:hAnsi="宋体" w:cs="宋体"/>
                <w:color w:val="auto"/>
                <w:sz w:val="24"/>
                <w:szCs w:val="24"/>
              </w:rPr>
              <w:t>本项目产生的污染物采取相应的治理控制措施，污染物可以达标排放，对</w:t>
            </w:r>
            <w:r>
              <w:rPr>
                <w:rFonts w:hint="eastAsia" w:ascii="宋体" w:hAnsi="宋体" w:cs="Times New Roman"/>
                <w:bCs/>
                <w:color w:val="auto"/>
                <w:kern w:val="0"/>
                <w:sz w:val="24"/>
                <w:szCs w:val="24"/>
              </w:rPr>
              <w:t>地表水、声环境和大气环境影响小</w:t>
            </w:r>
            <w:r>
              <w:rPr>
                <w:rFonts w:hint="eastAsia" w:ascii="宋体" w:hAnsi="宋体" w:cs="宋体"/>
                <w:color w:val="auto"/>
                <w:sz w:val="24"/>
                <w:szCs w:val="24"/>
              </w:rPr>
              <w:t xml:space="preserve">，项目运营过程中，排放的污染物不会改变周边环境的环境功能，其对环境的影响可以接受。项目建设得到周边企业和居民的认同，建设单位单位在今后的运营过程中严格落实对策措施，严格执行“三同时”制度，认真落实本报告提出的各项污染防治，加强企业的环境管理，确保污染物的达标排放。  </w:t>
            </w:r>
          </w:p>
          <w:p>
            <w:pPr>
              <w:pStyle w:val="16"/>
              <w:keepNext w:val="0"/>
              <w:keepLines w:val="0"/>
              <w:suppressLineNumbers w:val="0"/>
              <w:spacing w:before="0" w:beforeAutospacing="0" w:after="0" w:afterAutospacing="0" w:line="360" w:lineRule="auto"/>
              <w:ind w:left="0" w:leftChars="0" w:right="0" w:firstLine="480" w:firstLineChars="200"/>
              <w:rPr>
                <w:rFonts w:hint="eastAsia" w:ascii="宋体" w:hAnsi="宋体" w:cs="Times New Roman"/>
                <w:bCs/>
                <w:color w:val="auto"/>
                <w:kern w:val="0"/>
                <w:sz w:val="24"/>
                <w:szCs w:val="24"/>
              </w:rPr>
            </w:pPr>
            <w:r>
              <w:rPr>
                <w:rFonts w:hint="eastAsia" w:ascii="宋体" w:hAnsi="宋体" w:cs="宋体"/>
                <w:color w:val="auto"/>
                <w:sz w:val="24"/>
                <w:szCs w:val="24"/>
              </w:rPr>
              <w:t>因此，从环境保护角度分析，项目可行。</w:t>
            </w:r>
          </w:p>
          <w:p>
            <w:pPr>
              <w:pStyle w:val="16"/>
              <w:keepNext w:val="0"/>
              <w:keepLines w:val="0"/>
              <w:suppressLineNumbers w:val="0"/>
              <w:spacing w:before="0" w:beforeAutospacing="0" w:afterAutospacing="0"/>
              <w:ind w:right="0"/>
              <w:rPr>
                <w:rFonts w:hint="default" w:ascii="Calibri" w:hAnsi="Calibri" w:cs="Times New Roman"/>
                <w:bCs/>
                <w:color w:val="auto"/>
                <w:kern w:val="0"/>
                <w:sz w:val="24"/>
                <w:szCs w:val="24"/>
              </w:rPr>
            </w:pPr>
          </w:p>
        </w:tc>
      </w:tr>
    </w:tbl>
    <w:p>
      <w:pPr>
        <w:jc w:val="center"/>
        <w:rPr>
          <w:rFonts w:hint="eastAsia"/>
          <w:b/>
          <w:bCs/>
          <w:color w:val="auto"/>
          <w:sz w:val="44"/>
          <w:szCs w:val="52"/>
        </w:rPr>
      </w:pPr>
    </w:p>
    <w:p>
      <w:pPr>
        <w:jc w:val="center"/>
        <w:rPr>
          <w:rFonts w:hint="eastAsia"/>
          <w:b/>
          <w:bCs/>
          <w:color w:val="auto"/>
          <w:sz w:val="44"/>
          <w:szCs w:val="52"/>
        </w:rPr>
      </w:pPr>
    </w:p>
    <w:p>
      <w:pPr>
        <w:jc w:val="center"/>
        <w:rPr>
          <w:rFonts w:hint="eastAsia"/>
          <w:b/>
          <w:bCs/>
          <w:color w:val="auto"/>
          <w:sz w:val="44"/>
          <w:szCs w:val="52"/>
        </w:rPr>
        <w:sectPr>
          <w:footerReference r:id="rId7" w:type="default"/>
          <w:pgSz w:w="11906" w:h="16838"/>
          <w:pgMar w:top="1304" w:right="1134" w:bottom="1304" w:left="1531" w:header="851" w:footer="851" w:gutter="0"/>
          <w:cols w:space="720" w:num="1"/>
          <w:docGrid w:linePitch="312" w:charSpace="0"/>
        </w:sectPr>
      </w:pPr>
    </w:p>
    <w:p>
      <w:pPr>
        <w:jc w:val="center"/>
        <w:rPr>
          <w:b/>
          <w:bCs/>
          <w:color w:val="auto"/>
          <w:sz w:val="44"/>
          <w:szCs w:val="52"/>
        </w:rPr>
      </w:pPr>
      <w:r>
        <w:rPr>
          <w:rFonts w:hint="eastAsia"/>
          <w:b/>
          <w:bCs/>
          <w:color w:val="auto"/>
          <w:sz w:val="44"/>
          <w:szCs w:val="52"/>
        </w:rPr>
        <w:t>建设项目污染物排放量汇总表</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81"/>
        <w:gridCol w:w="1500"/>
        <w:gridCol w:w="1145"/>
        <w:gridCol w:w="1418"/>
        <w:gridCol w:w="1814"/>
        <w:gridCol w:w="1622"/>
        <w:gridCol w:w="1787"/>
        <w:gridCol w:w="1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8" w:type="dxa"/>
            <w:tcBorders>
              <w:tl2br w:val="single" w:color="auto" w:sz="4" w:space="0"/>
            </w:tcBorders>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jc w:val="right"/>
              <w:rPr>
                <w:rFonts w:hint="default"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pPr>
              <w:pStyle w:val="51"/>
              <w:keepNext w:val="0"/>
              <w:keepLines w:val="0"/>
              <w:suppressLineNumbers w:val="0"/>
              <w:spacing w:before="0" w:beforeLines="0" w:beforeAutospacing="0" w:after="0" w:afterLines="0" w:afterAutospacing="0" w:line="240" w:lineRule="auto"/>
              <w:ind w:left="0" w:right="0"/>
              <w:jc w:val="left"/>
              <w:rPr>
                <w:rFonts w:hint="default"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281"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500"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现有工程</w:t>
            </w:r>
          </w:p>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hint="default"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hint="default" w:ascii="黑体" w:hAnsi="黑体" w:eastAsia="黑体"/>
                <w:snapToGrid w:val="0"/>
                <w:color w:val="auto"/>
                <w:spacing w:val="-6"/>
                <w:kern w:val="21"/>
                <w:szCs w:val="21"/>
              </w:rPr>
              <w:t>产生量）</w:t>
            </w: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1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hint="default" w:ascii="黑体" w:hAnsi="黑体" w:eastAsia="黑体"/>
                <w:snapToGrid w:val="0"/>
                <w:color w:val="auto"/>
                <w:spacing w:val="-6"/>
                <w:kern w:val="21"/>
                <w:szCs w:val="21"/>
              </w:rPr>
              <w:fldChar w:fldCharType="end"/>
            </w:r>
          </w:p>
        </w:tc>
        <w:tc>
          <w:tcPr>
            <w:tcW w:w="1145"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现有工程</w:t>
            </w:r>
          </w:p>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许可排放量</w:t>
            </w:r>
          </w:p>
          <w:p>
            <w:pPr>
              <w:pStyle w:val="51"/>
              <w:keepNext w:val="0"/>
              <w:keepLines w:val="0"/>
              <w:suppressLineNumbers w:val="0"/>
              <w:spacing w:before="0" w:beforeLines="0" w:beforeAutospacing="0" w:after="0" w:afterLines="0" w:afterAutospacing="0"/>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2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hint="default" w:ascii="黑体" w:hAnsi="黑体" w:eastAsia="黑体"/>
                <w:snapToGrid w:val="0"/>
                <w:color w:val="auto"/>
                <w:spacing w:val="-6"/>
                <w:kern w:val="21"/>
                <w:szCs w:val="21"/>
              </w:rPr>
              <w:fldChar w:fldCharType="end"/>
            </w:r>
          </w:p>
        </w:tc>
        <w:tc>
          <w:tcPr>
            <w:tcW w:w="1418"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在建工程</w:t>
            </w:r>
          </w:p>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hint="default"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hint="default" w:ascii="黑体" w:hAnsi="黑体" w:eastAsia="黑体"/>
                <w:snapToGrid w:val="0"/>
                <w:color w:val="auto"/>
                <w:spacing w:val="-6"/>
                <w:kern w:val="21"/>
                <w:szCs w:val="21"/>
              </w:rPr>
              <w:t>产生量）</w:t>
            </w: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3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hint="default" w:ascii="黑体" w:hAnsi="黑体" w:eastAsia="黑体"/>
                <w:snapToGrid w:val="0"/>
                <w:color w:val="auto"/>
                <w:spacing w:val="-6"/>
                <w:kern w:val="21"/>
                <w:szCs w:val="21"/>
              </w:rPr>
              <w:fldChar w:fldCharType="end"/>
            </w:r>
          </w:p>
        </w:tc>
        <w:tc>
          <w:tcPr>
            <w:tcW w:w="1814"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本项目</w:t>
            </w:r>
          </w:p>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hint="default"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hint="default" w:ascii="黑体" w:hAnsi="黑体" w:eastAsia="黑体"/>
                <w:snapToGrid w:val="0"/>
                <w:color w:val="auto"/>
                <w:spacing w:val="-6"/>
                <w:kern w:val="21"/>
                <w:szCs w:val="21"/>
              </w:rPr>
              <w:t>产生量）</w:t>
            </w: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4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hint="default" w:ascii="黑体" w:hAnsi="黑体" w:eastAsia="黑体"/>
                <w:snapToGrid w:val="0"/>
                <w:color w:val="auto"/>
                <w:spacing w:val="-6"/>
                <w:kern w:val="21"/>
                <w:szCs w:val="21"/>
              </w:rPr>
              <w:fldChar w:fldCharType="end"/>
            </w:r>
          </w:p>
        </w:tc>
        <w:tc>
          <w:tcPr>
            <w:tcW w:w="1622"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default" w:ascii="黑体" w:hAnsi="黑体" w:eastAsia="黑体"/>
                <w:snapToGrid w:val="0"/>
                <w:color w:val="auto"/>
                <w:spacing w:val="-16"/>
                <w:kern w:val="21"/>
                <w:szCs w:val="21"/>
              </w:rPr>
              <w:t>以新带老削减量</w:t>
            </w:r>
          </w:p>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default" w:ascii="黑体" w:hAnsi="黑体" w:eastAsia="黑体"/>
                <w:snapToGrid w:val="0"/>
                <w:color w:val="auto"/>
                <w:spacing w:val="-16"/>
                <w:kern w:val="21"/>
                <w:szCs w:val="21"/>
              </w:rPr>
              <w:t>（新建项目不填）</w:t>
            </w:r>
            <w:r>
              <w:rPr>
                <w:rFonts w:hint="default" w:ascii="黑体" w:hAnsi="黑体" w:eastAsia="黑体"/>
                <w:snapToGrid w:val="0"/>
                <w:color w:val="auto"/>
                <w:spacing w:val="-16"/>
                <w:kern w:val="21"/>
                <w:szCs w:val="21"/>
              </w:rPr>
              <w:fldChar w:fldCharType="begin"/>
            </w:r>
            <w:r>
              <w:rPr>
                <w:rFonts w:hint="default" w:ascii="黑体" w:hAnsi="黑体" w:eastAsia="黑体"/>
                <w:snapToGrid w:val="0"/>
                <w:color w:val="auto"/>
                <w:spacing w:val="-16"/>
                <w:kern w:val="21"/>
                <w:szCs w:val="21"/>
              </w:rPr>
              <w:instrText xml:space="preserve"> = 5 \* GB3 \* MERGEFORMAT </w:instrText>
            </w:r>
            <w:r>
              <w:rPr>
                <w:rFonts w:hint="default"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hint="default" w:ascii="黑体" w:hAnsi="黑体" w:eastAsia="黑体"/>
                <w:snapToGrid w:val="0"/>
                <w:color w:val="auto"/>
                <w:spacing w:val="-16"/>
                <w:kern w:val="21"/>
                <w:szCs w:val="21"/>
              </w:rPr>
              <w:fldChar w:fldCharType="end"/>
            </w:r>
          </w:p>
        </w:tc>
        <w:tc>
          <w:tcPr>
            <w:tcW w:w="1787"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default" w:ascii="黑体" w:hAnsi="黑体" w:eastAsia="黑体"/>
                <w:snapToGrid w:val="0"/>
                <w:color w:val="auto"/>
                <w:spacing w:val="-16"/>
                <w:kern w:val="21"/>
                <w:szCs w:val="21"/>
              </w:rPr>
              <w:t>本项目建成后</w:t>
            </w:r>
          </w:p>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hint="default"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hint="default"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hint="default" w:ascii="黑体" w:hAnsi="黑体" w:eastAsia="黑体"/>
                <w:snapToGrid w:val="0"/>
                <w:color w:val="auto"/>
                <w:spacing w:val="-16"/>
                <w:kern w:val="21"/>
                <w:szCs w:val="21"/>
              </w:rPr>
              <w:t>产生量）</w:t>
            </w:r>
            <w:r>
              <w:rPr>
                <w:rFonts w:hint="default" w:ascii="黑体" w:hAnsi="黑体" w:eastAsia="黑体"/>
                <w:snapToGrid w:val="0"/>
                <w:color w:val="auto"/>
                <w:spacing w:val="-16"/>
                <w:kern w:val="21"/>
                <w:szCs w:val="21"/>
              </w:rPr>
              <w:fldChar w:fldCharType="begin"/>
            </w:r>
            <w:r>
              <w:rPr>
                <w:rFonts w:hint="default" w:ascii="黑体" w:hAnsi="黑体" w:eastAsia="黑体"/>
                <w:snapToGrid w:val="0"/>
                <w:color w:val="auto"/>
                <w:spacing w:val="-16"/>
                <w:kern w:val="21"/>
                <w:szCs w:val="21"/>
              </w:rPr>
              <w:instrText xml:space="preserve"> = 6 \* GB3 \* MERGEFORMAT </w:instrText>
            </w:r>
            <w:r>
              <w:rPr>
                <w:rFonts w:hint="default"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hint="default" w:ascii="黑体" w:hAnsi="黑体" w:eastAsia="黑体"/>
                <w:snapToGrid w:val="0"/>
                <w:color w:val="auto"/>
                <w:spacing w:val="-16"/>
                <w:kern w:val="21"/>
                <w:szCs w:val="21"/>
              </w:rPr>
              <w:fldChar w:fldCharType="end"/>
            </w:r>
          </w:p>
        </w:tc>
        <w:tc>
          <w:tcPr>
            <w:tcW w:w="1793" w:type="dxa"/>
            <w:tcMar>
              <w:left w:w="28" w:type="dxa"/>
              <w:right w:w="28" w:type="dxa"/>
            </w:tcMar>
            <w:vAlign w:val="center"/>
          </w:tcPr>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t>变化量</w:t>
            </w:r>
          </w:p>
          <w:p>
            <w:pPr>
              <w:pStyle w:val="51"/>
              <w:keepNext w:val="0"/>
              <w:keepLines w:val="0"/>
              <w:suppressLineNumbers w:val="0"/>
              <w:spacing w:before="0" w:beforeLines="0" w:beforeAutospacing="0" w:after="0" w:afterLines="0" w:afterAutospacing="0" w:line="240" w:lineRule="auto"/>
              <w:ind w:left="0" w:right="0"/>
              <w:rPr>
                <w:rFonts w:hint="default" w:ascii="黑体" w:hAnsi="黑体" w:eastAsia="黑体"/>
                <w:snapToGrid w:val="0"/>
                <w:color w:val="auto"/>
                <w:spacing w:val="-6"/>
                <w:kern w:val="21"/>
                <w:szCs w:val="21"/>
              </w:rPr>
            </w:pPr>
            <w:r>
              <w:rPr>
                <w:rFonts w:hint="default" w:ascii="黑体" w:hAnsi="黑体" w:eastAsia="黑体"/>
                <w:snapToGrid w:val="0"/>
                <w:color w:val="auto"/>
                <w:spacing w:val="-6"/>
                <w:kern w:val="21"/>
                <w:szCs w:val="21"/>
              </w:rPr>
              <w:fldChar w:fldCharType="begin"/>
            </w:r>
            <w:r>
              <w:rPr>
                <w:rFonts w:hint="default" w:ascii="黑体" w:hAnsi="黑体" w:eastAsia="黑体"/>
                <w:snapToGrid w:val="0"/>
                <w:color w:val="auto"/>
                <w:spacing w:val="-6"/>
                <w:kern w:val="21"/>
                <w:szCs w:val="21"/>
              </w:rPr>
              <w:instrText xml:space="preserve"> = 7 \* GB3 \* MERGEFORMAT </w:instrText>
            </w:r>
            <w:r>
              <w:rPr>
                <w:rFonts w:hint="default"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hint="default" w:ascii="黑体" w:hAnsi="黑体"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废气</w:t>
            </w:r>
          </w:p>
        </w:tc>
        <w:tc>
          <w:tcPr>
            <w:tcW w:w="1281"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p>
        </w:tc>
        <w:tc>
          <w:tcPr>
            <w:tcW w:w="1281"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废水</w:t>
            </w:r>
          </w:p>
        </w:tc>
        <w:tc>
          <w:tcPr>
            <w:tcW w:w="1281"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废水量</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eastAsia="zh-CN"/>
              </w:rPr>
              <w:t>39449.565</w:t>
            </w:r>
            <w:r>
              <w:rPr>
                <w:rFonts w:hint="eastAsia" w:hAnsi="宋体" w:cs="宋体"/>
                <w:color w:val="auto"/>
                <w:szCs w:val="21"/>
              </w:rPr>
              <w:t>m³/a</w:t>
            </w: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eastAsia="zh-CN"/>
              </w:rPr>
              <w:t>39449.565</w:t>
            </w:r>
            <w:r>
              <w:rPr>
                <w:rFonts w:hint="eastAsia" w:hAnsi="宋体" w:cs="宋体"/>
                <w:color w:val="auto"/>
                <w:szCs w:val="21"/>
              </w:rPr>
              <w:t>m³/a</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w:t>
            </w:r>
            <w:r>
              <w:rPr>
                <w:rFonts w:hint="default" w:hAnsi="宋体" w:cs="宋体"/>
                <w:color w:val="auto"/>
                <w:szCs w:val="21"/>
                <w:lang w:val="en-US" w:eastAsia="zh-CN"/>
              </w:rPr>
              <w:t>39449.565</w:t>
            </w:r>
            <w:r>
              <w:rPr>
                <w:rFonts w:hint="eastAsia" w:hAnsi="宋体" w:cs="宋体"/>
                <w:color w:val="auto"/>
                <w:szCs w:val="21"/>
              </w:rPr>
              <w:t>m³/a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p>
        </w:tc>
        <w:tc>
          <w:tcPr>
            <w:tcW w:w="1281"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CODcr</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6.351</w:t>
            </w:r>
            <w:r>
              <w:rPr>
                <w:rFonts w:hint="eastAsia" w:hAnsi="宋体" w:cs="宋体"/>
                <w:color w:val="auto"/>
                <w:szCs w:val="21"/>
              </w:rPr>
              <w:t>t/a</w:t>
            </w: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6.351</w:t>
            </w:r>
            <w:r>
              <w:rPr>
                <w:rFonts w:hint="eastAsia" w:hAnsi="宋体" w:cs="宋体"/>
                <w:color w:val="auto"/>
                <w:szCs w:val="21"/>
              </w:rPr>
              <w:t>t/a</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w:t>
            </w:r>
            <w:r>
              <w:rPr>
                <w:rFonts w:hint="default" w:hAnsi="宋体" w:cs="宋体"/>
                <w:color w:val="auto"/>
                <w:szCs w:val="21"/>
                <w:lang w:val="en-US"/>
              </w:rPr>
              <w:t>6.351</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p>
        </w:tc>
        <w:tc>
          <w:tcPr>
            <w:tcW w:w="1281"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氨氮</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w:t>
            </w: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一般工业</w:t>
            </w:r>
          </w:p>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固体废物</w:t>
            </w:r>
          </w:p>
        </w:tc>
        <w:tc>
          <w:tcPr>
            <w:tcW w:w="1281" w:type="dxa"/>
            <w:vAlign w:val="center"/>
          </w:tcPr>
          <w:p>
            <w:pPr>
              <w:keepNext w:val="0"/>
              <w:keepLines w:val="0"/>
              <w:suppressLineNumbers w:val="0"/>
              <w:autoSpaceDN w:val="0"/>
              <w:spacing w:before="0" w:beforeAutospacing="0" w:after="0" w:afterAutospacing="0" w:line="280" w:lineRule="exact"/>
              <w:ind w:left="0" w:right="0"/>
              <w:jc w:val="center"/>
              <w:textAlignment w:val="center"/>
              <w:rPr>
                <w:rFonts w:hint="default" w:ascii="宋体" w:hAnsi="宋体" w:cs="宋体"/>
                <w:color w:val="auto"/>
                <w:szCs w:val="21"/>
              </w:rPr>
            </w:pPr>
            <w:r>
              <w:rPr>
                <w:rFonts w:hint="eastAsia" w:ascii="宋体" w:hAnsi="宋体" w:cs="宋体"/>
                <w:color w:val="auto"/>
                <w:szCs w:val="21"/>
              </w:rPr>
              <w:t>生活垃圾</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jc w:val="both"/>
              <w:rPr>
                <w:rFonts w:hint="default" w:hAnsi="宋体" w:cs="宋体"/>
                <w:color w:val="auto"/>
                <w:szCs w:val="21"/>
              </w:rPr>
            </w:pPr>
          </w:p>
          <w:p>
            <w:pPr>
              <w:pStyle w:val="51"/>
              <w:keepNext w:val="0"/>
              <w:keepLines w:val="0"/>
              <w:suppressLineNumbers w:val="0"/>
              <w:spacing w:before="0" w:beforeLines="0" w:beforeAutospacing="0" w:after="0" w:afterLines="0" w:afterAutospacing="0" w:line="240" w:lineRule="auto"/>
              <w:ind w:left="0" w:right="0"/>
              <w:rPr>
                <w:rFonts w:hint="default" w:hAnsi="宋体" w:cs="宋体"/>
                <w:color w:val="auto"/>
                <w:szCs w:val="21"/>
              </w:rPr>
            </w:pPr>
            <w:r>
              <w:rPr>
                <w:rFonts w:hint="default" w:hAnsi="宋体" w:cs="宋体"/>
                <w:color w:val="auto"/>
                <w:szCs w:val="21"/>
                <w:lang w:val="en-US"/>
              </w:rPr>
              <w:t>117.165</w:t>
            </w:r>
            <w:r>
              <w:rPr>
                <w:rFonts w:hint="eastAsia" w:hAnsi="宋体" w:cs="宋体"/>
                <w:color w:val="auto"/>
                <w:szCs w:val="21"/>
              </w:rPr>
              <w:t>t/a</w:t>
            </w:r>
          </w:p>
          <w:p>
            <w:pPr>
              <w:pStyle w:val="51"/>
              <w:keepNext w:val="0"/>
              <w:keepLines w:val="0"/>
              <w:suppressLineNumbers w:val="0"/>
              <w:spacing w:before="0" w:beforeLines="0" w:beforeAutospacing="0" w:after="0" w:afterLines="0" w:afterAutospacing="0" w:line="240" w:lineRule="auto"/>
              <w:ind w:left="0" w:right="0"/>
              <w:jc w:val="both"/>
              <w:rPr>
                <w:rFonts w:hint="default" w:hAnsi="宋体" w:cs="宋体"/>
                <w:snapToGrid w:val="0"/>
                <w:color w:val="auto"/>
                <w:kern w:val="21"/>
                <w:szCs w:val="21"/>
              </w:rPr>
            </w:pP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default" w:hAnsi="宋体" w:cs="宋体"/>
                <w:color w:val="auto"/>
                <w:szCs w:val="21"/>
                <w:lang w:val="en-US"/>
              </w:rPr>
              <w:t>117.165</w:t>
            </w:r>
            <w:r>
              <w:rPr>
                <w:rFonts w:hint="eastAsia" w:hAnsi="宋体" w:cs="宋体"/>
                <w:color w:val="auto"/>
                <w:szCs w:val="21"/>
              </w:rPr>
              <w:t>t/a</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w:t>
            </w:r>
            <w:r>
              <w:rPr>
                <w:rFonts w:hint="default" w:hAnsi="宋体" w:cs="宋体"/>
                <w:color w:val="auto"/>
                <w:szCs w:val="21"/>
                <w:lang w:val="en-US"/>
              </w:rPr>
              <w:t>117.165</w:t>
            </w:r>
            <w:r>
              <w:rPr>
                <w:rFonts w:hint="default"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危险废物</w:t>
            </w:r>
          </w:p>
        </w:tc>
        <w:tc>
          <w:tcPr>
            <w:tcW w:w="1281"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医疗废物</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color w:val="auto"/>
                <w:szCs w:val="21"/>
              </w:rPr>
              <w:t>0</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color w:val="auto"/>
                <w:szCs w:val="21"/>
              </w:rPr>
            </w:pPr>
            <w:r>
              <w:rPr>
                <w:rFonts w:hint="default" w:hAnsi="宋体" w:cs="宋体"/>
                <w:color w:val="auto"/>
                <w:szCs w:val="21"/>
                <w:lang w:val="en-US"/>
              </w:rPr>
              <w:t>54.2</w:t>
            </w:r>
            <w:r>
              <w:rPr>
                <w:rFonts w:hint="eastAsia" w:hAnsi="宋体" w:cs="宋体"/>
                <w:color w:val="auto"/>
                <w:szCs w:val="21"/>
              </w:rPr>
              <w:t>t/a</w:t>
            </w: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snapToGrid w:val="0"/>
                <w:color w:val="auto"/>
                <w:kern w:val="21"/>
                <w:szCs w:val="21"/>
              </w:rPr>
            </w:pPr>
            <w:r>
              <w:rPr>
                <w:rFonts w:hint="eastAsia" w:hAnsi="宋体" w:cs="宋体"/>
                <w:snapToGrid w:val="0"/>
                <w:color w:val="auto"/>
                <w:kern w:val="21"/>
                <w:szCs w:val="21"/>
              </w:rPr>
              <w:t>0</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firstLine="420" w:firstLineChars="200"/>
              <w:jc w:val="both"/>
              <w:rPr>
                <w:rFonts w:hint="default" w:hAnsi="宋体" w:cs="宋体"/>
                <w:color w:val="auto"/>
                <w:szCs w:val="21"/>
              </w:rPr>
            </w:pPr>
            <w:r>
              <w:rPr>
                <w:rFonts w:hint="default" w:hAnsi="宋体" w:cs="宋体"/>
                <w:color w:val="auto"/>
                <w:szCs w:val="21"/>
                <w:lang w:val="en-US"/>
              </w:rPr>
              <w:t>54.2</w:t>
            </w:r>
            <w:r>
              <w:rPr>
                <w:rFonts w:hint="eastAsia" w:hAnsi="宋体" w:cs="宋体"/>
                <w:color w:val="auto"/>
                <w:szCs w:val="21"/>
              </w:rPr>
              <w:t>t/a</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default" w:hAnsi="宋体" w:cs="宋体"/>
                <w:color w:val="auto"/>
                <w:szCs w:val="21"/>
              </w:rPr>
            </w:pPr>
            <w:r>
              <w:rPr>
                <w:rFonts w:hint="eastAsia" w:hAnsi="宋体" w:cs="宋体"/>
                <w:color w:val="auto"/>
                <w:szCs w:val="21"/>
              </w:rPr>
              <w:t>+</w:t>
            </w:r>
            <w:r>
              <w:rPr>
                <w:rFonts w:hint="default" w:hAnsi="宋体" w:cs="宋体"/>
                <w:color w:val="auto"/>
                <w:szCs w:val="21"/>
                <w:lang w:val="en-US"/>
              </w:rPr>
              <w:t>54.2</w:t>
            </w:r>
            <w:r>
              <w:rPr>
                <w:rFonts w:hint="eastAsia" w:hAnsi="宋体" w:cs="宋体"/>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pPr>
              <w:pStyle w:val="51"/>
              <w:keepNext w:val="0"/>
              <w:keepLines w:val="0"/>
              <w:suppressLineNumbers w:val="0"/>
              <w:spacing w:before="0" w:beforeLines="0" w:beforeAutospacing="0" w:after="0" w:afterLines="0" w:afterAutospacing="0" w:line="240" w:lineRule="auto"/>
              <w:ind w:left="0" w:right="0"/>
              <w:rPr>
                <w:rFonts w:hint="eastAsia" w:hAnsi="宋体" w:cs="宋体"/>
                <w:snapToGrid w:val="0"/>
                <w:color w:val="auto"/>
                <w:kern w:val="21"/>
                <w:szCs w:val="21"/>
              </w:rPr>
            </w:pPr>
          </w:p>
        </w:tc>
        <w:tc>
          <w:tcPr>
            <w:tcW w:w="1281" w:type="dxa"/>
            <w:vAlign w:val="center"/>
          </w:tcPr>
          <w:p>
            <w:pPr>
              <w:pStyle w:val="51"/>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污泥</w:t>
            </w:r>
          </w:p>
        </w:tc>
        <w:tc>
          <w:tcPr>
            <w:tcW w:w="1500" w:type="dxa"/>
            <w:vAlign w:val="center"/>
          </w:tcPr>
          <w:p>
            <w:pPr>
              <w:pStyle w:val="51"/>
              <w:keepNext w:val="0"/>
              <w:keepLines w:val="0"/>
              <w:suppressLineNumbers w:val="0"/>
              <w:spacing w:before="0" w:beforeLines="0" w:beforeAutospacing="0" w:after="0" w:afterLines="0" w:afterAutospacing="0" w:line="240" w:lineRule="auto"/>
              <w:ind w:left="0" w:right="0"/>
              <w:rPr>
                <w:rFonts w:hint="eastAsia" w:ascii="宋体" w:hAnsi="宋体" w:eastAsia="宋体" w:cs="宋体"/>
                <w:snapToGrid w:val="0"/>
                <w:color w:val="auto"/>
                <w:kern w:val="21"/>
                <w:sz w:val="21"/>
                <w:szCs w:val="21"/>
                <w:lang w:val="en-US" w:eastAsia="zh-CN" w:bidi="ar-SA"/>
              </w:rPr>
            </w:pPr>
            <w:r>
              <w:rPr>
                <w:rFonts w:hint="eastAsia" w:hAnsi="宋体" w:cs="宋体"/>
                <w:color w:val="auto"/>
                <w:szCs w:val="21"/>
              </w:rPr>
              <w:t>0</w:t>
            </w:r>
          </w:p>
        </w:tc>
        <w:tc>
          <w:tcPr>
            <w:tcW w:w="1145" w:type="dxa"/>
            <w:vAlign w:val="center"/>
          </w:tcPr>
          <w:p>
            <w:pPr>
              <w:pStyle w:val="51"/>
              <w:keepNext w:val="0"/>
              <w:keepLines w:val="0"/>
              <w:suppressLineNumbers w:val="0"/>
              <w:spacing w:before="0" w:beforeLines="0" w:beforeAutospacing="0" w:after="0" w:afterLines="0" w:afterAutospacing="0" w:line="240" w:lineRule="auto"/>
              <w:ind w:left="0" w:right="0"/>
              <w:rPr>
                <w:rFonts w:hint="eastAsia" w:ascii="宋体" w:hAnsi="宋体" w:eastAsia="宋体" w:cs="宋体"/>
                <w:snapToGrid w:val="0"/>
                <w:color w:val="auto"/>
                <w:kern w:val="21"/>
                <w:sz w:val="21"/>
                <w:szCs w:val="21"/>
                <w:lang w:val="en-US" w:eastAsia="zh-CN" w:bidi="ar-SA"/>
              </w:rPr>
            </w:pPr>
            <w:r>
              <w:rPr>
                <w:rFonts w:hint="eastAsia" w:hAnsi="宋体" w:cs="宋体"/>
                <w:snapToGrid w:val="0"/>
                <w:color w:val="auto"/>
                <w:kern w:val="21"/>
                <w:szCs w:val="21"/>
              </w:rPr>
              <w:t>0</w:t>
            </w:r>
          </w:p>
        </w:tc>
        <w:tc>
          <w:tcPr>
            <w:tcW w:w="1418" w:type="dxa"/>
            <w:vAlign w:val="center"/>
          </w:tcPr>
          <w:p>
            <w:pPr>
              <w:pStyle w:val="51"/>
              <w:keepNext w:val="0"/>
              <w:keepLines w:val="0"/>
              <w:suppressLineNumbers w:val="0"/>
              <w:spacing w:before="0" w:beforeLines="0" w:beforeAutospacing="0" w:after="0" w:afterLines="0" w:afterAutospacing="0" w:line="240" w:lineRule="auto"/>
              <w:ind w:left="0" w:right="0"/>
              <w:rPr>
                <w:rFonts w:hint="eastAsia" w:ascii="宋体" w:hAnsi="宋体" w:eastAsia="宋体" w:cs="宋体"/>
                <w:snapToGrid w:val="0"/>
                <w:color w:val="auto"/>
                <w:kern w:val="21"/>
                <w:sz w:val="21"/>
                <w:szCs w:val="21"/>
                <w:lang w:val="en-US" w:eastAsia="zh-CN" w:bidi="ar-SA"/>
              </w:rPr>
            </w:pPr>
            <w:r>
              <w:rPr>
                <w:rFonts w:hint="eastAsia" w:hAnsi="宋体" w:cs="宋体"/>
                <w:snapToGrid w:val="0"/>
                <w:color w:val="auto"/>
                <w:kern w:val="21"/>
                <w:szCs w:val="21"/>
              </w:rPr>
              <w:t>0</w:t>
            </w:r>
          </w:p>
        </w:tc>
        <w:tc>
          <w:tcPr>
            <w:tcW w:w="1814" w:type="dxa"/>
            <w:vAlign w:val="center"/>
          </w:tcPr>
          <w:p>
            <w:pPr>
              <w:pStyle w:val="51"/>
              <w:keepNext w:val="0"/>
              <w:keepLines w:val="0"/>
              <w:suppressLineNumbers w:val="0"/>
              <w:spacing w:before="0" w:beforeLines="0" w:beforeAutospacing="0" w:after="0" w:afterLines="0" w:afterAutospacing="0" w:line="240" w:lineRule="auto"/>
              <w:ind w:left="0" w:right="0"/>
              <w:rPr>
                <w:rFonts w:hint="eastAsia" w:hAnsi="宋体" w:cs="宋体"/>
                <w:color w:val="auto"/>
                <w:szCs w:val="21"/>
              </w:rPr>
            </w:pPr>
            <w:r>
              <w:rPr>
                <w:rFonts w:hint="default" w:hAnsi="宋体" w:cs="宋体"/>
                <w:color w:val="auto"/>
                <w:szCs w:val="21"/>
                <w:lang w:val="en-US" w:eastAsia="zh-CN"/>
              </w:rPr>
              <w:t>39.45</w:t>
            </w:r>
            <w:r>
              <w:rPr>
                <w:rFonts w:hint="eastAsia" w:hAnsi="宋体" w:cs="宋体"/>
                <w:color w:val="auto"/>
                <w:szCs w:val="21"/>
              </w:rPr>
              <w:t>t/a</w:t>
            </w:r>
          </w:p>
        </w:tc>
        <w:tc>
          <w:tcPr>
            <w:tcW w:w="1622" w:type="dxa"/>
            <w:vAlign w:val="center"/>
          </w:tcPr>
          <w:p>
            <w:pPr>
              <w:pStyle w:val="51"/>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w:t>
            </w:r>
          </w:p>
        </w:tc>
        <w:tc>
          <w:tcPr>
            <w:tcW w:w="1787" w:type="dxa"/>
            <w:vAlign w:val="center"/>
          </w:tcPr>
          <w:p>
            <w:pPr>
              <w:pStyle w:val="51"/>
              <w:keepNext w:val="0"/>
              <w:keepLines w:val="0"/>
              <w:suppressLineNumbers w:val="0"/>
              <w:spacing w:before="0" w:beforeLines="0" w:beforeAutospacing="0" w:after="0" w:afterLines="0" w:afterAutospacing="0" w:line="240" w:lineRule="auto"/>
              <w:ind w:left="0" w:right="0" w:firstLine="420" w:firstLineChars="200"/>
              <w:jc w:val="both"/>
              <w:rPr>
                <w:rFonts w:hint="eastAsia" w:hAnsi="宋体" w:cs="宋体"/>
                <w:color w:val="auto"/>
                <w:szCs w:val="21"/>
              </w:rPr>
            </w:pPr>
            <w:r>
              <w:rPr>
                <w:rFonts w:hint="default" w:hAnsi="宋体" w:cs="宋体"/>
                <w:color w:val="auto"/>
                <w:szCs w:val="21"/>
                <w:lang w:val="en-US" w:eastAsia="zh-CN"/>
              </w:rPr>
              <w:t>39.45</w:t>
            </w:r>
            <w:r>
              <w:rPr>
                <w:rFonts w:hint="eastAsia" w:hAnsi="宋体" w:cs="宋体"/>
                <w:color w:val="auto"/>
                <w:szCs w:val="21"/>
              </w:rPr>
              <w:t>t/a</w:t>
            </w:r>
          </w:p>
        </w:tc>
        <w:tc>
          <w:tcPr>
            <w:tcW w:w="1793" w:type="dxa"/>
            <w:vAlign w:val="center"/>
          </w:tcPr>
          <w:p>
            <w:pPr>
              <w:pStyle w:val="51"/>
              <w:keepNext w:val="0"/>
              <w:keepLines w:val="0"/>
              <w:suppressLineNumbers w:val="0"/>
              <w:spacing w:before="0" w:beforeLines="0" w:beforeAutospacing="0" w:after="0" w:afterLines="0" w:afterAutospacing="0" w:line="240" w:lineRule="auto"/>
              <w:ind w:left="0" w:right="0"/>
              <w:rPr>
                <w:rFonts w:hint="eastAsia" w:hAnsi="宋体" w:cs="宋体"/>
                <w:color w:val="auto"/>
                <w:szCs w:val="21"/>
              </w:rPr>
            </w:pPr>
            <w:r>
              <w:rPr>
                <w:rFonts w:hint="eastAsia" w:hAnsi="宋体" w:cs="宋体"/>
                <w:color w:val="auto"/>
                <w:szCs w:val="21"/>
                <w:lang w:val="en-US" w:eastAsia="zh-CN"/>
              </w:rPr>
              <w:t>+</w:t>
            </w:r>
            <w:r>
              <w:rPr>
                <w:rFonts w:hint="default" w:hAnsi="宋体" w:cs="宋体"/>
                <w:color w:val="auto"/>
                <w:szCs w:val="21"/>
                <w:lang w:val="en-US" w:eastAsia="zh-CN"/>
              </w:rPr>
              <w:t>39.45</w:t>
            </w:r>
            <w:r>
              <w:rPr>
                <w:rFonts w:hint="eastAsia" w:hAnsi="宋体" w:cs="宋体"/>
                <w:color w:val="auto"/>
                <w:szCs w:val="21"/>
              </w:rPr>
              <w:t>t/a</w:t>
            </w:r>
          </w:p>
        </w:tc>
      </w:tr>
    </w:tbl>
    <w:p>
      <w:pPr>
        <w:pStyle w:val="51"/>
        <w:spacing w:before="249" w:beforeLines="80" w:after="31"/>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rPr>
          <w:color w:val="auto"/>
        </w:rPr>
      </w:pPr>
    </w:p>
    <w:p>
      <w:pPr>
        <w:rPr>
          <w:rFonts w:eastAsia="黑体"/>
          <w:color w:val="auto"/>
        </w:rPr>
      </w:pPr>
    </w:p>
    <w:sectPr>
      <w:pgSz w:w="16838" w:h="11906" w:orient="landscape"/>
      <w:pgMar w:top="1531" w:right="1304" w:bottom="1134" w:left="130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ingLiU">
    <w:altName w:val="Microsoft JhengHei"/>
    <w:panose1 w:val="02020509000000000000"/>
    <w:charset w:val="88"/>
    <w:family w:val="modern"/>
    <w:pitch w:val="default"/>
    <w:sig w:usb0="00000000" w:usb1="00000000" w:usb2="00000016" w:usb3="00000000" w:csb0="00100001" w:csb1="00000000"/>
  </w:font>
  <w:font w:name="Traditional Arabic">
    <w:panose1 w:val="02020603050405020304"/>
    <w:charset w:val="00"/>
    <w:family w:val="roman"/>
    <w:pitch w:val="default"/>
    <w:sig w:usb0="00006003" w:usb1="80000000" w:usb2="00000008" w:usb3="00000000" w:csb0="00000041" w:csb1="200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55</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pPr>
      <w:pStyle w:val="1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58</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37B7B"/>
    <w:multiLevelType w:val="singleLevel"/>
    <w:tmpl w:val="8DD37B7B"/>
    <w:lvl w:ilvl="0" w:tentative="0">
      <w:start w:val="5"/>
      <w:numFmt w:val="decimal"/>
      <w:suff w:val="nothing"/>
      <w:lvlText w:val="（%1）"/>
      <w:lvlJc w:val="left"/>
    </w:lvl>
  </w:abstractNum>
  <w:abstractNum w:abstractNumId="1">
    <w:nsid w:val="F75C6923"/>
    <w:multiLevelType w:val="singleLevel"/>
    <w:tmpl w:val="F75C6923"/>
    <w:lvl w:ilvl="0" w:tentative="0">
      <w:start w:val="1"/>
      <w:numFmt w:val="decimal"/>
      <w:suff w:val="nothing"/>
      <w:lvlText w:val="%1、"/>
      <w:lvlJc w:val="left"/>
    </w:lvl>
  </w:abstractNum>
  <w:abstractNum w:abstractNumId="2">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3">
    <w:nsid w:val="2F0D04AA"/>
    <w:multiLevelType w:val="singleLevel"/>
    <w:tmpl w:val="2F0D04A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xDMxI/jsa6TIQyCAMpjwcuC7Xr4=" w:salt="3jepTt0kvhhw8fFibZxysg=="/>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2VhNWI3Y2NlNTRmOTViMzQ3N2IwZDJiZGVlNWMifQ=="/>
  </w:docVars>
  <w:rsids>
    <w:rsidRoot w:val="00172A27"/>
    <w:rsid w:val="0000209B"/>
    <w:rsid w:val="00003B43"/>
    <w:rsid w:val="00003FC8"/>
    <w:rsid w:val="000060B3"/>
    <w:rsid w:val="00013334"/>
    <w:rsid w:val="00014154"/>
    <w:rsid w:val="00015F31"/>
    <w:rsid w:val="000178ED"/>
    <w:rsid w:val="00017C54"/>
    <w:rsid w:val="00020E17"/>
    <w:rsid w:val="0002233C"/>
    <w:rsid w:val="0002277C"/>
    <w:rsid w:val="000227D0"/>
    <w:rsid w:val="00024346"/>
    <w:rsid w:val="0002791D"/>
    <w:rsid w:val="00041B12"/>
    <w:rsid w:val="00041C75"/>
    <w:rsid w:val="0004364B"/>
    <w:rsid w:val="00045763"/>
    <w:rsid w:val="000509C0"/>
    <w:rsid w:val="00050FF2"/>
    <w:rsid w:val="0005373E"/>
    <w:rsid w:val="0005416C"/>
    <w:rsid w:val="00056ACC"/>
    <w:rsid w:val="0006004D"/>
    <w:rsid w:val="0006074B"/>
    <w:rsid w:val="00061B1F"/>
    <w:rsid w:val="0006361A"/>
    <w:rsid w:val="000701D0"/>
    <w:rsid w:val="00071FC8"/>
    <w:rsid w:val="00072218"/>
    <w:rsid w:val="00072AFB"/>
    <w:rsid w:val="00072D47"/>
    <w:rsid w:val="000733C4"/>
    <w:rsid w:val="00074783"/>
    <w:rsid w:val="00076791"/>
    <w:rsid w:val="0008070B"/>
    <w:rsid w:val="000810AC"/>
    <w:rsid w:val="00081A02"/>
    <w:rsid w:val="00081E91"/>
    <w:rsid w:val="00082231"/>
    <w:rsid w:val="000828B6"/>
    <w:rsid w:val="00091151"/>
    <w:rsid w:val="00092D38"/>
    <w:rsid w:val="0009377B"/>
    <w:rsid w:val="00093799"/>
    <w:rsid w:val="000954B9"/>
    <w:rsid w:val="000963F3"/>
    <w:rsid w:val="000A20C9"/>
    <w:rsid w:val="000A34C1"/>
    <w:rsid w:val="000A43CF"/>
    <w:rsid w:val="000A454E"/>
    <w:rsid w:val="000A473A"/>
    <w:rsid w:val="000B058F"/>
    <w:rsid w:val="000B12B3"/>
    <w:rsid w:val="000B4467"/>
    <w:rsid w:val="000B4DB9"/>
    <w:rsid w:val="000C09AC"/>
    <w:rsid w:val="000C2052"/>
    <w:rsid w:val="000C47C8"/>
    <w:rsid w:val="000C5526"/>
    <w:rsid w:val="000C767F"/>
    <w:rsid w:val="000D012B"/>
    <w:rsid w:val="000D38C4"/>
    <w:rsid w:val="000D3E7D"/>
    <w:rsid w:val="000D4255"/>
    <w:rsid w:val="000D48F8"/>
    <w:rsid w:val="000D5A44"/>
    <w:rsid w:val="000E10E9"/>
    <w:rsid w:val="000E3ED2"/>
    <w:rsid w:val="000E7082"/>
    <w:rsid w:val="000E734E"/>
    <w:rsid w:val="000F21D7"/>
    <w:rsid w:val="000F6956"/>
    <w:rsid w:val="0011012D"/>
    <w:rsid w:val="00113C6B"/>
    <w:rsid w:val="00115BC0"/>
    <w:rsid w:val="00117411"/>
    <w:rsid w:val="00120A2E"/>
    <w:rsid w:val="001231B1"/>
    <w:rsid w:val="00123549"/>
    <w:rsid w:val="001247EA"/>
    <w:rsid w:val="00124B76"/>
    <w:rsid w:val="00131A0C"/>
    <w:rsid w:val="00131F42"/>
    <w:rsid w:val="00134672"/>
    <w:rsid w:val="001357F1"/>
    <w:rsid w:val="00136826"/>
    <w:rsid w:val="00140A14"/>
    <w:rsid w:val="00140FA8"/>
    <w:rsid w:val="0014269D"/>
    <w:rsid w:val="00142FEB"/>
    <w:rsid w:val="001439E7"/>
    <w:rsid w:val="00143A2D"/>
    <w:rsid w:val="00145A41"/>
    <w:rsid w:val="00151675"/>
    <w:rsid w:val="00152E36"/>
    <w:rsid w:val="001530C2"/>
    <w:rsid w:val="00157435"/>
    <w:rsid w:val="001603D1"/>
    <w:rsid w:val="00161BCA"/>
    <w:rsid w:val="0017163F"/>
    <w:rsid w:val="00174038"/>
    <w:rsid w:val="0017504D"/>
    <w:rsid w:val="00175A16"/>
    <w:rsid w:val="0017671A"/>
    <w:rsid w:val="00177123"/>
    <w:rsid w:val="00177422"/>
    <w:rsid w:val="00177B7C"/>
    <w:rsid w:val="00180AA5"/>
    <w:rsid w:val="00182F50"/>
    <w:rsid w:val="00183D5F"/>
    <w:rsid w:val="00184590"/>
    <w:rsid w:val="001867FE"/>
    <w:rsid w:val="001870D1"/>
    <w:rsid w:val="0018781E"/>
    <w:rsid w:val="001923D4"/>
    <w:rsid w:val="0019262D"/>
    <w:rsid w:val="00192856"/>
    <w:rsid w:val="00195D07"/>
    <w:rsid w:val="00196991"/>
    <w:rsid w:val="001A1B35"/>
    <w:rsid w:val="001A1CAF"/>
    <w:rsid w:val="001A254F"/>
    <w:rsid w:val="001A2968"/>
    <w:rsid w:val="001A37A9"/>
    <w:rsid w:val="001A48A2"/>
    <w:rsid w:val="001A6F61"/>
    <w:rsid w:val="001B0237"/>
    <w:rsid w:val="001B119B"/>
    <w:rsid w:val="001B3D85"/>
    <w:rsid w:val="001B6BFF"/>
    <w:rsid w:val="001B72B8"/>
    <w:rsid w:val="001C174F"/>
    <w:rsid w:val="001C1A40"/>
    <w:rsid w:val="001C1ABA"/>
    <w:rsid w:val="001C3DB9"/>
    <w:rsid w:val="001C69B3"/>
    <w:rsid w:val="001D034F"/>
    <w:rsid w:val="001D4470"/>
    <w:rsid w:val="001D5595"/>
    <w:rsid w:val="001D6119"/>
    <w:rsid w:val="001D734D"/>
    <w:rsid w:val="001D7874"/>
    <w:rsid w:val="001D7F22"/>
    <w:rsid w:val="001E06D8"/>
    <w:rsid w:val="001E0B69"/>
    <w:rsid w:val="001E4017"/>
    <w:rsid w:val="001E5DC6"/>
    <w:rsid w:val="001E7F85"/>
    <w:rsid w:val="001F0F17"/>
    <w:rsid w:val="001F14F6"/>
    <w:rsid w:val="001F1F16"/>
    <w:rsid w:val="001F3347"/>
    <w:rsid w:val="001F69E4"/>
    <w:rsid w:val="001F79D8"/>
    <w:rsid w:val="00201139"/>
    <w:rsid w:val="00203B4C"/>
    <w:rsid w:val="00205A8E"/>
    <w:rsid w:val="002125B4"/>
    <w:rsid w:val="0021301C"/>
    <w:rsid w:val="002155B8"/>
    <w:rsid w:val="00215C43"/>
    <w:rsid w:val="00216D39"/>
    <w:rsid w:val="00221B35"/>
    <w:rsid w:val="00222B05"/>
    <w:rsid w:val="00224839"/>
    <w:rsid w:val="002249B2"/>
    <w:rsid w:val="00226574"/>
    <w:rsid w:val="0022710F"/>
    <w:rsid w:val="002278EC"/>
    <w:rsid w:val="00231F6A"/>
    <w:rsid w:val="0023280E"/>
    <w:rsid w:val="00233B99"/>
    <w:rsid w:val="002377D1"/>
    <w:rsid w:val="00243243"/>
    <w:rsid w:val="002442DE"/>
    <w:rsid w:val="00244686"/>
    <w:rsid w:val="00247831"/>
    <w:rsid w:val="00247CDC"/>
    <w:rsid w:val="002506B0"/>
    <w:rsid w:val="002506BC"/>
    <w:rsid w:val="00252730"/>
    <w:rsid w:val="00254345"/>
    <w:rsid w:val="0025608E"/>
    <w:rsid w:val="0026005E"/>
    <w:rsid w:val="002612DA"/>
    <w:rsid w:val="002621DD"/>
    <w:rsid w:val="00264557"/>
    <w:rsid w:val="0026492A"/>
    <w:rsid w:val="00265174"/>
    <w:rsid w:val="00266F05"/>
    <w:rsid w:val="00274724"/>
    <w:rsid w:val="00274F7B"/>
    <w:rsid w:val="002766AD"/>
    <w:rsid w:val="002805AB"/>
    <w:rsid w:val="00283543"/>
    <w:rsid w:val="00284204"/>
    <w:rsid w:val="00291773"/>
    <w:rsid w:val="00292422"/>
    <w:rsid w:val="00295346"/>
    <w:rsid w:val="00295D58"/>
    <w:rsid w:val="00297EA2"/>
    <w:rsid w:val="002A168C"/>
    <w:rsid w:val="002A1AA7"/>
    <w:rsid w:val="002A2794"/>
    <w:rsid w:val="002A2B0C"/>
    <w:rsid w:val="002A321C"/>
    <w:rsid w:val="002A3DC7"/>
    <w:rsid w:val="002A5115"/>
    <w:rsid w:val="002A5522"/>
    <w:rsid w:val="002B02DA"/>
    <w:rsid w:val="002B1DF7"/>
    <w:rsid w:val="002B49E2"/>
    <w:rsid w:val="002B742A"/>
    <w:rsid w:val="002B7B00"/>
    <w:rsid w:val="002B7C44"/>
    <w:rsid w:val="002C1308"/>
    <w:rsid w:val="002C14E5"/>
    <w:rsid w:val="002C2B17"/>
    <w:rsid w:val="002C3A81"/>
    <w:rsid w:val="002C7B37"/>
    <w:rsid w:val="002D23EC"/>
    <w:rsid w:val="002D3DD0"/>
    <w:rsid w:val="002D7E9D"/>
    <w:rsid w:val="002E1F3A"/>
    <w:rsid w:val="002E225D"/>
    <w:rsid w:val="002E298A"/>
    <w:rsid w:val="002E5A5E"/>
    <w:rsid w:val="002F423A"/>
    <w:rsid w:val="002F5F8F"/>
    <w:rsid w:val="002F5FAA"/>
    <w:rsid w:val="002F69BF"/>
    <w:rsid w:val="00301978"/>
    <w:rsid w:val="0030301D"/>
    <w:rsid w:val="0030332C"/>
    <w:rsid w:val="003048F5"/>
    <w:rsid w:val="00304E84"/>
    <w:rsid w:val="003051C2"/>
    <w:rsid w:val="00312296"/>
    <w:rsid w:val="003122B9"/>
    <w:rsid w:val="00314F0E"/>
    <w:rsid w:val="00315914"/>
    <w:rsid w:val="00315B7F"/>
    <w:rsid w:val="00320056"/>
    <w:rsid w:val="00321D8E"/>
    <w:rsid w:val="00325928"/>
    <w:rsid w:val="003277FE"/>
    <w:rsid w:val="00332805"/>
    <w:rsid w:val="00332863"/>
    <w:rsid w:val="00333B07"/>
    <w:rsid w:val="0033684D"/>
    <w:rsid w:val="00336B1E"/>
    <w:rsid w:val="0033753B"/>
    <w:rsid w:val="00337B42"/>
    <w:rsid w:val="00341B42"/>
    <w:rsid w:val="0034348F"/>
    <w:rsid w:val="003437EB"/>
    <w:rsid w:val="00356653"/>
    <w:rsid w:val="0035743F"/>
    <w:rsid w:val="00357B64"/>
    <w:rsid w:val="00357BE2"/>
    <w:rsid w:val="0036170C"/>
    <w:rsid w:val="00361D99"/>
    <w:rsid w:val="00363955"/>
    <w:rsid w:val="00366E0F"/>
    <w:rsid w:val="003751C2"/>
    <w:rsid w:val="00375686"/>
    <w:rsid w:val="00376A14"/>
    <w:rsid w:val="00381A72"/>
    <w:rsid w:val="00382810"/>
    <w:rsid w:val="00384676"/>
    <w:rsid w:val="003856F0"/>
    <w:rsid w:val="00390857"/>
    <w:rsid w:val="00390D64"/>
    <w:rsid w:val="0039652D"/>
    <w:rsid w:val="00396DB3"/>
    <w:rsid w:val="003A0483"/>
    <w:rsid w:val="003A4BF3"/>
    <w:rsid w:val="003A6500"/>
    <w:rsid w:val="003A670D"/>
    <w:rsid w:val="003B420D"/>
    <w:rsid w:val="003B5045"/>
    <w:rsid w:val="003B5BA2"/>
    <w:rsid w:val="003C1681"/>
    <w:rsid w:val="003C2664"/>
    <w:rsid w:val="003C5C36"/>
    <w:rsid w:val="003C6947"/>
    <w:rsid w:val="003C6C16"/>
    <w:rsid w:val="003C7CB9"/>
    <w:rsid w:val="003D3CEB"/>
    <w:rsid w:val="003D6814"/>
    <w:rsid w:val="003D794D"/>
    <w:rsid w:val="003E13F2"/>
    <w:rsid w:val="003E2430"/>
    <w:rsid w:val="003E29FE"/>
    <w:rsid w:val="003E3058"/>
    <w:rsid w:val="003E41CA"/>
    <w:rsid w:val="003E6293"/>
    <w:rsid w:val="003E76A9"/>
    <w:rsid w:val="003F0179"/>
    <w:rsid w:val="003F0809"/>
    <w:rsid w:val="003F3AB5"/>
    <w:rsid w:val="003F4095"/>
    <w:rsid w:val="003F6A8C"/>
    <w:rsid w:val="003F755C"/>
    <w:rsid w:val="003F77BD"/>
    <w:rsid w:val="00400271"/>
    <w:rsid w:val="00404C61"/>
    <w:rsid w:val="00406F01"/>
    <w:rsid w:val="00414BE1"/>
    <w:rsid w:val="00416D50"/>
    <w:rsid w:val="00416FD5"/>
    <w:rsid w:val="00417772"/>
    <w:rsid w:val="00420E6A"/>
    <w:rsid w:val="004232F7"/>
    <w:rsid w:val="00425A9E"/>
    <w:rsid w:val="00426D6B"/>
    <w:rsid w:val="00427B7C"/>
    <w:rsid w:val="00431785"/>
    <w:rsid w:val="00431E6C"/>
    <w:rsid w:val="0043249F"/>
    <w:rsid w:val="004324CA"/>
    <w:rsid w:val="004335D1"/>
    <w:rsid w:val="00433CE7"/>
    <w:rsid w:val="00436F80"/>
    <w:rsid w:val="00440E25"/>
    <w:rsid w:val="00441EC0"/>
    <w:rsid w:val="004426AF"/>
    <w:rsid w:val="00446CB2"/>
    <w:rsid w:val="004476D4"/>
    <w:rsid w:val="0045128E"/>
    <w:rsid w:val="00451530"/>
    <w:rsid w:val="00451E0A"/>
    <w:rsid w:val="0045270F"/>
    <w:rsid w:val="00452738"/>
    <w:rsid w:val="00456091"/>
    <w:rsid w:val="00456AB1"/>
    <w:rsid w:val="00457250"/>
    <w:rsid w:val="0045748E"/>
    <w:rsid w:val="00466321"/>
    <w:rsid w:val="00467AB8"/>
    <w:rsid w:val="00467D74"/>
    <w:rsid w:val="0047032D"/>
    <w:rsid w:val="00471FC4"/>
    <w:rsid w:val="004735BF"/>
    <w:rsid w:val="00475071"/>
    <w:rsid w:val="00484B9B"/>
    <w:rsid w:val="0048559D"/>
    <w:rsid w:val="004855F6"/>
    <w:rsid w:val="0048661E"/>
    <w:rsid w:val="00486FA3"/>
    <w:rsid w:val="0049085E"/>
    <w:rsid w:val="004936E7"/>
    <w:rsid w:val="00494670"/>
    <w:rsid w:val="0049607D"/>
    <w:rsid w:val="00496472"/>
    <w:rsid w:val="004965A6"/>
    <w:rsid w:val="0049751E"/>
    <w:rsid w:val="004A0A9E"/>
    <w:rsid w:val="004A2616"/>
    <w:rsid w:val="004A3823"/>
    <w:rsid w:val="004A40EC"/>
    <w:rsid w:val="004A5802"/>
    <w:rsid w:val="004A6906"/>
    <w:rsid w:val="004A73A2"/>
    <w:rsid w:val="004A7831"/>
    <w:rsid w:val="004B2DE1"/>
    <w:rsid w:val="004B5A82"/>
    <w:rsid w:val="004C1C36"/>
    <w:rsid w:val="004C2FE9"/>
    <w:rsid w:val="004C435F"/>
    <w:rsid w:val="004C5FFF"/>
    <w:rsid w:val="004E08F2"/>
    <w:rsid w:val="004E2726"/>
    <w:rsid w:val="004E468B"/>
    <w:rsid w:val="004E6946"/>
    <w:rsid w:val="004F15FF"/>
    <w:rsid w:val="004F1AD8"/>
    <w:rsid w:val="00500F8E"/>
    <w:rsid w:val="00501EEB"/>
    <w:rsid w:val="00503447"/>
    <w:rsid w:val="005039CB"/>
    <w:rsid w:val="005048CC"/>
    <w:rsid w:val="00504CCC"/>
    <w:rsid w:val="00504DBC"/>
    <w:rsid w:val="0050558F"/>
    <w:rsid w:val="00506286"/>
    <w:rsid w:val="00507E7B"/>
    <w:rsid w:val="00510813"/>
    <w:rsid w:val="00511990"/>
    <w:rsid w:val="00511DE0"/>
    <w:rsid w:val="00514870"/>
    <w:rsid w:val="00514B9B"/>
    <w:rsid w:val="00516EB1"/>
    <w:rsid w:val="00517F02"/>
    <w:rsid w:val="00520AF3"/>
    <w:rsid w:val="00524303"/>
    <w:rsid w:val="005258A2"/>
    <w:rsid w:val="005258F9"/>
    <w:rsid w:val="00530E9A"/>
    <w:rsid w:val="00532EA5"/>
    <w:rsid w:val="00533C6A"/>
    <w:rsid w:val="005356C6"/>
    <w:rsid w:val="005401AE"/>
    <w:rsid w:val="005409FB"/>
    <w:rsid w:val="00541766"/>
    <w:rsid w:val="005421CA"/>
    <w:rsid w:val="00542E07"/>
    <w:rsid w:val="00543319"/>
    <w:rsid w:val="00543FEC"/>
    <w:rsid w:val="00544E27"/>
    <w:rsid w:val="00545424"/>
    <w:rsid w:val="00554A7B"/>
    <w:rsid w:val="0055572C"/>
    <w:rsid w:val="005575CA"/>
    <w:rsid w:val="0056106A"/>
    <w:rsid w:val="00561942"/>
    <w:rsid w:val="005646CC"/>
    <w:rsid w:val="00565DC2"/>
    <w:rsid w:val="00566D6D"/>
    <w:rsid w:val="00567168"/>
    <w:rsid w:val="00571DBC"/>
    <w:rsid w:val="005720AE"/>
    <w:rsid w:val="005723BD"/>
    <w:rsid w:val="0058334C"/>
    <w:rsid w:val="005919B9"/>
    <w:rsid w:val="00594D77"/>
    <w:rsid w:val="005969E4"/>
    <w:rsid w:val="005A06B7"/>
    <w:rsid w:val="005A1759"/>
    <w:rsid w:val="005A1CF8"/>
    <w:rsid w:val="005A38B0"/>
    <w:rsid w:val="005A62CB"/>
    <w:rsid w:val="005A68A7"/>
    <w:rsid w:val="005A7F14"/>
    <w:rsid w:val="005B16CE"/>
    <w:rsid w:val="005B4DE7"/>
    <w:rsid w:val="005B6176"/>
    <w:rsid w:val="005C04D4"/>
    <w:rsid w:val="005C198D"/>
    <w:rsid w:val="005C5133"/>
    <w:rsid w:val="005D03C5"/>
    <w:rsid w:val="005D1C85"/>
    <w:rsid w:val="005D3361"/>
    <w:rsid w:val="005D36AB"/>
    <w:rsid w:val="005D583E"/>
    <w:rsid w:val="005E1BBF"/>
    <w:rsid w:val="005E635F"/>
    <w:rsid w:val="005F007D"/>
    <w:rsid w:val="005F1424"/>
    <w:rsid w:val="005F51E2"/>
    <w:rsid w:val="00601127"/>
    <w:rsid w:val="00601B02"/>
    <w:rsid w:val="006061DA"/>
    <w:rsid w:val="00607A2E"/>
    <w:rsid w:val="006123A3"/>
    <w:rsid w:val="0061320C"/>
    <w:rsid w:val="00617CC3"/>
    <w:rsid w:val="00620455"/>
    <w:rsid w:val="00620FFF"/>
    <w:rsid w:val="00622665"/>
    <w:rsid w:val="00623940"/>
    <w:rsid w:val="0062587C"/>
    <w:rsid w:val="00630936"/>
    <w:rsid w:val="00632DAD"/>
    <w:rsid w:val="006377A6"/>
    <w:rsid w:val="00637A3D"/>
    <w:rsid w:val="00637C96"/>
    <w:rsid w:val="006411EF"/>
    <w:rsid w:val="006417A4"/>
    <w:rsid w:val="006419AB"/>
    <w:rsid w:val="00643771"/>
    <w:rsid w:val="00651EEF"/>
    <w:rsid w:val="00654311"/>
    <w:rsid w:val="00661A65"/>
    <w:rsid w:val="006620D8"/>
    <w:rsid w:val="006628A8"/>
    <w:rsid w:val="0066662F"/>
    <w:rsid w:val="00666AE3"/>
    <w:rsid w:val="00673FD1"/>
    <w:rsid w:val="006748B8"/>
    <w:rsid w:val="006775C3"/>
    <w:rsid w:val="006804C7"/>
    <w:rsid w:val="00681BE1"/>
    <w:rsid w:val="006827D9"/>
    <w:rsid w:val="00683EDF"/>
    <w:rsid w:val="00683F0B"/>
    <w:rsid w:val="006853DA"/>
    <w:rsid w:val="0068711A"/>
    <w:rsid w:val="00687A08"/>
    <w:rsid w:val="0069290A"/>
    <w:rsid w:val="006942BF"/>
    <w:rsid w:val="00694CC9"/>
    <w:rsid w:val="00695FB1"/>
    <w:rsid w:val="0069689A"/>
    <w:rsid w:val="0069775A"/>
    <w:rsid w:val="00697813"/>
    <w:rsid w:val="006A26CE"/>
    <w:rsid w:val="006A3EE8"/>
    <w:rsid w:val="006A6875"/>
    <w:rsid w:val="006A7033"/>
    <w:rsid w:val="006A72BF"/>
    <w:rsid w:val="006A762D"/>
    <w:rsid w:val="006B03F2"/>
    <w:rsid w:val="006B128E"/>
    <w:rsid w:val="006B37DC"/>
    <w:rsid w:val="006B4F68"/>
    <w:rsid w:val="006B5154"/>
    <w:rsid w:val="006C0592"/>
    <w:rsid w:val="006C0813"/>
    <w:rsid w:val="006C1BC9"/>
    <w:rsid w:val="006C1C06"/>
    <w:rsid w:val="006C21E7"/>
    <w:rsid w:val="006C272E"/>
    <w:rsid w:val="006C3020"/>
    <w:rsid w:val="006C388B"/>
    <w:rsid w:val="006C3A3B"/>
    <w:rsid w:val="006C5479"/>
    <w:rsid w:val="006D13B5"/>
    <w:rsid w:val="006D4166"/>
    <w:rsid w:val="006D76A1"/>
    <w:rsid w:val="006E04B5"/>
    <w:rsid w:val="006E12FF"/>
    <w:rsid w:val="006E1812"/>
    <w:rsid w:val="006E1855"/>
    <w:rsid w:val="006E1A10"/>
    <w:rsid w:val="006E23C7"/>
    <w:rsid w:val="006E2C2F"/>
    <w:rsid w:val="006E446E"/>
    <w:rsid w:val="006E607E"/>
    <w:rsid w:val="006E71AB"/>
    <w:rsid w:val="006E7EF6"/>
    <w:rsid w:val="006F2159"/>
    <w:rsid w:val="006F6C18"/>
    <w:rsid w:val="0070079F"/>
    <w:rsid w:val="00701AB1"/>
    <w:rsid w:val="007028DC"/>
    <w:rsid w:val="007062E4"/>
    <w:rsid w:val="00706C5D"/>
    <w:rsid w:val="00707AAB"/>
    <w:rsid w:val="00707F19"/>
    <w:rsid w:val="00712ABB"/>
    <w:rsid w:val="00715A93"/>
    <w:rsid w:val="00716114"/>
    <w:rsid w:val="007170C8"/>
    <w:rsid w:val="007177E8"/>
    <w:rsid w:val="00723652"/>
    <w:rsid w:val="00730EE3"/>
    <w:rsid w:val="00732922"/>
    <w:rsid w:val="00732E8F"/>
    <w:rsid w:val="00733624"/>
    <w:rsid w:val="007368C9"/>
    <w:rsid w:val="00737586"/>
    <w:rsid w:val="00743C88"/>
    <w:rsid w:val="00744A99"/>
    <w:rsid w:val="0074519B"/>
    <w:rsid w:val="0075162E"/>
    <w:rsid w:val="00751A04"/>
    <w:rsid w:val="00754034"/>
    <w:rsid w:val="007551D1"/>
    <w:rsid w:val="00756556"/>
    <w:rsid w:val="007618C4"/>
    <w:rsid w:val="007622CD"/>
    <w:rsid w:val="0076418A"/>
    <w:rsid w:val="00764405"/>
    <w:rsid w:val="00767980"/>
    <w:rsid w:val="00770316"/>
    <w:rsid w:val="00770B19"/>
    <w:rsid w:val="007726F6"/>
    <w:rsid w:val="00772E0E"/>
    <w:rsid w:val="0077463F"/>
    <w:rsid w:val="007836EA"/>
    <w:rsid w:val="00783C4C"/>
    <w:rsid w:val="00784CDA"/>
    <w:rsid w:val="00786CA0"/>
    <w:rsid w:val="0078768E"/>
    <w:rsid w:val="007906C4"/>
    <w:rsid w:val="00793341"/>
    <w:rsid w:val="00793632"/>
    <w:rsid w:val="007940EA"/>
    <w:rsid w:val="007967E8"/>
    <w:rsid w:val="007A2170"/>
    <w:rsid w:val="007A22BF"/>
    <w:rsid w:val="007A3323"/>
    <w:rsid w:val="007A5730"/>
    <w:rsid w:val="007A7127"/>
    <w:rsid w:val="007B3500"/>
    <w:rsid w:val="007B53DC"/>
    <w:rsid w:val="007B6248"/>
    <w:rsid w:val="007B66B5"/>
    <w:rsid w:val="007B72B8"/>
    <w:rsid w:val="007B7959"/>
    <w:rsid w:val="007B7A58"/>
    <w:rsid w:val="007C040F"/>
    <w:rsid w:val="007C1026"/>
    <w:rsid w:val="007C21B5"/>
    <w:rsid w:val="007C387B"/>
    <w:rsid w:val="007C4311"/>
    <w:rsid w:val="007C73D6"/>
    <w:rsid w:val="007C78AB"/>
    <w:rsid w:val="007D59A0"/>
    <w:rsid w:val="007E0100"/>
    <w:rsid w:val="007E174A"/>
    <w:rsid w:val="007E4BD2"/>
    <w:rsid w:val="007E668B"/>
    <w:rsid w:val="007E6F7E"/>
    <w:rsid w:val="007F01EB"/>
    <w:rsid w:val="007F11BB"/>
    <w:rsid w:val="007F5FEA"/>
    <w:rsid w:val="00801393"/>
    <w:rsid w:val="008018DE"/>
    <w:rsid w:val="00802F88"/>
    <w:rsid w:val="0080605F"/>
    <w:rsid w:val="0080795B"/>
    <w:rsid w:val="0081022A"/>
    <w:rsid w:val="0081293E"/>
    <w:rsid w:val="0081427E"/>
    <w:rsid w:val="00815465"/>
    <w:rsid w:val="008162CA"/>
    <w:rsid w:val="008164C2"/>
    <w:rsid w:val="00817E9A"/>
    <w:rsid w:val="00817FBB"/>
    <w:rsid w:val="00822A9A"/>
    <w:rsid w:val="00823543"/>
    <w:rsid w:val="0083050D"/>
    <w:rsid w:val="008306BD"/>
    <w:rsid w:val="00831A80"/>
    <w:rsid w:val="00833743"/>
    <w:rsid w:val="008340A4"/>
    <w:rsid w:val="0083543C"/>
    <w:rsid w:val="00835EC3"/>
    <w:rsid w:val="00840B95"/>
    <w:rsid w:val="008413AD"/>
    <w:rsid w:val="00843A04"/>
    <w:rsid w:val="00852FB9"/>
    <w:rsid w:val="00853AC0"/>
    <w:rsid w:val="008609E2"/>
    <w:rsid w:val="008611C6"/>
    <w:rsid w:val="0086197B"/>
    <w:rsid w:val="00865656"/>
    <w:rsid w:val="0087135F"/>
    <w:rsid w:val="008719BF"/>
    <w:rsid w:val="008721A2"/>
    <w:rsid w:val="00872BA5"/>
    <w:rsid w:val="00872D94"/>
    <w:rsid w:val="008733DC"/>
    <w:rsid w:val="00877009"/>
    <w:rsid w:val="00877CF5"/>
    <w:rsid w:val="00880364"/>
    <w:rsid w:val="00881AB3"/>
    <w:rsid w:val="0088308F"/>
    <w:rsid w:val="00887B9B"/>
    <w:rsid w:val="00891592"/>
    <w:rsid w:val="00891E9E"/>
    <w:rsid w:val="00895194"/>
    <w:rsid w:val="00895ED5"/>
    <w:rsid w:val="008A2F68"/>
    <w:rsid w:val="008B0BD5"/>
    <w:rsid w:val="008B0C3A"/>
    <w:rsid w:val="008B1A6D"/>
    <w:rsid w:val="008B1F99"/>
    <w:rsid w:val="008B4FA6"/>
    <w:rsid w:val="008B5150"/>
    <w:rsid w:val="008B5282"/>
    <w:rsid w:val="008B5736"/>
    <w:rsid w:val="008B614F"/>
    <w:rsid w:val="008B7C17"/>
    <w:rsid w:val="008C2421"/>
    <w:rsid w:val="008C2D01"/>
    <w:rsid w:val="008C40E6"/>
    <w:rsid w:val="008C4E97"/>
    <w:rsid w:val="008D0F7A"/>
    <w:rsid w:val="008D4F3C"/>
    <w:rsid w:val="008D5427"/>
    <w:rsid w:val="008D63A8"/>
    <w:rsid w:val="008D68E4"/>
    <w:rsid w:val="008E0438"/>
    <w:rsid w:val="008E0506"/>
    <w:rsid w:val="008E0CFF"/>
    <w:rsid w:val="008E1613"/>
    <w:rsid w:val="008E1B33"/>
    <w:rsid w:val="008E5D6B"/>
    <w:rsid w:val="008E7468"/>
    <w:rsid w:val="008E76F0"/>
    <w:rsid w:val="008F073A"/>
    <w:rsid w:val="008F15FE"/>
    <w:rsid w:val="008F2D29"/>
    <w:rsid w:val="008F4331"/>
    <w:rsid w:val="008F5187"/>
    <w:rsid w:val="008F60D8"/>
    <w:rsid w:val="008F67A6"/>
    <w:rsid w:val="00902727"/>
    <w:rsid w:val="0090312B"/>
    <w:rsid w:val="009051B4"/>
    <w:rsid w:val="00905987"/>
    <w:rsid w:val="00907B79"/>
    <w:rsid w:val="00911426"/>
    <w:rsid w:val="0091167E"/>
    <w:rsid w:val="00911C1B"/>
    <w:rsid w:val="00913261"/>
    <w:rsid w:val="0091706A"/>
    <w:rsid w:val="0091736D"/>
    <w:rsid w:val="00921555"/>
    <w:rsid w:val="00922D30"/>
    <w:rsid w:val="0092767B"/>
    <w:rsid w:val="00930092"/>
    <w:rsid w:val="00930293"/>
    <w:rsid w:val="0093037A"/>
    <w:rsid w:val="00932AC8"/>
    <w:rsid w:val="00932B59"/>
    <w:rsid w:val="0094154D"/>
    <w:rsid w:val="009442E9"/>
    <w:rsid w:val="00946BB1"/>
    <w:rsid w:val="0095155F"/>
    <w:rsid w:val="00953797"/>
    <w:rsid w:val="00954429"/>
    <w:rsid w:val="00955615"/>
    <w:rsid w:val="009558CE"/>
    <w:rsid w:val="009563CE"/>
    <w:rsid w:val="0096170F"/>
    <w:rsid w:val="00966210"/>
    <w:rsid w:val="009677B1"/>
    <w:rsid w:val="0097236B"/>
    <w:rsid w:val="00973840"/>
    <w:rsid w:val="00976328"/>
    <w:rsid w:val="009766B7"/>
    <w:rsid w:val="0097680D"/>
    <w:rsid w:val="00976BB7"/>
    <w:rsid w:val="009814DF"/>
    <w:rsid w:val="00982438"/>
    <w:rsid w:val="0098350F"/>
    <w:rsid w:val="0098404C"/>
    <w:rsid w:val="00985283"/>
    <w:rsid w:val="009909F7"/>
    <w:rsid w:val="00991FC0"/>
    <w:rsid w:val="00993061"/>
    <w:rsid w:val="00993519"/>
    <w:rsid w:val="00995992"/>
    <w:rsid w:val="009A03E5"/>
    <w:rsid w:val="009A0BC2"/>
    <w:rsid w:val="009A0F3B"/>
    <w:rsid w:val="009A1BB4"/>
    <w:rsid w:val="009A2462"/>
    <w:rsid w:val="009A2628"/>
    <w:rsid w:val="009A3200"/>
    <w:rsid w:val="009A3540"/>
    <w:rsid w:val="009B0897"/>
    <w:rsid w:val="009B2526"/>
    <w:rsid w:val="009B2EEE"/>
    <w:rsid w:val="009B7BD9"/>
    <w:rsid w:val="009C133E"/>
    <w:rsid w:val="009C3EAD"/>
    <w:rsid w:val="009C7DD5"/>
    <w:rsid w:val="009D24D3"/>
    <w:rsid w:val="009D2555"/>
    <w:rsid w:val="009D40CF"/>
    <w:rsid w:val="009D5CB1"/>
    <w:rsid w:val="009D7BC7"/>
    <w:rsid w:val="009E227D"/>
    <w:rsid w:val="009E5019"/>
    <w:rsid w:val="009E649F"/>
    <w:rsid w:val="009F6CDC"/>
    <w:rsid w:val="009F77BE"/>
    <w:rsid w:val="00A0019E"/>
    <w:rsid w:val="00A04F1B"/>
    <w:rsid w:val="00A0501B"/>
    <w:rsid w:val="00A0690A"/>
    <w:rsid w:val="00A075B5"/>
    <w:rsid w:val="00A10EAA"/>
    <w:rsid w:val="00A11136"/>
    <w:rsid w:val="00A11712"/>
    <w:rsid w:val="00A145CD"/>
    <w:rsid w:val="00A14947"/>
    <w:rsid w:val="00A17C5E"/>
    <w:rsid w:val="00A235D6"/>
    <w:rsid w:val="00A26571"/>
    <w:rsid w:val="00A32A83"/>
    <w:rsid w:val="00A33B25"/>
    <w:rsid w:val="00A368DB"/>
    <w:rsid w:val="00A423AA"/>
    <w:rsid w:val="00A50304"/>
    <w:rsid w:val="00A53C3D"/>
    <w:rsid w:val="00A53EC6"/>
    <w:rsid w:val="00A55C0F"/>
    <w:rsid w:val="00A577FB"/>
    <w:rsid w:val="00A61435"/>
    <w:rsid w:val="00A62AB5"/>
    <w:rsid w:val="00A641FB"/>
    <w:rsid w:val="00A73AC8"/>
    <w:rsid w:val="00A73BCE"/>
    <w:rsid w:val="00A80333"/>
    <w:rsid w:val="00A80FB3"/>
    <w:rsid w:val="00A845DA"/>
    <w:rsid w:val="00A856A7"/>
    <w:rsid w:val="00A8713F"/>
    <w:rsid w:val="00A87605"/>
    <w:rsid w:val="00A90297"/>
    <w:rsid w:val="00A90BA1"/>
    <w:rsid w:val="00A94DFC"/>
    <w:rsid w:val="00A97A9A"/>
    <w:rsid w:val="00AA0671"/>
    <w:rsid w:val="00AA2531"/>
    <w:rsid w:val="00AA4438"/>
    <w:rsid w:val="00AA452F"/>
    <w:rsid w:val="00AA715D"/>
    <w:rsid w:val="00AB0A75"/>
    <w:rsid w:val="00AB1281"/>
    <w:rsid w:val="00AB14C2"/>
    <w:rsid w:val="00AB1E09"/>
    <w:rsid w:val="00AB4F29"/>
    <w:rsid w:val="00AB525C"/>
    <w:rsid w:val="00AB5330"/>
    <w:rsid w:val="00AB7747"/>
    <w:rsid w:val="00AB7E02"/>
    <w:rsid w:val="00AC14CE"/>
    <w:rsid w:val="00AC2A56"/>
    <w:rsid w:val="00AC3FF9"/>
    <w:rsid w:val="00AC4ADB"/>
    <w:rsid w:val="00AC5D1D"/>
    <w:rsid w:val="00AC7269"/>
    <w:rsid w:val="00AD055E"/>
    <w:rsid w:val="00AD37B7"/>
    <w:rsid w:val="00AD47A7"/>
    <w:rsid w:val="00AD6F22"/>
    <w:rsid w:val="00AE1E4E"/>
    <w:rsid w:val="00AE332D"/>
    <w:rsid w:val="00AF0CBF"/>
    <w:rsid w:val="00AF242E"/>
    <w:rsid w:val="00AF257F"/>
    <w:rsid w:val="00AF2827"/>
    <w:rsid w:val="00AF33CF"/>
    <w:rsid w:val="00AF4031"/>
    <w:rsid w:val="00AF417E"/>
    <w:rsid w:val="00AF4322"/>
    <w:rsid w:val="00AF4D50"/>
    <w:rsid w:val="00AF6179"/>
    <w:rsid w:val="00AF6E36"/>
    <w:rsid w:val="00AF763F"/>
    <w:rsid w:val="00B04B95"/>
    <w:rsid w:val="00B066C3"/>
    <w:rsid w:val="00B11464"/>
    <w:rsid w:val="00B1220A"/>
    <w:rsid w:val="00B1295A"/>
    <w:rsid w:val="00B137A5"/>
    <w:rsid w:val="00B14BB8"/>
    <w:rsid w:val="00B156B1"/>
    <w:rsid w:val="00B1573E"/>
    <w:rsid w:val="00B15F3E"/>
    <w:rsid w:val="00B1671B"/>
    <w:rsid w:val="00B20A45"/>
    <w:rsid w:val="00B20F35"/>
    <w:rsid w:val="00B22C5C"/>
    <w:rsid w:val="00B24F30"/>
    <w:rsid w:val="00B300EA"/>
    <w:rsid w:val="00B31ABF"/>
    <w:rsid w:val="00B33BE3"/>
    <w:rsid w:val="00B37D51"/>
    <w:rsid w:val="00B4334D"/>
    <w:rsid w:val="00B45F38"/>
    <w:rsid w:val="00B507B2"/>
    <w:rsid w:val="00B51A8F"/>
    <w:rsid w:val="00B53B5D"/>
    <w:rsid w:val="00B5598F"/>
    <w:rsid w:val="00B55F86"/>
    <w:rsid w:val="00B5674E"/>
    <w:rsid w:val="00B6055E"/>
    <w:rsid w:val="00B6317D"/>
    <w:rsid w:val="00B74E2F"/>
    <w:rsid w:val="00B7723F"/>
    <w:rsid w:val="00B80534"/>
    <w:rsid w:val="00B80C0C"/>
    <w:rsid w:val="00B82833"/>
    <w:rsid w:val="00B83293"/>
    <w:rsid w:val="00B8433C"/>
    <w:rsid w:val="00B86C3D"/>
    <w:rsid w:val="00B87491"/>
    <w:rsid w:val="00B901C8"/>
    <w:rsid w:val="00B93DC5"/>
    <w:rsid w:val="00B94D4D"/>
    <w:rsid w:val="00B96611"/>
    <w:rsid w:val="00B97D87"/>
    <w:rsid w:val="00BA0D9E"/>
    <w:rsid w:val="00BA29E9"/>
    <w:rsid w:val="00BA664B"/>
    <w:rsid w:val="00BA70A9"/>
    <w:rsid w:val="00BA7142"/>
    <w:rsid w:val="00BB237C"/>
    <w:rsid w:val="00BB41A3"/>
    <w:rsid w:val="00BB718E"/>
    <w:rsid w:val="00BC0E8B"/>
    <w:rsid w:val="00BC32DC"/>
    <w:rsid w:val="00BC35B6"/>
    <w:rsid w:val="00BC762F"/>
    <w:rsid w:val="00BD1B51"/>
    <w:rsid w:val="00BD2121"/>
    <w:rsid w:val="00BD22FC"/>
    <w:rsid w:val="00BD4596"/>
    <w:rsid w:val="00BD4CC4"/>
    <w:rsid w:val="00BE1405"/>
    <w:rsid w:val="00BE154F"/>
    <w:rsid w:val="00BE312D"/>
    <w:rsid w:val="00BF1C20"/>
    <w:rsid w:val="00BF7A26"/>
    <w:rsid w:val="00C01280"/>
    <w:rsid w:val="00C0152A"/>
    <w:rsid w:val="00C0278A"/>
    <w:rsid w:val="00C04F69"/>
    <w:rsid w:val="00C10578"/>
    <w:rsid w:val="00C12515"/>
    <w:rsid w:val="00C12B70"/>
    <w:rsid w:val="00C135BC"/>
    <w:rsid w:val="00C13687"/>
    <w:rsid w:val="00C15C95"/>
    <w:rsid w:val="00C20291"/>
    <w:rsid w:val="00C2284B"/>
    <w:rsid w:val="00C22A6B"/>
    <w:rsid w:val="00C23A7A"/>
    <w:rsid w:val="00C2596A"/>
    <w:rsid w:val="00C27537"/>
    <w:rsid w:val="00C31A65"/>
    <w:rsid w:val="00C328FE"/>
    <w:rsid w:val="00C33507"/>
    <w:rsid w:val="00C336DD"/>
    <w:rsid w:val="00C345CB"/>
    <w:rsid w:val="00C3649F"/>
    <w:rsid w:val="00C42251"/>
    <w:rsid w:val="00C42E4A"/>
    <w:rsid w:val="00C4409D"/>
    <w:rsid w:val="00C44E72"/>
    <w:rsid w:val="00C45A06"/>
    <w:rsid w:val="00C4735D"/>
    <w:rsid w:val="00C47E5B"/>
    <w:rsid w:val="00C5118E"/>
    <w:rsid w:val="00C56B8E"/>
    <w:rsid w:val="00C60848"/>
    <w:rsid w:val="00C61E4B"/>
    <w:rsid w:val="00C62173"/>
    <w:rsid w:val="00C62CDA"/>
    <w:rsid w:val="00C63114"/>
    <w:rsid w:val="00C646DC"/>
    <w:rsid w:val="00C64BFF"/>
    <w:rsid w:val="00C657BA"/>
    <w:rsid w:val="00C704E9"/>
    <w:rsid w:val="00C70AEB"/>
    <w:rsid w:val="00C70DF9"/>
    <w:rsid w:val="00C70FD8"/>
    <w:rsid w:val="00C763C9"/>
    <w:rsid w:val="00C80057"/>
    <w:rsid w:val="00C82232"/>
    <w:rsid w:val="00C82913"/>
    <w:rsid w:val="00C83436"/>
    <w:rsid w:val="00C83CE4"/>
    <w:rsid w:val="00C87AEA"/>
    <w:rsid w:val="00C90D5C"/>
    <w:rsid w:val="00C90EDD"/>
    <w:rsid w:val="00C933B3"/>
    <w:rsid w:val="00C972B1"/>
    <w:rsid w:val="00CA2CCE"/>
    <w:rsid w:val="00CA33CA"/>
    <w:rsid w:val="00CA43FD"/>
    <w:rsid w:val="00CA7EF8"/>
    <w:rsid w:val="00CB10C9"/>
    <w:rsid w:val="00CB37E6"/>
    <w:rsid w:val="00CB48AF"/>
    <w:rsid w:val="00CB765A"/>
    <w:rsid w:val="00CC1004"/>
    <w:rsid w:val="00CC489B"/>
    <w:rsid w:val="00CC64A4"/>
    <w:rsid w:val="00CD15EB"/>
    <w:rsid w:val="00CD2BCD"/>
    <w:rsid w:val="00CD3A4C"/>
    <w:rsid w:val="00CD4850"/>
    <w:rsid w:val="00CD7DC5"/>
    <w:rsid w:val="00CD7EE3"/>
    <w:rsid w:val="00CE10E9"/>
    <w:rsid w:val="00CE1BCC"/>
    <w:rsid w:val="00CE2910"/>
    <w:rsid w:val="00CE4D0C"/>
    <w:rsid w:val="00CE5393"/>
    <w:rsid w:val="00CE7E31"/>
    <w:rsid w:val="00CF36BE"/>
    <w:rsid w:val="00CF6000"/>
    <w:rsid w:val="00D003F3"/>
    <w:rsid w:val="00D01AAC"/>
    <w:rsid w:val="00D0364F"/>
    <w:rsid w:val="00D0600F"/>
    <w:rsid w:val="00D06834"/>
    <w:rsid w:val="00D17521"/>
    <w:rsid w:val="00D21607"/>
    <w:rsid w:val="00D308ED"/>
    <w:rsid w:val="00D314EF"/>
    <w:rsid w:val="00D31BB7"/>
    <w:rsid w:val="00D36D86"/>
    <w:rsid w:val="00D428AA"/>
    <w:rsid w:val="00D46037"/>
    <w:rsid w:val="00D50A34"/>
    <w:rsid w:val="00D53EFA"/>
    <w:rsid w:val="00D55B4C"/>
    <w:rsid w:val="00D63EBD"/>
    <w:rsid w:val="00D6634A"/>
    <w:rsid w:val="00D679C6"/>
    <w:rsid w:val="00D71EB6"/>
    <w:rsid w:val="00D73EAE"/>
    <w:rsid w:val="00D77717"/>
    <w:rsid w:val="00D82715"/>
    <w:rsid w:val="00D92961"/>
    <w:rsid w:val="00D94A7C"/>
    <w:rsid w:val="00D94C26"/>
    <w:rsid w:val="00D94EA5"/>
    <w:rsid w:val="00D94F2F"/>
    <w:rsid w:val="00D95896"/>
    <w:rsid w:val="00D97621"/>
    <w:rsid w:val="00DA02DA"/>
    <w:rsid w:val="00DA2C99"/>
    <w:rsid w:val="00DB2535"/>
    <w:rsid w:val="00DB2983"/>
    <w:rsid w:val="00DB6C50"/>
    <w:rsid w:val="00DB7F12"/>
    <w:rsid w:val="00DC1257"/>
    <w:rsid w:val="00DC15C8"/>
    <w:rsid w:val="00DC1F1D"/>
    <w:rsid w:val="00DC3DC0"/>
    <w:rsid w:val="00DC5B2B"/>
    <w:rsid w:val="00DC6CC4"/>
    <w:rsid w:val="00DD318D"/>
    <w:rsid w:val="00DD4DF6"/>
    <w:rsid w:val="00DD58F3"/>
    <w:rsid w:val="00DD6FC4"/>
    <w:rsid w:val="00DD7ED4"/>
    <w:rsid w:val="00DE46C7"/>
    <w:rsid w:val="00DE49C4"/>
    <w:rsid w:val="00DE5743"/>
    <w:rsid w:val="00DE5D76"/>
    <w:rsid w:val="00DF1709"/>
    <w:rsid w:val="00DF1FBC"/>
    <w:rsid w:val="00DF2462"/>
    <w:rsid w:val="00DF2E12"/>
    <w:rsid w:val="00DF4C1D"/>
    <w:rsid w:val="00DF514A"/>
    <w:rsid w:val="00DF6690"/>
    <w:rsid w:val="00DF6804"/>
    <w:rsid w:val="00DF69B1"/>
    <w:rsid w:val="00DF7C5F"/>
    <w:rsid w:val="00E0358D"/>
    <w:rsid w:val="00E04323"/>
    <w:rsid w:val="00E05974"/>
    <w:rsid w:val="00E070A2"/>
    <w:rsid w:val="00E112E9"/>
    <w:rsid w:val="00E137F8"/>
    <w:rsid w:val="00E13EE9"/>
    <w:rsid w:val="00E148F7"/>
    <w:rsid w:val="00E1581C"/>
    <w:rsid w:val="00E17440"/>
    <w:rsid w:val="00E2318E"/>
    <w:rsid w:val="00E2656A"/>
    <w:rsid w:val="00E27CD4"/>
    <w:rsid w:val="00E3523D"/>
    <w:rsid w:val="00E36A4F"/>
    <w:rsid w:val="00E37F8C"/>
    <w:rsid w:val="00E406B5"/>
    <w:rsid w:val="00E40825"/>
    <w:rsid w:val="00E412D0"/>
    <w:rsid w:val="00E427CD"/>
    <w:rsid w:val="00E434B9"/>
    <w:rsid w:val="00E43E00"/>
    <w:rsid w:val="00E47026"/>
    <w:rsid w:val="00E51288"/>
    <w:rsid w:val="00E51C28"/>
    <w:rsid w:val="00E56322"/>
    <w:rsid w:val="00E57C8F"/>
    <w:rsid w:val="00E6034E"/>
    <w:rsid w:val="00E60982"/>
    <w:rsid w:val="00E62C62"/>
    <w:rsid w:val="00E63A7C"/>
    <w:rsid w:val="00E64054"/>
    <w:rsid w:val="00E654C1"/>
    <w:rsid w:val="00E654E5"/>
    <w:rsid w:val="00E65A14"/>
    <w:rsid w:val="00E65D97"/>
    <w:rsid w:val="00E72A5A"/>
    <w:rsid w:val="00E73354"/>
    <w:rsid w:val="00E73791"/>
    <w:rsid w:val="00E76670"/>
    <w:rsid w:val="00E77A1F"/>
    <w:rsid w:val="00E8202B"/>
    <w:rsid w:val="00E825DA"/>
    <w:rsid w:val="00E838DD"/>
    <w:rsid w:val="00E86389"/>
    <w:rsid w:val="00E91784"/>
    <w:rsid w:val="00E91F03"/>
    <w:rsid w:val="00E9242D"/>
    <w:rsid w:val="00E975BC"/>
    <w:rsid w:val="00E97E5F"/>
    <w:rsid w:val="00EA023E"/>
    <w:rsid w:val="00EA2201"/>
    <w:rsid w:val="00EA4DC2"/>
    <w:rsid w:val="00EA745B"/>
    <w:rsid w:val="00EB035C"/>
    <w:rsid w:val="00EB0A34"/>
    <w:rsid w:val="00EB5255"/>
    <w:rsid w:val="00EB5602"/>
    <w:rsid w:val="00EB5C47"/>
    <w:rsid w:val="00EC16AC"/>
    <w:rsid w:val="00EC17D8"/>
    <w:rsid w:val="00ED0639"/>
    <w:rsid w:val="00ED0E94"/>
    <w:rsid w:val="00ED3DAE"/>
    <w:rsid w:val="00ED56FB"/>
    <w:rsid w:val="00EE521A"/>
    <w:rsid w:val="00EE5ECD"/>
    <w:rsid w:val="00EE6080"/>
    <w:rsid w:val="00EE72A0"/>
    <w:rsid w:val="00EF2238"/>
    <w:rsid w:val="00EF22E7"/>
    <w:rsid w:val="00EF41E1"/>
    <w:rsid w:val="00EF4755"/>
    <w:rsid w:val="00EF66BA"/>
    <w:rsid w:val="00EF7135"/>
    <w:rsid w:val="00EF7BD6"/>
    <w:rsid w:val="00EF7F9A"/>
    <w:rsid w:val="00F0060F"/>
    <w:rsid w:val="00F00DBF"/>
    <w:rsid w:val="00F027DB"/>
    <w:rsid w:val="00F05595"/>
    <w:rsid w:val="00F110E7"/>
    <w:rsid w:val="00F1235D"/>
    <w:rsid w:val="00F12F3F"/>
    <w:rsid w:val="00F14A7A"/>
    <w:rsid w:val="00F15610"/>
    <w:rsid w:val="00F16804"/>
    <w:rsid w:val="00F20431"/>
    <w:rsid w:val="00F22985"/>
    <w:rsid w:val="00F24F67"/>
    <w:rsid w:val="00F251E5"/>
    <w:rsid w:val="00F25433"/>
    <w:rsid w:val="00F259BA"/>
    <w:rsid w:val="00F317C4"/>
    <w:rsid w:val="00F3383E"/>
    <w:rsid w:val="00F45EBC"/>
    <w:rsid w:val="00F465A7"/>
    <w:rsid w:val="00F50B7C"/>
    <w:rsid w:val="00F50DEE"/>
    <w:rsid w:val="00F5106F"/>
    <w:rsid w:val="00F51311"/>
    <w:rsid w:val="00F550E6"/>
    <w:rsid w:val="00F60E5A"/>
    <w:rsid w:val="00F63F6D"/>
    <w:rsid w:val="00F64D3D"/>
    <w:rsid w:val="00F72049"/>
    <w:rsid w:val="00F724A1"/>
    <w:rsid w:val="00F737A3"/>
    <w:rsid w:val="00F74345"/>
    <w:rsid w:val="00F747B1"/>
    <w:rsid w:val="00F75843"/>
    <w:rsid w:val="00F75DDC"/>
    <w:rsid w:val="00F80A0A"/>
    <w:rsid w:val="00F82B19"/>
    <w:rsid w:val="00F87E52"/>
    <w:rsid w:val="00F9212D"/>
    <w:rsid w:val="00F93186"/>
    <w:rsid w:val="00F935F5"/>
    <w:rsid w:val="00F94D7F"/>
    <w:rsid w:val="00F95E3E"/>
    <w:rsid w:val="00F965DA"/>
    <w:rsid w:val="00F97BCB"/>
    <w:rsid w:val="00FA406A"/>
    <w:rsid w:val="00FA6581"/>
    <w:rsid w:val="00FB046A"/>
    <w:rsid w:val="00FB4AA5"/>
    <w:rsid w:val="00FB503A"/>
    <w:rsid w:val="00FB516C"/>
    <w:rsid w:val="00FB7289"/>
    <w:rsid w:val="00FC2A4A"/>
    <w:rsid w:val="00FC441C"/>
    <w:rsid w:val="00FC6420"/>
    <w:rsid w:val="00FD0236"/>
    <w:rsid w:val="00FD18F4"/>
    <w:rsid w:val="00FD3932"/>
    <w:rsid w:val="00FD54DB"/>
    <w:rsid w:val="00FD619F"/>
    <w:rsid w:val="00FD77FC"/>
    <w:rsid w:val="00FE0507"/>
    <w:rsid w:val="00FE1E36"/>
    <w:rsid w:val="00FE7CAF"/>
    <w:rsid w:val="00FF6387"/>
    <w:rsid w:val="00FF6596"/>
    <w:rsid w:val="00FF73FE"/>
    <w:rsid w:val="01001B5E"/>
    <w:rsid w:val="01064C9A"/>
    <w:rsid w:val="01083350"/>
    <w:rsid w:val="011625B6"/>
    <w:rsid w:val="01286562"/>
    <w:rsid w:val="01290F7E"/>
    <w:rsid w:val="012B75C1"/>
    <w:rsid w:val="0131379C"/>
    <w:rsid w:val="0138678A"/>
    <w:rsid w:val="013C12EA"/>
    <w:rsid w:val="01406437"/>
    <w:rsid w:val="01415AFF"/>
    <w:rsid w:val="014507A3"/>
    <w:rsid w:val="01541009"/>
    <w:rsid w:val="01553F1D"/>
    <w:rsid w:val="015B3F6A"/>
    <w:rsid w:val="015D1E09"/>
    <w:rsid w:val="015D6BAC"/>
    <w:rsid w:val="016B775B"/>
    <w:rsid w:val="017B11E4"/>
    <w:rsid w:val="017D4547"/>
    <w:rsid w:val="017D4A93"/>
    <w:rsid w:val="01817B37"/>
    <w:rsid w:val="01862FC2"/>
    <w:rsid w:val="0187402D"/>
    <w:rsid w:val="0190604E"/>
    <w:rsid w:val="01995A16"/>
    <w:rsid w:val="019F3575"/>
    <w:rsid w:val="01A5707B"/>
    <w:rsid w:val="01C01BB0"/>
    <w:rsid w:val="01C10D81"/>
    <w:rsid w:val="01C4177E"/>
    <w:rsid w:val="01D1627A"/>
    <w:rsid w:val="01D9718C"/>
    <w:rsid w:val="01DD41C2"/>
    <w:rsid w:val="01DE025C"/>
    <w:rsid w:val="01EA6E15"/>
    <w:rsid w:val="01EB44A6"/>
    <w:rsid w:val="01F07570"/>
    <w:rsid w:val="02005014"/>
    <w:rsid w:val="020061E4"/>
    <w:rsid w:val="020353CE"/>
    <w:rsid w:val="020F1690"/>
    <w:rsid w:val="021014B9"/>
    <w:rsid w:val="02143CC9"/>
    <w:rsid w:val="02160F0D"/>
    <w:rsid w:val="02165584"/>
    <w:rsid w:val="0219202B"/>
    <w:rsid w:val="021F0818"/>
    <w:rsid w:val="022053AE"/>
    <w:rsid w:val="02253F74"/>
    <w:rsid w:val="02285BAE"/>
    <w:rsid w:val="02315D47"/>
    <w:rsid w:val="02356491"/>
    <w:rsid w:val="023A74F3"/>
    <w:rsid w:val="023D10AB"/>
    <w:rsid w:val="023F218F"/>
    <w:rsid w:val="02436F63"/>
    <w:rsid w:val="02586E8F"/>
    <w:rsid w:val="025B7CB0"/>
    <w:rsid w:val="025F0C4D"/>
    <w:rsid w:val="0267347E"/>
    <w:rsid w:val="02697903"/>
    <w:rsid w:val="026C6AA6"/>
    <w:rsid w:val="028140C9"/>
    <w:rsid w:val="02821C14"/>
    <w:rsid w:val="02882FF1"/>
    <w:rsid w:val="028869C3"/>
    <w:rsid w:val="0290202C"/>
    <w:rsid w:val="02911F25"/>
    <w:rsid w:val="02933CE8"/>
    <w:rsid w:val="02957290"/>
    <w:rsid w:val="02972DF5"/>
    <w:rsid w:val="029A1990"/>
    <w:rsid w:val="029F0B08"/>
    <w:rsid w:val="02A1111E"/>
    <w:rsid w:val="02AA35F4"/>
    <w:rsid w:val="02B14F77"/>
    <w:rsid w:val="02B17E86"/>
    <w:rsid w:val="02B248A6"/>
    <w:rsid w:val="02B653CE"/>
    <w:rsid w:val="02B7473F"/>
    <w:rsid w:val="02BF6981"/>
    <w:rsid w:val="02C275B9"/>
    <w:rsid w:val="02C32E43"/>
    <w:rsid w:val="02CD0ADA"/>
    <w:rsid w:val="02D84414"/>
    <w:rsid w:val="02DF01CB"/>
    <w:rsid w:val="02DF4310"/>
    <w:rsid w:val="02E519C7"/>
    <w:rsid w:val="02E66B31"/>
    <w:rsid w:val="02F76012"/>
    <w:rsid w:val="02F96569"/>
    <w:rsid w:val="02FE0072"/>
    <w:rsid w:val="03031A87"/>
    <w:rsid w:val="03044E5C"/>
    <w:rsid w:val="030701CD"/>
    <w:rsid w:val="030B2A3C"/>
    <w:rsid w:val="030C2AD8"/>
    <w:rsid w:val="031A1169"/>
    <w:rsid w:val="031D6EFB"/>
    <w:rsid w:val="03243E67"/>
    <w:rsid w:val="032C1DF1"/>
    <w:rsid w:val="03315EC0"/>
    <w:rsid w:val="03317FFC"/>
    <w:rsid w:val="033D5627"/>
    <w:rsid w:val="03434A2C"/>
    <w:rsid w:val="03461D88"/>
    <w:rsid w:val="03484CE4"/>
    <w:rsid w:val="03621840"/>
    <w:rsid w:val="036526C0"/>
    <w:rsid w:val="03661E10"/>
    <w:rsid w:val="036E0EC6"/>
    <w:rsid w:val="036F5709"/>
    <w:rsid w:val="036F6B27"/>
    <w:rsid w:val="03740F38"/>
    <w:rsid w:val="03743FDE"/>
    <w:rsid w:val="03764359"/>
    <w:rsid w:val="037F104B"/>
    <w:rsid w:val="03824AAC"/>
    <w:rsid w:val="03835E04"/>
    <w:rsid w:val="0384735A"/>
    <w:rsid w:val="038F2D5C"/>
    <w:rsid w:val="03911DDD"/>
    <w:rsid w:val="03942A31"/>
    <w:rsid w:val="039C3F86"/>
    <w:rsid w:val="039D08CE"/>
    <w:rsid w:val="03A82039"/>
    <w:rsid w:val="03A964DC"/>
    <w:rsid w:val="03C055D4"/>
    <w:rsid w:val="03C06AF3"/>
    <w:rsid w:val="03C30C20"/>
    <w:rsid w:val="03D2050B"/>
    <w:rsid w:val="03D23490"/>
    <w:rsid w:val="03D26283"/>
    <w:rsid w:val="03DC3014"/>
    <w:rsid w:val="03E56DE9"/>
    <w:rsid w:val="03EA43FF"/>
    <w:rsid w:val="03EA7B21"/>
    <w:rsid w:val="03ED6368"/>
    <w:rsid w:val="03F522C6"/>
    <w:rsid w:val="03F8531B"/>
    <w:rsid w:val="040B7E75"/>
    <w:rsid w:val="0415705B"/>
    <w:rsid w:val="041851D5"/>
    <w:rsid w:val="04191127"/>
    <w:rsid w:val="041B6CAE"/>
    <w:rsid w:val="041E183F"/>
    <w:rsid w:val="0422003D"/>
    <w:rsid w:val="0424173E"/>
    <w:rsid w:val="042B5009"/>
    <w:rsid w:val="04325510"/>
    <w:rsid w:val="043412F0"/>
    <w:rsid w:val="0438160E"/>
    <w:rsid w:val="043E5E04"/>
    <w:rsid w:val="043F0BEF"/>
    <w:rsid w:val="04460B0F"/>
    <w:rsid w:val="044A005B"/>
    <w:rsid w:val="044A09EA"/>
    <w:rsid w:val="0455004F"/>
    <w:rsid w:val="0456373B"/>
    <w:rsid w:val="046643CE"/>
    <w:rsid w:val="046823DA"/>
    <w:rsid w:val="046C3BDE"/>
    <w:rsid w:val="046E7ECC"/>
    <w:rsid w:val="04706663"/>
    <w:rsid w:val="04714324"/>
    <w:rsid w:val="047343F5"/>
    <w:rsid w:val="0475016D"/>
    <w:rsid w:val="04863039"/>
    <w:rsid w:val="048E122E"/>
    <w:rsid w:val="049251C3"/>
    <w:rsid w:val="04976134"/>
    <w:rsid w:val="04977016"/>
    <w:rsid w:val="049C6EBC"/>
    <w:rsid w:val="04A157B4"/>
    <w:rsid w:val="04A255A1"/>
    <w:rsid w:val="04A53309"/>
    <w:rsid w:val="04AF2A6C"/>
    <w:rsid w:val="04B137C5"/>
    <w:rsid w:val="04B213C1"/>
    <w:rsid w:val="04B52C5F"/>
    <w:rsid w:val="04BF6FBF"/>
    <w:rsid w:val="04C9737C"/>
    <w:rsid w:val="04CD0B17"/>
    <w:rsid w:val="04D07C68"/>
    <w:rsid w:val="04D23338"/>
    <w:rsid w:val="04D70AEA"/>
    <w:rsid w:val="04E3108C"/>
    <w:rsid w:val="04E62E18"/>
    <w:rsid w:val="04E8038E"/>
    <w:rsid w:val="04E856E3"/>
    <w:rsid w:val="04ED36B0"/>
    <w:rsid w:val="04F60868"/>
    <w:rsid w:val="04FE43F9"/>
    <w:rsid w:val="05091B1C"/>
    <w:rsid w:val="051031FF"/>
    <w:rsid w:val="051B72DE"/>
    <w:rsid w:val="051E25B2"/>
    <w:rsid w:val="05216546"/>
    <w:rsid w:val="05221F0E"/>
    <w:rsid w:val="052A697B"/>
    <w:rsid w:val="052F1FA2"/>
    <w:rsid w:val="053D46AF"/>
    <w:rsid w:val="05420A2F"/>
    <w:rsid w:val="05445F96"/>
    <w:rsid w:val="05453245"/>
    <w:rsid w:val="05455324"/>
    <w:rsid w:val="054D11CE"/>
    <w:rsid w:val="055043BD"/>
    <w:rsid w:val="055C551E"/>
    <w:rsid w:val="05722512"/>
    <w:rsid w:val="057325FA"/>
    <w:rsid w:val="058E2B2E"/>
    <w:rsid w:val="05AB5E10"/>
    <w:rsid w:val="05BB1F3B"/>
    <w:rsid w:val="05C0288C"/>
    <w:rsid w:val="05D25590"/>
    <w:rsid w:val="05D64B9C"/>
    <w:rsid w:val="05E54E5D"/>
    <w:rsid w:val="05EE2510"/>
    <w:rsid w:val="05EF703C"/>
    <w:rsid w:val="05F01313"/>
    <w:rsid w:val="05F15F19"/>
    <w:rsid w:val="05F83EAE"/>
    <w:rsid w:val="060C549D"/>
    <w:rsid w:val="06134DD0"/>
    <w:rsid w:val="061A09E2"/>
    <w:rsid w:val="061B4D44"/>
    <w:rsid w:val="061B67B3"/>
    <w:rsid w:val="061D55C3"/>
    <w:rsid w:val="06292897"/>
    <w:rsid w:val="06301E32"/>
    <w:rsid w:val="06340A08"/>
    <w:rsid w:val="063D61FF"/>
    <w:rsid w:val="063E7D85"/>
    <w:rsid w:val="06417108"/>
    <w:rsid w:val="06523CF8"/>
    <w:rsid w:val="065258B6"/>
    <w:rsid w:val="06581106"/>
    <w:rsid w:val="065E6023"/>
    <w:rsid w:val="06676945"/>
    <w:rsid w:val="06714074"/>
    <w:rsid w:val="06746165"/>
    <w:rsid w:val="06785FDA"/>
    <w:rsid w:val="067A4AB4"/>
    <w:rsid w:val="067A6566"/>
    <w:rsid w:val="067D158D"/>
    <w:rsid w:val="067F1777"/>
    <w:rsid w:val="06A11ED6"/>
    <w:rsid w:val="06A413DD"/>
    <w:rsid w:val="06BC02D5"/>
    <w:rsid w:val="06BD5DFB"/>
    <w:rsid w:val="06BF3E77"/>
    <w:rsid w:val="06C77CE5"/>
    <w:rsid w:val="06D260E0"/>
    <w:rsid w:val="06D42F1A"/>
    <w:rsid w:val="06D86F7A"/>
    <w:rsid w:val="06D93A63"/>
    <w:rsid w:val="06DF0467"/>
    <w:rsid w:val="06E47555"/>
    <w:rsid w:val="06F57670"/>
    <w:rsid w:val="06FD2326"/>
    <w:rsid w:val="07021881"/>
    <w:rsid w:val="07074129"/>
    <w:rsid w:val="07085BF1"/>
    <w:rsid w:val="07192CD4"/>
    <w:rsid w:val="071C13E6"/>
    <w:rsid w:val="071E0976"/>
    <w:rsid w:val="072156AA"/>
    <w:rsid w:val="072216F6"/>
    <w:rsid w:val="0727274A"/>
    <w:rsid w:val="07293586"/>
    <w:rsid w:val="07295285"/>
    <w:rsid w:val="072A6020"/>
    <w:rsid w:val="07317FB4"/>
    <w:rsid w:val="073F51A1"/>
    <w:rsid w:val="073F57C6"/>
    <w:rsid w:val="075A52E0"/>
    <w:rsid w:val="07636392"/>
    <w:rsid w:val="07687E5C"/>
    <w:rsid w:val="0775396D"/>
    <w:rsid w:val="07770C56"/>
    <w:rsid w:val="077C680D"/>
    <w:rsid w:val="07826F51"/>
    <w:rsid w:val="0786706F"/>
    <w:rsid w:val="07890BE6"/>
    <w:rsid w:val="078D17EE"/>
    <w:rsid w:val="07990192"/>
    <w:rsid w:val="07A45231"/>
    <w:rsid w:val="07AD1156"/>
    <w:rsid w:val="07AD47D7"/>
    <w:rsid w:val="07AE7E92"/>
    <w:rsid w:val="07B01FCE"/>
    <w:rsid w:val="07B13B53"/>
    <w:rsid w:val="07B515D5"/>
    <w:rsid w:val="07BF08BF"/>
    <w:rsid w:val="07BF166A"/>
    <w:rsid w:val="07C504F5"/>
    <w:rsid w:val="07D25DA1"/>
    <w:rsid w:val="07D27185"/>
    <w:rsid w:val="07E36EAF"/>
    <w:rsid w:val="07F04234"/>
    <w:rsid w:val="07FC0D4A"/>
    <w:rsid w:val="07FC577E"/>
    <w:rsid w:val="08020FD9"/>
    <w:rsid w:val="080C16E2"/>
    <w:rsid w:val="080E24B1"/>
    <w:rsid w:val="081319F6"/>
    <w:rsid w:val="081B102B"/>
    <w:rsid w:val="081F4269"/>
    <w:rsid w:val="0828151B"/>
    <w:rsid w:val="082C27B2"/>
    <w:rsid w:val="083028C1"/>
    <w:rsid w:val="08326375"/>
    <w:rsid w:val="083435AD"/>
    <w:rsid w:val="0837641D"/>
    <w:rsid w:val="08491AF6"/>
    <w:rsid w:val="084A69C0"/>
    <w:rsid w:val="08511C41"/>
    <w:rsid w:val="08576614"/>
    <w:rsid w:val="08581772"/>
    <w:rsid w:val="085F474C"/>
    <w:rsid w:val="086056D6"/>
    <w:rsid w:val="08693B6E"/>
    <w:rsid w:val="086D186B"/>
    <w:rsid w:val="08770DC0"/>
    <w:rsid w:val="087719B9"/>
    <w:rsid w:val="08780F61"/>
    <w:rsid w:val="087E4ECC"/>
    <w:rsid w:val="08812CD4"/>
    <w:rsid w:val="08844A70"/>
    <w:rsid w:val="08896684"/>
    <w:rsid w:val="089112ED"/>
    <w:rsid w:val="08940F55"/>
    <w:rsid w:val="089808CE"/>
    <w:rsid w:val="089D7C92"/>
    <w:rsid w:val="08A53E85"/>
    <w:rsid w:val="08B30855"/>
    <w:rsid w:val="08B55474"/>
    <w:rsid w:val="08C14149"/>
    <w:rsid w:val="08C27717"/>
    <w:rsid w:val="08C85069"/>
    <w:rsid w:val="08CF1E16"/>
    <w:rsid w:val="08D1538A"/>
    <w:rsid w:val="08EE2DBE"/>
    <w:rsid w:val="08EE7E11"/>
    <w:rsid w:val="09023459"/>
    <w:rsid w:val="09037E74"/>
    <w:rsid w:val="090419F7"/>
    <w:rsid w:val="090624B6"/>
    <w:rsid w:val="0908475F"/>
    <w:rsid w:val="090E789D"/>
    <w:rsid w:val="09130635"/>
    <w:rsid w:val="091D0DD3"/>
    <w:rsid w:val="092217DD"/>
    <w:rsid w:val="092628DB"/>
    <w:rsid w:val="09276B6D"/>
    <w:rsid w:val="09282452"/>
    <w:rsid w:val="093148CF"/>
    <w:rsid w:val="093A686F"/>
    <w:rsid w:val="093A7294"/>
    <w:rsid w:val="093C5232"/>
    <w:rsid w:val="093E4F17"/>
    <w:rsid w:val="0946032A"/>
    <w:rsid w:val="09561425"/>
    <w:rsid w:val="09574037"/>
    <w:rsid w:val="09584A36"/>
    <w:rsid w:val="095C18FB"/>
    <w:rsid w:val="095E101F"/>
    <w:rsid w:val="095F0C08"/>
    <w:rsid w:val="0960344D"/>
    <w:rsid w:val="096D580A"/>
    <w:rsid w:val="0975450B"/>
    <w:rsid w:val="09787B25"/>
    <w:rsid w:val="097A1CCB"/>
    <w:rsid w:val="097F3B26"/>
    <w:rsid w:val="0980525A"/>
    <w:rsid w:val="098A46BA"/>
    <w:rsid w:val="09956CF9"/>
    <w:rsid w:val="09974E45"/>
    <w:rsid w:val="09976DD7"/>
    <w:rsid w:val="099C4A85"/>
    <w:rsid w:val="09A25201"/>
    <w:rsid w:val="09A60BB2"/>
    <w:rsid w:val="09B730DA"/>
    <w:rsid w:val="09CB082F"/>
    <w:rsid w:val="09D2491D"/>
    <w:rsid w:val="09DD1C70"/>
    <w:rsid w:val="09E2241E"/>
    <w:rsid w:val="09E35256"/>
    <w:rsid w:val="09E70B17"/>
    <w:rsid w:val="09E75075"/>
    <w:rsid w:val="09E77FF8"/>
    <w:rsid w:val="09E970C5"/>
    <w:rsid w:val="09FC2F10"/>
    <w:rsid w:val="0A0100C9"/>
    <w:rsid w:val="0A0C199D"/>
    <w:rsid w:val="0A0D0748"/>
    <w:rsid w:val="0A15092E"/>
    <w:rsid w:val="0A1631EE"/>
    <w:rsid w:val="0A1E4E03"/>
    <w:rsid w:val="0A263993"/>
    <w:rsid w:val="0A2D3AC2"/>
    <w:rsid w:val="0A3210F8"/>
    <w:rsid w:val="0A332662"/>
    <w:rsid w:val="0A3D127B"/>
    <w:rsid w:val="0A4100AA"/>
    <w:rsid w:val="0A4128C8"/>
    <w:rsid w:val="0A434869"/>
    <w:rsid w:val="0A492DD1"/>
    <w:rsid w:val="0A4D1C57"/>
    <w:rsid w:val="0A527D5D"/>
    <w:rsid w:val="0A540824"/>
    <w:rsid w:val="0A5A3237"/>
    <w:rsid w:val="0A5E2E5F"/>
    <w:rsid w:val="0A7C57E0"/>
    <w:rsid w:val="0A7D426D"/>
    <w:rsid w:val="0A803EB8"/>
    <w:rsid w:val="0A830887"/>
    <w:rsid w:val="0A866BDE"/>
    <w:rsid w:val="0A8B4869"/>
    <w:rsid w:val="0A9059CF"/>
    <w:rsid w:val="0A93230B"/>
    <w:rsid w:val="0A943317"/>
    <w:rsid w:val="0AA03A6A"/>
    <w:rsid w:val="0AA37C6D"/>
    <w:rsid w:val="0AA755DF"/>
    <w:rsid w:val="0AAA48E8"/>
    <w:rsid w:val="0AB00535"/>
    <w:rsid w:val="0AB319EF"/>
    <w:rsid w:val="0AB70971"/>
    <w:rsid w:val="0AC14D3B"/>
    <w:rsid w:val="0AC80ADD"/>
    <w:rsid w:val="0ADB0F46"/>
    <w:rsid w:val="0AE26413"/>
    <w:rsid w:val="0AE35E84"/>
    <w:rsid w:val="0AE47DFA"/>
    <w:rsid w:val="0AE80787"/>
    <w:rsid w:val="0AEC37C6"/>
    <w:rsid w:val="0AEE2114"/>
    <w:rsid w:val="0AF10769"/>
    <w:rsid w:val="0AF12519"/>
    <w:rsid w:val="0B027910"/>
    <w:rsid w:val="0B0F0484"/>
    <w:rsid w:val="0B1074CB"/>
    <w:rsid w:val="0B120D44"/>
    <w:rsid w:val="0B15616A"/>
    <w:rsid w:val="0B1A5066"/>
    <w:rsid w:val="0B1B1D3C"/>
    <w:rsid w:val="0B1E587C"/>
    <w:rsid w:val="0B271D79"/>
    <w:rsid w:val="0B2B62A7"/>
    <w:rsid w:val="0B334825"/>
    <w:rsid w:val="0B3731A3"/>
    <w:rsid w:val="0B4611AE"/>
    <w:rsid w:val="0B475F22"/>
    <w:rsid w:val="0B484A7F"/>
    <w:rsid w:val="0B4D2284"/>
    <w:rsid w:val="0B5379F8"/>
    <w:rsid w:val="0B5E20D3"/>
    <w:rsid w:val="0B61416B"/>
    <w:rsid w:val="0B633415"/>
    <w:rsid w:val="0B737A96"/>
    <w:rsid w:val="0B7E61F4"/>
    <w:rsid w:val="0B8051E1"/>
    <w:rsid w:val="0B8E0DBC"/>
    <w:rsid w:val="0B90118D"/>
    <w:rsid w:val="0B97160C"/>
    <w:rsid w:val="0B9862A5"/>
    <w:rsid w:val="0B9D03CB"/>
    <w:rsid w:val="0B9F33E0"/>
    <w:rsid w:val="0BB40C62"/>
    <w:rsid w:val="0BB91287"/>
    <w:rsid w:val="0BB9501C"/>
    <w:rsid w:val="0BC955CD"/>
    <w:rsid w:val="0BCD4D32"/>
    <w:rsid w:val="0BCE47C8"/>
    <w:rsid w:val="0BCE5DEB"/>
    <w:rsid w:val="0BD20A84"/>
    <w:rsid w:val="0BD27BF6"/>
    <w:rsid w:val="0BD34B45"/>
    <w:rsid w:val="0BD5483F"/>
    <w:rsid w:val="0BDB7177"/>
    <w:rsid w:val="0BE64CC5"/>
    <w:rsid w:val="0BE864B2"/>
    <w:rsid w:val="0BE93800"/>
    <w:rsid w:val="0BE960A7"/>
    <w:rsid w:val="0BF0736B"/>
    <w:rsid w:val="0BF264A3"/>
    <w:rsid w:val="0C0824E9"/>
    <w:rsid w:val="0C087B18"/>
    <w:rsid w:val="0C0A1B18"/>
    <w:rsid w:val="0C125915"/>
    <w:rsid w:val="0C195225"/>
    <w:rsid w:val="0C1B20EA"/>
    <w:rsid w:val="0C1C35C4"/>
    <w:rsid w:val="0C1E2006"/>
    <w:rsid w:val="0C1F09C7"/>
    <w:rsid w:val="0C250F5D"/>
    <w:rsid w:val="0C267B5D"/>
    <w:rsid w:val="0C2B3A5C"/>
    <w:rsid w:val="0C2B7C64"/>
    <w:rsid w:val="0C2C3B66"/>
    <w:rsid w:val="0C2F1549"/>
    <w:rsid w:val="0C344DB1"/>
    <w:rsid w:val="0C364685"/>
    <w:rsid w:val="0C3B3C7D"/>
    <w:rsid w:val="0C3F7B40"/>
    <w:rsid w:val="0C4827D3"/>
    <w:rsid w:val="0C4C22F0"/>
    <w:rsid w:val="0C627F3B"/>
    <w:rsid w:val="0C6E02C3"/>
    <w:rsid w:val="0C6E6B1A"/>
    <w:rsid w:val="0C701F49"/>
    <w:rsid w:val="0C720683"/>
    <w:rsid w:val="0C726A25"/>
    <w:rsid w:val="0C741652"/>
    <w:rsid w:val="0C746471"/>
    <w:rsid w:val="0C7936DE"/>
    <w:rsid w:val="0C7F3C6A"/>
    <w:rsid w:val="0C852408"/>
    <w:rsid w:val="0C8F023A"/>
    <w:rsid w:val="0C9744D2"/>
    <w:rsid w:val="0C9A4DE9"/>
    <w:rsid w:val="0C9F2986"/>
    <w:rsid w:val="0CAB2EAE"/>
    <w:rsid w:val="0CAC3C69"/>
    <w:rsid w:val="0CAD11C6"/>
    <w:rsid w:val="0CAE37D2"/>
    <w:rsid w:val="0CAE503E"/>
    <w:rsid w:val="0CAE6F86"/>
    <w:rsid w:val="0CAF2D32"/>
    <w:rsid w:val="0CBF1239"/>
    <w:rsid w:val="0CC0597B"/>
    <w:rsid w:val="0CC1397F"/>
    <w:rsid w:val="0CC14DDE"/>
    <w:rsid w:val="0CC4631A"/>
    <w:rsid w:val="0CD0159B"/>
    <w:rsid w:val="0CDD421C"/>
    <w:rsid w:val="0CE2297E"/>
    <w:rsid w:val="0CE42333"/>
    <w:rsid w:val="0CE70BE4"/>
    <w:rsid w:val="0CF50D95"/>
    <w:rsid w:val="0CF54D9C"/>
    <w:rsid w:val="0CF716BE"/>
    <w:rsid w:val="0D004534"/>
    <w:rsid w:val="0D042870"/>
    <w:rsid w:val="0D0440A8"/>
    <w:rsid w:val="0D0C3F69"/>
    <w:rsid w:val="0D1C2992"/>
    <w:rsid w:val="0D1D49FE"/>
    <w:rsid w:val="0D20589A"/>
    <w:rsid w:val="0D223D2F"/>
    <w:rsid w:val="0D247F4C"/>
    <w:rsid w:val="0D2C39D2"/>
    <w:rsid w:val="0D2D568D"/>
    <w:rsid w:val="0D2E7F82"/>
    <w:rsid w:val="0D3335DB"/>
    <w:rsid w:val="0D3C3521"/>
    <w:rsid w:val="0D3D37F2"/>
    <w:rsid w:val="0D437156"/>
    <w:rsid w:val="0D4847BC"/>
    <w:rsid w:val="0D487DC6"/>
    <w:rsid w:val="0D4A0F58"/>
    <w:rsid w:val="0D4B2A2D"/>
    <w:rsid w:val="0D533F07"/>
    <w:rsid w:val="0D581B90"/>
    <w:rsid w:val="0D5A43A4"/>
    <w:rsid w:val="0D5B4989"/>
    <w:rsid w:val="0D621C7D"/>
    <w:rsid w:val="0D641115"/>
    <w:rsid w:val="0D755C33"/>
    <w:rsid w:val="0D770F7D"/>
    <w:rsid w:val="0D7B60F6"/>
    <w:rsid w:val="0D8C07AE"/>
    <w:rsid w:val="0D902475"/>
    <w:rsid w:val="0D9306F8"/>
    <w:rsid w:val="0D935B24"/>
    <w:rsid w:val="0DA12F20"/>
    <w:rsid w:val="0DA33F9D"/>
    <w:rsid w:val="0DA6583B"/>
    <w:rsid w:val="0DC41EAC"/>
    <w:rsid w:val="0DC62101"/>
    <w:rsid w:val="0DCD4649"/>
    <w:rsid w:val="0DCE30E0"/>
    <w:rsid w:val="0DCE47FC"/>
    <w:rsid w:val="0DD16314"/>
    <w:rsid w:val="0DD635DE"/>
    <w:rsid w:val="0DDA5743"/>
    <w:rsid w:val="0DDB093B"/>
    <w:rsid w:val="0DE43091"/>
    <w:rsid w:val="0DE60188"/>
    <w:rsid w:val="0DF35375"/>
    <w:rsid w:val="0DF55310"/>
    <w:rsid w:val="0E0011AA"/>
    <w:rsid w:val="0E0651CE"/>
    <w:rsid w:val="0E091408"/>
    <w:rsid w:val="0E0950B7"/>
    <w:rsid w:val="0E1B5B91"/>
    <w:rsid w:val="0E23030F"/>
    <w:rsid w:val="0E2B07E5"/>
    <w:rsid w:val="0E3167A6"/>
    <w:rsid w:val="0E380412"/>
    <w:rsid w:val="0E3918E9"/>
    <w:rsid w:val="0E3C05B1"/>
    <w:rsid w:val="0E553BE0"/>
    <w:rsid w:val="0E553C36"/>
    <w:rsid w:val="0E565428"/>
    <w:rsid w:val="0E661E97"/>
    <w:rsid w:val="0E667DD8"/>
    <w:rsid w:val="0E6F1206"/>
    <w:rsid w:val="0E7226B8"/>
    <w:rsid w:val="0E73034D"/>
    <w:rsid w:val="0E755B8E"/>
    <w:rsid w:val="0E867A8B"/>
    <w:rsid w:val="0E87407E"/>
    <w:rsid w:val="0E8A5D36"/>
    <w:rsid w:val="0E8A5E43"/>
    <w:rsid w:val="0E8C2C83"/>
    <w:rsid w:val="0E8E07E1"/>
    <w:rsid w:val="0E912D1F"/>
    <w:rsid w:val="0E941B37"/>
    <w:rsid w:val="0EA13E5D"/>
    <w:rsid w:val="0EA15A0F"/>
    <w:rsid w:val="0EA41BBC"/>
    <w:rsid w:val="0EA519D9"/>
    <w:rsid w:val="0EAB79AE"/>
    <w:rsid w:val="0EAD2BF9"/>
    <w:rsid w:val="0EAD4D1C"/>
    <w:rsid w:val="0EB40C65"/>
    <w:rsid w:val="0EBF720E"/>
    <w:rsid w:val="0EC20452"/>
    <w:rsid w:val="0EC536D9"/>
    <w:rsid w:val="0EC75A69"/>
    <w:rsid w:val="0ECD586B"/>
    <w:rsid w:val="0EDA034C"/>
    <w:rsid w:val="0EDF564A"/>
    <w:rsid w:val="0EE455D2"/>
    <w:rsid w:val="0EE859DF"/>
    <w:rsid w:val="0EE91DFB"/>
    <w:rsid w:val="0EE9574E"/>
    <w:rsid w:val="0EEA79A9"/>
    <w:rsid w:val="0F021BDF"/>
    <w:rsid w:val="0F062978"/>
    <w:rsid w:val="0F0A45CA"/>
    <w:rsid w:val="0F0F2C55"/>
    <w:rsid w:val="0F0F3592"/>
    <w:rsid w:val="0F121895"/>
    <w:rsid w:val="0F13775A"/>
    <w:rsid w:val="0F174589"/>
    <w:rsid w:val="0F2870E3"/>
    <w:rsid w:val="0F2960B6"/>
    <w:rsid w:val="0F2B5E02"/>
    <w:rsid w:val="0F2D0180"/>
    <w:rsid w:val="0F2E5071"/>
    <w:rsid w:val="0F2E7896"/>
    <w:rsid w:val="0F343AFF"/>
    <w:rsid w:val="0F36577A"/>
    <w:rsid w:val="0F3973FF"/>
    <w:rsid w:val="0F3D76D5"/>
    <w:rsid w:val="0F3F1B69"/>
    <w:rsid w:val="0F446462"/>
    <w:rsid w:val="0F4470B9"/>
    <w:rsid w:val="0F4510B4"/>
    <w:rsid w:val="0F522B0A"/>
    <w:rsid w:val="0F526E81"/>
    <w:rsid w:val="0F5B6F0B"/>
    <w:rsid w:val="0F5C70CE"/>
    <w:rsid w:val="0F5D0C09"/>
    <w:rsid w:val="0F5F45FE"/>
    <w:rsid w:val="0F610EE9"/>
    <w:rsid w:val="0F645921"/>
    <w:rsid w:val="0F657DD5"/>
    <w:rsid w:val="0F684E2E"/>
    <w:rsid w:val="0F7F7929"/>
    <w:rsid w:val="0F87344A"/>
    <w:rsid w:val="0F8D20E1"/>
    <w:rsid w:val="0F931DEF"/>
    <w:rsid w:val="0F95520F"/>
    <w:rsid w:val="0F96368D"/>
    <w:rsid w:val="0F963C15"/>
    <w:rsid w:val="0F9A112B"/>
    <w:rsid w:val="0F9F0794"/>
    <w:rsid w:val="0FA91612"/>
    <w:rsid w:val="0FB000EF"/>
    <w:rsid w:val="0FB611FB"/>
    <w:rsid w:val="0FB80B00"/>
    <w:rsid w:val="0FBC182E"/>
    <w:rsid w:val="0FC32319"/>
    <w:rsid w:val="0FD1280D"/>
    <w:rsid w:val="0FD27C29"/>
    <w:rsid w:val="0FD64E5E"/>
    <w:rsid w:val="0FD92D3F"/>
    <w:rsid w:val="0FE77E96"/>
    <w:rsid w:val="0FEB4C52"/>
    <w:rsid w:val="0FEE4C03"/>
    <w:rsid w:val="0FF15702"/>
    <w:rsid w:val="0FF6744B"/>
    <w:rsid w:val="0FFD31FE"/>
    <w:rsid w:val="0FFF4FF4"/>
    <w:rsid w:val="100756CE"/>
    <w:rsid w:val="100A3A4B"/>
    <w:rsid w:val="100A7A36"/>
    <w:rsid w:val="100D1BA1"/>
    <w:rsid w:val="1013091E"/>
    <w:rsid w:val="10136D24"/>
    <w:rsid w:val="101E30D4"/>
    <w:rsid w:val="1021136A"/>
    <w:rsid w:val="10243FCF"/>
    <w:rsid w:val="102815E4"/>
    <w:rsid w:val="102A5197"/>
    <w:rsid w:val="10314BB0"/>
    <w:rsid w:val="10314D70"/>
    <w:rsid w:val="103D45E0"/>
    <w:rsid w:val="10496930"/>
    <w:rsid w:val="1062140A"/>
    <w:rsid w:val="10682246"/>
    <w:rsid w:val="106D2F64"/>
    <w:rsid w:val="10795489"/>
    <w:rsid w:val="107B7182"/>
    <w:rsid w:val="107C71F3"/>
    <w:rsid w:val="107D02DF"/>
    <w:rsid w:val="107E7A72"/>
    <w:rsid w:val="10822AF0"/>
    <w:rsid w:val="10861954"/>
    <w:rsid w:val="1095001D"/>
    <w:rsid w:val="10A16876"/>
    <w:rsid w:val="10A25085"/>
    <w:rsid w:val="10A32505"/>
    <w:rsid w:val="10A62DDB"/>
    <w:rsid w:val="10A65B52"/>
    <w:rsid w:val="10A67900"/>
    <w:rsid w:val="10B43CC9"/>
    <w:rsid w:val="10B63710"/>
    <w:rsid w:val="10B66E2C"/>
    <w:rsid w:val="10C317D1"/>
    <w:rsid w:val="10D76DD0"/>
    <w:rsid w:val="10DB5B2E"/>
    <w:rsid w:val="10E12347"/>
    <w:rsid w:val="10E83A56"/>
    <w:rsid w:val="10EB7699"/>
    <w:rsid w:val="10EC7A09"/>
    <w:rsid w:val="10F10820"/>
    <w:rsid w:val="10FA4157"/>
    <w:rsid w:val="10FA47CF"/>
    <w:rsid w:val="10FC5772"/>
    <w:rsid w:val="10FE3CED"/>
    <w:rsid w:val="1102390F"/>
    <w:rsid w:val="1106203A"/>
    <w:rsid w:val="11074362"/>
    <w:rsid w:val="110C6B41"/>
    <w:rsid w:val="11130287"/>
    <w:rsid w:val="11180AB3"/>
    <w:rsid w:val="111B77C0"/>
    <w:rsid w:val="111C2F7A"/>
    <w:rsid w:val="11212E2F"/>
    <w:rsid w:val="112146B5"/>
    <w:rsid w:val="11225A47"/>
    <w:rsid w:val="11262C6A"/>
    <w:rsid w:val="11286304"/>
    <w:rsid w:val="112B5BA9"/>
    <w:rsid w:val="112C24FB"/>
    <w:rsid w:val="11332754"/>
    <w:rsid w:val="113C67FF"/>
    <w:rsid w:val="113D0E91"/>
    <w:rsid w:val="114D5CCC"/>
    <w:rsid w:val="11550431"/>
    <w:rsid w:val="115E420A"/>
    <w:rsid w:val="11643A43"/>
    <w:rsid w:val="11665CA1"/>
    <w:rsid w:val="11675CFB"/>
    <w:rsid w:val="116950CD"/>
    <w:rsid w:val="116A1F22"/>
    <w:rsid w:val="118327A4"/>
    <w:rsid w:val="118A023B"/>
    <w:rsid w:val="118B76F5"/>
    <w:rsid w:val="118E58A5"/>
    <w:rsid w:val="11955256"/>
    <w:rsid w:val="11964E85"/>
    <w:rsid w:val="11965D76"/>
    <w:rsid w:val="119C2F99"/>
    <w:rsid w:val="119D71B4"/>
    <w:rsid w:val="119E0095"/>
    <w:rsid w:val="11A11CCF"/>
    <w:rsid w:val="11A61D0E"/>
    <w:rsid w:val="11A65925"/>
    <w:rsid w:val="11AE5258"/>
    <w:rsid w:val="11B11176"/>
    <w:rsid w:val="11B5604C"/>
    <w:rsid w:val="11C7537E"/>
    <w:rsid w:val="11CF519A"/>
    <w:rsid w:val="11D6002F"/>
    <w:rsid w:val="11E06E41"/>
    <w:rsid w:val="11E37291"/>
    <w:rsid w:val="11F46E20"/>
    <w:rsid w:val="11F61C69"/>
    <w:rsid w:val="11F93050"/>
    <w:rsid w:val="120A2BFB"/>
    <w:rsid w:val="120F03F5"/>
    <w:rsid w:val="12173ABD"/>
    <w:rsid w:val="12174F59"/>
    <w:rsid w:val="121A2353"/>
    <w:rsid w:val="121C256F"/>
    <w:rsid w:val="122032FF"/>
    <w:rsid w:val="12205E98"/>
    <w:rsid w:val="122B7CCD"/>
    <w:rsid w:val="122C2766"/>
    <w:rsid w:val="123425BD"/>
    <w:rsid w:val="123727B1"/>
    <w:rsid w:val="123D6246"/>
    <w:rsid w:val="12402365"/>
    <w:rsid w:val="1248145A"/>
    <w:rsid w:val="124C2D6B"/>
    <w:rsid w:val="124D1D8C"/>
    <w:rsid w:val="12527B71"/>
    <w:rsid w:val="125355AA"/>
    <w:rsid w:val="1254167E"/>
    <w:rsid w:val="125D7747"/>
    <w:rsid w:val="125E5053"/>
    <w:rsid w:val="125E62FB"/>
    <w:rsid w:val="12612DDC"/>
    <w:rsid w:val="12697DEB"/>
    <w:rsid w:val="127B7C1A"/>
    <w:rsid w:val="1282545E"/>
    <w:rsid w:val="12831CC4"/>
    <w:rsid w:val="12837BA9"/>
    <w:rsid w:val="128C1A9B"/>
    <w:rsid w:val="128D7387"/>
    <w:rsid w:val="129140F9"/>
    <w:rsid w:val="12A67EF8"/>
    <w:rsid w:val="12B23828"/>
    <w:rsid w:val="12B50A06"/>
    <w:rsid w:val="12C042B2"/>
    <w:rsid w:val="12C353EE"/>
    <w:rsid w:val="12C46794"/>
    <w:rsid w:val="12C72544"/>
    <w:rsid w:val="12D06EB6"/>
    <w:rsid w:val="12D767E4"/>
    <w:rsid w:val="12DE15D3"/>
    <w:rsid w:val="12DE49AA"/>
    <w:rsid w:val="12F564D9"/>
    <w:rsid w:val="12FF30A9"/>
    <w:rsid w:val="13035B65"/>
    <w:rsid w:val="131D375E"/>
    <w:rsid w:val="132C0590"/>
    <w:rsid w:val="133E6199"/>
    <w:rsid w:val="133E76FB"/>
    <w:rsid w:val="13433A28"/>
    <w:rsid w:val="13465C7A"/>
    <w:rsid w:val="1349214D"/>
    <w:rsid w:val="134B6A57"/>
    <w:rsid w:val="135131D1"/>
    <w:rsid w:val="1354546B"/>
    <w:rsid w:val="13575D9B"/>
    <w:rsid w:val="135F0019"/>
    <w:rsid w:val="13713B27"/>
    <w:rsid w:val="137260CE"/>
    <w:rsid w:val="13766380"/>
    <w:rsid w:val="137D2FD7"/>
    <w:rsid w:val="137D757D"/>
    <w:rsid w:val="13837E8F"/>
    <w:rsid w:val="1384217A"/>
    <w:rsid w:val="1385498E"/>
    <w:rsid w:val="13951726"/>
    <w:rsid w:val="139E4785"/>
    <w:rsid w:val="13A05E1B"/>
    <w:rsid w:val="13A438DC"/>
    <w:rsid w:val="13A66595"/>
    <w:rsid w:val="13A66D0A"/>
    <w:rsid w:val="13C907B5"/>
    <w:rsid w:val="13CE422C"/>
    <w:rsid w:val="13D40760"/>
    <w:rsid w:val="13E67435"/>
    <w:rsid w:val="13F015BE"/>
    <w:rsid w:val="13F050F5"/>
    <w:rsid w:val="13F07A81"/>
    <w:rsid w:val="13F31B8B"/>
    <w:rsid w:val="13F94DB6"/>
    <w:rsid w:val="140040F4"/>
    <w:rsid w:val="140B464A"/>
    <w:rsid w:val="140C2ACE"/>
    <w:rsid w:val="141100A3"/>
    <w:rsid w:val="141364A6"/>
    <w:rsid w:val="14153928"/>
    <w:rsid w:val="14174B51"/>
    <w:rsid w:val="14175CEC"/>
    <w:rsid w:val="141B29D9"/>
    <w:rsid w:val="14213FAA"/>
    <w:rsid w:val="14310FC1"/>
    <w:rsid w:val="14334F7A"/>
    <w:rsid w:val="14343398"/>
    <w:rsid w:val="143508B1"/>
    <w:rsid w:val="14373691"/>
    <w:rsid w:val="143858EB"/>
    <w:rsid w:val="1439331E"/>
    <w:rsid w:val="14396509"/>
    <w:rsid w:val="14397409"/>
    <w:rsid w:val="143B7DCF"/>
    <w:rsid w:val="143E18E6"/>
    <w:rsid w:val="143E22D4"/>
    <w:rsid w:val="14464648"/>
    <w:rsid w:val="14464F0A"/>
    <w:rsid w:val="144729A1"/>
    <w:rsid w:val="14510AA5"/>
    <w:rsid w:val="145311AF"/>
    <w:rsid w:val="145B2133"/>
    <w:rsid w:val="145C6C53"/>
    <w:rsid w:val="1464702A"/>
    <w:rsid w:val="146823F9"/>
    <w:rsid w:val="146E082D"/>
    <w:rsid w:val="14717E92"/>
    <w:rsid w:val="14792FAD"/>
    <w:rsid w:val="14796129"/>
    <w:rsid w:val="147C5A17"/>
    <w:rsid w:val="14863CD0"/>
    <w:rsid w:val="14897E35"/>
    <w:rsid w:val="148B3699"/>
    <w:rsid w:val="148D5A84"/>
    <w:rsid w:val="149635A0"/>
    <w:rsid w:val="149D3294"/>
    <w:rsid w:val="149D3A87"/>
    <w:rsid w:val="14AA3F90"/>
    <w:rsid w:val="14AE2B7C"/>
    <w:rsid w:val="14B338CD"/>
    <w:rsid w:val="14BD6C85"/>
    <w:rsid w:val="14C305E0"/>
    <w:rsid w:val="14C54C9A"/>
    <w:rsid w:val="14C81A92"/>
    <w:rsid w:val="14CB4E38"/>
    <w:rsid w:val="14CF6D94"/>
    <w:rsid w:val="14DB698F"/>
    <w:rsid w:val="14DD2C3C"/>
    <w:rsid w:val="14E07479"/>
    <w:rsid w:val="14E55366"/>
    <w:rsid w:val="14E83C4D"/>
    <w:rsid w:val="14ED1FA1"/>
    <w:rsid w:val="14F46D83"/>
    <w:rsid w:val="14FB46BE"/>
    <w:rsid w:val="14FB581C"/>
    <w:rsid w:val="15001CD4"/>
    <w:rsid w:val="15013844"/>
    <w:rsid w:val="150A3AAC"/>
    <w:rsid w:val="150D117F"/>
    <w:rsid w:val="152A1D4D"/>
    <w:rsid w:val="152C0665"/>
    <w:rsid w:val="152C75DF"/>
    <w:rsid w:val="153575F8"/>
    <w:rsid w:val="15376F39"/>
    <w:rsid w:val="153A05DC"/>
    <w:rsid w:val="153C3086"/>
    <w:rsid w:val="153F23A4"/>
    <w:rsid w:val="154174CE"/>
    <w:rsid w:val="15477900"/>
    <w:rsid w:val="15566B18"/>
    <w:rsid w:val="15581D5C"/>
    <w:rsid w:val="155A282C"/>
    <w:rsid w:val="155B0D31"/>
    <w:rsid w:val="15620037"/>
    <w:rsid w:val="157514AB"/>
    <w:rsid w:val="158315B0"/>
    <w:rsid w:val="15843F6E"/>
    <w:rsid w:val="1586169E"/>
    <w:rsid w:val="15875A52"/>
    <w:rsid w:val="15896389"/>
    <w:rsid w:val="158C7B2F"/>
    <w:rsid w:val="158F5087"/>
    <w:rsid w:val="15924CF9"/>
    <w:rsid w:val="1594152E"/>
    <w:rsid w:val="15981F0D"/>
    <w:rsid w:val="15A91717"/>
    <w:rsid w:val="15B25DE9"/>
    <w:rsid w:val="15C02B2C"/>
    <w:rsid w:val="15C56A7A"/>
    <w:rsid w:val="15CA2AD1"/>
    <w:rsid w:val="15CB35C4"/>
    <w:rsid w:val="15D30C82"/>
    <w:rsid w:val="15D419CD"/>
    <w:rsid w:val="15D95E9F"/>
    <w:rsid w:val="15E17595"/>
    <w:rsid w:val="16050871"/>
    <w:rsid w:val="16065D46"/>
    <w:rsid w:val="16087E1D"/>
    <w:rsid w:val="16126048"/>
    <w:rsid w:val="161A2BA7"/>
    <w:rsid w:val="16210B0A"/>
    <w:rsid w:val="16217C62"/>
    <w:rsid w:val="1628375A"/>
    <w:rsid w:val="163740C2"/>
    <w:rsid w:val="16380220"/>
    <w:rsid w:val="163B7EF3"/>
    <w:rsid w:val="163F36D0"/>
    <w:rsid w:val="1654783B"/>
    <w:rsid w:val="165A0095"/>
    <w:rsid w:val="165A0FE6"/>
    <w:rsid w:val="165B4520"/>
    <w:rsid w:val="16621743"/>
    <w:rsid w:val="166D6FC9"/>
    <w:rsid w:val="16712FF3"/>
    <w:rsid w:val="167748C5"/>
    <w:rsid w:val="167778B6"/>
    <w:rsid w:val="167C5007"/>
    <w:rsid w:val="16953304"/>
    <w:rsid w:val="1698496B"/>
    <w:rsid w:val="16A23B3C"/>
    <w:rsid w:val="16B165CA"/>
    <w:rsid w:val="16B53ACD"/>
    <w:rsid w:val="16BB72EF"/>
    <w:rsid w:val="16BF791B"/>
    <w:rsid w:val="16C37619"/>
    <w:rsid w:val="16C44F84"/>
    <w:rsid w:val="16C92092"/>
    <w:rsid w:val="16CA259A"/>
    <w:rsid w:val="16D60824"/>
    <w:rsid w:val="16D631A8"/>
    <w:rsid w:val="16E5443E"/>
    <w:rsid w:val="16E57934"/>
    <w:rsid w:val="16EA4FF5"/>
    <w:rsid w:val="16EE154B"/>
    <w:rsid w:val="16F400EA"/>
    <w:rsid w:val="16F7589B"/>
    <w:rsid w:val="16FE2244"/>
    <w:rsid w:val="16FE3F7E"/>
    <w:rsid w:val="16FF3AD6"/>
    <w:rsid w:val="170306E5"/>
    <w:rsid w:val="170A114A"/>
    <w:rsid w:val="17150D9A"/>
    <w:rsid w:val="17166C2E"/>
    <w:rsid w:val="171A4B0A"/>
    <w:rsid w:val="171B3F64"/>
    <w:rsid w:val="171C0BC6"/>
    <w:rsid w:val="171C593F"/>
    <w:rsid w:val="171F75CD"/>
    <w:rsid w:val="1720665E"/>
    <w:rsid w:val="17307137"/>
    <w:rsid w:val="17321641"/>
    <w:rsid w:val="17336233"/>
    <w:rsid w:val="17342109"/>
    <w:rsid w:val="1734709E"/>
    <w:rsid w:val="1735086C"/>
    <w:rsid w:val="173C03EC"/>
    <w:rsid w:val="17460920"/>
    <w:rsid w:val="17467C1C"/>
    <w:rsid w:val="17471068"/>
    <w:rsid w:val="174B3633"/>
    <w:rsid w:val="17582776"/>
    <w:rsid w:val="175E0A74"/>
    <w:rsid w:val="17614581"/>
    <w:rsid w:val="17656FCE"/>
    <w:rsid w:val="17685ABB"/>
    <w:rsid w:val="17701D14"/>
    <w:rsid w:val="17735226"/>
    <w:rsid w:val="17742506"/>
    <w:rsid w:val="177E1286"/>
    <w:rsid w:val="17803347"/>
    <w:rsid w:val="17840521"/>
    <w:rsid w:val="178726F1"/>
    <w:rsid w:val="178D54B3"/>
    <w:rsid w:val="178E5B2D"/>
    <w:rsid w:val="179B75D9"/>
    <w:rsid w:val="179E3A27"/>
    <w:rsid w:val="17BD7087"/>
    <w:rsid w:val="17BF2791"/>
    <w:rsid w:val="17C013FB"/>
    <w:rsid w:val="17C2133C"/>
    <w:rsid w:val="17C4341E"/>
    <w:rsid w:val="17CF5963"/>
    <w:rsid w:val="17D52CDA"/>
    <w:rsid w:val="17D66D1D"/>
    <w:rsid w:val="17D905BB"/>
    <w:rsid w:val="17DA4F20"/>
    <w:rsid w:val="17DE1C23"/>
    <w:rsid w:val="17DF2D8B"/>
    <w:rsid w:val="18040CDB"/>
    <w:rsid w:val="18065729"/>
    <w:rsid w:val="18071EAB"/>
    <w:rsid w:val="1808207A"/>
    <w:rsid w:val="180D7ADF"/>
    <w:rsid w:val="181430DB"/>
    <w:rsid w:val="181A00BC"/>
    <w:rsid w:val="181A1BDA"/>
    <w:rsid w:val="18254506"/>
    <w:rsid w:val="18261E8E"/>
    <w:rsid w:val="182954DB"/>
    <w:rsid w:val="182A3BAF"/>
    <w:rsid w:val="182D7745"/>
    <w:rsid w:val="182F613C"/>
    <w:rsid w:val="183121A5"/>
    <w:rsid w:val="1833150B"/>
    <w:rsid w:val="18365A0D"/>
    <w:rsid w:val="183A50A8"/>
    <w:rsid w:val="18456C51"/>
    <w:rsid w:val="184D11A4"/>
    <w:rsid w:val="184F0B35"/>
    <w:rsid w:val="18553069"/>
    <w:rsid w:val="185540E5"/>
    <w:rsid w:val="185A5BA0"/>
    <w:rsid w:val="185A7BA0"/>
    <w:rsid w:val="185C2D45"/>
    <w:rsid w:val="18631136"/>
    <w:rsid w:val="18652AC1"/>
    <w:rsid w:val="18743F6E"/>
    <w:rsid w:val="187622AE"/>
    <w:rsid w:val="187C5B16"/>
    <w:rsid w:val="18815FB6"/>
    <w:rsid w:val="188B5684"/>
    <w:rsid w:val="188D068E"/>
    <w:rsid w:val="188E5849"/>
    <w:rsid w:val="1890336F"/>
    <w:rsid w:val="18926A17"/>
    <w:rsid w:val="189578B2"/>
    <w:rsid w:val="18965652"/>
    <w:rsid w:val="189866C8"/>
    <w:rsid w:val="189B5DD0"/>
    <w:rsid w:val="189C0EA3"/>
    <w:rsid w:val="189F624C"/>
    <w:rsid w:val="18A0230C"/>
    <w:rsid w:val="18A11F2E"/>
    <w:rsid w:val="18A27794"/>
    <w:rsid w:val="18A40BC9"/>
    <w:rsid w:val="18A6445C"/>
    <w:rsid w:val="18A91B76"/>
    <w:rsid w:val="18AB3E7D"/>
    <w:rsid w:val="18B2332D"/>
    <w:rsid w:val="18C35080"/>
    <w:rsid w:val="18C80D5B"/>
    <w:rsid w:val="18CC3B47"/>
    <w:rsid w:val="18D9277B"/>
    <w:rsid w:val="18DB1231"/>
    <w:rsid w:val="18E63974"/>
    <w:rsid w:val="18E9106F"/>
    <w:rsid w:val="18F1466A"/>
    <w:rsid w:val="18F4316C"/>
    <w:rsid w:val="18F67D42"/>
    <w:rsid w:val="18F733EE"/>
    <w:rsid w:val="18FA4FDE"/>
    <w:rsid w:val="18FF7928"/>
    <w:rsid w:val="19045B0B"/>
    <w:rsid w:val="190F7B30"/>
    <w:rsid w:val="191968F6"/>
    <w:rsid w:val="191E05B0"/>
    <w:rsid w:val="191F7447"/>
    <w:rsid w:val="19252BDA"/>
    <w:rsid w:val="192671AC"/>
    <w:rsid w:val="19332FBE"/>
    <w:rsid w:val="193D0663"/>
    <w:rsid w:val="19414CE0"/>
    <w:rsid w:val="194C2307"/>
    <w:rsid w:val="195005BE"/>
    <w:rsid w:val="19535998"/>
    <w:rsid w:val="19543AC4"/>
    <w:rsid w:val="19546531"/>
    <w:rsid w:val="195C5A11"/>
    <w:rsid w:val="19680538"/>
    <w:rsid w:val="196D031B"/>
    <w:rsid w:val="196D1903"/>
    <w:rsid w:val="197831A0"/>
    <w:rsid w:val="198736E1"/>
    <w:rsid w:val="19925A22"/>
    <w:rsid w:val="19931546"/>
    <w:rsid w:val="199569EA"/>
    <w:rsid w:val="199A59B4"/>
    <w:rsid w:val="19A74E14"/>
    <w:rsid w:val="19CB74D8"/>
    <w:rsid w:val="19CC5AF9"/>
    <w:rsid w:val="19CE0296"/>
    <w:rsid w:val="19D46815"/>
    <w:rsid w:val="19D87115"/>
    <w:rsid w:val="19E04B14"/>
    <w:rsid w:val="19E0763A"/>
    <w:rsid w:val="19E42EFD"/>
    <w:rsid w:val="19E97BBC"/>
    <w:rsid w:val="19EA50F6"/>
    <w:rsid w:val="19F2189F"/>
    <w:rsid w:val="19F33BB6"/>
    <w:rsid w:val="19F418A5"/>
    <w:rsid w:val="19F94A0B"/>
    <w:rsid w:val="1A0057FC"/>
    <w:rsid w:val="1A063B32"/>
    <w:rsid w:val="1A0A0110"/>
    <w:rsid w:val="1A1030CA"/>
    <w:rsid w:val="1A11013F"/>
    <w:rsid w:val="1A125406"/>
    <w:rsid w:val="1A1C66C0"/>
    <w:rsid w:val="1A2570E8"/>
    <w:rsid w:val="1A2E6EC9"/>
    <w:rsid w:val="1A361738"/>
    <w:rsid w:val="1A3850C8"/>
    <w:rsid w:val="1A3A41C3"/>
    <w:rsid w:val="1A40014D"/>
    <w:rsid w:val="1A400DC5"/>
    <w:rsid w:val="1A42393B"/>
    <w:rsid w:val="1A472154"/>
    <w:rsid w:val="1A4F434F"/>
    <w:rsid w:val="1A504DFD"/>
    <w:rsid w:val="1A5072FD"/>
    <w:rsid w:val="1A533AB3"/>
    <w:rsid w:val="1A5A3F98"/>
    <w:rsid w:val="1A5D3B81"/>
    <w:rsid w:val="1A646564"/>
    <w:rsid w:val="1A776581"/>
    <w:rsid w:val="1A777033"/>
    <w:rsid w:val="1A805687"/>
    <w:rsid w:val="1A844DCF"/>
    <w:rsid w:val="1A8520F2"/>
    <w:rsid w:val="1A8C7B66"/>
    <w:rsid w:val="1A932F92"/>
    <w:rsid w:val="1A97187F"/>
    <w:rsid w:val="1AA83121"/>
    <w:rsid w:val="1AA84037"/>
    <w:rsid w:val="1AAA3621"/>
    <w:rsid w:val="1AAB1647"/>
    <w:rsid w:val="1AAB5BD8"/>
    <w:rsid w:val="1AAD45DE"/>
    <w:rsid w:val="1AAE0CEE"/>
    <w:rsid w:val="1AAF08B3"/>
    <w:rsid w:val="1AB205BF"/>
    <w:rsid w:val="1ABA4494"/>
    <w:rsid w:val="1ACE12BC"/>
    <w:rsid w:val="1AD14D7E"/>
    <w:rsid w:val="1ADF413A"/>
    <w:rsid w:val="1AED21A0"/>
    <w:rsid w:val="1AED513B"/>
    <w:rsid w:val="1AED55FE"/>
    <w:rsid w:val="1AF000F5"/>
    <w:rsid w:val="1AF37BE5"/>
    <w:rsid w:val="1AF56544"/>
    <w:rsid w:val="1B046F80"/>
    <w:rsid w:val="1B0555B5"/>
    <w:rsid w:val="1B0B5DD7"/>
    <w:rsid w:val="1B0C0358"/>
    <w:rsid w:val="1B124510"/>
    <w:rsid w:val="1B1B394B"/>
    <w:rsid w:val="1B1C361A"/>
    <w:rsid w:val="1B1E6550"/>
    <w:rsid w:val="1B207C5E"/>
    <w:rsid w:val="1B2C4F92"/>
    <w:rsid w:val="1B310070"/>
    <w:rsid w:val="1B3267B5"/>
    <w:rsid w:val="1B3657D1"/>
    <w:rsid w:val="1B40161D"/>
    <w:rsid w:val="1B432871"/>
    <w:rsid w:val="1B441859"/>
    <w:rsid w:val="1B4D379A"/>
    <w:rsid w:val="1B5803EA"/>
    <w:rsid w:val="1B597C09"/>
    <w:rsid w:val="1B5F1C60"/>
    <w:rsid w:val="1B650AE3"/>
    <w:rsid w:val="1B6606B1"/>
    <w:rsid w:val="1B671763"/>
    <w:rsid w:val="1B6C758F"/>
    <w:rsid w:val="1B6D1EF1"/>
    <w:rsid w:val="1B7326E2"/>
    <w:rsid w:val="1B8F5687"/>
    <w:rsid w:val="1B9900CC"/>
    <w:rsid w:val="1BA45141"/>
    <w:rsid w:val="1BAB3D7E"/>
    <w:rsid w:val="1BB57C9A"/>
    <w:rsid w:val="1BB92689"/>
    <w:rsid w:val="1BBB3C5C"/>
    <w:rsid w:val="1BC81E2E"/>
    <w:rsid w:val="1BCB1A9C"/>
    <w:rsid w:val="1BD011D2"/>
    <w:rsid w:val="1BD65C9F"/>
    <w:rsid w:val="1BD71A60"/>
    <w:rsid w:val="1BDF39B5"/>
    <w:rsid w:val="1BE02F01"/>
    <w:rsid w:val="1BE5660A"/>
    <w:rsid w:val="1BE92F7E"/>
    <w:rsid w:val="1BE9311F"/>
    <w:rsid w:val="1BF0044E"/>
    <w:rsid w:val="1BF400B9"/>
    <w:rsid w:val="1BF52725"/>
    <w:rsid w:val="1C060F97"/>
    <w:rsid w:val="1C166B91"/>
    <w:rsid w:val="1C1A0B67"/>
    <w:rsid w:val="1C1D6857"/>
    <w:rsid w:val="1C211DA9"/>
    <w:rsid w:val="1C284B16"/>
    <w:rsid w:val="1C2A4E80"/>
    <w:rsid w:val="1C2A7637"/>
    <w:rsid w:val="1C2B09E6"/>
    <w:rsid w:val="1C333C6A"/>
    <w:rsid w:val="1C3D1C44"/>
    <w:rsid w:val="1C425C7A"/>
    <w:rsid w:val="1C425D82"/>
    <w:rsid w:val="1C5118CF"/>
    <w:rsid w:val="1C5316FB"/>
    <w:rsid w:val="1C5A43C0"/>
    <w:rsid w:val="1C5E7925"/>
    <w:rsid w:val="1C601033"/>
    <w:rsid w:val="1C6060CC"/>
    <w:rsid w:val="1C6A62F0"/>
    <w:rsid w:val="1C6A701E"/>
    <w:rsid w:val="1C6E47E1"/>
    <w:rsid w:val="1C7217B1"/>
    <w:rsid w:val="1C735482"/>
    <w:rsid w:val="1C7576A1"/>
    <w:rsid w:val="1C7714BC"/>
    <w:rsid w:val="1C774776"/>
    <w:rsid w:val="1C7B5026"/>
    <w:rsid w:val="1C837E33"/>
    <w:rsid w:val="1C8411EA"/>
    <w:rsid w:val="1C9536EC"/>
    <w:rsid w:val="1C99656B"/>
    <w:rsid w:val="1C9B1EB8"/>
    <w:rsid w:val="1C9C19FA"/>
    <w:rsid w:val="1C9C5C1F"/>
    <w:rsid w:val="1CA62DC9"/>
    <w:rsid w:val="1CA754C8"/>
    <w:rsid w:val="1CB247F1"/>
    <w:rsid w:val="1CB3471D"/>
    <w:rsid w:val="1CB7706D"/>
    <w:rsid w:val="1CB922F3"/>
    <w:rsid w:val="1CC35603"/>
    <w:rsid w:val="1CC43535"/>
    <w:rsid w:val="1CCE090A"/>
    <w:rsid w:val="1CDC5533"/>
    <w:rsid w:val="1CDF6673"/>
    <w:rsid w:val="1CE2239F"/>
    <w:rsid w:val="1CE343B6"/>
    <w:rsid w:val="1CEC5991"/>
    <w:rsid w:val="1CF10155"/>
    <w:rsid w:val="1CF46221"/>
    <w:rsid w:val="1CF70AEA"/>
    <w:rsid w:val="1CF73624"/>
    <w:rsid w:val="1CFD070F"/>
    <w:rsid w:val="1D085BCA"/>
    <w:rsid w:val="1D0C3873"/>
    <w:rsid w:val="1D181B85"/>
    <w:rsid w:val="1D2243FA"/>
    <w:rsid w:val="1D246914"/>
    <w:rsid w:val="1D296FC1"/>
    <w:rsid w:val="1D2A3274"/>
    <w:rsid w:val="1D3B3F65"/>
    <w:rsid w:val="1D3E0055"/>
    <w:rsid w:val="1D3F5364"/>
    <w:rsid w:val="1D4F05F9"/>
    <w:rsid w:val="1D52666A"/>
    <w:rsid w:val="1D532E7E"/>
    <w:rsid w:val="1D5F6196"/>
    <w:rsid w:val="1D605FA6"/>
    <w:rsid w:val="1D6132A5"/>
    <w:rsid w:val="1D651943"/>
    <w:rsid w:val="1D6B6159"/>
    <w:rsid w:val="1D6D2980"/>
    <w:rsid w:val="1D7568C7"/>
    <w:rsid w:val="1D823B84"/>
    <w:rsid w:val="1D83441C"/>
    <w:rsid w:val="1D867769"/>
    <w:rsid w:val="1D890A30"/>
    <w:rsid w:val="1D8E56D5"/>
    <w:rsid w:val="1D951428"/>
    <w:rsid w:val="1DA405F5"/>
    <w:rsid w:val="1DA446DA"/>
    <w:rsid w:val="1DA45F9F"/>
    <w:rsid w:val="1DAB2047"/>
    <w:rsid w:val="1DB01DBE"/>
    <w:rsid w:val="1DB36DE5"/>
    <w:rsid w:val="1DB8135A"/>
    <w:rsid w:val="1DBA296D"/>
    <w:rsid w:val="1DC1352B"/>
    <w:rsid w:val="1DC22C2D"/>
    <w:rsid w:val="1DC31AF1"/>
    <w:rsid w:val="1DC44F07"/>
    <w:rsid w:val="1DC46673"/>
    <w:rsid w:val="1DC6390F"/>
    <w:rsid w:val="1DCD41FB"/>
    <w:rsid w:val="1DCE1577"/>
    <w:rsid w:val="1DD0420E"/>
    <w:rsid w:val="1DD33AFA"/>
    <w:rsid w:val="1DD41F50"/>
    <w:rsid w:val="1DD97567"/>
    <w:rsid w:val="1DE02D84"/>
    <w:rsid w:val="1DE74BBA"/>
    <w:rsid w:val="1DEA45DB"/>
    <w:rsid w:val="1DEB48A1"/>
    <w:rsid w:val="1DEE7140"/>
    <w:rsid w:val="1DFF63AD"/>
    <w:rsid w:val="1E030979"/>
    <w:rsid w:val="1E0E365D"/>
    <w:rsid w:val="1E0E56FF"/>
    <w:rsid w:val="1E0F7C67"/>
    <w:rsid w:val="1E1057A2"/>
    <w:rsid w:val="1E11015B"/>
    <w:rsid w:val="1E1153F1"/>
    <w:rsid w:val="1E233251"/>
    <w:rsid w:val="1E267CAE"/>
    <w:rsid w:val="1E2A1272"/>
    <w:rsid w:val="1E2D66F1"/>
    <w:rsid w:val="1E355AA4"/>
    <w:rsid w:val="1E4247B3"/>
    <w:rsid w:val="1E5866DD"/>
    <w:rsid w:val="1E642C55"/>
    <w:rsid w:val="1E6A28F8"/>
    <w:rsid w:val="1E6B1336"/>
    <w:rsid w:val="1E6B328F"/>
    <w:rsid w:val="1E6D6981"/>
    <w:rsid w:val="1E7977D3"/>
    <w:rsid w:val="1E7A43DA"/>
    <w:rsid w:val="1E80054D"/>
    <w:rsid w:val="1E8737D7"/>
    <w:rsid w:val="1E8841DB"/>
    <w:rsid w:val="1E8A7BB3"/>
    <w:rsid w:val="1E8C6B5F"/>
    <w:rsid w:val="1E8E5C37"/>
    <w:rsid w:val="1E8F35C7"/>
    <w:rsid w:val="1E931C2B"/>
    <w:rsid w:val="1EA03C61"/>
    <w:rsid w:val="1EAE27A1"/>
    <w:rsid w:val="1EAE6D0F"/>
    <w:rsid w:val="1EAF0941"/>
    <w:rsid w:val="1EB27864"/>
    <w:rsid w:val="1EB53B30"/>
    <w:rsid w:val="1EB73556"/>
    <w:rsid w:val="1EB93811"/>
    <w:rsid w:val="1EC42B09"/>
    <w:rsid w:val="1ECC2C27"/>
    <w:rsid w:val="1ED447FC"/>
    <w:rsid w:val="1EDB77B7"/>
    <w:rsid w:val="1EDF0BAD"/>
    <w:rsid w:val="1EE2390C"/>
    <w:rsid w:val="1EE53A1F"/>
    <w:rsid w:val="1EEA3E6E"/>
    <w:rsid w:val="1EEE648F"/>
    <w:rsid w:val="1EF34658"/>
    <w:rsid w:val="1F1563F3"/>
    <w:rsid w:val="1F1B770B"/>
    <w:rsid w:val="1F2A0319"/>
    <w:rsid w:val="1F3F2292"/>
    <w:rsid w:val="1F42113B"/>
    <w:rsid w:val="1F4C5B16"/>
    <w:rsid w:val="1F516B9A"/>
    <w:rsid w:val="1F520C6C"/>
    <w:rsid w:val="1F530537"/>
    <w:rsid w:val="1F5D545C"/>
    <w:rsid w:val="1F687A6C"/>
    <w:rsid w:val="1F7947DE"/>
    <w:rsid w:val="1F7956DC"/>
    <w:rsid w:val="1F8B003C"/>
    <w:rsid w:val="1F967153"/>
    <w:rsid w:val="1F973235"/>
    <w:rsid w:val="1FA12F8C"/>
    <w:rsid w:val="1FA13A55"/>
    <w:rsid w:val="1FA22D81"/>
    <w:rsid w:val="1FB552CC"/>
    <w:rsid w:val="1FBB4BD6"/>
    <w:rsid w:val="1FBF278C"/>
    <w:rsid w:val="1FC52D11"/>
    <w:rsid w:val="1FC855AB"/>
    <w:rsid w:val="1FDF730E"/>
    <w:rsid w:val="1FE363AB"/>
    <w:rsid w:val="1FE7539E"/>
    <w:rsid w:val="1FE87606"/>
    <w:rsid w:val="1FEB514A"/>
    <w:rsid w:val="1FFE32B4"/>
    <w:rsid w:val="20061006"/>
    <w:rsid w:val="20095D00"/>
    <w:rsid w:val="20143494"/>
    <w:rsid w:val="201B3E66"/>
    <w:rsid w:val="20203421"/>
    <w:rsid w:val="202D44FC"/>
    <w:rsid w:val="20372A2E"/>
    <w:rsid w:val="203E3707"/>
    <w:rsid w:val="20412BAC"/>
    <w:rsid w:val="20447FB9"/>
    <w:rsid w:val="2046577C"/>
    <w:rsid w:val="204C5469"/>
    <w:rsid w:val="204D5FEA"/>
    <w:rsid w:val="205355E9"/>
    <w:rsid w:val="20535F35"/>
    <w:rsid w:val="205360FA"/>
    <w:rsid w:val="20564ADE"/>
    <w:rsid w:val="20566C4C"/>
    <w:rsid w:val="205E1154"/>
    <w:rsid w:val="20640054"/>
    <w:rsid w:val="20654685"/>
    <w:rsid w:val="206600B7"/>
    <w:rsid w:val="20671BE0"/>
    <w:rsid w:val="206A42EF"/>
    <w:rsid w:val="206C4496"/>
    <w:rsid w:val="206D73F9"/>
    <w:rsid w:val="206F5649"/>
    <w:rsid w:val="20711C45"/>
    <w:rsid w:val="207348BB"/>
    <w:rsid w:val="20750644"/>
    <w:rsid w:val="20811011"/>
    <w:rsid w:val="208512E0"/>
    <w:rsid w:val="208C6B12"/>
    <w:rsid w:val="20917450"/>
    <w:rsid w:val="20963CB8"/>
    <w:rsid w:val="209C52D8"/>
    <w:rsid w:val="20A224ED"/>
    <w:rsid w:val="20A81A1B"/>
    <w:rsid w:val="20B07FB6"/>
    <w:rsid w:val="20B45A48"/>
    <w:rsid w:val="20B646FB"/>
    <w:rsid w:val="20B8126D"/>
    <w:rsid w:val="20BD4E6F"/>
    <w:rsid w:val="20C26EDE"/>
    <w:rsid w:val="20C8618F"/>
    <w:rsid w:val="20CA0759"/>
    <w:rsid w:val="20CB32E8"/>
    <w:rsid w:val="20CE09F4"/>
    <w:rsid w:val="20D031B6"/>
    <w:rsid w:val="20D04ED9"/>
    <w:rsid w:val="20E95FEC"/>
    <w:rsid w:val="20ED17AC"/>
    <w:rsid w:val="20F127AB"/>
    <w:rsid w:val="20F6777E"/>
    <w:rsid w:val="20F87414"/>
    <w:rsid w:val="20F877D4"/>
    <w:rsid w:val="20F87D04"/>
    <w:rsid w:val="20FB632D"/>
    <w:rsid w:val="20FB77F4"/>
    <w:rsid w:val="21012678"/>
    <w:rsid w:val="210B25A9"/>
    <w:rsid w:val="210B7A26"/>
    <w:rsid w:val="2110111F"/>
    <w:rsid w:val="211663DC"/>
    <w:rsid w:val="21182154"/>
    <w:rsid w:val="211F5D5B"/>
    <w:rsid w:val="21256724"/>
    <w:rsid w:val="21257950"/>
    <w:rsid w:val="2126105B"/>
    <w:rsid w:val="2126728C"/>
    <w:rsid w:val="212E5E1B"/>
    <w:rsid w:val="213B74B1"/>
    <w:rsid w:val="21454754"/>
    <w:rsid w:val="2148095A"/>
    <w:rsid w:val="214A11A7"/>
    <w:rsid w:val="215A2310"/>
    <w:rsid w:val="215A3C53"/>
    <w:rsid w:val="215A7BA5"/>
    <w:rsid w:val="215B4D83"/>
    <w:rsid w:val="21617F9F"/>
    <w:rsid w:val="2168768D"/>
    <w:rsid w:val="21697A41"/>
    <w:rsid w:val="216C72F5"/>
    <w:rsid w:val="217642C6"/>
    <w:rsid w:val="217A2ED8"/>
    <w:rsid w:val="217C19C4"/>
    <w:rsid w:val="218402F9"/>
    <w:rsid w:val="21844F7E"/>
    <w:rsid w:val="21857E3C"/>
    <w:rsid w:val="218914C5"/>
    <w:rsid w:val="218A6C07"/>
    <w:rsid w:val="219173DC"/>
    <w:rsid w:val="219D1E14"/>
    <w:rsid w:val="21A22AA0"/>
    <w:rsid w:val="21B23474"/>
    <w:rsid w:val="21B300CF"/>
    <w:rsid w:val="21B828BB"/>
    <w:rsid w:val="21B85C7C"/>
    <w:rsid w:val="21C10A3D"/>
    <w:rsid w:val="21C12210"/>
    <w:rsid w:val="21CE52E3"/>
    <w:rsid w:val="21DE318A"/>
    <w:rsid w:val="21E35704"/>
    <w:rsid w:val="21E93C29"/>
    <w:rsid w:val="21EC3216"/>
    <w:rsid w:val="21EF5B80"/>
    <w:rsid w:val="21F514CA"/>
    <w:rsid w:val="21F6394F"/>
    <w:rsid w:val="21F7191C"/>
    <w:rsid w:val="22010757"/>
    <w:rsid w:val="22014264"/>
    <w:rsid w:val="220516A4"/>
    <w:rsid w:val="22053AAC"/>
    <w:rsid w:val="22093F29"/>
    <w:rsid w:val="220D3994"/>
    <w:rsid w:val="220F17A9"/>
    <w:rsid w:val="221D3AD1"/>
    <w:rsid w:val="22251A19"/>
    <w:rsid w:val="222B6680"/>
    <w:rsid w:val="22326947"/>
    <w:rsid w:val="22330C09"/>
    <w:rsid w:val="22337F32"/>
    <w:rsid w:val="22430ED0"/>
    <w:rsid w:val="224F1354"/>
    <w:rsid w:val="22501274"/>
    <w:rsid w:val="22576990"/>
    <w:rsid w:val="22621826"/>
    <w:rsid w:val="22712CF6"/>
    <w:rsid w:val="22772486"/>
    <w:rsid w:val="2279763E"/>
    <w:rsid w:val="2281050D"/>
    <w:rsid w:val="229706E4"/>
    <w:rsid w:val="22994C9C"/>
    <w:rsid w:val="22B660C8"/>
    <w:rsid w:val="22B67897"/>
    <w:rsid w:val="22B67F62"/>
    <w:rsid w:val="22C6417C"/>
    <w:rsid w:val="22CE3289"/>
    <w:rsid w:val="22D60519"/>
    <w:rsid w:val="22DB4D27"/>
    <w:rsid w:val="22E071F5"/>
    <w:rsid w:val="22E1185E"/>
    <w:rsid w:val="22EA2F74"/>
    <w:rsid w:val="22EA7B20"/>
    <w:rsid w:val="22EC37EA"/>
    <w:rsid w:val="22F47480"/>
    <w:rsid w:val="22F520BC"/>
    <w:rsid w:val="22F748C0"/>
    <w:rsid w:val="22F835EB"/>
    <w:rsid w:val="23024E6A"/>
    <w:rsid w:val="230332F7"/>
    <w:rsid w:val="230B14BC"/>
    <w:rsid w:val="230D784D"/>
    <w:rsid w:val="23101936"/>
    <w:rsid w:val="231B3493"/>
    <w:rsid w:val="232F186D"/>
    <w:rsid w:val="23305E7B"/>
    <w:rsid w:val="23315702"/>
    <w:rsid w:val="23346088"/>
    <w:rsid w:val="23374718"/>
    <w:rsid w:val="23385E06"/>
    <w:rsid w:val="233B05FA"/>
    <w:rsid w:val="235D4C4F"/>
    <w:rsid w:val="236329C8"/>
    <w:rsid w:val="23660FB8"/>
    <w:rsid w:val="23681EC9"/>
    <w:rsid w:val="236F3024"/>
    <w:rsid w:val="23710AF9"/>
    <w:rsid w:val="23737CA0"/>
    <w:rsid w:val="23740F47"/>
    <w:rsid w:val="237708DF"/>
    <w:rsid w:val="237B0619"/>
    <w:rsid w:val="237C01CB"/>
    <w:rsid w:val="237F4F78"/>
    <w:rsid w:val="23812773"/>
    <w:rsid w:val="23881010"/>
    <w:rsid w:val="23894234"/>
    <w:rsid w:val="238C0D51"/>
    <w:rsid w:val="238D5CE3"/>
    <w:rsid w:val="23950119"/>
    <w:rsid w:val="239C1F7F"/>
    <w:rsid w:val="239F6792"/>
    <w:rsid w:val="23A10133"/>
    <w:rsid w:val="23A744B6"/>
    <w:rsid w:val="23AB76E2"/>
    <w:rsid w:val="23BB0AD2"/>
    <w:rsid w:val="23C04706"/>
    <w:rsid w:val="23C07454"/>
    <w:rsid w:val="23C731CC"/>
    <w:rsid w:val="23CB7428"/>
    <w:rsid w:val="23CC3C8A"/>
    <w:rsid w:val="23D37845"/>
    <w:rsid w:val="23DC0372"/>
    <w:rsid w:val="23DC22B9"/>
    <w:rsid w:val="23DE0B66"/>
    <w:rsid w:val="23DE1C48"/>
    <w:rsid w:val="23DF4E95"/>
    <w:rsid w:val="23EA427B"/>
    <w:rsid w:val="23EC021F"/>
    <w:rsid w:val="23F27D7B"/>
    <w:rsid w:val="23F85F20"/>
    <w:rsid w:val="23FC7B0B"/>
    <w:rsid w:val="240210CD"/>
    <w:rsid w:val="2403793B"/>
    <w:rsid w:val="240752B3"/>
    <w:rsid w:val="240B258B"/>
    <w:rsid w:val="241018CF"/>
    <w:rsid w:val="24165747"/>
    <w:rsid w:val="24191BAC"/>
    <w:rsid w:val="241962B3"/>
    <w:rsid w:val="2420122E"/>
    <w:rsid w:val="24207C9D"/>
    <w:rsid w:val="24260A61"/>
    <w:rsid w:val="24374FE7"/>
    <w:rsid w:val="24406985"/>
    <w:rsid w:val="244B7AB1"/>
    <w:rsid w:val="244D7FA0"/>
    <w:rsid w:val="245A789B"/>
    <w:rsid w:val="24637968"/>
    <w:rsid w:val="24640F2E"/>
    <w:rsid w:val="24743706"/>
    <w:rsid w:val="24752A6F"/>
    <w:rsid w:val="24766DC8"/>
    <w:rsid w:val="247702FC"/>
    <w:rsid w:val="24791BEF"/>
    <w:rsid w:val="24844BCB"/>
    <w:rsid w:val="248875F1"/>
    <w:rsid w:val="248A3369"/>
    <w:rsid w:val="248A60D5"/>
    <w:rsid w:val="24A853DC"/>
    <w:rsid w:val="24B65A3E"/>
    <w:rsid w:val="24B959FC"/>
    <w:rsid w:val="24BB0B3C"/>
    <w:rsid w:val="24BD4855"/>
    <w:rsid w:val="24BF09F7"/>
    <w:rsid w:val="24C417E3"/>
    <w:rsid w:val="24C6342B"/>
    <w:rsid w:val="24C841D3"/>
    <w:rsid w:val="24C937DF"/>
    <w:rsid w:val="24D3612E"/>
    <w:rsid w:val="24D45146"/>
    <w:rsid w:val="24D47072"/>
    <w:rsid w:val="24D6035C"/>
    <w:rsid w:val="24DB49DD"/>
    <w:rsid w:val="24E17DE0"/>
    <w:rsid w:val="24E30CCB"/>
    <w:rsid w:val="24E66803"/>
    <w:rsid w:val="24E81437"/>
    <w:rsid w:val="250164CC"/>
    <w:rsid w:val="25072C0B"/>
    <w:rsid w:val="250E6F37"/>
    <w:rsid w:val="2513266D"/>
    <w:rsid w:val="25171C1C"/>
    <w:rsid w:val="251B2A96"/>
    <w:rsid w:val="251D242F"/>
    <w:rsid w:val="251E5F01"/>
    <w:rsid w:val="25213B67"/>
    <w:rsid w:val="252D53FE"/>
    <w:rsid w:val="25331C52"/>
    <w:rsid w:val="2537501D"/>
    <w:rsid w:val="25383CA3"/>
    <w:rsid w:val="254A2AF8"/>
    <w:rsid w:val="254E5E33"/>
    <w:rsid w:val="25503D0E"/>
    <w:rsid w:val="25531958"/>
    <w:rsid w:val="25564E5D"/>
    <w:rsid w:val="25636497"/>
    <w:rsid w:val="257B0A0C"/>
    <w:rsid w:val="258532A7"/>
    <w:rsid w:val="2587611B"/>
    <w:rsid w:val="25897AC4"/>
    <w:rsid w:val="258E7C7F"/>
    <w:rsid w:val="25910F89"/>
    <w:rsid w:val="2591735F"/>
    <w:rsid w:val="2594364D"/>
    <w:rsid w:val="25975E02"/>
    <w:rsid w:val="25984913"/>
    <w:rsid w:val="259A3FCC"/>
    <w:rsid w:val="25AA4947"/>
    <w:rsid w:val="25AB5160"/>
    <w:rsid w:val="25AB5586"/>
    <w:rsid w:val="25B91208"/>
    <w:rsid w:val="25BC57A4"/>
    <w:rsid w:val="25C103C7"/>
    <w:rsid w:val="25C57D7D"/>
    <w:rsid w:val="25D3424A"/>
    <w:rsid w:val="25D423C5"/>
    <w:rsid w:val="25D71350"/>
    <w:rsid w:val="25D96ED3"/>
    <w:rsid w:val="25E80A1A"/>
    <w:rsid w:val="25EA2E5C"/>
    <w:rsid w:val="25EA2F9C"/>
    <w:rsid w:val="25EB7E37"/>
    <w:rsid w:val="25EC014A"/>
    <w:rsid w:val="25EC2D81"/>
    <w:rsid w:val="25F9568A"/>
    <w:rsid w:val="26055E23"/>
    <w:rsid w:val="260C59DC"/>
    <w:rsid w:val="26136763"/>
    <w:rsid w:val="261F5D33"/>
    <w:rsid w:val="262C7105"/>
    <w:rsid w:val="264B6AD7"/>
    <w:rsid w:val="265208FC"/>
    <w:rsid w:val="26561058"/>
    <w:rsid w:val="265763BF"/>
    <w:rsid w:val="2664654D"/>
    <w:rsid w:val="266556D2"/>
    <w:rsid w:val="26674087"/>
    <w:rsid w:val="266E3496"/>
    <w:rsid w:val="267542A7"/>
    <w:rsid w:val="267A696E"/>
    <w:rsid w:val="268C6764"/>
    <w:rsid w:val="268D4FB6"/>
    <w:rsid w:val="268E06C5"/>
    <w:rsid w:val="268F10FF"/>
    <w:rsid w:val="268F2EB8"/>
    <w:rsid w:val="269759AE"/>
    <w:rsid w:val="2699078F"/>
    <w:rsid w:val="269C3827"/>
    <w:rsid w:val="269F1E87"/>
    <w:rsid w:val="26A07908"/>
    <w:rsid w:val="26A20E44"/>
    <w:rsid w:val="26A30712"/>
    <w:rsid w:val="26B01233"/>
    <w:rsid w:val="26B40B71"/>
    <w:rsid w:val="26C55B3D"/>
    <w:rsid w:val="26CB19DF"/>
    <w:rsid w:val="26CD23C6"/>
    <w:rsid w:val="26CD578F"/>
    <w:rsid w:val="26CF3E66"/>
    <w:rsid w:val="26CF4F24"/>
    <w:rsid w:val="26D80541"/>
    <w:rsid w:val="26DF3823"/>
    <w:rsid w:val="26E53A18"/>
    <w:rsid w:val="26E67D64"/>
    <w:rsid w:val="26E73597"/>
    <w:rsid w:val="26EA00EF"/>
    <w:rsid w:val="26F51F6B"/>
    <w:rsid w:val="26F56720"/>
    <w:rsid w:val="27060C7C"/>
    <w:rsid w:val="270B4291"/>
    <w:rsid w:val="270B60E0"/>
    <w:rsid w:val="270B7B8D"/>
    <w:rsid w:val="270F3C76"/>
    <w:rsid w:val="270F56A4"/>
    <w:rsid w:val="27125C6F"/>
    <w:rsid w:val="27126B93"/>
    <w:rsid w:val="2719438D"/>
    <w:rsid w:val="271B744C"/>
    <w:rsid w:val="272C5349"/>
    <w:rsid w:val="2732174F"/>
    <w:rsid w:val="27357550"/>
    <w:rsid w:val="27370C29"/>
    <w:rsid w:val="27447004"/>
    <w:rsid w:val="274E0147"/>
    <w:rsid w:val="27550294"/>
    <w:rsid w:val="27575AA5"/>
    <w:rsid w:val="275B0B96"/>
    <w:rsid w:val="27603479"/>
    <w:rsid w:val="276A4062"/>
    <w:rsid w:val="276E1A0E"/>
    <w:rsid w:val="27702F56"/>
    <w:rsid w:val="277057A2"/>
    <w:rsid w:val="27710FB4"/>
    <w:rsid w:val="277A6A71"/>
    <w:rsid w:val="27822FE4"/>
    <w:rsid w:val="27824274"/>
    <w:rsid w:val="279279FA"/>
    <w:rsid w:val="27966AE9"/>
    <w:rsid w:val="279B078B"/>
    <w:rsid w:val="27A72E58"/>
    <w:rsid w:val="27B24C8A"/>
    <w:rsid w:val="27B47B8A"/>
    <w:rsid w:val="27BA21B7"/>
    <w:rsid w:val="27BD49A9"/>
    <w:rsid w:val="27C51966"/>
    <w:rsid w:val="27C546B8"/>
    <w:rsid w:val="27C907DD"/>
    <w:rsid w:val="27CB69A0"/>
    <w:rsid w:val="27D62D17"/>
    <w:rsid w:val="27D80B79"/>
    <w:rsid w:val="27DA1B05"/>
    <w:rsid w:val="27E27105"/>
    <w:rsid w:val="27E51C1C"/>
    <w:rsid w:val="27EF2A62"/>
    <w:rsid w:val="27EF4956"/>
    <w:rsid w:val="27F16ABE"/>
    <w:rsid w:val="27F54EDA"/>
    <w:rsid w:val="27F9495D"/>
    <w:rsid w:val="27FA0805"/>
    <w:rsid w:val="27FD64AB"/>
    <w:rsid w:val="28047419"/>
    <w:rsid w:val="28153D7B"/>
    <w:rsid w:val="282348A0"/>
    <w:rsid w:val="282458D9"/>
    <w:rsid w:val="28270BE5"/>
    <w:rsid w:val="283C0CEF"/>
    <w:rsid w:val="283C2BCC"/>
    <w:rsid w:val="283F0399"/>
    <w:rsid w:val="283F5D82"/>
    <w:rsid w:val="28400275"/>
    <w:rsid w:val="28467B96"/>
    <w:rsid w:val="28480D9A"/>
    <w:rsid w:val="284B1F6B"/>
    <w:rsid w:val="28505702"/>
    <w:rsid w:val="28570975"/>
    <w:rsid w:val="285B33CB"/>
    <w:rsid w:val="285E0153"/>
    <w:rsid w:val="28622CA9"/>
    <w:rsid w:val="286332DD"/>
    <w:rsid w:val="2865057F"/>
    <w:rsid w:val="2865121D"/>
    <w:rsid w:val="286B34B1"/>
    <w:rsid w:val="28713B2A"/>
    <w:rsid w:val="287A1B88"/>
    <w:rsid w:val="287A508B"/>
    <w:rsid w:val="28883316"/>
    <w:rsid w:val="288A6C1C"/>
    <w:rsid w:val="288B2594"/>
    <w:rsid w:val="288D49CB"/>
    <w:rsid w:val="2897652C"/>
    <w:rsid w:val="289C7B0E"/>
    <w:rsid w:val="28A349F9"/>
    <w:rsid w:val="28A5139C"/>
    <w:rsid w:val="28A6273B"/>
    <w:rsid w:val="28AA46B2"/>
    <w:rsid w:val="28AB5844"/>
    <w:rsid w:val="28B1386B"/>
    <w:rsid w:val="28BC3D0D"/>
    <w:rsid w:val="28C03C6D"/>
    <w:rsid w:val="28C563B4"/>
    <w:rsid w:val="28CA317D"/>
    <w:rsid w:val="28CE5D75"/>
    <w:rsid w:val="28D71832"/>
    <w:rsid w:val="28D948BF"/>
    <w:rsid w:val="28DE1ED5"/>
    <w:rsid w:val="28E15AD4"/>
    <w:rsid w:val="28E85FAC"/>
    <w:rsid w:val="28F2075C"/>
    <w:rsid w:val="28F74D45"/>
    <w:rsid w:val="28F80A2C"/>
    <w:rsid w:val="28F931A5"/>
    <w:rsid w:val="28F97A37"/>
    <w:rsid w:val="28FE0D65"/>
    <w:rsid w:val="2901470F"/>
    <w:rsid w:val="290741C6"/>
    <w:rsid w:val="2908226F"/>
    <w:rsid w:val="290B003E"/>
    <w:rsid w:val="290C0C35"/>
    <w:rsid w:val="290F6532"/>
    <w:rsid w:val="291F51C6"/>
    <w:rsid w:val="2920604A"/>
    <w:rsid w:val="29206EB8"/>
    <w:rsid w:val="2921463D"/>
    <w:rsid w:val="292D5287"/>
    <w:rsid w:val="292D5485"/>
    <w:rsid w:val="293163E2"/>
    <w:rsid w:val="29363ABF"/>
    <w:rsid w:val="293A602F"/>
    <w:rsid w:val="293D2EF8"/>
    <w:rsid w:val="29421C6C"/>
    <w:rsid w:val="29437D99"/>
    <w:rsid w:val="29443075"/>
    <w:rsid w:val="2944744B"/>
    <w:rsid w:val="2946204D"/>
    <w:rsid w:val="294B131E"/>
    <w:rsid w:val="294F41CB"/>
    <w:rsid w:val="29520F9A"/>
    <w:rsid w:val="29570B2D"/>
    <w:rsid w:val="29595666"/>
    <w:rsid w:val="295B5AB9"/>
    <w:rsid w:val="295D4808"/>
    <w:rsid w:val="29641295"/>
    <w:rsid w:val="2964553B"/>
    <w:rsid w:val="29692E3C"/>
    <w:rsid w:val="296B1A8E"/>
    <w:rsid w:val="29762C7E"/>
    <w:rsid w:val="297818F3"/>
    <w:rsid w:val="297B5976"/>
    <w:rsid w:val="297E1BCD"/>
    <w:rsid w:val="297E5717"/>
    <w:rsid w:val="29870BFE"/>
    <w:rsid w:val="29874881"/>
    <w:rsid w:val="2987639D"/>
    <w:rsid w:val="298C10E0"/>
    <w:rsid w:val="298F7BDB"/>
    <w:rsid w:val="29904113"/>
    <w:rsid w:val="29934A6D"/>
    <w:rsid w:val="299570C0"/>
    <w:rsid w:val="299B66E2"/>
    <w:rsid w:val="29A019A6"/>
    <w:rsid w:val="29AD0EA1"/>
    <w:rsid w:val="29AE18A7"/>
    <w:rsid w:val="29AE7D8F"/>
    <w:rsid w:val="29BA4665"/>
    <w:rsid w:val="29BB1DC2"/>
    <w:rsid w:val="29BB7362"/>
    <w:rsid w:val="29C16934"/>
    <w:rsid w:val="29DA269C"/>
    <w:rsid w:val="29E325E0"/>
    <w:rsid w:val="29E57F98"/>
    <w:rsid w:val="29F47920"/>
    <w:rsid w:val="29F574C8"/>
    <w:rsid w:val="29F64A9B"/>
    <w:rsid w:val="29FA2353"/>
    <w:rsid w:val="2A0D3F66"/>
    <w:rsid w:val="2A0D5052"/>
    <w:rsid w:val="2A154BFF"/>
    <w:rsid w:val="2A163F15"/>
    <w:rsid w:val="2A1F5793"/>
    <w:rsid w:val="2A2056A1"/>
    <w:rsid w:val="2A262D88"/>
    <w:rsid w:val="2A273A2F"/>
    <w:rsid w:val="2A27786F"/>
    <w:rsid w:val="2A2A3EF0"/>
    <w:rsid w:val="2A452503"/>
    <w:rsid w:val="2A544953"/>
    <w:rsid w:val="2A55304A"/>
    <w:rsid w:val="2A676563"/>
    <w:rsid w:val="2A754104"/>
    <w:rsid w:val="2A846041"/>
    <w:rsid w:val="2A945F42"/>
    <w:rsid w:val="2A970AE4"/>
    <w:rsid w:val="2A9E3BE0"/>
    <w:rsid w:val="2AA210F0"/>
    <w:rsid w:val="2AA36C0C"/>
    <w:rsid w:val="2AA900C4"/>
    <w:rsid w:val="2AA967C8"/>
    <w:rsid w:val="2AAD558D"/>
    <w:rsid w:val="2AAE2406"/>
    <w:rsid w:val="2AAF3415"/>
    <w:rsid w:val="2AB001E6"/>
    <w:rsid w:val="2AB44761"/>
    <w:rsid w:val="2AB972ED"/>
    <w:rsid w:val="2AC01D81"/>
    <w:rsid w:val="2ACB26A2"/>
    <w:rsid w:val="2AD42741"/>
    <w:rsid w:val="2ADC03D1"/>
    <w:rsid w:val="2ADE388A"/>
    <w:rsid w:val="2ADF5470"/>
    <w:rsid w:val="2AE01F34"/>
    <w:rsid w:val="2AE31AAE"/>
    <w:rsid w:val="2AEA2DB3"/>
    <w:rsid w:val="2AED3531"/>
    <w:rsid w:val="2AED4C13"/>
    <w:rsid w:val="2AF555AC"/>
    <w:rsid w:val="2AFA4787"/>
    <w:rsid w:val="2B003628"/>
    <w:rsid w:val="2B0072A3"/>
    <w:rsid w:val="2B104C45"/>
    <w:rsid w:val="2B1716CE"/>
    <w:rsid w:val="2B1A0603"/>
    <w:rsid w:val="2B1C58B3"/>
    <w:rsid w:val="2B20072F"/>
    <w:rsid w:val="2B232F6E"/>
    <w:rsid w:val="2B287D41"/>
    <w:rsid w:val="2B295089"/>
    <w:rsid w:val="2B2B7A8C"/>
    <w:rsid w:val="2B2C0872"/>
    <w:rsid w:val="2B3560CB"/>
    <w:rsid w:val="2B427967"/>
    <w:rsid w:val="2B4624B3"/>
    <w:rsid w:val="2B4A7447"/>
    <w:rsid w:val="2B501978"/>
    <w:rsid w:val="2B572C99"/>
    <w:rsid w:val="2B5A0337"/>
    <w:rsid w:val="2B7144A1"/>
    <w:rsid w:val="2B755AC2"/>
    <w:rsid w:val="2B763C33"/>
    <w:rsid w:val="2B803E71"/>
    <w:rsid w:val="2B8C3E6A"/>
    <w:rsid w:val="2B8E3C3B"/>
    <w:rsid w:val="2B911481"/>
    <w:rsid w:val="2B9B0039"/>
    <w:rsid w:val="2BA303CC"/>
    <w:rsid w:val="2BA63E6C"/>
    <w:rsid w:val="2BA936A8"/>
    <w:rsid w:val="2BAC6E20"/>
    <w:rsid w:val="2BB45AED"/>
    <w:rsid w:val="2BB758CC"/>
    <w:rsid w:val="2BB90EC9"/>
    <w:rsid w:val="2BC14D91"/>
    <w:rsid w:val="2BC431B5"/>
    <w:rsid w:val="2BC449C8"/>
    <w:rsid w:val="2BC63F02"/>
    <w:rsid w:val="2BC6785D"/>
    <w:rsid w:val="2BC730F4"/>
    <w:rsid w:val="2BCB41BD"/>
    <w:rsid w:val="2BCF7429"/>
    <w:rsid w:val="2BD17CAA"/>
    <w:rsid w:val="2BD80E5D"/>
    <w:rsid w:val="2BD974B1"/>
    <w:rsid w:val="2BE5357A"/>
    <w:rsid w:val="2BEA0167"/>
    <w:rsid w:val="2BEA19D3"/>
    <w:rsid w:val="2BF54AEA"/>
    <w:rsid w:val="2BFA2420"/>
    <w:rsid w:val="2BFE082E"/>
    <w:rsid w:val="2BFF384D"/>
    <w:rsid w:val="2C0436EF"/>
    <w:rsid w:val="2C065F1E"/>
    <w:rsid w:val="2C0A730B"/>
    <w:rsid w:val="2C0B1892"/>
    <w:rsid w:val="2C0C5767"/>
    <w:rsid w:val="2C0E41F0"/>
    <w:rsid w:val="2C113C8B"/>
    <w:rsid w:val="2C261D46"/>
    <w:rsid w:val="2C30119E"/>
    <w:rsid w:val="2C31247C"/>
    <w:rsid w:val="2C315A5A"/>
    <w:rsid w:val="2C32345F"/>
    <w:rsid w:val="2C371CEC"/>
    <w:rsid w:val="2C3E3ACD"/>
    <w:rsid w:val="2C491C32"/>
    <w:rsid w:val="2C4B1C25"/>
    <w:rsid w:val="2C5F31FE"/>
    <w:rsid w:val="2C67202D"/>
    <w:rsid w:val="2C6E0E0C"/>
    <w:rsid w:val="2C701096"/>
    <w:rsid w:val="2C7014EB"/>
    <w:rsid w:val="2C75170D"/>
    <w:rsid w:val="2C7A6B1E"/>
    <w:rsid w:val="2C81734C"/>
    <w:rsid w:val="2C8D5CE4"/>
    <w:rsid w:val="2C96365D"/>
    <w:rsid w:val="2C9B79F4"/>
    <w:rsid w:val="2C9C5759"/>
    <w:rsid w:val="2CB528D4"/>
    <w:rsid w:val="2CB86CFE"/>
    <w:rsid w:val="2CBF4BC6"/>
    <w:rsid w:val="2CC11B9C"/>
    <w:rsid w:val="2CC3599C"/>
    <w:rsid w:val="2CC43CA2"/>
    <w:rsid w:val="2CC81876"/>
    <w:rsid w:val="2CDE4DCA"/>
    <w:rsid w:val="2CE16698"/>
    <w:rsid w:val="2CEE1201"/>
    <w:rsid w:val="2CF2795B"/>
    <w:rsid w:val="2CF622F5"/>
    <w:rsid w:val="2CF77A09"/>
    <w:rsid w:val="2CFA56A4"/>
    <w:rsid w:val="2CFB3C58"/>
    <w:rsid w:val="2D0F7E79"/>
    <w:rsid w:val="2D137C3A"/>
    <w:rsid w:val="2D1F21D2"/>
    <w:rsid w:val="2D205D6C"/>
    <w:rsid w:val="2D2B3FD0"/>
    <w:rsid w:val="2D2F5A24"/>
    <w:rsid w:val="2D33001B"/>
    <w:rsid w:val="2D337859"/>
    <w:rsid w:val="2D377038"/>
    <w:rsid w:val="2D412B3A"/>
    <w:rsid w:val="2D4311CA"/>
    <w:rsid w:val="2D4531E4"/>
    <w:rsid w:val="2D490204"/>
    <w:rsid w:val="2D4C5B4C"/>
    <w:rsid w:val="2D63274E"/>
    <w:rsid w:val="2D6B0A85"/>
    <w:rsid w:val="2D6D5F3C"/>
    <w:rsid w:val="2D6E0601"/>
    <w:rsid w:val="2D7011EC"/>
    <w:rsid w:val="2D716E07"/>
    <w:rsid w:val="2D73223F"/>
    <w:rsid w:val="2D746197"/>
    <w:rsid w:val="2D792007"/>
    <w:rsid w:val="2D7E2379"/>
    <w:rsid w:val="2D8017AD"/>
    <w:rsid w:val="2D8429AE"/>
    <w:rsid w:val="2D895B0B"/>
    <w:rsid w:val="2D914F95"/>
    <w:rsid w:val="2D937732"/>
    <w:rsid w:val="2D956717"/>
    <w:rsid w:val="2D9A45E7"/>
    <w:rsid w:val="2D9E56F5"/>
    <w:rsid w:val="2DAF45C3"/>
    <w:rsid w:val="2DB2443F"/>
    <w:rsid w:val="2DB65269"/>
    <w:rsid w:val="2DBD030B"/>
    <w:rsid w:val="2DBD18AB"/>
    <w:rsid w:val="2DBE64E5"/>
    <w:rsid w:val="2DC54C9D"/>
    <w:rsid w:val="2DCE7916"/>
    <w:rsid w:val="2DD04040"/>
    <w:rsid w:val="2DD735EE"/>
    <w:rsid w:val="2DE2273E"/>
    <w:rsid w:val="2DE660CC"/>
    <w:rsid w:val="2DE73772"/>
    <w:rsid w:val="2DE92732"/>
    <w:rsid w:val="2DEA15C9"/>
    <w:rsid w:val="2DFD156A"/>
    <w:rsid w:val="2E040608"/>
    <w:rsid w:val="2E0C3040"/>
    <w:rsid w:val="2E0E1862"/>
    <w:rsid w:val="2E100D83"/>
    <w:rsid w:val="2E161358"/>
    <w:rsid w:val="2E162A6B"/>
    <w:rsid w:val="2E1E0778"/>
    <w:rsid w:val="2E300410"/>
    <w:rsid w:val="2E3E48D7"/>
    <w:rsid w:val="2E3F083B"/>
    <w:rsid w:val="2E492327"/>
    <w:rsid w:val="2E4A2E2A"/>
    <w:rsid w:val="2E4A4A7F"/>
    <w:rsid w:val="2E4F23C9"/>
    <w:rsid w:val="2E56753C"/>
    <w:rsid w:val="2E63269F"/>
    <w:rsid w:val="2E64236A"/>
    <w:rsid w:val="2E6555B7"/>
    <w:rsid w:val="2E666BF4"/>
    <w:rsid w:val="2E667F96"/>
    <w:rsid w:val="2E6A3E61"/>
    <w:rsid w:val="2E7763D7"/>
    <w:rsid w:val="2E7D208A"/>
    <w:rsid w:val="2E8226AB"/>
    <w:rsid w:val="2E8C2504"/>
    <w:rsid w:val="2E90180C"/>
    <w:rsid w:val="2E9D2CFF"/>
    <w:rsid w:val="2EA50E7F"/>
    <w:rsid w:val="2EB84A52"/>
    <w:rsid w:val="2EC56594"/>
    <w:rsid w:val="2ECC2930"/>
    <w:rsid w:val="2ECD0CB8"/>
    <w:rsid w:val="2ECF4D2E"/>
    <w:rsid w:val="2ED32FCD"/>
    <w:rsid w:val="2ED558D3"/>
    <w:rsid w:val="2EDF0755"/>
    <w:rsid w:val="2EDF478C"/>
    <w:rsid w:val="2EEB5B58"/>
    <w:rsid w:val="2EF03BFD"/>
    <w:rsid w:val="2EF44C76"/>
    <w:rsid w:val="2EF835C5"/>
    <w:rsid w:val="2EFB6404"/>
    <w:rsid w:val="2F055DFB"/>
    <w:rsid w:val="2F0A773A"/>
    <w:rsid w:val="2F0F108B"/>
    <w:rsid w:val="2F0F43EF"/>
    <w:rsid w:val="2F1A6F26"/>
    <w:rsid w:val="2F1F11F9"/>
    <w:rsid w:val="2F2443BA"/>
    <w:rsid w:val="2F287611"/>
    <w:rsid w:val="2F2D760C"/>
    <w:rsid w:val="2F3711E4"/>
    <w:rsid w:val="2F506877"/>
    <w:rsid w:val="2F582CFA"/>
    <w:rsid w:val="2F5C1FBB"/>
    <w:rsid w:val="2F60573B"/>
    <w:rsid w:val="2F6501D9"/>
    <w:rsid w:val="2F70144E"/>
    <w:rsid w:val="2F70685E"/>
    <w:rsid w:val="2F711A06"/>
    <w:rsid w:val="2F766437"/>
    <w:rsid w:val="2F882B9B"/>
    <w:rsid w:val="2F945ECA"/>
    <w:rsid w:val="2F9D5F6D"/>
    <w:rsid w:val="2FA774C5"/>
    <w:rsid w:val="2FA953FC"/>
    <w:rsid w:val="2FAD43AF"/>
    <w:rsid w:val="2FB174E2"/>
    <w:rsid w:val="2FB86C08"/>
    <w:rsid w:val="2FBB6ACC"/>
    <w:rsid w:val="2FC647F3"/>
    <w:rsid w:val="2FCB047D"/>
    <w:rsid w:val="2FCB250E"/>
    <w:rsid w:val="2FCD4BFC"/>
    <w:rsid w:val="2FCD54A3"/>
    <w:rsid w:val="2FCE437C"/>
    <w:rsid w:val="2FD065E6"/>
    <w:rsid w:val="2FD215D3"/>
    <w:rsid w:val="2FD96870"/>
    <w:rsid w:val="2FDA5E08"/>
    <w:rsid w:val="2FE27E64"/>
    <w:rsid w:val="2FE57FED"/>
    <w:rsid w:val="2FE9188B"/>
    <w:rsid w:val="2FFB2217"/>
    <w:rsid w:val="2FFF0722"/>
    <w:rsid w:val="300343D5"/>
    <w:rsid w:val="30056FA3"/>
    <w:rsid w:val="3006765E"/>
    <w:rsid w:val="300C4CC9"/>
    <w:rsid w:val="30123BCD"/>
    <w:rsid w:val="30180DCD"/>
    <w:rsid w:val="301C1422"/>
    <w:rsid w:val="3020182C"/>
    <w:rsid w:val="30202DD3"/>
    <w:rsid w:val="30295295"/>
    <w:rsid w:val="303218B3"/>
    <w:rsid w:val="30350DD5"/>
    <w:rsid w:val="303F7E6E"/>
    <w:rsid w:val="30451E9F"/>
    <w:rsid w:val="304E0BCF"/>
    <w:rsid w:val="305337C9"/>
    <w:rsid w:val="305455C5"/>
    <w:rsid w:val="30580BC9"/>
    <w:rsid w:val="30623E1F"/>
    <w:rsid w:val="30684341"/>
    <w:rsid w:val="306B069A"/>
    <w:rsid w:val="306D0659"/>
    <w:rsid w:val="30791A63"/>
    <w:rsid w:val="30832419"/>
    <w:rsid w:val="30856BF0"/>
    <w:rsid w:val="308860CC"/>
    <w:rsid w:val="3089668A"/>
    <w:rsid w:val="308E41E1"/>
    <w:rsid w:val="309C70C9"/>
    <w:rsid w:val="309F1F4A"/>
    <w:rsid w:val="30A4205C"/>
    <w:rsid w:val="30A51BB7"/>
    <w:rsid w:val="30A626AA"/>
    <w:rsid w:val="30A91555"/>
    <w:rsid w:val="30B031CE"/>
    <w:rsid w:val="30B77CFF"/>
    <w:rsid w:val="30C37E76"/>
    <w:rsid w:val="30C65668"/>
    <w:rsid w:val="30C72BCD"/>
    <w:rsid w:val="30C85ACD"/>
    <w:rsid w:val="30CA69F4"/>
    <w:rsid w:val="30CF2FC8"/>
    <w:rsid w:val="30D20B40"/>
    <w:rsid w:val="30D53BBD"/>
    <w:rsid w:val="30D9641C"/>
    <w:rsid w:val="30DC4C18"/>
    <w:rsid w:val="30DE47B5"/>
    <w:rsid w:val="30E22D97"/>
    <w:rsid w:val="30E2500D"/>
    <w:rsid w:val="30E91095"/>
    <w:rsid w:val="30EC1914"/>
    <w:rsid w:val="30F65DB6"/>
    <w:rsid w:val="31055D30"/>
    <w:rsid w:val="310821E5"/>
    <w:rsid w:val="3108611B"/>
    <w:rsid w:val="3109366F"/>
    <w:rsid w:val="310D11AC"/>
    <w:rsid w:val="310E7A1B"/>
    <w:rsid w:val="31143E17"/>
    <w:rsid w:val="3117737A"/>
    <w:rsid w:val="3119602A"/>
    <w:rsid w:val="311D6046"/>
    <w:rsid w:val="311E2ED7"/>
    <w:rsid w:val="3127685A"/>
    <w:rsid w:val="31276DDF"/>
    <w:rsid w:val="312B6F6A"/>
    <w:rsid w:val="313A7EC4"/>
    <w:rsid w:val="31465C15"/>
    <w:rsid w:val="314C6D0E"/>
    <w:rsid w:val="3153299B"/>
    <w:rsid w:val="315619EE"/>
    <w:rsid w:val="31594DEB"/>
    <w:rsid w:val="315C449C"/>
    <w:rsid w:val="315E2D65"/>
    <w:rsid w:val="31637619"/>
    <w:rsid w:val="3167636F"/>
    <w:rsid w:val="316945DF"/>
    <w:rsid w:val="316A40A7"/>
    <w:rsid w:val="316C2909"/>
    <w:rsid w:val="3179422E"/>
    <w:rsid w:val="318444C8"/>
    <w:rsid w:val="31891515"/>
    <w:rsid w:val="318B2C98"/>
    <w:rsid w:val="318D6246"/>
    <w:rsid w:val="318F1FBE"/>
    <w:rsid w:val="31967522"/>
    <w:rsid w:val="319A4BC0"/>
    <w:rsid w:val="319B4849"/>
    <w:rsid w:val="319E5668"/>
    <w:rsid w:val="319F5F79"/>
    <w:rsid w:val="31A91AEC"/>
    <w:rsid w:val="31A935BB"/>
    <w:rsid w:val="31B366FF"/>
    <w:rsid w:val="31B61C41"/>
    <w:rsid w:val="31B82709"/>
    <w:rsid w:val="31BE1DEF"/>
    <w:rsid w:val="31C53C32"/>
    <w:rsid w:val="31C66387"/>
    <w:rsid w:val="31CA7C8B"/>
    <w:rsid w:val="31D05482"/>
    <w:rsid w:val="31D976DD"/>
    <w:rsid w:val="31DB327A"/>
    <w:rsid w:val="31DB5F19"/>
    <w:rsid w:val="31DE7618"/>
    <w:rsid w:val="31DF15CB"/>
    <w:rsid w:val="31E069BB"/>
    <w:rsid w:val="31E87583"/>
    <w:rsid w:val="31EA74EB"/>
    <w:rsid w:val="31EF6C90"/>
    <w:rsid w:val="31F6028F"/>
    <w:rsid w:val="31F6271E"/>
    <w:rsid w:val="31F8652A"/>
    <w:rsid w:val="31F92D57"/>
    <w:rsid w:val="31FB21E9"/>
    <w:rsid w:val="31FF3718"/>
    <w:rsid w:val="32002E21"/>
    <w:rsid w:val="32036508"/>
    <w:rsid w:val="320F212A"/>
    <w:rsid w:val="3210019B"/>
    <w:rsid w:val="321150C9"/>
    <w:rsid w:val="32116E77"/>
    <w:rsid w:val="321511DE"/>
    <w:rsid w:val="32157C62"/>
    <w:rsid w:val="321F61F4"/>
    <w:rsid w:val="322037E0"/>
    <w:rsid w:val="3229054A"/>
    <w:rsid w:val="32315176"/>
    <w:rsid w:val="32370842"/>
    <w:rsid w:val="32400B34"/>
    <w:rsid w:val="32415DB5"/>
    <w:rsid w:val="32421659"/>
    <w:rsid w:val="324F4C9B"/>
    <w:rsid w:val="32694FCA"/>
    <w:rsid w:val="326F1DF0"/>
    <w:rsid w:val="32755BEE"/>
    <w:rsid w:val="327A7E08"/>
    <w:rsid w:val="32801A55"/>
    <w:rsid w:val="32807B59"/>
    <w:rsid w:val="328E27D6"/>
    <w:rsid w:val="32922B5C"/>
    <w:rsid w:val="329D4549"/>
    <w:rsid w:val="329E6876"/>
    <w:rsid w:val="32A0644D"/>
    <w:rsid w:val="32A23F73"/>
    <w:rsid w:val="32A34E49"/>
    <w:rsid w:val="32AA7EDC"/>
    <w:rsid w:val="32B272CD"/>
    <w:rsid w:val="32BB4CDF"/>
    <w:rsid w:val="32C97217"/>
    <w:rsid w:val="32CB5278"/>
    <w:rsid w:val="32D40EB7"/>
    <w:rsid w:val="32DA3FCF"/>
    <w:rsid w:val="32DD2345"/>
    <w:rsid w:val="32EC37CF"/>
    <w:rsid w:val="33016C78"/>
    <w:rsid w:val="330669FA"/>
    <w:rsid w:val="330F7364"/>
    <w:rsid w:val="3310254A"/>
    <w:rsid w:val="333015F2"/>
    <w:rsid w:val="3331753C"/>
    <w:rsid w:val="33330BA6"/>
    <w:rsid w:val="333365A1"/>
    <w:rsid w:val="333A29E6"/>
    <w:rsid w:val="333D5A4A"/>
    <w:rsid w:val="3340292E"/>
    <w:rsid w:val="334B6320"/>
    <w:rsid w:val="334B63B9"/>
    <w:rsid w:val="334F4B90"/>
    <w:rsid w:val="335A19DD"/>
    <w:rsid w:val="335D0938"/>
    <w:rsid w:val="3361798A"/>
    <w:rsid w:val="336B3923"/>
    <w:rsid w:val="336D4581"/>
    <w:rsid w:val="3373295C"/>
    <w:rsid w:val="338235C5"/>
    <w:rsid w:val="33867361"/>
    <w:rsid w:val="33867AAC"/>
    <w:rsid w:val="33893BDD"/>
    <w:rsid w:val="33902D50"/>
    <w:rsid w:val="3393236F"/>
    <w:rsid w:val="33967158"/>
    <w:rsid w:val="339E5EFD"/>
    <w:rsid w:val="33A8719F"/>
    <w:rsid w:val="33B93FFF"/>
    <w:rsid w:val="33BC6F07"/>
    <w:rsid w:val="33BD7484"/>
    <w:rsid w:val="33C94889"/>
    <w:rsid w:val="33CD6DCE"/>
    <w:rsid w:val="33D30516"/>
    <w:rsid w:val="33D33F7B"/>
    <w:rsid w:val="33D934D4"/>
    <w:rsid w:val="33E365F1"/>
    <w:rsid w:val="33E675EC"/>
    <w:rsid w:val="33E800AC"/>
    <w:rsid w:val="33EE7D32"/>
    <w:rsid w:val="33FD3B57"/>
    <w:rsid w:val="33FE2F6A"/>
    <w:rsid w:val="33FF44C9"/>
    <w:rsid w:val="34091ACA"/>
    <w:rsid w:val="340D1142"/>
    <w:rsid w:val="340E07E5"/>
    <w:rsid w:val="341E5DB6"/>
    <w:rsid w:val="34235BF7"/>
    <w:rsid w:val="342D5583"/>
    <w:rsid w:val="342F7A89"/>
    <w:rsid w:val="343230D5"/>
    <w:rsid w:val="34345395"/>
    <w:rsid w:val="343D7A5A"/>
    <w:rsid w:val="344A52E6"/>
    <w:rsid w:val="345141D4"/>
    <w:rsid w:val="3451531A"/>
    <w:rsid w:val="345E2581"/>
    <w:rsid w:val="345F6AD2"/>
    <w:rsid w:val="34693182"/>
    <w:rsid w:val="3482508F"/>
    <w:rsid w:val="34860C86"/>
    <w:rsid w:val="3486431B"/>
    <w:rsid w:val="34867CA2"/>
    <w:rsid w:val="34886AB4"/>
    <w:rsid w:val="348D7EBE"/>
    <w:rsid w:val="34903082"/>
    <w:rsid w:val="349124F1"/>
    <w:rsid w:val="34936BFD"/>
    <w:rsid w:val="349A2272"/>
    <w:rsid w:val="349A5F6F"/>
    <w:rsid w:val="349B3370"/>
    <w:rsid w:val="34A345D5"/>
    <w:rsid w:val="34A64E7C"/>
    <w:rsid w:val="34A91F44"/>
    <w:rsid w:val="34AF4725"/>
    <w:rsid w:val="34B260E0"/>
    <w:rsid w:val="34B61F1F"/>
    <w:rsid w:val="34BA5BE6"/>
    <w:rsid w:val="34C47AD7"/>
    <w:rsid w:val="34C71A6F"/>
    <w:rsid w:val="34CC177B"/>
    <w:rsid w:val="34D11AC4"/>
    <w:rsid w:val="34D214BB"/>
    <w:rsid w:val="34D43412"/>
    <w:rsid w:val="34D50630"/>
    <w:rsid w:val="34D81ECE"/>
    <w:rsid w:val="34DF500B"/>
    <w:rsid w:val="34E8118B"/>
    <w:rsid w:val="34EC1638"/>
    <w:rsid w:val="34ED5335"/>
    <w:rsid w:val="34F06D86"/>
    <w:rsid w:val="34F73D01"/>
    <w:rsid w:val="34F97F2C"/>
    <w:rsid w:val="34FE60BA"/>
    <w:rsid w:val="350927CF"/>
    <w:rsid w:val="350B4052"/>
    <w:rsid w:val="350F288A"/>
    <w:rsid w:val="35153D68"/>
    <w:rsid w:val="352E4546"/>
    <w:rsid w:val="3532263D"/>
    <w:rsid w:val="35323492"/>
    <w:rsid w:val="35405C1B"/>
    <w:rsid w:val="35487054"/>
    <w:rsid w:val="354C2848"/>
    <w:rsid w:val="35544181"/>
    <w:rsid w:val="35545EA6"/>
    <w:rsid w:val="35563E2F"/>
    <w:rsid w:val="35584DBD"/>
    <w:rsid w:val="356928F3"/>
    <w:rsid w:val="35702926"/>
    <w:rsid w:val="357309AB"/>
    <w:rsid w:val="357563ED"/>
    <w:rsid w:val="357F65E0"/>
    <w:rsid w:val="358C5FA8"/>
    <w:rsid w:val="35964DAC"/>
    <w:rsid w:val="35991EF9"/>
    <w:rsid w:val="359A28A4"/>
    <w:rsid w:val="35A70F03"/>
    <w:rsid w:val="35AF579B"/>
    <w:rsid w:val="35B354F8"/>
    <w:rsid w:val="35B856C6"/>
    <w:rsid w:val="35BC534C"/>
    <w:rsid w:val="35C11A55"/>
    <w:rsid w:val="35C15DF1"/>
    <w:rsid w:val="35CB624E"/>
    <w:rsid w:val="35CD5924"/>
    <w:rsid w:val="35CE6E2D"/>
    <w:rsid w:val="35EF585C"/>
    <w:rsid w:val="35F72828"/>
    <w:rsid w:val="35FC1C24"/>
    <w:rsid w:val="3600792F"/>
    <w:rsid w:val="36064819"/>
    <w:rsid w:val="36074A7F"/>
    <w:rsid w:val="360A6A49"/>
    <w:rsid w:val="36161226"/>
    <w:rsid w:val="36167037"/>
    <w:rsid w:val="361A259D"/>
    <w:rsid w:val="361C4462"/>
    <w:rsid w:val="361E2D54"/>
    <w:rsid w:val="361F6DFA"/>
    <w:rsid w:val="3620159F"/>
    <w:rsid w:val="36260A17"/>
    <w:rsid w:val="3634651F"/>
    <w:rsid w:val="36347502"/>
    <w:rsid w:val="363819F3"/>
    <w:rsid w:val="363F2D7A"/>
    <w:rsid w:val="364225EE"/>
    <w:rsid w:val="36431A71"/>
    <w:rsid w:val="36457B93"/>
    <w:rsid w:val="364937E6"/>
    <w:rsid w:val="364F0EF2"/>
    <w:rsid w:val="36507122"/>
    <w:rsid w:val="36536BFD"/>
    <w:rsid w:val="365437D6"/>
    <w:rsid w:val="366249EF"/>
    <w:rsid w:val="36657BB2"/>
    <w:rsid w:val="366914FC"/>
    <w:rsid w:val="366B44BF"/>
    <w:rsid w:val="366B4890"/>
    <w:rsid w:val="36712004"/>
    <w:rsid w:val="367601B8"/>
    <w:rsid w:val="367C6E3F"/>
    <w:rsid w:val="36804685"/>
    <w:rsid w:val="36841290"/>
    <w:rsid w:val="36923549"/>
    <w:rsid w:val="36972D94"/>
    <w:rsid w:val="369E3650"/>
    <w:rsid w:val="369F4154"/>
    <w:rsid w:val="36A055F4"/>
    <w:rsid w:val="36A36628"/>
    <w:rsid w:val="36A5767B"/>
    <w:rsid w:val="36A67EDF"/>
    <w:rsid w:val="36A90CB6"/>
    <w:rsid w:val="36B219CF"/>
    <w:rsid w:val="36B75FBF"/>
    <w:rsid w:val="36BB5809"/>
    <w:rsid w:val="36BD0C45"/>
    <w:rsid w:val="36C73FA8"/>
    <w:rsid w:val="36C77881"/>
    <w:rsid w:val="36CD69D9"/>
    <w:rsid w:val="36CF1B3C"/>
    <w:rsid w:val="36D74D18"/>
    <w:rsid w:val="36DC0F75"/>
    <w:rsid w:val="36E00777"/>
    <w:rsid w:val="36E42408"/>
    <w:rsid w:val="36E73A94"/>
    <w:rsid w:val="36ED4652"/>
    <w:rsid w:val="36F01959"/>
    <w:rsid w:val="36F35220"/>
    <w:rsid w:val="36F413F0"/>
    <w:rsid w:val="36FC0039"/>
    <w:rsid w:val="370E0522"/>
    <w:rsid w:val="370E4CE9"/>
    <w:rsid w:val="37192788"/>
    <w:rsid w:val="37274EF6"/>
    <w:rsid w:val="37306549"/>
    <w:rsid w:val="374B3C73"/>
    <w:rsid w:val="375F1344"/>
    <w:rsid w:val="376502E1"/>
    <w:rsid w:val="376A3902"/>
    <w:rsid w:val="377515CD"/>
    <w:rsid w:val="378D23B8"/>
    <w:rsid w:val="379153C1"/>
    <w:rsid w:val="379971C1"/>
    <w:rsid w:val="37AA0D59"/>
    <w:rsid w:val="37AE67D0"/>
    <w:rsid w:val="37B34B85"/>
    <w:rsid w:val="37B42BF4"/>
    <w:rsid w:val="37C062F3"/>
    <w:rsid w:val="37C2272F"/>
    <w:rsid w:val="37C54721"/>
    <w:rsid w:val="37C655E5"/>
    <w:rsid w:val="37C678D9"/>
    <w:rsid w:val="37C8238F"/>
    <w:rsid w:val="37C87B91"/>
    <w:rsid w:val="37CA6820"/>
    <w:rsid w:val="37D02DB3"/>
    <w:rsid w:val="37D2266D"/>
    <w:rsid w:val="37D70C17"/>
    <w:rsid w:val="37DC7287"/>
    <w:rsid w:val="37DD2611"/>
    <w:rsid w:val="37E00298"/>
    <w:rsid w:val="37E02D91"/>
    <w:rsid w:val="37ED2A0A"/>
    <w:rsid w:val="37FA215C"/>
    <w:rsid w:val="380675FB"/>
    <w:rsid w:val="38067B89"/>
    <w:rsid w:val="380C2FC4"/>
    <w:rsid w:val="38123949"/>
    <w:rsid w:val="381312DA"/>
    <w:rsid w:val="381C32CA"/>
    <w:rsid w:val="381C47C8"/>
    <w:rsid w:val="381C7082"/>
    <w:rsid w:val="38225562"/>
    <w:rsid w:val="3825367C"/>
    <w:rsid w:val="38261EE9"/>
    <w:rsid w:val="38266FDD"/>
    <w:rsid w:val="382827AD"/>
    <w:rsid w:val="382E3A24"/>
    <w:rsid w:val="38376F0C"/>
    <w:rsid w:val="3839263F"/>
    <w:rsid w:val="383F538D"/>
    <w:rsid w:val="384034C2"/>
    <w:rsid w:val="384039C5"/>
    <w:rsid w:val="384310C9"/>
    <w:rsid w:val="38462AF2"/>
    <w:rsid w:val="3848736B"/>
    <w:rsid w:val="38504FDB"/>
    <w:rsid w:val="38585425"/>
    <w:rsid w:val="38594E66"/>
    <w:rsid w:val="385C20E4"/>
    <w:rsid w:val="3861343E"/>
    <w:rsid w:val="386730D2"/>
    <w:rsid w:val="386D3BC4"/>
    <w:rsid w:val="38702A6C"/>
    <w:rsid w:val="387C0DC3"/>
    <w:rsid w:val="387D5266"/>
    <w:rsid w:val="387E4B3B"/>
    <w:rsid w:val="38867A26"/>
    <w:rsid w:val="38904A98"/>
    <w:rsid w:val="38934A8A"/>
    <w:rsid w:val="38950DCD"/>
    <w:rsid w:val="38954CD5"/>
    <w:rsid w:val="389F4EF0"/>
    <w:rsid w:val="38B302F9"/>
    <w:rsid w:val="38B608DC"/>
    <w:rsid w:val="38B63172"/>
    <w:rsid w:val="38B82B90"/>
    <w:rsid w:val="38C05153"/>
    <w:rsid w:val="38C509BB"/>
    <w:rsid w:val="38C904AC"/>
    <w:rsid w:val="38CC0B1A"/>
    <w:rsid w:val="38D32767"/>
    <w:rsid w:val="38DB0ABB"/>
    <w:rsid w:val="38EA0422"/>
    <w:rsid w:val="38F12CD3"/>
    <w:rsid w:val="38F372D7"/>
    <w:rsid w:val="38F94775"/>
    <w:rsid w:val="39070D3F"/>
    <w:rsid w:val="390B66DA"/>
    <w:rsid w:val="390D579E"/>
    <w:rsid w:val="3914014A"/>
    <w:rsid w:val="39200767"/>
    <w:rsid w:val="3923302A"/>
    <w:rsid w:val="392971ED"/>
    <w:rsid w:val="392A3DB9"/>
    <w:rsid w:val="39325651"/>
    <w:rsid w:val="393F3D68"/>
    <w:rsid w:val="39451548"/>
    <w:rsid w:val="39477622"/>
    <w:rsid w:val="394864B7"/>
    <w:rsid w:val="3949339B"/>
    <w:rsid w:val="39497E1B"/>
    <w:rsid w:val="394D7498"/>
    <w:rsid w:val="39534219"/>
    <w:rsid w:val="3954036C"/>
    <w:rsid w:val="3954497C"/>
    <w:rsid w:val="396F075F"/>
    <w:rsid w:val="39806D8E"/>
    <w:rsid w:val="39820717"/>
    <w:rsid w:val="39896FFF"/>
    <w:rsid w:val="39960387"/>
    <w:rsid w:val="39992BC2"/>
    <w:rsid w:val="399A2E61"/>
    <w:rsid w:val="399C79B4"/>
    <w:rsid w:val="39A33401"/>
    <w:rsid w:val="39A56485"/>
    <w:rsid w:val="39B37651"/>
    <w:rsid w:val="39B424F9"/>
    <w:rsid w:val="39B47550"/>
    <w:rsid w:val="39C653FB"/>
    <w:rsid w:val="39C910D8"/>
    <w:rsid w:val="39C944DB"/>
    <w:rsid w:val="39D90B70"/>
    <w:rsid w:val="39E3559D"/>
    <w:rsid w:val="39E87AB7"/>
    <w:rsid w:val="39EA6DC7"/>
    <w:rsid w:val="39F3645B"/>
    <w:rsid w:val="39F73C1D"/>
    <w:rsid w:val="39FC7A06"/>
    <w:rsid w:val="39FE14A8"/>
    <w:rsid w:val="3A08364A"/>
    <w:rsid w:val="3A091890"/>
    <w:rsid w:val="3A0D6114"/>
    <w:rsid w:val="3A0E1F84"/>
    <w:rsid w:val="3A1970E6"/>
    <w:rsid w:val="3A210B2C"/>
    <w:rsid w:val="3A216C1F"/>
    <w:rsid w:val="3A2B2D56"/>
    <w:rsid w:val="3A30549F"/>
    <w:rsid w:val="3A330423"/>
    <w:rsid w:val="3A37014F"/>
    <w:rsid w:val="3A527429"/>
    <w:rsid w:val="3A5577A3"/>
    <w:rsid w:val="3A5B3385"/>
    <w:rsid w:val="3A685AA2"/>
    <w:rsid w:val="3A6D2D59"/>
    <w:rsid w:val="3A7018ED"/>
    <w:rsid w:val="3A8002DD"/>
    <w:rsid w:val="3A810912"/>
    <w:rsid w:val="3A84182A"/>
    <w:rsid w:val="3A872856"/>
    <w:rsid w:val="3A8C5872"/>
    <w:rsid w:val="3A8D7CB4"/>
    <w:rsid w:val="3A94168B"/>
    <w:rsid w:val="3A966806"/>
    <w:rsid w:val="3A9851F4"/>
    <w:rsid w:val="3A9C73DC"/>
    <w:rsid w:val="3A9F5A5D"/>
    <w:rsid w:val="3AA15732"/>
    <w:rsid w:val="3AAC0614"/>
    <w:rsid w:val="3AB90B0E"/>
    <w:rsid w:val="3AC33564"/>
    <w:rsid w:val="3AC81D9A"/>
    <w:rsid w:val="3AC90090"/>
    <w:rsid w:val="3ACE1E4C"/>
    <w:rsid w:val="3AE43883"/>
    <w:rsid w:val="3AE66A84"/>
    <w:rsid w:val="3AE85519"/>
    <w:rsid w:val="3AFC0DFA"/>
    <w:rsid w:val="3AFD1DE2"/>
    <w:rsid w:val="3B0350F9"/>
    <w:rsid w:val="3B0B051A"/>
    <w:rsid w:val="3B0C3FC3"/>
    <w:rsid w:val="3B113B28"/>
    <w:rsid w:val="3B1536A3"/>
    <w:rsid w:val="3B1C5CA0"/>
    <w:rsid w:val="3B221A24"/>
    <w:rsid w:val="3B22216F"/>
    <w:rsid w:val="3B2319C9"/>
    <w:rsid w:val="3B2F65C0"/>
    <w:rsid w:val="3B306141"/>
    <w:rsid w:val="3B365BA1"/>
    <w:rsid w:val="3B3763D1"/>
    <w:rsid w:val="3B3C0654"/>
    <w:rsid w:val="3B4019B7"/>
    <w:rsid w:val="3B450FA6"/>
    <w:rsid w:val="3B545160"/>
    <w:rsid w:val="3B587B12"/>
    <w:rsid w:val="3B6863A8"/>
    <w:rsid w:val="3B6E0E96"/>
    <w:rsid w:val="3B70173A"/>
    <w:rsid w:val="3B892165"/>
    <w:rsid w:val="3B9A7EDD"/>
    <w:rsid w:val="3B9D5F1E"/>
    <w:rsid w:val="3BA72E09"/>
    <w:rsid w:val="3BAB39D2"/>
    <w:rsid w:val="3BB22DDF"/>
    <w:rsid w:val="3BB37E87"/>
    <w:rsid w:val="3BB537BD"/>
    <w:rsid w:val="3BBA63D1"/>
    <w:rsid w:val="3BBE25B7"/>
    <w:rsid w:val="3BC40920"/>
    <w:rsid w:val="3BCA5C37"/>
    <w:rsid w:val="3BD4140B"/>
    <w:rsid w:val="3BD5157B"/>
    <w:rsid w:val="3BDA4AFF"/>
    <w:rsid w:val="3BE473AB"/>
    <w:rsid w:val="3BEF6D08"/>
    <w:rsid w:val="3BF82E56"/>
    <w:rsid w:val="3BFD672A"/>
    <w:rsid w:val="3C095063"/>
    <w:rsid w:val="3C0B2E8E"/>
    <w:rsid w:val="3C0B53D0"/>
    <w:rsid w:val="3C0D225A"/>
    <w:rsid w:val="3C132B37"/>
    <w:rsid w:val="3C171C60"/>
    <w:rsid w:val="3C2B639F"/>
    <w:rsid w:val="3C2B6D87"/>
    <w:rsid w:val="3C2E68B4"/>
    <w:rsid w:val="3C2F6E1E"/>
    <w:rsid w:val="3C3818B3"/>
    <w:rsid w:val="3C386C0A"/>
    <w:rsid w:val="3C3A2263"/>
    <w:rsid w:val="3C3B7CF6"/>
    <w:rsid w:val="3C3F16BF"/>
    <w:rsid w:val="3C411007"/>
    <w:rsid w:val="3C433145"/>
    <w:rsid w:val="3C4A6DD1"/>
    <w:rsid w:val="3C4F64BA"/>
    <w:rsid w:val="3C51537B"/>
    <w:rsid w:val="3C535CBB"/>
    <w:rsid w:val="3C5C1637"/>
    <w:rsid w:val="3C5E6408"/>
    <w:rsid w:val="3C5E74FA"/>
    <w:rsid w:val="3C6133AE"/>
    <w:rsid w:val="3C6E4ABA"/>
    <w:rsid w:val="3C724D9A"/>
    <w:rsid w:val="3C7573BD"/>
    <w:rsid w:val="3C7A30C1"/>
    <w:rsid w:val="3C7E77FF"/>
    <w:rsid w:val="3C801604"/>
    <w:rsid w:val="3C932383"/>
    <w:rsid w:val="3C9B433E"/>
    <w:rsid w:val="3CA56B3A"/>
    <w:rsid w:val="3CAC2107"/>
    <w:rsid w:val="3CAE5F7C"/>
    <w:rsid w:val="3CB9392F"/>
    <w:rsid w:val="3CBA123C"/>
    <w:rsid w:val="3CBB1C4D"/>
    <w:rsid w:val="3CCD2F2F"/>
    <w:rsid w:val="3CDA245A"/>
    <w:rsid w:val="3CDB40F8"/>
    <w:rsid w:val="3CDF3468"/>
    <w:rsid w:val="3CE61374"/>
    <w:rsid w:val="3CEE7746"/>
    <w:rsid w:val="3CF132C2"/>
    <w:rsid w:val="3D0020EB"/>
    <w:rsid w:val="3D055587"/>
    <w:rsid w:val="3D070FEC"/>
    <w:rsid w:val="3D0C5229"/>
    <w:rsid w:val="3D146CD2"/>
    <w:rsid w:val="3D1509F6"/>
    <w:rsid w:val="3D1B1DCB"/>
    <w:rsid w:val="3D1E06B7"/>
    <w:rsid w:val="3D1F4162"/>
    <w:rsid w:val="3D2B2205"/>
    <w:rsid w:val="3D2E4D81"/>
    <w:rsid w:val="3D3040CB"/>
    <w:rsid w:val="3D371873"/>
    <w:rsid w:val="3D420661"/>
    <w:rsid w:val="3D4511D9"/>
    <w:rsid w:val="3D4C6810"/>
    <w:rsid w:val="3D4C7132"/>
    <w:rsid w:val="3D591F0B"/>
    <w:rsid w:val="3D5D18E2"/>
    <w:rsid w:val="3D5E04DA"/>
    <w:rsid w:val="3D6C25C8"/>
    <w:rsid w:val="3D6F1D21"/>
    <w:rsid w:val="3D7B741A"/>
    <w:rsid w:val="3D7E152A"/>
    <w:rsid w:val="3D7F2809"/>
    <w:rsid w:val="3D837E1B"/>
    <w:rsid w:val="3D850719"/>
    <w:rsid w:val="3D8B68ED"/>
    <w:rsid w:val="3D8E52CD"/>
    <w:rsid w:val="3D8F3067"/>
    <w:rsid w:val="3D935587"/>
    <w:rsid w:val="3D954E8F"/>
    <w:rsid w:val="3D9D0949"/>
    <w:rsid w:val="3DAE20B3"/>
    <w:rsid w:val="3DAF70DE"/>
    <w:rsid w:val="3DB84E4A"/>
    <w:rsid w:val="3DBE515F"/>
    <w:rsid w:val="3DC80AA2"/>
    <w:rsid w:val="3DD24190"/>
    <w:rsid w:val="3DD27C30"/>
    <w:rsid w:val="3DDB7866"/>
    <w:rsid w:val="3DDD1725"/>
    <w:rsid w:val="3DE32AFD"/>
    <w:rsid w:val="3DE66963"/>
    <w:rsid w:val="3DEC5575"/>
    <w:rsid w:val="3DF32FC8"/>
    <w:rsid w:val="3DF8662E"/>
    <w:rsid w:val="3DFA1AEB"/>
    <w:rsid w:val="3DFD77D9"/>
    <w:rsid w:val="3E113227"/>
    <w:rsid w:val="3E13605A"/>
    <w:rsid w:val="3E136EB8"/>
    <w:rsid w:val="3E18489C"/>
    <w:rsid w:val="3E1B6DCF"/>
    <w:rsid w:val="3E2758FC"/>
    <w:rsid w:val="3E462022"/>
    <w:rsid w:val="3E474BB3"/>
    <w:rsid w:val="3E48757C"/>
    <w:rsid w:val="3E4A7C02"/>
    <w:rsid w:val="3E506F79"/>
    <w:rsid w:val="3E5A7DF8"/>
    <w:rsid w:val="3E651EE6"/>
    <w:rsid w:val="3E6E0C8F"/>
    <w:rsid w:val="3E6F1513"/>
    <w:rsid w:val="3E71394A"/>
    <w:rsid w:val="3E79647F"/>
    <w:rsid w:val="3E7B6A37"/>
    <w:rsid w:val="3E803CE8"/>
    <w:rsid w:val="3E8074EF"/>
    <w:rsid w:val="3E8157BE"/>
    <w:rsid w:val="3EA012E3"/>
    <w:rsid w:val="3EA31C52"/>
    <w:rsid w:val="3EA75819"/>
    <w:rsid w:val="3EA87603"/>
    <w:rsid w:val="3EA91BC6"/>
    <w:rsid w:val="3EA9656F"/>
    <w:rsid w:val="3EAA48DB"/>
    <w:rsid w:val="3EAE6F48"/>
    <w:rsid w:val="3EAF04AD"/>
    <w:rsid w:val="3EC043D8"/>
    <w:rsid w:val="3EC66625"/>
    <w:rsid w:val="3EDA0523"/>
    <w:rsid w:val="3EDF59FD"/>
    <w:rsid w:val="3EE06142"/>
    <w:rsid w:val="3EEE4365"/>
    <w:rsid w:val="3EF331E8"/>
    <w:rsid w:val="3EF66EA0"/>
    <w:rsid w:val="3EFE4E0F"/>
    <w:rsid w:val="3F006352"/>
    <w:rsid w:val="3F013713"/>
    <w:rsid w:val="3F0C10F2"/>
    <w:rsid w:val="3F161DB5"/>
    <w:rsid w:val="3F2451E8"/>
    <w:rsid w:val="3F25295E"/>
    <w:rsid w:val="3F301335"/>
    <w:rsid w:val="3F354F68"/>
    <w:rsid w:val="3F365520"/>
    <w:rsid w:val="3F3B697A"/>
    <w:rsid w:val="3F44202F"/>
    <w:rsid w:val="3F461E9C"/>
    <w:rsid w:val="3F4630A6"/>
    <w:rsid w:val="3F496818"/>
    <w:rsid w:val="3F4C4CEC"/>
    <w:rsid w:val="3F4D6224"/>
    <w:rsid w:val="3F4E7815"/>
    <w:rsid w:val="3F512FA9"/>
    <w:rsid w:val="3F5A5D12"/>
    <w:rsid w:val="3F6D54EC"/>
    <w:rsid w:val="3F724CCD"/>
    <w:rsid w:val="3F7A1D31"/>
    <w:rsid w:val="3F7E70CD"/>
    <w:rsid w:val="3F7F0ECA"/>
    <w:rsid w:val="3F842A47"/>
    <w:rsid w:val="3F85143B"/>
    <w:rsid w:val="3F89585D"/>
    <w:rsid w:val="3F8F2FB1"/>
    <w:rsid w:val="3FAA495A"/>
    <w:rsid w:val="3FB27582"/>
    <w:rsid w:val="3FB45515"/>
    <w:rsid w:val="3FB509C8"/>
    <w:rsid w:val="3FC138C0"/>
    <w:rsid w:val="3FC37BBC"/>
    <w:rsid w:val="3FCA2D74"/>
    <w:rsid w:val="3FCB78C2"/>
    <w:rsid w:val="3FCE7242"/>
    <w:rsid w:val="3FD170DC"/>
    <w:rsid w:val="3FD304EA"/>
    <w:rsid w:val="3FE05126"/>
    <w:rsid w:val="3FE058B4"/>
    <w:rsid w:val="3FE12AED"/>
    <w:rsid w:val="3FE8319B"/>
    <w:rsid w:val="3FEE78D2"/>
    <w:rsid w:val="3FF102E8"/>
    <w:rsid w:val="3FF97CCA"/>
    <w:rsid w:val="3FFF3F9F"/>
    <w:rsid w:val="4001677D"/>
    <w:rsid w:val="40084455"/>
    <w:rsid w:val="400D22D2"/>
    <w:rsid w:val="40172284"/>
    <w:rsid w:val="401E4120"/>
    <w:rsid w:val="401F34D4"/>
    <w:rsid w:val="40201C7C"/>
    <w:rsid w:val="40206070"/>
    <w:rsid w:val="402472F4"/>
    <w:rsid w:val="40324B88"/>
    <w:rsid w:val="403A1444"/>
    <w:rsid w:val="403F518C"/>
    <w:rsid w:val="40405AC9"/>
    <w:rsid w:val="40434BFE"/>
    <w:rsid w:val="40445CF4"/>
    <w:rsid w:val="404C3770"/>
    <w:rsid w:val="404C551E"/>
    <w:rsid w:val="404E0E6F"/>
    <w:rsid w:val="40560E8F"/>
    <w:rsid w:val="405A21E1"/>
    <w:rsid w:val="405B7B5F"/>
    <w:rsid w:val="40636BEB"/>
    <w:rsid w:val="406F267C"/>
    <w:rsid w:val="40712D81"/>
    <w:rsid w:val="407A1C85"/>
    <w:rsid w:val="407A208B"/>
    <w:rsid w:val="407A6407"/>
    <w:rsid w:val="407F6810"/>
    <w:rsid w:val="40820C38"/>
    <w:rsid w:val="408D61A6"/>
    <w:rsid w:val="408F6A49"/>
    <w:rsid w:val="4090602B"/>
    <w:rsid w:val="40923879"/>
    <w:rsid w:val="409B6073"/>
    <w:rsid w:val="409D3120"/>
    <w:rsid w:val="40A73B0D"/>
    <w:rsid w:val="40A73E59"/>
    <w:rsid w:val="40AB493B"/>
    <w:rsid w:val="40AD267B"/>
    <w:rsid w:val="40B318D6"/>
    <w:rsid w:val="40BC03B9"/>
    <w:rsid w:val="40BF2194"/>
    <w:rsid w:val="40C560F8"/>
    <w:rsid w:val="40C64185"/>
    <w:rsid w:val="40D00B94"/>
    <w:rsid w:val="40D12A39"/>
    <w:rsid w:val="40DA0344"/>
    <w:rsid w:val="40E52A65"/>
    <w:rsid w:val="40F72897"/>
    <w:rsid w:val="40F72F1F"/>
    <w:rsid w:val="40FA1543"/>
    <w:rsid w:val="4117552E"/>
    <w:rsid w:val="411E4B0F"/>
    <w:rsid w:val="41214C00"/>
    <w:rsid w:val="41276B7E"/>
    <w:rsid w:val="41335825"/>
    <w:rsid w:val="41340B82"/>
    <w:rsid w:val="41360F61"/>
    <w:rsid w:val="41394905"/>
    <w:rsid w:val="413C06CD"/>
    <w:rsid w:val="41406E31"/>
    <w:rsid w:val="414260FE"/>
    <w:rsid w:val="41443031"/>
    <w:rsid w:val="41483668"/>
    <w:rsid w:val="414A2D3D"/>
    <w:rsid w:val="414C1623"/>
    <w:rsid w:val="414C1C7A"/>
    <w:rsid w:val="414D3AB6"/>
    <w:rsid w:val="4150363D"/>
    <w:rsid w:val="41506989"/>
    <w:rsid w:val="415658FD"/>
    <w:rsid w:val="4171468D"/>
    <w:rsid w:val="417D567E"/>
    <w:rsid w:val="41810E55"/>
    <w:rsid w:val="41872CD4"/>
    <w:rsid w:val="418F325F"/>
    <w:rsid w:val="41942824"/>
    <w:rsid w:val="41955D1B"/>
    <w:rsid w:val="41AC402E"/>
    <w:rsid w:val="41C2780B"/>
    <w:rsid w:val="41CC4B69"/>
    <w:rsid w:val="41D45583"/>
    <w:rsid w:val="41EE3A17"/>
    <w:rsid w:val="41EE7727"/>
    <w:rsid w:val="41F24527"/>
    <w:rsid w:val="41F439ED"/>
    <w:rsid w:val="4200449D"/>
    <w:rsid w:val="42076F38"/>
    <w:rsid w:val="420F2CA7"/>
    <w:rsid w:val="421502BE"/>
    <w:rsid w:val="4217665D"/>
    <w:rsid w:val="421A7459"/>
    <w:rsid w:val="421D4FF2"/>
    <w:rsid w:val="4220714C"/>
    <w:rsid w:val="422C574F"/>
    <w:rsid w:val="42314F87"/>
    <w:rsid w:val="42324D54"/>
    <w:rsid w:val="423A3BCC"/>
    <w:rsid w:val="424066B8"/>
    <w:rsid w:val="424B02C8"/>
    <w:rsid w:val="424E57D2"/>
    <w:rsid w:val="42531D3E"/>
    <w:rsid w:val="425653A6"/>
    <w:rsid w:val="425E272C"/>
    <w:rsid w:val="426D61F9"/>
    <w:rsid w:val="42700434"/>
    <w:rsid w:val="4280233C"/>
    <w:rsid w:val="42812B49"/>
    <w:rsid w:val="42862A56"/>
    <w:rsid w:val="428D1C66"/>
    <w:rsid w:val="4290271E"/>
    <w:rsid w:val="42957CAD"/>
    <w:rsid w:val="429B1A4E"/>
    <w:rsid w:val="42B26C49"/>
    <w:rsid w:val="42B60588"/>
    <w:rsid w:val="42B9054B"/>
    <w:rsid w:val="42BF647C"/>
    <w:rsid w:val="42BF7498"/>
    <w:rsid w:val="42C6301C"/>
    <w:rsid w:val="42CB3072"/>
    <w:rsid w:val="42D14031"/>
    <w:rsid w:val="42E5365A"/>
    <w:rsid w:val="42EF5A6B"/>
    <w:rsid w:val="42F33F8F"/>
    <w:rsid w:val="42FC3D2D"/>
    <w:rsid w:val="431607FB"/>
    <w:rsid w:val="431A0066"/>
    <w:rsid w:val="43227B5D"/>
    <w:rsid w:val="43244232"/>
    <w:rsid w:val="432B081F"/>
    <w:rsid w:val="432D1E9B"/>
    <w:rsid w:val="43346E69"/>
    <w:rsid w:val="43377D10"/>
    <w:rsid w:val="4339622E"/>
    <w:rsid w:val="433A6FE6"/>
    <w:rsid w:val="433B1FA6"/>
    <w:rsid w:val="43405D6B"/>
    <w:rsid w:val="43480868"/>
    <w:rsid w:val="434A053E"/>
    <w:rsid w:val="4350713C"/>
    <w:rsid w:val="4352794F"/>
    <w:rsid w:val="43543C82"/>
    <w:rsid w:val="43563266"/>
    <w:rsid w:val="435A58DB"/>
    <w:rsid w:val="435E7267"/>
    <w:rsid w:val="43604CDE"/>
    <w:rsid w:val="436653E0"/>
    <w:rsid w:val="436B3E47"/>
    <w:rsid w:val="437807DC"/>
    <w:rsid w:val="437F1450"/>
    <w:rsid w:val="43852C24"/>
    <w:rsid w:val="438F59A1"/>
    <w:rsid w:val="439C05C5"/>
    <w:rsid w:val="43AC367B"/>
    <w:rsid w:val="43B52080"/>
    <w:rsid w:val="43B65AD0"/>
    <w:rsid w:val="43BA127A"/>
    <w:rsid w:val="43BD3832"/>
    <w:rsid w:val="43BF6DCD"/>
    <w:rsid w:val="43C249BF"/>
    <w:rsid w:val="43C25107"/>
    <w:rsid w:val="43C4431A"/>
    <w:rsid w:val="43C74980"/>
    <w:rsid w:val="43D265B1"/>
    <w:rsid w:val="43D57DEF"/>
    <w:rsid w:val="43E07A95"/>
    <w:rsid w:val="43E20674"/>
    <w:rsid w:val="43EC2FD6"/>
    <w:rsid w:val="43F5039A"/>
    <w:rsid w:val="43FD5C85"/>
    <w:rsid w:val="44022AC4"/>
    <w:rsid w:val="44051573"/>
    <w:rsid w:val="440C4BC0"/>
    <w:rsid w:val="440C6951"/>
    <w:rsid w:val="441314FC"/>
    <w:rsid w:val="4417494E"/>
    <w:rsid w:val="441B2734"/>
    <w:rsid w:val="442615A6"/>
    <w:rsid w:val="442E38B9"/>
    <w:rsid w:val="44343088"/>
    <w:rsid w:val="443A17DE"/>
    <w:rsid w:val="444035EC"/>
    <w:rsid w:val="444104BA"/>
    <w:rsid w:val="44456C9D"/>
    <w:rsid w:val="44472BCC"/>
    <w:rsid w:val="44476729"/>
    <w:rsid w:val="444A0944"/>
    <w:rsid w:val="444B7E4F"/>
    <w:rsid w:val="4452238C"/>
    <w:rsid w:val="44546F66"/>
    <w:rsid w:val="445869E0"/>
    <w:rsid w:val="44593EC8"/>
    <w:rsid w:val="445E163D"/>
    <w:rsid w:val="446858A7"/>
    <w:rsid w:val="446F24E6"/>
    <w:rsid w:val="44755F0F"/>
    <w:rsid w:val="447909DB"/>
    <w:rsid w:val="448B5E47"/>
    <w:rsid w:val="44972671"/>
    <w:rsid w:val="449954F1"/>
    <w:rsid w:val="449E4296"/>
    <w:rsid w:val="44A23A2A"/>
    <w:rsid w:val="44A26055"/>
    <w:rsid w:val="44AD6935"/>
    <w:rsid w:val="44AD7F03"/>
    <w:rsid w:val="44B9080B"/>
    <w:rsid w:val="44B951CC"/>
    <w:rsid w:val="44BD0FEB"/>
    <w:rsid w:val="44BE607C"/>
    <w:rsid w:val="44C6502C"/>
    <w:rsid w:val="44CD14E0"/>
    <w:rsid w:val="44CD30D2"/>
    <w:rsid w:val="44CF31EE"/>
    <w:rsid w:val="44DA7DD6"/>
    <w:rsid w:val="44DB325F"/>
    <w:rsid w:val="44DC14D7"/>
    <w:rsid w:val="44E126D9"/>
    <w:rsid w:val="44E26451"/>
    <w:rsid w:val="44E5431A"/>
    <w:rsid w:val="44F12C03"/>
    <w:rsid w:val="44F20B0B"/>
    <w:rsid w:val="44F40B3F"/>
    <w:rsid w:val="44F55E30"/>
    <w:rsid w:val="44F83801"/>
    <w:rsid w:val="44FB56EA"/>
    <w:rsid w:val="45022ED0"/>
    <w:rsid w:val="4504122F"/>
    <w:rsid w:val="450A6F8E"/>
    <w:rsid w:val="450F75BF"/>
    <w:rsid w:val="451201AC"/>
    <w:rsid w:val="45196800"/>
    <w:rsid w:val="451E535F"/>
    <w:rsid w:val="45246F33"/>
    <w:rsid w:val="452627E2"/>
    <w:rsid w:val="452678DD"/>
    <w:rsid w:val="452A76A6"/>
    <w:rsid w:val="452E5F4C"/>
    <w:rsid w:val="45307BB6"/>
    <w:rsid w:val="45333478"/>
    <w:rsid w:val="45336235"/>
    <w:rsid w:val="453B0376"/>
    <w:rsid w:val="453C3C57"/>
    <w:rsid w:val="454B5F67"/>
    <w:rsid w:val="454E0DF1"/>
    <w:rsid w:val="45500586"/>
    <w:rsid w:val="45594575"/>
    <w:rsid w:val="45612018"/>
    <w:rsid w:val="45646C6E"/>
    <w:rsid w:val="456F3069"/>
    <w:rsid w:val="45794ADD"/>
    <w:rsid w:val="458946E9"/>
    <w:rsid w:val="458B6B9B"/>
    <w:rsid w:val="458F3466"/>
    <w:rsid w:val="458F3906"/>
    <w:rsid w:val="45934D8D"/>
    <w:rsid w:val="4597548E"/>
    <w:rsid w:val="45A47C0E"/>
    <w:rsid w:val="45B13A42"/>
    <w:rsid w:val="45B25351"/>
    <w:rsid w:val="45B846D6"/>
    <w:rsid w:val="45B91DA6"/>
    <w:rsid w:val="45C054EB"/>
    <w:rsid w:val="45C1231A"/>
    <w:rsid w:val="45C142B9"/>
    <w:rsid w:val="45C361A1"/>
    <w:rsid w:val="45CE7F2C"/>
    <w:rsid w:val="45D14064"/>
    <w:rsid w:val="45D6379D"/>
    <w:rsid w:val="45D84018"/>
    <w:rsid w:val="45E47625"/>
    <w:rsid w:val="45E5380F"/>
    <w:rsid w:val="45E70CB8"/>
    <w:rsid w:val="45EA380F"/>
    <w:rsid w:val="45ED3C56"/>
    <w:rsid w:val="45F87292"/>
    <w:rsid w:val="45FA2395"/>
    <w:rsid w:val="46010731"/>
    <w:rsid w:val="46060B05"/>
    <w:rsid w:val="460F2026"/>
    <w:rsid w:val="46113D93"/>
    <w:rsid w:val="46195EA3"/>
    <w:rsid w:val="46261996"/>
    <w:rsid w:val="46287375"/>
    <w:rsid w:val="462A30A8"/>
    <w:rsid w:val="462B618A"/>
    <w:rsid w:val="462F1B6A"/>
    <w:rsid w:val="464062C4"/>
    <w:rsid w:val="46454EEA"/>
    <w:rsid w:val="464E3931"/>
    <w:rsid w:val="465225ED"/>
    <w:rsid w:val="46552F9B"/>
    <w:rsid w:val="46554E77"/>
    <w:rsid w:val="46577FD6"/>
    <w:rsid w:val="465A0BD9"/>
    <w:rsid w:val="465E4975"/>
    <w:rsid w:val="46640947"/>
    <w:rsid w:val="46697367"/>
    <w:rsid w:val="46704B5A"/>
    <w:rsid w:val="46795D28"/>
    <w:rsid w:val="467C3913"/>
    <w:rsid w:val="467F1F88"/>
    <w:rsid w:val="46846EC5"/>
    <w:rsid w:val="468D14EC"/>
    <w:rsid w:val="46947C43"/>
    <w:rsid w:val="469822FF"/>
    <w:rsid w:val="46A00E26"/>
    <w:rsid w:val="46A14816"/>
    <w:rsid w:val="46A165C4"/>
    <w:rsid w:val="46A816AC"/>
    <w:rsid w:val="46AA67A9"/>
    <w:rsid w:val="46B20630"/>
    <w:rsid w:val="46BF293F"/>
    <w:rsid w:val="46C24FA0"/>
    <w:rsid w:val="46C422B2"/>
    <w:rsid w:val="46CD4716"/>
    <w:rsid w:val="46D85D5E"/>
    <w:rsid w:val="46D91697"/>
    <w:rsid w:val="46D955A7"/>
    <w:rsid w:val="46DE6E52"/>
    <w:rsid w:val="46E323EA"/>
    <w:rsid w:val="46E70056"/>
    <w:rsid w:val="46F370EF"/>
    <w:rsid w:val="46F427AA"/>
    <w:rsid w:val="46F52955"/>
    <w:rsid w:val="46F907D7"/>
    <w:rsid w:val="46FC5E13"/>
    <w:rsid w:val="470923BB"/>
    <w:rsid w:val="470A18F2"/>
    <w:rsid w:val="47104646"/>
    <w:rsid w:val="47133957"/>
    <w:rsid w:val="47154D8B"/>
    <w:rsid w:val="471B2DD0"/>
    <w:rsid w:val="472153E5"/>
    <w:rsid w:val="47226FD9"/>
    <w:rsid w:val="47287D94"/>
    <w:rsid w:val="47376C27"/>
    <w:rsid w:val="473E1D4E"/>
    <w:rsid w:val="47403A7D"/>
    <w:rsid w:val="47453678"/>
    <w:rsid w:val="47486C8D"/>
    <w:rsid w:val="4752087D"/>
    <w:rsid w:val="4754367F"/>
    <w:rsid w:val="47626CC5"/>
    <w:rsid w:val="476C528A"/>
    <w:rsid w:val="476F7D75"/>
    <w:rsid w:val="47793B98"/>
    <w:rsid w:val="477A0D74"/>
    <w:rsid w:val="477A5944"/>
    <w:rsid w:val="477D1BC2"/>
    <w:rsid w:val="478140C5"/>
    <w:rsid w:val="47815DFB"/>
    <w:rsid w:val="47843018"/>
    <w:rsid w:val="478955AC"/>
    <w:rsid w:val="478D08F6"/>
    <w:rsid w:val="478D47F0"/>
    <w:rsid w:val="479D08D5"/>
    <w:rsid w:val="47A039ED"/>
    <w:rsid w:val="47A07E0C"/>
    <w:rsid w:val="47A7430E"/>
    <w:rsid w:val="47B95B8F"/>
    <w:rsid w:val="47BE31A6"/>
    <w:rsid w:val="47C43ECA"/>
    <w:rsid w:val="47CF3A8A"/>
    <w:rsid w:val="47D15E5A"/>
    <w:rsid w:val="47D95284"/>
    <w:rsid w:val="47DA2E2B"/>
    <w:rsid w:val="47DB358A"/>
    <w:rsid w:val="47E0136E"/>
    <w:rsid w:val="47EA03B1"/>
    <w:rsid w:val="47F61CB0"/>
    <w:rsid w:val="48042A8A"/>
    <w:rsid w:val="480A4FF4"/>
    <w:rsid w:val="48147089"/>
    <w:rsid w:val="481D611E"/>
    <w:rsid w:val="48223734"/>
    <w:rsid w:val="482B64C5"/>
    <w:rsid w:val="483D14D4"/>
    <w:rsid w:val="483D32FF"/>
    <w:rsid w:val="483E1D79"/>
    <w:rsid w:val="484473C9"/>
    <w:rsid w:val="48466B80"/>
    <w:rsid w:val="48483FF3"/>
    <w:rsid w:val="484C7FFB"/>
    <w:rsid w:val="48531812"/>
    <w:rsid w:val="485935EA"/>
    <w:rsid w:val="485B58A5"/>
    <w:rsid w:val="485B65DE"/>
    <w:rsid w:val="485B6C46"/>
    <w:rsid w:val="485C25AA"/>
    <w:rsid w:val="486C0E54"/>
    <w:rsid w:val="4870272E"/>
    <w:rsid w:val="48703717"/>
    <w:rsid w:val="48720FF4"/>
    <w:rsid w:val="48734029"/>
    <w:rsid w:val="487424F3"/>
    <w:rsid w:val="48757D08"/>
    <w:rsid w:val="48812E9A"/>
    <w:rsid w:val="4886017E"/>
    <w:rsid w:val="4886598F"/>
    <w:rsid w:val="4887688E"/>
    <w:rsid w:val="488C1B17"/>
    <w:rsid w:val="48903808"/>
    <w:rsid w:val="48922C23"/>
    <w:rsid w:val="489A50AA"/>
    <w:rsid w:val="48A04659"/>
    <w:rsid w:val="48A21155"/>
    <w:rsid w:val="48A9539F"/>
    <w:rsid w:val="48AD09B5"/>
    <w:rsid w:val="48B71104"/>
    <w:rsid w:val="48BE16D0"/>
    <w:rsid w:val="48C04BA2"/>
    <w:rsid w:val="48C2404C"/>
    <w:rsid w:val="48C93600"/>
    <w:rsid w:val="48CE11C6"/>
    <w:rsid w:val="48D80297"/>
    <w:rsid w:val="48D93007"/>
    <w:rsid w:val="48DA3815"/>
    <w:rsid w:val="48E37D53"/>
    <w:rsid w:val="48E85A1C"/>
    <w:rsid w:val="48F47FB6"/>
    <w:rsid w:val="48F70036"/>
    <w:rsid w:val="48FB2621"/>
    <w:rsid w:val="49041711"/>
    <w:rsid w:val="49052E99"/>
    <w:rsid w:val="490757E0"/>
    <w:rsid w:val="49090450"/>
    <w:rsid w:val="49090958"/>
    <w:rsid w:val="490B5854"/>
    <w:rsid w:val="491D3086"/>
    <w:rsid w:val="491F588D"/>
    <w:rsid w:val="49204441"/>
    <w:rsid w:val="492A3F77"/>
    <w:rsid w:val="492C5AD1"/>
    <w:rsid w:val="492F4AD0"/>
    <w:rsid w:val="493F2815"/>
    <w:rsid w:val="49421B4F"/>
    <w:rsid w:val="49437E06"/>
    <w:rsid w:val="49496F6E"/>
    <w:rsid w:val="4951365C"/>
    <w:rsid w:val="49521DF7"/>
    <w:rsid w:val="49540A10"/>
    <w:rsid w:val="4956348F"/>
    <w:rsid w:val="495D7C8D"/>
    <w:rsid w:val="4964271B"/>
    <w:rsid w:val="49671430"/>
    <w:rsid w:val="49722EF1"/>
    <w:rsid w:val="49740D11"/>
    <w:rsid w:val="49746F8E"/>
    <w:rsid w:val="49792C2F"/>
    <w:rsid w:val="497F197F"/>
    <w:rsid w:val="49933C1E"/>
    <w:rsid w:val="49955532"/>
    <w:rsid w:val="499D6C11"/>
    <w:rsid w:val="49A96ABA"/>
    <w:rsid w:val="49B163A2"/>
    <w:rsid w:val="49B9110C"/>
    <w:rsid w:val="49C32EDB"/>
    <w:rsid w:val="49C85E8D"/>
    <w:rsid w:val="49D05C36"/>
    <w:rsid w:val="49D379CB"/>
    <w:rsid w:val="49DC7715"/>
    <w:rsid w:val="49E3350C"/>
    <w:rsid w:val="49F02CC8"/>
    <w:rsid w:val="49FC1D63"/>
    <w:rsid w:val="4A023139"/>
    <w:rsid w:val="4A0C644A"/>
    <w:rsid w:val="4A1157E9"/>
    <w:rsid w:val="4A261D03"/>
    <w:rsid w:val="4A273284"/>
    <w:rsid w:val="4A2A7770"/>
    <w:rsid w:val="4A3459A1"/>
    <w:rsid w:val="4A374645"/>
    <w:rsid w:val="4A3A2B0A"/>
    <w:rsid w:val="4A42507A"/>
    <w:rsid w:val="4A4356F7"/>
    <w:rsid w:val="4A445DB6"/>
    <w:rsid w:val="4A5E2A1E"/>
    <w:rsid w:val="4A630034"/>
    <w:rsid w:val="4A655F26"/>
    <w:rsid w:val="4A727B54"/>
    <w:rsid w:val="4A73725F"/>
    <w:rsid w:val="4A78769A"/>
    <w:rsid w:val="4A7B576F"/>
    <w:rsid w:val="4A804D66"/>
    <w:rsid w:val="4A82269A"/>
    <w:rsid w:val="4A82670C"/>
    <w:rsid w:val="4A8809CA"/>
    <w:rsid w:val="4A920A04"/>
    <w:rsid w:val="4A9621B8"/>
    <w:rsid w:val="4A9805C7"/>
    <w:rsid w:val="4AA80D26"/>
    <w:rsid w:val="4AA95B5C"/>
    <w:rsid w:val="4AAA0DB3"/>
    <w:rsid w:val="4AAA4EF1"/>
    <w:rsid w:val="4AB56B6B"/>
    <w:rsid w:val="4AB66AD1"/>
    <w:rsid w:val="4ABA1A7F"/>
    <w:rsid w:val="4ABE6962"/>
    <w:rsid w:val="4AC91857"/>
    <w:rsid w:val="4AE254C6"/>
    <w:rsid w:val="4AE747C1"/>
    <w:rsid w:val="4AF24BFF"/>
    <w:rsid w:val="4AF561A9"/>
    <w:rsid w:val="4AF56795"/>
    <w:rsid w:val="4AF76279"/>
    <w:rsid w:val="4AF80665"/>
    <w:rsid w:val="4AF843F7"/>
    <w:rsid w:val="4AF85B39"/>
    <w:rsid w:val="4AF962F4"/>
    <w:rsid w:val="4AFD2237"/>
    <w:rsid w:val="4AFF7D5D"/>
    <w:rsid w:val="4B107DE6"/>
    <w:rsid w:val="4B11183E"/>
    <w:rsid w:val="4B164FCA"/>
    <w:rsid w:val="4B2652EA"/>
    <w:rsid w:val="4B332BBA"/>
    <w:rsid w:val="4B347DB3"/>
    <w:rsid w:val="4B366EF8"/>
    <w:rsid w:val="4B3D0AC6"/>
    <w:rsid w:val="4B3E36B9"/>
    <w:rsid w:val="4B407B0E"/>
    <w:rsid w:val="4B45016D"/>
    <w:rsid w:val="4B4D039C"/>
    <w:rsid w:val="4B4D6544"/>
    <w:rsid w:val="4B4E17B3"/>
    <w:rsid w:val="4B5E229D"/>
    <w:rsid w:val="4B5F778B"/>
    <w:rsid w:val="4B675656"/>
    <w:rsid w:val="4B690BDA"/>
    <w:rsid w:val="4B6C03B6"/>
    <w:rsid w:val="4B6E006D"/>
    <w:rsid w:val="4B6E1409"/>
    <w:rsid w:val="4B6F036B"/>
    <w:rsid w:val="4B702A09"/>
    <w:rsid w:val="4B7031DF"/>
    <w:rsid w:val="4B7C0018"/>
    <w:rsid w:val="4B83098E"/>
    <w:rsid w:val="4B856D2A"/>
    <w:rsid w:val="4B8A5387"/>
    <w:rsid w:val="4B8F11B7"/>
    <w:rsid w:val="4B91202C"/>
    <w:rsid w:val="4B935C01"/>
    <w:rsid w:val="4BB173AB"/>
    <w:rsid w:val="4BB36391"/>
    <w:rsid w:val="4BBC1DAA"/>
    <w:rsid w:val="4BBD3CB6"/>
    <w:rsid w:val="4BBF3A2D"/>
    <w:rsid w:val="4BC16080"/>
    <w:rsid w:val="4BC52D55"/>
    <w:rsid w:val="4BC544DC"/>
    <w:rsid w:val="4BC915E4"/>
    <w:rsid w:val="4BD0391B"/>
    <w:rsid w:val="4BD90276"/>
    <w:rsid w:val="4BDB0057"/>
    <w:rsid w:val="4BDB6029"/>
    <w:rsid w:val="4BE6092A"/>
    <w:rsid w:val="4BE75A20"/>
    <w:rsid w:val="4BE917AA"/>
    <w:rsid w:val="4BEA7C50"/>
    <w:rsid w:val="4BED2098"/>
    <w:rsid w:val="4BEE6223"/>
    <w:rsid w:val="4BF12E75"/>
    <w:rsid w:val="4BF749EC"/>
    <w:rsid w:val="4BF929FE"/>
    <w:rsid w:val="4C04714C"/>
    <w:rsid w:val="4C167B43"/>
    <w:rsid w:val="4C22386C"/>
    <w:rsid w:val="4C2D5752"/>
    <w:rsid w:val="4C3457E4"/>
    <w:rsid w:val="4C461115"/>
    <w:rsid w:val="4C4A0649"/>
    <w:rsid w:val="4C4C6E9E"/>
    <w:rsid w:val="4C5207A4"/>
    <w:rsid w:val="4C556BA2"/>
    <w:rsid w:val="4C586464"/>
    <w:rsid w:val="4C5C5BB0"/>
    <w:rsid w:val="4C5F1CCA"/>
    <w:rsid w:val="4C6360CA"/>
    <w:rsid w:val="4C675291"/>
    <w:rsid w:val="4C677503"/>
    <w:rsid w:val="4C7161F6"/>
    <w:rsid w:val="4C784BE3"/>
    <w:rsid w:val="4C7E3C6D"/>
    <w:rsid w:val="4C7E5ECA"/>
    <w:rsid w:val="4C8018A4"/>
    <w:rsid w:val="4C870A72"/>
    <w:rsid w:val="4C876AA5"/>
    <w:rsid w:val="4C883F58"/>
    <w:rsid w:val="4C8B180D"/>
    <w:rsid w:val="4C8F3E5E"/>
    <w:rsid w:val="4C906653"/>
    <w:rsid w:val="4C992D96"/>
    <w:rsid w:val="4CA45969"/>
    <w:rsid w:val="4CA54934"/>
    <w:rsid w:val="4CB93F3C"/>
    <w:rsid w:val="4CC0351C"/>
    <w:rsid w:val="4CC30EC3"/>
    <w:rsid w:val="4CD470CD"/>
    <w:rsid w:val="4CD51475"/>
    <w:rsid w:val="4CD61F5B"/>
    <w:rsid w:val="4CDC2CE3"/>
    <w:rsid w:val="4CDC7AE4"/>
    <w:rsid w:val="4CE45E63"/>
    <w:rsid w:val="4CE81134"/>
    <w:rsid w:val="4CEB6A0D"/>
    <w:rsid w:val="4CF02AF2"/>
    <w:rsid w:val="4CF63551"/>
    <w:rsid w:val="4CFA1A38"/>
    <w:rsid w:val="4D010A6C"/>
    <w:rsid w:val="4D0133B7"/>
    <w:rsid w:val="4D0254BA"/>
    <w:rsid w:val="4D0528D8"/>
    <w:rsid w:val="4D077F72"/>
    <w:rsid w:val="4D0E00FB"/>
    <w:rsid w:val="4D176606"/>
    <w:rsid w:val="4D1F2E8C"/>
    <w:rsid w:val="4D230464"/>
    <w:rsid w:val="4D23469F"/>
    <w:rsid w:val="4D242311"/>
    <w:rsid w:val="4D3327C5"/>
    <w:rsid w:val="4D334D60"/>
    <w:rsid w:val="4D360ABE"/>
    <w:rsid w:val="4D3B48A1"/>
    <w:rsid w:val="4D3B6E6D"/>
    <w:rsid w:val="4D4A6CA3"/>
    <w:rsid w:val="4D560463"/>
    <w:rsid w:val="4D5B6465"/>
    <w:rsid w:val="4D5D6FBD"/>
    <w:rsid w:val="4D722A68"/>
    <w:rsid w:val="4D724F08"/>
    <w:rsid w:val="4D78714F"/>
    <w:rsid w:val="4D8424BC"/>
    <w:rsid w:val="4D896C00"/>
    <w:rsid w:val="4D8C1EC6"/>
    <w:rsid w:val="4D8E7176"/>
    <w:rsid w:val="4D8F6032"/>
    <w:rsid w:val="4D973688"/>
    <w:rsid w:val="4D9C50E8"/>
    <w:rsid w:val="4DA718E4"/>
    <w:rsid w:val="4DBC1F35"/>
    <w:rsid w:val="4DBE01BA"/>
    <w:rsid w:val="4DC45D61"/>
    <w:rsid w:val="4DC52A3F"/>
    <w:rsid w:val="4DCA4ACA"/>
    <w:rsid w:val="4DD2174E"/>
    <w:rsid w:val="4DD266CC"/>
    <w:rsid w:val="4DDA6BF5"/>
    <w:rsid w:val="4DE81EAA"/>
    <w:rsid w:val="4DE855B4"/>
    <w:rsid w:val="4DEC3A14"/>
    <w:rsid w:val="4DEC4FB0"/>
    <w:rsid w:val="4DEF0579"/>
    <w:rsid w:val="4DF73B53"/>
    <w:rsid w:val="4DFD0BBC"/>
    <w:rsid w:val="4E075D8A"/>
    <w:rsid w:val="4E0A0EF3"/>
    <w:rsid w:val="4E0B2A9E"/>
    <w:rsid w:val="4E107CFC"/>
    <w:rsid w:val="4E1976CC"/>
    <w:rsid w:val="4E1B7B71"/>
    <w:rsid w:val="4E2472AB"/>
    <w:rsid w:val="4E2D177F"/>
    <w:rsid w:val="4E2D4423"/>
    <w:rsid w:val="4E307DFB"/>
    <w:rsid w:val="4E37400E"/>
    <w:rsid w:val="4E3A3F1A"/>
    <w:rsid w:val="4E3D54AD"/>
    <w:rsid w:val="4E4149FC"/>
    <w:rsid w:val="4E473EF5"/>
    <w:rsid w:val="4E4B7A4A"/>
    <w:rsid w:val="4E4C00AB"/>
    <w:rsid w:val="4E5008D0"/>
    <w:rsid w:val="4E50229D"/>
    <w:rsid w:val="4E543F09"/>
    <w:rsid w:val="4E59496C"/>
    <w:rsid w:val="4E5D3917"/>
    <w:rsid w:val="4E600B13"/>
    <w:rsid w:val="4E600D19"/>
    <w:rsid w:val="4E661A8D"/>
    <w:rsid w:val="4E6A373F"/>
    <w:rsid w:val="4E6A5381"/>
    <w:rsid w:val="4E6B34D3"/>
    <w:rsid w:val="4E797E26"/>
    <w:rsid w:val="4E7A68D7"/>
    <w:rsid w:val="4E7E5976"/>
    <w:rsid w:val="4E831E70"/>
    <w:rsid w:val="4E863C6F"/>
    <w:rsid w:val="4E8E2792"/>
    <w:rsid w:val="4E921FA3"/>
    <w:rsid w:val="4E944C60"/>
    <w:rsid w:val="4E99761F"/>
    <w:rsid w:val="4EA6582A"/>
    <w:rsid w:val="4EB47373"/>
    <w:rsid w:val="4EB6535C"/>
    <w:rsid w:val="4EBD6324"/>
    <w:rsid w:val="4EBE3584"/>
    <w:rsid w:val="4EC00FAD"/>
    <w:rsid w:val="4EC82C54"/>
    <w:rsid w:val="4ECD7E72"/>
    <w:rsid w:val="4ECF13C9"/>
    <w:rsid w:val="4EEE5381"/>
    <w:rsid w:val="4EF249C9"/>
    <w:rsid w:val="4EF60CC1"/>
    <w:rsid w:val="4EFA709E"/>
    <w:rsid w:val="4F18319B"/>
    <w:rsid w:val="4F1B593F"/>
    <w:rsid w:val="4F2002A2"/>
    <w:rsid w:val="4F297DF2"/>
    <w:rsid w:val="4F2E0A82"/>
    <w:rsid w:val="4F3B7A62"/>
    <w:rsid w:val="4F415681"/>
    <w:rsid w:val="4F497A53"/>
    <w:rsid w:val="4F50502B"/>
    <w:rsid w:val="4F580818"/>
    <w:rsid w:val="4F5B56B4"/>
    <w:rsid w:val="4F653432"/>
    <w:rsid w:val="4F69144D"/>
    <w:rsid w:val="4F6B59C1"/>
    <w:rsid w:val="4F6B7EF5"/>
    <w:rsid w:val="4F716D4F"/>
    <w:rsid w:val="4F732AC8"/>
    <w:rsid w:val="4F7547BB"/>
    <w:rsid w:val="4F7800DE"/>
    <w:rsid w:val="4F7E1A91"/>
    <w:rsid w:val="4F802892"/>
    <w:rsid w:val="4F8151E4"/>
    <w:rsid w:val="4F88794E"/>
    <w:rsid w:val="4F8B2709"/>
    <w:rsid w:val="4F8C4B70"/>
    <w:rsid w:val="4F900127"/>
    <w:rsid w:val="4F9043B9"/>
    <w:rsid w:val="4F9348BC"/>
    <w:rsid w:val="4F960502"/>
    <w:rsid w:val="4F9843DC"/>
    <w:rsid w:val="4FA11F95"/>
    <w:rsid w:val="4FB45191"/>
    <w:rsid w:val="4FB7547B"/>
    <w:rsid w:val="4FC6107D"/>
    <w:rsid w:val="4FC62A8C"/>
    <w:rsid w:val="4FC85B3B"/>
    <w:rsid w:val="4FCC6966"/>
    <w:rsid w:val="4FD91402"/>
    <w:rsid w:val="4FD91480"/>
    <w:rsid w:val="4FE20F0D"/>
    <w:rsid w:val="4FE3188E"/>
    <w:rsid w:val="4FE51552"/>
    <w:rsid w:val="4FE52211"/>
    <w:rsid w:val="4FF11AB7"/>
    <w:rsid w:val="4FF763BA"/>
    <w:rsid w:val="50021FF7"/>
    <w:rsid w:val="50207450"/>
    <w:rsid w:val="502135A5"/>
    <w:rsid w:val="502618E8"/>
    <w:rsid w:val="50307EE1"/>
    <w:rsid w:val="5031145A"/>
    <w:rsid w:val="503C110B"/>
    <w:rsid w:val="504D67D1"/>
    <w:rsid w:val="50504C4B"/>
    <w:rsid w:val="50504DDE"/>
    <w:rsid w:val="50607FA3"/>
    <w:rsid w:val="506423DD"/>
    <w:rsid w:val="5069668C"/>
    <w:rsid w:val="506E5715"/>
    <w:rsid w:val="50721B21"/>
    <w:rsid w:val="50795EBC"/>
    <w:rsid w:val="507A4E59"/>
    <w:rsid w:val="507C7CB2"/>
    <w:rsid w:val="50912FBB"/>
    <w:rsid w:val="50991B4C"/>
    <w:rsid w:val="509926B0"/>
    <w:rsid w:val="509C6E7C"/>
    <w:rsid w:val="50A55CD8"/>
    <w:rsid w:val="50A71006"/>
    <w:rsid w:val="50AE5ACB"/>
    <w:rsid w:val="50B154B0"/>
    <w:rsid w:val="50B35F14"/>
    <w:rsid w:val="50B929A4"/>
    <w:rsid w:val="50BB4726"/>
    <w:rsid w:val="50BF44F2"/>
    <w:rsid w:val="50C57353"/>
    <w:rsid w:val="50D12F61"/>
    <w:rsid w:val="50D47596"/>
    <w:rsid w:val="50D554C5"/>
    <w:rsid w:val="50D648F3"/>
    <w:rsid w:val="50DC335D"/>
    <w:rsid w:val="50DD1C88"/>
    <w:rsid w:val="50DF61DF"/>
    <w:rsid w:val="50E33C7D"/>
    <w:rsid w:val="50E77FAB"/>
    <w:rsid w:val="50EC3E2B"/>
    <w:rsid w:val="50F26C76"/>
    <w:rsid w:val="50F72DBD"/>
    <w:rsid w:val="50FD4EC5"/>
    <w:rsid w:val="510042CE"/>
    <w:rsid w:val="51020547"/>
    <w:rsid w:val="51025A8B"/>
    <w:rsid w:val="51037E7B"/>
    <w:rsid w:val="51064B70"/>
    <w:rsid w:val="510E7D0C"/>
    <w:rsid w:val="51164BF2"/>
    <w:rsid w:val="511B6B2E"/>
    <w:rsid w:val="512810D7"/>
    <w:rsid w:val="512E314A"/>
    <w:rsid w:val="512E4EF8"/>
    <w:rsid w:val="51310276"/>
    <w:rsid w:val="513A3523"/>
    <w:rsid w:val="514917A9"/>
    <w:rsid w:val="514F5065"/>
    <w:rsid w:val="51542485"/>
    <w:rsid w:val="515C7CC4"/>
    <w:rsid w:val="51600E2A"/>
    <w:rsid w:val="5162104E"/>
    <w:rsid w:val="51637851"/>
    <w:rsid w:val="516E1AB0"/>
    <w:rsid w:val="517320EB"/>
    <w:rsid w:val="51747080"/>
    <w:rsid w:val="51753CCE"/>
    <w:rsid w:val="51760A3E"/>
    <w:rsid w:val="51765D63"/>
    <w:rsid w:val="51780EAC"/>
    <w:rsid w:val="51797257"/>
    <w:rsid w:val="517E1A59"/>
    <w:rsid w:val="51820558"/>
    <w:rsid w:val="518301EA"/>
    <w:rsid w:val="51840CFB"/>
    <w:rsid w:val="519136D9"/>
    <w:rsid w:val="51AA3067"/>
    <w:rsid w:val="51AE6403"/>
    <w:rsid w:val="51AE6DE6"/>
    <w:rsid w:val="51B525E9"/>
    <w:rsid w:val="51BA4D13"/>
    <w:rsid w:val="51BC7750"/>
    <w:rsid w:val="51C02CE7"/>
    <w:rsid w:val="51D11EF1"/>
    <w:rsid w:val="51D23796"/>
    <w:rsid w:val="51DC62CF"/>
    <w:rsid w:val="51E258E4"/>
    <w:rsid w:val="51E718BF"/>
    <w:rsid w:val="51EB04E7"/>
    <w:rsid w:val="51EC678D"/>
    <w:rsid w:val="51EF1009"/>
    <w:rsid w:val="51F7568B"/>
    <w:rsid w:val="51FA702F"/>
    <w:rsid w:val="520039D2"/>
    <w:rsid w:val="52086989"/>
    <w:rsid w:val="520F3B2E"/>
    <w:rsid w:val="52107BF7"/>
    <w:rsid w:val="521B6BB2"/>
    <w:rsid w:val="522C5AF4"/>
    <w:rsid w:val="522D0A30"/>
    <w:rsid w:val="522E6EA9"/>
    <w:rsid w:val="523461D2"/>
    <w:rsid w:val="52381CDA"/>
    <w:rsid w:val="524528DF"/>
    <w:rsid w:val="5247293A"/>
    <w:rsid w:val="525E35BB"/>
    <w:rsid w:val="52633D92"/>
    <w:rsid w:val="52656F18"/>
    <w:rsid w:val="52657C81"/>
    <w:rsid w:val="52783EFD"/>
    <w:rsid w:val="5281773C"/>
    <w:rsid w:val="52873B67"/>
    <w:rsid w:val="528818DA"/>
    <w:rsid w:val="528D5783"/>
    <w:rsid w:val="528F1596"/>
    <w:rsid w:val="529B58A8"/>
    <w:rsid w:val="52A7373D"/>
    <w:rsid w:val="52A80CDA"/>
    <w:rsid w:val="52B82617"/>
    <w:rsid w:val="52C35562"/>
    <w:rsid w:val="52C36938"/>
    <w:rsid w:val="52CD4B95"/>
    <w:rsid w:val="52D47E40"/>
    <w:rsid w:val="52DB029D"/>
    <w:rsid w:val="52DC2732"/>
    <w:rsid w:val="52DE5CDC"/>
    <w:rsid w:val="52E068AC"/>
    <w:rsid w:val="52E43FBB"/>
    <w:rsid w:val="52E751CD"/>
    <w:rsid w:val="52F15371"/>
    <w:rsid w:val="52F2108C"/>
    <w:rsid w:val="52F41218"/>
    <w:rsid w:val="52FB5B64"/>
    <w:rsid w:val="5300377D"/>
    <w:rsid w:val="530202BD"/>
    <w:rsid w:val="5302663C"/>
    <w:rsid w:val="53033BD7"/>
    <w:rsid w:val="53034958"/>
    <w:rsid w:val="53037164"/>
    <w:rsid w:val="53060057"/>
    <w:rsid w:val="53081DBB"/>
    <w:rsid w:val="530B0488"/>
    <w:rsid w:val="530B54EB"/>
    <w:rsid w:val="530D6076"/>
    <w:rsid w:val="530D6461"/>
    <w:rsid w:val="531E48AC"/>
    <w:rsid w:val="53275AA6"/>
    <w:rsid w:val="53335B78"/>
    <w:rsid w:val="53393A4B"/>
    <w:rsid w:val="53397B84"/>
    <w:rsid w:val="533F5293"/>
    <w:rsid w:val="53412B9F"/>
    <w:rsid w:val="534406D8"/>
    <w:rsid w:val="53492ACE"/>
    <w:rsid w:val="53557584"/>
    <w:rsid w:val="5356144D"/>
    <w:rsid w:val="53570A9F"/>
    <w:rsid w:val="53572D68"/>
    <w:rsid w:val="535C7979"/>
    <w:rsid w:val="536501E9"/>
    <w:rsid w:val="53654E1D"/>
    <w:rsid w:val="536C0F21"/>
    <w:rsid w:val="53736CEF"/>
    <w:rsid w:val="5374721F"/>
    <w:rsid w:val="53831A46"/>
    <w:rsid w:val="538C4403"/>
    <w:rsid w:val="5394400C"/>
    <w:rsid w:val="539574B0"/>
    <w:rsid w:val="53963389"/>
    <w:rsid w:val="539B29CB"/>
    <w:rsid w:val="53A039CC"/>
    <w:rsid w:val="53A1505A"/>
    <w:rsid w:val="53A72AF6"/>
    <w:rsid w:val="53A90AD4"/>
    <w:rsid w:val="53A94D0A"/>
    <w:rsid w:val="53AC4E97"/>
    <w:rsid w:val="53B26B3E"/>
    <w:rsid w:val="53C1292C"/>
    <w:rsid w:val="53C2343A"/>
    <w:rsid w:val="53CA3BB4"/>
    <w:rsid w:val="53CE3A28"/>
    <w:rsid w:val="53D0378F"/>
    <w:rsid w:val="53D03EB4"/>
    <w:rsid w:val="53D53406"/>
    <w:rsid w:val="53D63B20"/>
    <w:rsid w:val="53E50706"/>
    <w:rsid w:val="53F455C3"/>
    <w:rsid w:val="53F60254"/>
    <w:rsid w:val="53F671DC"/>
    <w:rsid w:val="53F72CDC"/>
    <w:rsid w:val="53F9607E"/>
    <w:rsid w:val="54015914"/>
    <w:rsid w:val="54046603"/>
    <w:rsid w:val="54047867"/>
    <w:rsid w:val="54063E08"/>
    <w:rsid w:val="54191FE1"/>
    <w:rsid w:val="541B0803"/>
    <w:rsid w:val="54212D26"/>
    <w:rsid w:val="54244ADC"/>
    <w:rsid w:val="5429169F"/>
    <w:rsid w:val="542F5173"/>
    <w:rsid w:val="542F72A2"/>
    <w:rsid w:val="543228EA"/>
    <w:rsid w:val="543437E8"/>
    <w:rsid w:val="54384C6F"/>
    <w:rsid w:val="54386DE9"/>
    <w:rsid w:val="543B6B3E"/>
    <w:rsid w:val="54493DF7"/>
    <w:rsid w:val="544F3647"/>
    <w:rsid w:val="54574C26"/>
    <w:rsid w:val="545A6F1D"/>
    <w:rsid w:val="54625FA3"/>
    <w:rsid w:val="546D00CA"/>
    <w:rsid w:val="5476490D"/>
    <w:rsid w:val="547A1EA5"/>
    <w:rsid w:val="547C4DDF"/>
    <w:rsid w:val="54841ABB"/>
    <w:rsid w:val="5485333D"/>
    <w:rsid w:val="54854902"/>
    <w:rsid w:val="548B182B"/>
    <w:rsid w:val="5495703C"/>
    <w:rsid w:val="54992926"/>
    <w:rsid w:val="549F08B9"/>
    <w:rsid w:val="54AF0A8B"/>
    <w:rsid w:val="54B0696A"/>
    <w:rsid w:val="54BA1D6D"/>
    <w:rsid w:val="54BB2CD4"/>
    <w:rsid w:val="54BE45A5"/>
    <w:rsid w:val="54C95E27"/>
    <w:rsid w:val="54D338D9"/>
    <w:rsid w:val="54D65EAC"/>
    <w:rsid w:val="54D835BD"/>
    <w:rsid w:val="54DE60BC"/>
    <w:rsid w:val="54E01B06"/>
    <w:rsid w:val="54EE1700"/>
    <w:rsid w:val="54F004F0"/>
    <w:rsid w:val="54F458C9"/>
    <w:rsid w:val="54F52107"/>
    <w:rsid w:val="54F56098"/>
    <w:rsid w:val="54F73313"/>
    <w:rsid w:val="54F80955"/>
    <w:rsid w:val="550334E7"/>
    <w:rsid w:val="55072053"/>
    <w:rsid w:val="550F3292"/>
    <w:rsid w:val="551D656B"/>
    <w:rsid w:val="551F1061"/>
    <w:rsid w:val="55255918"/>
    <w:rsid w:val="552B1274"/>
    <w:rsid w:val="553C2582"/>
    <w:rsid w:val="55482D3A"/>
    <w:rsid w:val="55486565"/>
    <w:rsid w:val="554B4B35"/>
    <w:rsid w:val="555170A7"/>
    <w:rsid w:val="55535E25"/>
    <w:rsid w:val="5563032C"/>
    <w:rsid w:val="556C6498"/>
    <w:rsid w:val="55757A63"/>
    <w:rsid w:val="557630BE"/>
    <w:rsid w:val="5576446A"/>
    <w:rsid w:val="557E6CDB"/>
    <w:rsid w:val="557E7FCB"/>
    <w:rsid w:val="5587536D"/>
    <w:rsid w:val="558B15C0"/>
    <w:rsid w:val="55905884"/>
    <w:rsid w:val="5591749D"/>
    <w:rsid w:val="55976276"/>
    <w:rsid w:val="55993422"/>
    <w:rsid w:val="55994570"/>
    <w:rsid w:val="559A7EC5"/>
    <w:rsid w:val="559B174B"/>
    <w:rsid w:val="559D1B85"/>
    <w:rsid w:val="559F06FA"/>
    <w:rsid w:val="55A16F6D"/>
    <w:rsid w:val="55A44331"/>
    <w:rsid w:val="55A65478"/>
    <w:rsid w:val="55A940FF"/>
    <w:rsid w:val="55AF2DD5"/>
    <w:rsid w:val="55B200A2"/>
    <w:rsid w:val="55BC51BC"/>
    <w:rsid w:val="55C4168B"/>
    <w:rsid w:val="55C5704D"/>
    <w:rsid w:val="55C73D40"/>
    <w:rsid w:val="55C76881"/>
    <w:rsid w:val="55CB46F5"/>
    <w:rsid w:val="55CE0CF4"/>
    <w:rsid w:val="55D77EBD"/>
    <w:rsid w:val="55D82A28"/>
    <w:rsid w:val="55E0575B"/>
    <w:rsid w:val="55E942E3"/>
    <w:rsid w:val="55EE249A"/>
    <w:rsid w:val="55F25B5A"/>
    <w:rsid w:val="560146BF"/>
    <w:rsid w:val="560270B4"/>
    <w:rsid w:val="56067EE3"/>
    <w:rsid w:val="56082D21"/>
    <w:rsid w:val="56116D00"/>
    <w:rsid w:val="56123106"/>
    <w:rsid w:val="5617260B"/>
    <w:rsid w:val="561843C9"/>
    <w:rsid w:val="561B10A7"/>
    <w:rsid w:val="56287FB7"/>
    <w:rsid w:val="5629020C"/>
    <w:rsid w:val="562B1477"/>
    <w:rsid w:val="562E053B"/>
    <w:rsid w:val="562E17FA"/>
    <w:rsid w:val="563078DB"/>
    <w:rsid w:val="563B3C13"/>
    <w:rsid w:val="56440C52"/>
    <w:rsid w:val="564939BD"/>
    <w:rsid w:val="564C1F0C"/>
    <w:rsid w:val="564F078E"/>
    <w:rsid w:val="56502649"/>
    <w:rsid w:val="565322E8"/>
    <w:rsid w:val="565353DA"/>
    <w:rsid w:val="5663270A"/>
    <w:rsid w:val="566444DD"/>
    <w:rsid w:val="5675690E"/>
    <w:rsid w:val="567C04B4"/>
    <w:rsid w:val="567F473B"/>
    <w:rsid w:val="56803504"/>
    <w:rsid w:val="568C261C"/>
    <w:rsid w:val="56981066"/>
    <w:rsid w:val="569D31A7"/>
    <w:rsid w:val="56B22A9C"/>
    <w:rsid w:val="56B96143"/>
    <w:rsid w:val="56D938C8"/>
    <w:rsid w:val="56E045AB"/>
    <w:rsid w:val="56E07CFF"/>
    <w:rsid w:val="56E11CEC"/>
    <w:rsid w:val="56E542AB"/>
    <w:rsid w:val="56E65D93"/>
    <w:rsid w:val="56F17534"/>
    <w:rsid w:val="56FA762A"/>
    <w:rsid w:val="57015E67"/>
    <w:rsid w:val="57092F9E"/>
    <w:rsid w:val="570C4291"/>
    <w:rsid w:val="57271E39"/>
    <w:rsid w:val="57315742"/>
    <w:rsid w:val="5739099E"/>
    <w:rsid w:val="573F5D25"/>
    <w:rsid w:val="5740685D"/>
    <w:rsid w:val="574308F6"/>
    <w:rsid w:val="574A7696"/>
    <w:rsid w:val="574B3FE5"/>
    <w:rsid w:val="574F25B9"/>
    <w:rsid w:val="57524FB6"/>
    <w:rsid w:val="575A4010"/>
    <w:rsid w:val="5760151B"/>
    <w:rsid w:val="57764A9E"/>
    <w:rsid w:val="57794EA8"/>
    <w:rsid w:val="57825F9E"/>
    <w:rsid w:val="5786186A"/>
    <w:rsid w:val="578A35B4"/>
    <w:rsid w:val="57900305"/>
    <w:rsid w:val="579D5353"/>
    <w:rsid w:val="579D6B73"/>
    <w:rsid w:val="579E2C3C"/>
    <w:rsid w:val="57A67CB8"/>
    <w:rsid w:val="57A852D8"/>
    <w:rsid w:val="57B4420A"/>
    <w:rsid w:val="57B71CE0"/>
    <w:rsid w:val="57B72A76"/>
    <w:rsid w:val="57B82A73"/>
    <w:rsid w:val="57B850D7"/>
    <w:rsid w:val="57B92AC3"/>
    <w:rsid w:val="57BC17AA"/>
    <w:rsid w:val="57C2305F"/>
    <w:rsid w:val="57C3426C"/>
    <w:rsid w:val="57C40A2E"/>
    <w:rsid w:val="57CA20C0"/>
    <w:rsid w:val="57CE1F93"/>
    <w:rsid w:val="57D308A5"/>
    <w:rsid w:val="57D46487"/>
    <w:rsid w:val="57D62CCA"/>
    <w:rsid w:val="57DC4CF0"/>
    <w:rsid w:val="57DF3921"/>
    <w:rsid w:val="57E74683"/>
    <w:rsid w:val="57E84E2E"/>
    <w:rsid w:val="57EB4C75"/>
    <w:rsid w:val="57F15F73"/>
    <w:rsid w:val="57F24F4C"/>
    <w:rsid w:val="57F95B34"/>
    <w:rsid w:val="57FB7AFE"/>
    <w:rsid w:val="57FF013F"/>
    <w:rsid w:val="58022AE3"/>
    <w:rsid w:val="58041EEB"/>
    <w:rsid w:val="580809AA"/>
    <w:rsid w:val="580836FB"/>
    <w:rsid w:val="58096601"/>
    <w:rsid w:val="581B5832"/>
    <w:rsid w:val="582E1E3F"/>
    <w:rsid w:val="583167CA"/>
    <w:rsid w:val="58354144"/>
    <w:rsid w:val="58361B57"/>
    <w:rsid w:val="58376452"/>
    <w:rsid w:val="58377678"/>
    <w:rsid w:val="58491E4B"/>
    <w:rsid w:val="584B451D"/>
    <w:rsid w:val="58551814"/>
    <w:rsid w:val="58562F86"/>
    <w:rsid w:val="58595DFF"/>
    <w:rsid w:val="585970CA"/>
    <w:rsid w:val="585A7AFE"/>
    <w:rsid w:val="586771A3"/>
    <w:rsid w:val="586926FE"/>
    <w:rsid w:val="58717FB5"/>
    <w:rsid w:val="587401D8"/>
    <w:rsid w:val="5874061C"/>
    <w:rsid w:val="588534DD"/>
    <w:rsid w:val="58856C81"/>
    <w:rsid w:val="588743D1"/>
    <w:rsid w:val="5887701A"/>
    <w:rsid w:val="58885C04"/>
    <w:rsid w:val="58907C05"/>
    <w:rsid w:val="5899075A"/>
    <w:rsid w:val="589E3564"/>
    <w:rsid w:val="58AB0B61"/>
    <w:rsid w:val="58AE4CDB"/>
    <w:rsid w:val="58B33F35"/>
    <w:rsid w:val="58B77A05"/>
    <w:rsid w:val="58B77A1A"/>
    <w:rsid w:val="58C25268"/>
    <w:rsid w:val="58C75A8B"/>
    <w:rsid w:val="58DE602C"/>
    <w:rsid w:val="58DE7D41"/>
    <w:rsid w:val="58E61420"/>
    <w:rsid w:val="58E72953"/>
    <w:rsid w:val="58EA5152"/>
    <w:rsid w:val="58EA5C7A"/>
    <w:rsid w:val="58EC660C"/>
    <w:rsid w:val="58F0392D"/>
    <w:rsid w:val="58F07115"/>
    <w:rsid w:val="58FA71B6"/>
    <w:rsid w:val="590400DF"/>
    <w:rsid w:val="590C185F"/>
    <w:rsid w:val="59123351"/>
    <w:rsid w:val="591C6342"/>
    <w:rsid w:val="591E5826"/>
    <w:rsid w:val="591F3BD0"/>
    <w:rsid w:val="592A069B"/>
    <w:rsid w:val="592A5B74"/>
    <w:rsid w:val="592C2E0C"/>
    <w:rsid w:val="59381F19"/>
    <w:rsid w:val="593C1E02"/>
    <w:rsid w:val="59401C6C"/>
    <w:rsid w:val="5946727A"/>
    <w:rsid w:val="59566F4D"/>
    <w:rsid w:val="59576FB6"/>
    <w:rsid w:val="59590597"/>
    <w:rsid w:val="596671F9"/>
    <w:rsid w:val="59737C6E"/>
    <w:rsid w:val="59850F96"/>
    <w:rsid w:val="598F1997"/>
    <w:rsid w:val="599C4460"/>
    <w:rsid w:val="59A14063"/>
    <w:rsid w:val="59A31EB1"/>
    <w:rsid w:val="59B148CF"/>
    <w:rsid w:val="59B32243"/>
    <w:rsid w:val="59C0439F"/>
    <w:rsid w:val="59CB641A"/>
    <w:rsid w:val="59D10D64"/>
    <w:rsid w:val="59D5087A"/>
    <w:rsid w:val="59DA27E4"/>
    <w:rsid w:val="59F926D1"/>
    <w:rsid w:val="59FA2BEE"/>
    <w:rsid w:val="5A030117"/>
    <w:rsid w:val="5A0A5F42"/>
    <w:rsid w:val="5A1A28AD"/>
    <w:rsid w:val="5A1D361C"/>
    <w:rsid w:val="5A2275C4"/>
    <w:rsid w:val="5A23321D"/>
    <w:rsid w:val="5A252C10"/>
    <w:rsid w:val="5A2C30A6"/>
    <w:rsid w:val="5A3D09A9"/>
    <w:rsid w:val="5A4E2167"/>
    <w:rsid w:val="5A553A36"/>
    <w:rsid w:val="5A600C10"/>
    <w:rsid w:val="5A640667"/>
    <w:rsid w:val="5A6621BA"/>
    <w:rsid w:val="5A667DDB"/>
    <w:rsid w:val="5A694867"/>
    <w:rsid w:val="5A6C6231"/>
    <w:rsid w:val="5A6D5BE1"/>
    <w:rsid w:val="5A720FEE"/>
    <w:rsid w:val="5A745419"/>
    <w:rsid w:val="5A75527E"/>
    <w:rsid w:val="5A7A2F5C"/>
    <w:rsid w:val="5A802498"/>
    <w:rsid w:val="5A820063"/>
    <w:rsid w:val="5A8C0EE1"/>
    <w:rsid w:val="5A8C29AB"/>
    <w:rsid w:val="5AB67D0C"/>
    <w:rsid w:val="5ABB05D6"/>
    <w:rsid w:val="5ABE2233"/>
    <w:rsid w:val="5ABF21E2"/>
    <w:rsid w:val="5AC1313E"/>
    <w:rsid w:val="5AC817B9"/>
    <w:rsid w:val="5ACD5105"/>
    <w:rsid w:val="5ACD7945"/>
    <w:rsid w:val="5AD66A5E"/>
    <w:rsid w:val="5AD70DA5"/>
    <w:rsid w:val="5AD73A13"/>
    <w:rsid w:val="5ADF54B5"/>
    <w:rsid w:val="5AE50051"/>
    <w:rsid w:val="5AEA3ED3"/>
    <w:rsid w:val="5AED1980"/>
    <w:rsid w:val="5AED25B8"/>
    <w:rsid w:val="5AF0457E"/>
    <w:rsid w:val="5AFA409D"/>
    <w:rsid w:val="5B0337E4"/>
    <w:rsid w:val="5B0D7FE1"/>
    <w:rsid w:val="5B115639"/>
    <w:rsid w:val="5B121D43"/>
    <w:rsid w:val="5B125F22"/>
    <w:rsid w:val="5B1A64EA"/>
    <w:rsid w:val="5B232B09"/>
    <w:rsid w:val="5B2603B8"/>
    <w:rsid w:val="5B2C3339"/>
    <w:rsid w:val="5B2E30F2"/>
    <w:rsid w:val="5B3A3B54"/>
    <w:rsid w:val="5B3E4DBE"/>
    <w:rsid w:val="5B403654"/>
    <w:rsid w:val="5B4208F8"/>
    <w:rsid w:val="5B4216A0"/>
    <w:rsid w:val="5B446C8E"/>
    <w:rsid w:val="5B4A013A"/>
    <w:rsid w:val="5B4B14E4"/>
    <w:rsid w:val="5B4C73B6"/>
    <w:rsid w:val="5B5443AE"/>
    <w:rsid w:val="5B547F25"/>
    <w:rsid w:val="5B57111D"/>
    <w:rsid w:val="5B58089C"/>
    <w:rsid w:val="5B586D9E"/>
    <w:rsid w:val="5B5A3297"/>
    <w:rsid w:val="5B5F7C07"/>
    <w:rsid w:val="5B646FE3"/>
    <w:rsid w:val="5B6B496F"/>
    <w:rsid w:val="5B706BB5"/>
    <w:rsid w:val="5B73085C"/>
    <w:rsid w:val="5B7826D5"/>
    <w:rsid w:val="5B891734"/>
    <w:rsid w:val="5B8A6765"/>
    <w:rsid w:val="5B8E07ED"/>
    <w:rsid w:val="5B93248C"/>
    <w:rsid w:val="5BBA0E31"/>
    <w:rsid w:val="5BBC25EB"/>
    <w:rsid w:val="5BBD5402"/>
    <w:rsid w:val="5BC53F6F"/>
    <w:rsid w:val="5BCA3E3D"/>
    <w:rsid w:val="5BD13050"/>
    <w:rsid w:val="5BD2403C"/>
    <w:rsid w:val="5BD8166E"/>
    <w:rsid w:val="5BD95B9B"/>
    <w:rsid w:val="5BDE751B"/>
    <w:rsid w:val="5BDF5D95"/>
    <w:rsid w:val="5BE74162"/>
    <w:rsid w:val="5BF34EC9"/>
    <w:rsid w:val="5BF42A03"/>
    <w:rsid w:val="5BF97491"/>
    <w:rsid w:val="5BFE73EA"/>
    <w:rsid w:val="5BFE7528"/>
    <w:rsid w:val="5C030B48"/>
    <w:rsid w:val="5C0A0196"/>
    <w:rsid w:val="5C136C22"/>
    <w:rsid w:val="5C165181"/>
    <w:rsid w:val="5C190553"/>
    <w:rsid w:val="5C1E4DCD"/>
    <w:rsid w:val="5C220149"/>
    <w:rsid w:val="5C370527"/>
    <w:rsid w:val="5C405563"/>
    <w:rsid w:val="5C444C61"/>
    <w:rsid w:val="5C4D32C9"/>
    <w:rsid w:val="5C50666A"/>
    <w:rsid w:val="5C5305C6"/>
    <w:rsid w:val="5C564FB8"/>
    <w:rsid w:val="5C58146E"/>
    <w:rsid w:val="5C5F0596"/>
    <w:rsid w:val="5C642CF0"/>
    <w:rsid w:val="5C642E45"/>
    <w:rsid w:val="5C643EC4"/>
    <w:rsid w:val="5C68224C"/>
    <w:rsid w:val="5C7145DC"/>
    <w:rsid w:val="5C7B25A9"/>
    <w:rsid w:val="5C7C320E"/>
    <w:rsid w:val="5C875FAD"/>
    <w:rsid w:val="5C8B5798"/>
    <w:rsid w:val="5C8D3E67"/>
    <w:rsid w:val="5C922E5E"/>
    <w:rsid w:val="5C9D26FF"/>
    <w:rsid w:val="5CA26790"/>
    <w:rsid w:val="5CA51C02"/>
    <w:rsid w:val="5CAA386D"/>
    <w:rsid w:val="5CB169DD"/>
    <w:rsid w:val="5CBF5BC5"/>
    <w:rsid w:val="5CC10D0D"/>
    <w:rsid w:val="5CC60F7E"/>
    <w:rsid w:val="5CC901CB"/>
    <w:rsid w:val="5CC93458"/>
    <w:rsid w:val="5CCF2EB2"/>
    <w:rsid w:val="5CD23113"/>
    <w:rsid w:val="5CD32EEC"/>
    <w:rsid w:val="5CD46A20"/>
    <w:rsid w:val="5CD7567B"/>
    <w:rsid w:val="5CEC3E0B"/>
    <w:rsid w:val="5CEF7F6C"/>
    <w:rsid w:val="5CF403F3"/>
    <w:rsid w:val="5CF53A3B"/>
    <w:rsid w:val="5CFA2408"/>
    <w:rsid w:val="5CFD7794"/>
    <w:rsid w:val="5CFD7F2E"/>
    <w:rsid w:val="5D0127C9"/>
    <w:rsid w:val="5D02548B"/>
    <w:rsid w:val="5D135A32"/>
    <w:rsid w:val="5D1D48DA"/>
    <w:rsid w:val="5D211A7E"/>
    <w:rsid w:val="5D261B58"/>
    <w:rsid w:val="5D3071C9"/>
    <w:rsid w:val="5D333A77"/>
    <w:rsid w:val="5D4548CC"/>
    <w:rsid w:val="5D483B0C"/>
    <w:rsid w:val="5D594B6B"/>
    <w:rsid w:val="5D597FD2"/>
    <w:rsid w:val="5D5D1E93"/>
    <w:rsid w:val="5D643C55"/>
    <w:rsid w:val="5D6B2420"/>
    <w:rsid w:val="5D6B3434"/>
    <w:rsid w:val="5D6D49F6"/>
    <w:rsid w:val="5D87213E"/>
    <w:rsid w:val="5D97046F"/>
    <w:rsid w:val="5D9D77B0"/>
    <w:rsid w:val="5DAB30CE"/>
    <w:rsid w:val="5DB83F83"/>
    <w:rsid w:val="5DB8772E"/>
    <w:rsid w:val="5DBA3645"/>
    <w:rsid w:val="5DD32A34"/>
    <w:rsid w:val="5DD4037D"/>
    <w:rsid w:val="5DD94665"/>
    <w:rsid w:val="5DDA69E0"/>
    <w:rsid w:val="5DDC5CDC"/>
    <w:rsid w:val="5DE35DB7"/>
    <w:rsid w:val="5DE86843"/>
    <w:rsid w:val="5DF42C27"/>
    <w:rsid w:val="5DFA50BB"/>
    <w:rsid w:val="5DFF02A4"/>
    <w:rsid w:val="5DFF1D51"/>
    <w:rsid w:val="5DFF2F69"/>
    <w:rsid w:val="5E016BF4"/>
    <w:rsid w:val="5E04433E"/>
    <w:rsid w:val="5E0813C5"/>
    <w:rsid w:val="5E0C1B5C"/>
    <w:rsid w:val="5E0C46E1"/>
    <w:rsid w:val="5E0D32AF"/>
    <w:rsid w:val="5E111149"/>
    <w:rsid w:val="5E166B4C"/>
    <w:rsid w:val="5E2467F1"/>
    <w:rsid w:val="5E276A34"/>
    <w:rsid w:val="5E2B3EB6"/>
    <w:rsid w:val="5E340570"/>
    <w:rsid w:val="5E3D0DFE"/>
    <w:rsid w:val="5E3D2503"/>
    <w:rsid w:val="5E456D39"/>
    <w:rsid w:val="5E502124"/>
    <w:rsid w:val="5E542D30"/>
    <w:rsid w:val="5E5D4C34"/>
    <w:rsid w:val="5E6066A8"/>
    <w:rsid w:val="5E6A2CCF"/>
    <w:rsid w:val="5E7153EF"/>
    <w:rsid w:val="5E7533E7"/>
    <w:rsid w:val="5E756369"/>
    <w:rsid w:val="5E7716BE"/>
    <w:rsid w:val="5E815009"/>
    <w:rsid w:val="5E826A9F"/>
    <w:rsid w:val="5E8343A9"/>
    <w:rsid w:val="5E87550F"/>
    <w:rsid w:val="5E905889"/>
    <w:rsid w:val="5E98278B"/>
    <w:rsid w:val="5EA52572"/>
    <w:rsid w:val="5EAF5FE7"/>
    <w:rsid w:val="5EB24A46"/>
    <w:rsid w:val="5EB4425D"/>
    <w:rsid w:val="5EC532F6"/>
    <w:rsid w:val="5ECC7A1C"/>
    <w:rsid w:val="5ECF4FA0"/>
    <w:rsid w:val="5ED04E45"/>
    <w:rsid w:val="5ED17C64"/>
    <w:rsid w:val="5ED257AE"/>
    <w:rsid w:val="5ED55AE9"/>
    <w:rsid w:val="5EE362A7"/>
    <w:rsid w:val="5EF01369"/>
    <w:rsid w:val="5EF21E15"/>
    <w:rsid w:val="5EF377A9"/>
    <w:rsid w:val="5EF552A7"/>
    <w:rsid w:val="5F04373C"/>
    <w:rsid w:val="5F0C439F"/>
    <w:rsid w:val="5F0D3EE6"/>
    <w:rsid w:val="5F177FFF"/>
    <w:rsid w:val="5F1A2B43"/>
    <w:rsid w:val="5F1A5C78"/>
    <w:rsid w:val="5F2256BF"/>
    <w:rsid w:val="5F2707DC"/>
    <w:rsid w:val="5F3859B0"/>
    <w:rsid w:val="5F447603"/>
    <w:rsid w:val="5F5B29EB"/>
    <w:rsid w:val="5F611AA5"/>
    <w:rsid w:val="5F6368E3"/>
    <w:rsid w:val="5F685C44"/>
    <w:rsid w:val="5F6A0E80"/>
    <w:rsid w:val="5F6E116C"/>
    <w:rsid w:val="5F71408F"/>
    <w:rsid w:val="5F750196"/>
    <w:rsid w:val="5F7B6901"/>
    <w:rsid w:val="5F814D8D"/>
    <w:rsid w:val="5F832C86"/>
    <w:rsid w:val="5F87318A"/>
    <w:rsid w:val="5F884B5A"/>
    <w:rsid w:val="5F8A1E93"/>
    <w:rsid w:val="5F965203"/>
    <w:rsid w:val="5F9F1A14"/>
    <w:rsid w:val="5FA64912"/>
    <w:rsid w:val="5FA909F9"/>
    <w:rsid w:val="5FAA3286"/>
    <w:rsid w:val="5FB66B9E"/>
    <w:rsid w:val="5FB837BB"/>
    <w:rsid w:val="5FC12B2D"/>
    <w:rsid w:val="5FC13AE7"/>
    <w:rsid w:val="5FC30F01"/>
    <w:rsid w:val="5FC60912"/>
    <w:rsid w:val="5FC907CD"/>
    <w:rsid w:val="5FCB317A"/>
    <w:rsid w:val="5FDB2C4A"/>
    <w:rsid w:val="5FDB5288"/>
    <w:rsid w:val="5FED6CE7"/>
    <w:rsid w:val="5FEF1498"/>
    <w:rsid w:val="5FFB1C40"/>
    <w:rsid w:val="5FFB2CBC"/>
    <w:rsid w:val="60016463"/>
    <w:rsid w:val="60145596"/>
    <w:rsid w:val="601856F1"/>
    <w:rsid w:val="601943AC"/>
    <w:rsid w:val="602E55A0"/>
    <w:rsid w:val="60341DFF"/>
    <w:rsid w:val="60346C0C"/>
    <w:rsid w:val="6036096D"/>
    <w:rsid w:val="60395692"/>
    <w:rsid w:val="604257B4"/>
    <w:rsid w:val="60477E12"/>
    <w:rsid w:val="604D0AB9"/>
    <w:rsid w:val="604F35E3"/>
    <w:rsid w:val="60535991"/>
    <w:rsid w:val="6057198F"/>
    <w:rsid w:val="60673A46"/>
    <w:rsid w:val="60794CA6"/>
    <w:rsid w:val="607B3BB7"/>
    <w:rsid w:val="607C6BE6"/>
    <w:rsid w:val="607D77EB"/>
    <w:rsid w:val="607E01D0"/>
    <w:rsid w:val="608539DA"/>
    <w:rsid w:val="60897E4C"/>
    <w:rsid w:val="608E6C59"/>
    <w:rsid w:val="6093657B"/>
    <w:rsid w:val="60936B26"/>
    <w:rsid w:val="6096333C"/>
    <w:rsid w:val="60964187"/>
    <w:rsid w:val="60B70192"/>
    <w:rsid w:val="60BA391F"/>
    <w:rsid w:val="60C7100F"/>
    <w:rsid w:val="60CC405A"/>
    <w:rsid w:val="60CF02DD"/>
    <w:rsid w:val="60E0309F"/>
    <w:rsid w:val="60E2792D"/>
    <w:rsid w:val="60E3465E"/>
    <w:rsid w:val="60E90E3C"/>
    <w:rsid w:val="60E97FCD"/>
    <w:rsid w:val="60EC7B20"/>
    <w:rsid w:val="60EE2E61"/>
    <w:rsid w:val="60F06D17"/>
    <w:rsid w:val="60F5326C"/>
    <w:rsid w:val="610B5133"/>
    <w:rsid w:val="611A176F"/>
    <w:rsid w:val="612F3BEF"/>
    <w:rsid w:val="613418A8"/>
    <w:rsid w:val="61363955"/>
    <w:rsid w:val="61390342"/>
    <w:rsid w:val="613D66FF"/>
    <w:rsid w:val="61406582"/>
    <w:rsid w:val="61410E47"/>
    <w:rsid w:val="61416D25"/>
    <w:rsid w:val="61547CF9"/>
    <w:rsid w:val="6158096A"/>
    <w:rsid w:val="61617823"/>
    <w:rsid w:val="616D0E9D"/>
    <w:rsid w:val="61706A1E"/>
    <w:rsid w:val="61800366"/>
    <w:rsid w:val="61833FBC"/>
    <w:rsid w:val="618738F6"/>
    <w:rsid w:val="618A7690"/>
    <w:rsid w:val="61911EB1"/>
    <w:rsid w:val="6192405C"/>
    <w:rsid w:val="61972A84"/>
    <w:rsid w:val="619A1C88"/>
    <w:rsid w:val="619B17BD"/>
    <w:rsid w:val="61A4683F"/>
    <w:rsid w:val="61AD0412"/>
    <w:rsid w:val="61B37352"/>
    <w:rsid w:val="61BB4F49"/>
    <w:rsid w:val="61C251E9"/>
    <w:rsid w:val="61C353DF"/>
    <w:rsid w:val="61C359D6"/>
    <w:rsid w:val="61CB3BDC"/>
    <w:rsid w:val="61D03DA9"/>
    <w:rsid w:val="61DD1340"/>
    <w:rsid w:val="61E215D8"/>
    <w:rsid w:val="61F12FED"/>
    <w:rsid w:val="61F25ADA"/>
    <w:rsid w:val="61F41453"/>
    <w:rsid w:val="62003AFA"/>
    <w:rsid w:val="62030E44"/>
    <w:rsid w:val="62062A9A"/>
    <w:rsid w:val="62097BF3"/>
    <w:rsid w:val="620F6B22"/>
    <w:rsid w:val="62173745"/>
    <w:rsid w:val="62175175"/>
    <w:rsid w:val="621B1E8B"/>
    <w:rsid w:val="621B3775"/>
    <w:rsid w:val="621D2588"/>
    <w:rsid w:val="621E4141"/>
    <w:rsid w:val="6236244C"/>
    <w:rsid w:val="62364782"/>
    <w:rsid w:val="62377595"/>
    <w:rsid w:val="624251A1"/>
    <w:rsid w:val="62466558"/>
    <w:rsid w:val="62475B7E"/>
    <w:rsid w:val="624D0F56"/>
    <w:rsid w:val="62676BD1"/>
    <w:rsid w:val="62682234"/>
    <w:rsid w:val="62760A02"/>
    <w:rsid w:val="627B4E66"/>
    <w:rsid w:val="62835046"/>
    <w:rsid w:val="628B473A"/>
    <w:rsid w:val="628F5897"/>
    <w:rsid w:val="62912F34"/>
    <w:rsid w:val="629C6E78"/>
    <w:rsid w:val="629D1EDE"/>
    <w:rsid w:val="62A51347"/>
    <w:rsid w:val="62A6052E"/>
    <w:rsid w:val="62A96B26"/>
    <w:rsid w:val="62B01484"/>
    <w:rsid w:val="62BF63DA"/>
    <w:rsid w:val="62CA570B"/>
    <w:rsid w:val="62CD303A"/>
    <w:rsid w:val="62CF270E"/>
    <w:rsid w:val="62D064B0"/>
    <w:rsid w:val="62DC3850"/>
    <w:rsid w:val="62DD22DA"/>
    <w:rsid w:val="62DF5186"/>
    <w:rsid w:val="62E01743"/>
    <w:rsid w:val="62E5081C"/>
    <w:rsid w:val="62E52705"/>
    <w:rsid w:val="62F33A4F"/>
    <w:rsid w:val="62F47889"/>
    <w:rsid w:val="62FB0709"/>
    <w:rsid w:val="62FC3643"/>
    <w:rsid w:val="62FC6BB9"/>
    <w:rsid w:val="63043D0B"/>
    <w:rsid w:val="630913E5"/>
    <w:rsid w:val="630B7C80"/>
    <w:rsid w:val="63163A3E"/>
    <w:rsid w:val="631A077F"/>
    <w:rsid w:val="631B0249"/>
    <w:rsid w:val="63247F09"/>
    <w:rsid w:val="63253C81"/>
    <w:rsid w:val="633408DC"/>
    <w:rsid w:val="633B2C98"/>
    <w:rsid w:val="633F4D43"/>
    <w:rsid w:val="634C3904"/>
    <w:rsid w:val="63512CC8"/>
    <w:rsid w:val="635553CF"/>
    <w:rsid w:val="635A4ECB"/>
    <w:rsid w:val="635F44E5"/>
    <w:rsid w:val="636C5AFE"/>
    <w:rsid w:val="636F204A"/>
    <w:rsid w:val="63720CF4"/>
    <w:rsid w:val="63724123"/>
    <w:rsid w:val="637A767D"/>
    <w:rsid w:val="63894210"/>
    <w:rsid w:val="63927568"/>
    <w:rsid w:val="6394356A"/>
    <w:rsid w:val="63946AC8"/>
    <w:rsid w:val="639C5602"/>
    <w:rsid w:val="63A87904"/>
    <w:rsid w:val="63A94EB4"/>
    <w:rsid w:val="63B427F0"/>
    <w:rsid w:val="63B8410E"/>
    <w:rsid w:val="63B91831"/>
    <w:rsid w:val="63C4349A"/>
    <w:rsid w:val="63C61B2C"/>
    <w:rsid w:val="63CE795E"/>
    <w:rsid w:val="63CF256B"/>
    <w:rsid w:val="63D23E00"/>
    <w:rsid w:val="63D40BE9"/>
    <w:rsid w:val="63D71001"/>
    <w:rsid w:val="63D96B56"/>
    <w:rsid w:val="63E2095F"/>
    <w:rsid w:val="63E821A1"/>
    <w:rsid w:val="63EA7014"/>
    <w:rsid w:val="63F2423A"/>
    <w:rsid w:val="63F33ECC"/>
    <w:rsid w:val="63FC70D8"/>
    <w:rsid w:val="640429AC"/>
    <w:rsid w:val="64045705"/>
    <w:rsid w:val="640E5837"/>
    <w:rsid w:val="64102431"/>
    <w:rsid w:val="641066DF"/>
    <w:rsid w:val="64141D17"/>
    <w:rsid w:val="64151D68"/>
    <w:rsid w:val="64174C6F"/>
    <w:rsid w:val="6418628B"/>
    <w:rsid w:val="641C6E32"/>
    <w:rsid w:val="64236413"/>
    <w:rsid w:val="6424127A"/>
    <w:rsid w:val="64250F8F"/>
    <w:rsid w:val="64252666"/>
    <w:rsid w:val="642E76C5"/>
    <w:rsid w:val="642F56C9"/>
    <w:rsid w:val="643259B3"/>
    <w:rsid w:val="643423CE"/>
    <w:rsid w:val="64354398"/>
    <w:rsid w:val="643C5246"/>
    <w:rsid w:val="643E6FD2"/>
    <w:rsid w:val="643F1B8B"/>
    <w:rsid w:val="644D2CAC"/>
    <w:rsid w:val="644F75B8"/>
    <w:rsid w:val="645C294D"/>
    <w:rsid w:val="646312E2"/>
    <w:rsid w:val="6467125F"/>
    <w:rsid w:val="64694017"/>
    <w:rsid w:val="646C2874"/>
    <w:rsid w:val="646E5A69"/>
    <w:rsid w:val="647B7AA4"/>
    <w:rsid w:val="64826B27"/>
    <w:rsid w:val="64870017"/>
    <w:rsid w:val="648C00C9"/>
    <w:rsid w:val="6497083D"/>
    <w:rsid w:val="64981F7B"/>
    <w:rsid w:val="649875E4"/>
    <w:rsid w:val="64A5243A"/>
    <w:rsid w:val="64A80C3F"/>
    <w:rsid w:val="64BA69E2"/>
    <w:rsid w:val="64C45DDD"/>
    <w:rsid w:val="64CC609E"/>
    <w:rsid w:val="64CC7469"/>
    <w:rsid w:val="64D544D5"/>
    <w:rsid w:val="64D968C1"/>
    <w:rsid w:val="64DA1240"/>
    <w:rsid w:val="64DC71AB"/>
    <w:rsid w:val="64DD41BA"/>
    <w:rsid w:val="64E21E2A"/>
    <w:rsid w:val="64E76E8A"/>
    <w:rsid w:val="64EA6F30"/>
    <w:rsid w:val="64EE23E0"/>
    <w:rsid w:val="64F531DE"/>
    <w:rsid w:val="64F91A01"/>
    <w:rsid w:val="64FA1F03"/>
    <w:rsid w:val="64FC7458"/>
    <w:rsid w:val="65011B5C"/>
    <w:rsid w:val="650976F3"/>
    <w:rsid w:val="6517762A"/>
    <w:rsid w:val="651C06C5"/>
    <w:rsid w:val="652117EF"/>
    <w:rsid w:val="6525440C"/>
    <w:rsid w:val="652C26BF"/>
    <w:rsid w:val="65336861"/>
    <w:rsid w:val="6536220B"/>
    <w:rsid w:val="65373578"/>
    <w:rsid w:val="65377508"/>
    <w:rsid w:val="653D091F"/>
    <w:rsid w:val="654725D5"/>
    <w:rsid w:val="654A5BC0"/>
    <w:rsid w:val="654C3961"/>
    <w:rsid w:val="654E4FD6"/>
    <w:rsid w:val="65515201"/>
    <w:rsid w:val="655D63CF"/>
    <w:rsid w:val="656B0D91"/>
    <w:rsid w:val="656C5B97"/>
    <w:rsid w:val="656C745D"/>
    <w:rsid w:val="657C37E3"/>
    <w:rsid w:val="657D1D81"/>
    <w:rsid w:val="657D5FF6"/>
    <w:rsid w:val="65802FBB"/>
    <w:rsid w:val="65813F18"/>
    <w:rsid w:val="65857B28"/>
    <w:rsid w:val="658837CD"/>
    <w:rsid w:val="658B4D7F"/>
    <w:rsid w:val="658E5169"/>
    <w:rsid w:val="658E6ABE"/>
    <w:rsid w:val="658F6743"/>
    <w:rsid w:val="65995BFC"/>
    <w:rsid w:val="659A4903"/>
    <w:rsid w:val="659B7441"/>
    <w:rsid w:val="65A90B99"/>
    <w:rsid w:val="65A94123"/>
    <w:rsid w:val="65B239E3"/>
    <w:rsid w:val="65B57E30"/>
    <w:rsid w:val="65B72C1F"/>
    <w:rsid w:val="65CB0A0B"/>
    <w:rsid w:val="65CE70EA"/>
    <w:rsid w:val="65D25024"/>
    <w:rsid w:val="65D84AE9"/>
    <w:rsid w:val="65DA67C6"/>
    <w:rsid w:val="65DB305E"/>
    <w:rsid w:val="65DC663B"/>
    <w:rsid w:val="65E81AE8"/>
    <w:rsid w:val="65E925F1"/>
    <w:rsid w:val="65EE2A50"/>
    <w:rsid w:val="65EF58F5"/>
    <w:rsid w:val="65F712EC"/>
    <w:rsid w:val="66042274"/>
    <w:rsid w:val="660A376D"/>
    <w:rsid w:val="660C4D63"/>
    <w:rsid w:val="66174A0D"/>
    <w:rsid w:val="66217C42"/>
    <w:rsid w:val="663740A8"/>
    <w:rsid w:val="663C1A0D"/>
    <w:rsid w:val="66447588"/>
    <w:rsid w:val="66585336"/>
    <w:rsid w:val="6659497C"/>
    <w:rsid w:val="665A078F"/>
    <w:rsid w:val="66751025"/>
    <w:rsid w:val="6676663B"/>
    <w:rsid w:val="66781596"/>
    <w:rsid w:val="668A09CB"/>
    <w:rsid w:val="668A19AF"/>
    <w:rsid w:val="668A74A8"/>
    <w:rsid w:val="668C57B0"/>
    <w:rsid w:val="668D6370"/>
    <w:rsid w:val="668F69C2"/>
    <w:rsid w:val="669D2B57"/>
    <w:rsid w:val="669F3827"/>
    <w:rsid w:val="66AC5040"/>
    <w:rsid w:val="66BC413E"/>
    <w:rsid w:val="66BC4B2A"/>
    <w:rsid w:val="66C7749E"/>
    <w:rsid w:val="66CC54E0"/>
    <w:rsid w:val="66CF0357"/>
    <w:rsid w:val="66D67D9D"/>
    <w:rsid w:val="66F26D0A"/>
    <w:rsid w:val="67017645"/>
    <w:rsid w:val="670C71FD"/>
    <w:rsid w:val="670D5DB4"/>
    <w:rsid w:val="671A577C"/>
    <w:rsid w:val="671F124A"/>
    <w:rsid w:val="672D2226"/>
    <w:rsid w:val="673A14E3"/>
    <w:rsid w:val="673A5F49"/>
    <w:rsid w:val="674C1A45"/>
    <w:rsid w:val="674C5C80"/>
    <w:rsid w:val="674E19F8"/>
    <w:rsid w:val="674E6C15"/>
    <w:rsid w:val="6754208A"/>
    <w:rsid w:val="675D00B6"/>
    <w:rsid w:val="676246AE"/>
    <w:rsid w:val="67634D4B"/>
    <w:rsid w:val="67676593"/>
    <w:rsid w:val="67724BDF"/>
    <w:rsid w:val="677A33C6"/>
    <w:rsid w:val="677B0314"/>
    <w:rsid w:val="677C48F4"/>
    <w:rsid w:val="67843B07"/>
    <w:rsid w:val="678E2A48"/>
    <w:rsid w:val="67992964"/>
    <w:rsid w:val="67B51A77"/>
    <w:rsid w:val="67BE2FE4"/>
    <w:rsid w:val="67C27CF0"/>
    <w:rsid w:val="67CA3409"/>
    <w:rsid w:val="67CB157C"/>
    <w:rsid w:val="67CF45E9"/>
    <w:rsid w:val="67D1154A"/>
    <w:rsid w:val="67D26E93"/>
    <w:rsid w:val="67D50F67"/>
    <w:rsid w:val="67D70575"/>
    <w:rsid w:val="67D92BC6"/>
    <w:rsid w:val="67DA0E8E"/>
    <w:rsid w:val="67DF1992"/>
    <w:rsid w:val="67E704B4"/>
    <w:rsid w:val="67F02C8E"/>
    <w:rsid w:val="67F0755C"/>
    <w:rsid w:val="67F66A9F"/>
    <w:rsid w:val="67FE10BC"/>
    <w:rsid w:val="680A7F2A"/>
    <w:rsid w:val="680C7548"/>
    <w:rsid w:val="680E1188"/>
    <w:rsid w:val="680E41E5"/>
    <w:rsid w:val="68121C71"/>
    <w:rsid w:val="681F6961"/>
    <w:rsid w:val="68200DCB"/>
    <w:rsid w:val="68205AFC"/>
    <w:rsid w:val="6822377C"/>
    <w:rsid w:val="682F7254"/>
    <w:rsid w:val="68430A6E"/>
    <w:rsid w:val="684520F7"/>
    <w:rsid w:val="68464DC5"/>
    <w:rsid w:val="68484D1D"/>
    <w:rsid w:val="68580655"/>
    <w:rsid w:val="68610A2F"/>
    <w:rsid w:val="68633281"/>
    <w:rsid w:val="686A565D"/>
    <w:rsid w:val="68711094"/>
    <w:rsid w:val="68753131"/>
    <w:rsid w:val="68772958"/>
    <w:rsid w:val="68781FDE"/>
    <w:rsid w:val="68805514"/>
    <w:rsid w:val="688746A7"/>
    <w:rsid w:val="688A26EF"/>
    <w:rsid w:val="688A6E31"/>
    <w:rsid w:val="688E6DD1"/>
    <w:rsid w:val="688F1EF2"/>
    <w:rsid w:val="68934FFB"/>
    <w:rsid w:val="6899658E"/>
    <w:rsid w:val="689C536A"/>
    <w:rsid w:val="689D1CD3"/>
    <w:rsid w:val="68A31244"/>
    <w:rsid w:val="68AE5BC0"/>
    <w:rsid w:val="68AF79BA"/>
    <w:rsid w:val="68B23032"/>
    <w:rsid w:val="68B7181F"/>
    <w:rsid w:val="68BF3BE6"/>
    <w:rsid w:val="68C115DC"/>
    <w:rsid w:val="68CB3DA3"/>
    <w:rsid w:val="68D317F3"/>
    <w:rsid w:val="68D35902"/>
    <w:rsid w:val="68D60063"/>
    <w:rsid w:val="68D847A2"/>
    <w:rsid w:val="68DD1DB8"/>
    <w:rsid w:val="68E84E97"/>
    <w:rsid w:val="68EE0100"/>
    <w:rsid w:val="68F864AB"/>
    <w:rsid w:val="68F908A3"/>
    <w:rsid w:val="68F96EBD"/>
    <w:rsid w:val="69012A9A"/>
    <w:rsid w:val="690347A6"/>
    <w:rsid w:val="690610B6"/>
    <w:rsid w:val="690E482D"/>
    <w:rsid w:val="69104359"/>
    <w:rsid w:val="69104B5A"/>
    <w:rsid w:val="691E22E1"/>
    <w:rsid w:val="692207BE"/>
    <w:rsid w:val="69261942"/>
    <w:rsid w:val="69272501"/>
    <w:rsid w:val="692A33A3"/>
    <w:rsid w:val="69316E2F"/>
    <w:rsid w:val="6934031A"/>
    <w:rsid w:val="69360DC7"/>
    <w:rsid w:val="693669C7"/>
    <w:rsid w:val="693F30F5"/>
    <w:rsid w:val="69472321"/>
    <w:rsid w:val="694E2071"/>
    <w:rsid w:val="694E356F"/>
    <w:rsid w:val="69556727"/>
    <w:rsid w:val="695D5978"/>
    <w:rsid w:val="695E4984"/>
    <w:rsid w:val="69622D82"/>
    <w:rsid w:val="69675CC8"/>
    <w:rsid w:val="69707435"/>
    <w:rsid w:val="69766163"/>
    <w:rsid w:val="697A3B33"/>
    <w:rsid w:val="698735C3"/>
    <w:rsid w:val="698C2F29"/>
    <w:rsid w:val="69922EC4"/>
    <w:rsid w:val="69923800"/>
    <w:rsid w:val="69965002"/>
    <w:rsid w:val="69992CD3"/>
    <w:rsid w:val="699A07CD"/>
    <w:rsid w:val="699B4AC3"/>
    <w:rsid w:val="69A15116"/>
    <w:rsid w:val="69A66AAD"/>
    <w:rsid w:val="69AB5062"/>
    <w:rsid w:val="69AF16C0"/>
    <w:rsid w:val="69B63489"/>
    <w:rsid w:val="69C3383D"/>
    <w:rsid w:val="69C34C88"/>
    <w:rsid w:val="69C41193"/>
    <w:rsid w:val="69C66342"/>
    <w:rsid w:val="69D1108A"/>
    <w:rsid w:val="69D44760"/>
    <w:rsid w:val="69D831FE"/>
    <w:rsid w:val="69DB4A3D"/>
    <w:rsid w:val="69DC1A5C"/>
    <w:rsid w:val="69DC60C1"/>
    <w:rsid w:val="69EC4CAB"/>
    <w:rsid w:val="69EE7A6D"/>
    <w:rsid w:val="69F128DB"/>
    <w:rsid w:val="6A0A0D00"/>
    <w:rsid w:val="6A137F53"/>
    <w:rsid w:val="6A193EAF"/>
    <w:rsid w:val="6A1D04A6"/>
    <w:rsid w:val="6A1D4FA7"/>
    <w:rsid w:val="6A2276DF"/>
    <w:rsid w:val="6A2674F0"/>
    <w:rsid w:val="6A3738C6"/>
    <w:rsid w:val="6A3E0FA0"/>
    <w:rsid w:val="6A4C5184"/>
    <w:rsid w:val="6A4C5F97"/>
    <w:rsid w:val="6A4F6698"/>
    <w:rsid w:val="6A520EC7"/>
    <w:rsid w:val="6A535DFC"/>
    <w:rsid w:val="6A725E38"/>
    <w:rsid w:val="6A755B2C"/>
    <w:rsid w:val="6A774CED"/>
    <w:rsid w:val="6A9760A8"/>
    <w:rsid w:val="6A9D187A"/>
    <w:rsid w:val="6A9F3684"/>
    <w:rsid w:val="6A9F4E4B"/>
    <w:rsid w:val="6AB9362D"/>
    <w:rsid w:val="6AB97AD1"/>
    <w:rsid w:val="6AC3761A"/>
    <w:rsid w:val="6AC8086B"/>
    <w:rsid w:val="6ACC03FA"/>
    <w:rsid w:val="6AD04EEF"/>
    <w:rsid w:val="6AD4151B"/>
    <w:rsid w:val="6AE22119"/>
    <w:rsid w:val="6AE26224"/>
    <w:rsid w:val="6AF34A52"/>
    <w:rsid w:val="6AF6421C"/>
    <w:rsid w:val="6AF87E20"/>
    <w:rsid w:val="6AFC7B7C"/>
    <w:rsid w:val="6AFF7A71"/>
    <w:rsid w:val="6B012E05"/>
    <w:rsid w:val="6B014699"/>
    <w:rsid w:val="6B0F5E7B"/>
    <w:rsid w:val="6B140163"/>
    <w:rsid w:val="6B1B05AC"/>
    <w:rsid w:val="6B2129B0"/>
    <w:rsid w:val="6B245AEC"/>
    <w:rsid w:val="6B296AAC"/>
    <w:rsid w:val="6B2974EE"/>
    <w:rsid w:val="6B2B1010"/>
    <w:rsid w:val="6B2D2F19"/>
    <w:rsid w:val="6B322639"/>
    <w:rsid w:val="6B332CDE"/>
    <w:rsid w:val="6B3378BD"/>
    <w:rsid w:val="6B391268"/>
    <w:rsid w:val="6B3C2A97"/>
    <w:rsid w:val="6B3D4958"/>
    <w:rsid w:val="6B4C7E72"/>
    <w:rsid w:val="6B5B14B6"/>
    <w:rsid w:val="6B5C63FE"/>
    <w:rsid w:val="6B686A8A"/>
    <w:rsid w:val="6B6B03EA"/>
    <w:rsid w:val="6B6C4B43"/>
    <w:rsid w:val="6B6D1E0F"/>
    <w:rsid w:val="6B6F018F"/>
    <w:rsid w:val="6B6F4E82"/>
    <w:rsid w:val="6B6F78E7"/>
    <w:rsid w:val="6B703BBE"/>
    <w:rsid w:val="6B7834E8"/>
    <w:rsid w:val="6B7A2906"/>
    <w:rsid w:val="6B7F12F7"/>
    <w:rsid w:val="6B8137BE"/>
    <w:rsid w:val="6B8D2C19"/>
    <w:rsid w:val="6B8F2421"/>
    <w:rsid w:val="6B9B4DED"/>
    <w:rsid w:val="6B9C3CB7"/>
    <w:rsid w:val="6BA85024"/>
    <w:rsid w:val="6BAB49B0"/>
    <w:rsid w:val="6BAC0503"/>
    <w:rsid w:val="6BB17A6D"/>
    <w:rsid w:val="6BB21F42"/>
    <w:rsid w:val="6BBC7719"/>
    <w:rsid w:val="6BC874AA"/>
    <w:rsid w:val="6BD21AF4"/>
    <w:rsid w:val="6BDA1B01"/>
    <w:rsid w:val="6BDB3A77"/>
    <w:rsid w:val="6BF14D2F"/>
    <w:rsid w:val="6BF5703C"/>
    <w:rsid w:val="6BF659A0"/>
    <w:rsid w:val="6BF81768"/>
    <w:rsid w:val="6BFB5E4D"/>
    <w:rsid w:val="6BFD01B4"/>
    <w:rsid w:val="6BFE2634"/>
    <w:rsid w:val="6C150D37"/>
    <w:rsid w:val="6C16087A"/>
    <w:rsid w:val="6C240F7A"/>
    <w:rsid w:val="6C385ECE"/>
    <w:rsid w:val="6C3F5D14"/>
    <w:rsid w:val="6C4E4660"/>
    <w:rsid w:val="6C520D5F"/>
    <w:rsid w:val="6C636C38"/>
    <w:rsid w:val="6C657ECA"/>
    <w:rsid w:val="6C727C55"/>
    <w:rsid w:val="6C7C1950"/>
    <w:rsid w:val="6C891725"/>
    <w:rsid w:val="6C931419"/>
    <w:rsid w:val="6C936749"/>
    <w:rsid w:val="6C9472C6"/>
    <w:rsid w:val="6C9C582F"/>
    <w:rsid w:val="6C9C7E18"/>
    <w:rsid w:val="6C9D3C7E"/>
    <w:rsid w:val="6CAA0E04"/>
    <w:rsid w:val="6CBF2F18"/>
    <w:rsid w:val="6CC32850"/>
    <w:rsid w:val="6CC6105A"/>
    <w:rsid w:val="6CD10828"/>
    <w:rsid w:val="6CD24E7A"/>
    <w:rsid w:val="6CD836FA"/>
    <w:rsid w:val="6CDA2519"/>
    <w:rsid w:val="6CE63AB3"/>
    <w:rsid w:val="6CEB5B2B"/>
    <w:rsid w:val="6CF30226"/>
    <w:rsid w:val="6CF87FC7"/>
    <w:rsid w:val="6CFD6537"/>
    <w:rsid w:val="6D062D75"/>
    <w:rsid w:val="6D19179A"/>
    <w:rsid w:val="6D1B78FA"/>
    <w:rsid w:val="6D1E1E6D"/>
    <w:rsid w:val="6D34562C"/>
    <w:rsid w:val="6D415642"/>
    <w:rsid w:val="6D501887"/>
    <w:rsid w:val="6D511D23"/>
    <w:rsid w:val="6D516FDE"/>
    <w:rsid w:val="6D533DAC"/>
    <w:rsid w:val="6D5B2C8B"/>
    <w:rsid w:val="6D5E5F2E"/>
    <w:rsid w:val="6D607A53"/>
    <w:rsid w:val="6D6A50B2"/>
    <w:rsid w:val="6D710D68"/>
    <w:rsid w:val="6D7F195D"/>
    <w:rsid w:val="6D837F22"/>
    <w:rsid w:val="6D847184"/>
    <w:rsid w:val="6D85704D"/>
    <w:rsid w:val="6D90257B"/>
    <w:rsid w:val="6D964D60"/>
    <w:rsid w:val="6D9E494A"/>
    <w:rsid w:val="6D9F097F"/>
    <w:rsid w:val="6DA110F6"/>
    <w:rsid w:val="6DA85BDA"/>
    <w:rsid w:val="6DA91CD1"/>
    <w:rsid w:val="6DAC56CB"/>
    <w:rsid w:val="6DAD4F9F"/>
    <w:rsid w:val="6DAF0D17"/>
    <w:rsid w:val="6DB34098"/>
    <w:rsid w:val="6DB3420C"/>
    <w:rsid w:val="6DB545B6"/>
    <w:rsid w:val="6DB80747"/>
    <w:rsid w:val="6DBC15EC"/>
    <w:rsid w:val="6DBD4837"/>
    <w:rsid w:val="6DC560A7"/>
    <w:rsid w:val="6DC5688E"/>
    <w:rsid w:val="6DC82C9A"/>
    <w:rsid w:val="6DCA3DA3"/>
    <w:rsid w:val="6DCD6957"/>
    <w:rsid w:val="6DD7001C"/>
    <w:rsid w:val="6DE02FB4"/>
    <w:rsid w:val="6DE5110F"/>
    <w:rsid w:val="6DF350A8"/>
    <w:rsid w:val="6DF7610D"/>
    <w:rsid w:val="6DF8648C"/>
    <w:rsid w:val="6DFB7A58"/>
    <w:rsid w:val="6DFF7A3B"/>
    <w:rsid w:val="6E0752F8"/>
    <w:rsid w:val="6E0A7CD3"/>
    <w:rsid w:val="6E0B2D4F"/>
    <w:rsid w:val="6E1A0D08"/>
    <w:rsid w:val="6E1A742F"/>
    <w:rsid w:val="6E1C19DD"/>
    <w:rsid w:val="6E3360AE"/>
    <w:rsid w:val="6E3B22FD"/>
    <w:rsid w:val="6E4071AA"/>
    <w:rsid w:val="6E4841D6"/>
    <w:rsid w:val="6E514CED"/>
    <w:rsid w:val="6E521D99"/>
    <w:rsid w:val="6E607C9C"/>
    <w:rsid w:val="6E646100"/>
    <w:rsid w:val="6E66630F"/>
    <w:rsid w:val="6E696A0C"/>
    <w:rsid w:val="6E6F23C3"/>
    <w:rsid w:val="6E7F15F4"/>
    <w:rsid w:val="6E9A1F97"/>
    <w:rsid w:val="6E9B6DA2"/>
    <w:rsid w:val="6EA24066"/>
    <w:rsid w:val="6EA360BD"/>
    <w:rsid w:val="6EA81932"/>
    <w:rsid w:val="6EB563D5"/>
    <w:rsid w:val="6EBB6DEB"/>
    <w:rsid w:val="6EBD2E38"/>
    <w:rsid w:val="6EC12710"/>
    <w:rsid w:val="6EC41F7C"/>
    <w:rsid w:val="6ED22295"/>
    <w:rsid w:val="6ED53DD8"/>
    <w:rsid w:val="6ED80552"/>
    <w:rsid w:val="6ED917C9"/>
    <w:rsid w:val="6ED92677"/>
    <w:rsid w:val="6EE36E94"/>
    <w:rsid w:val="6EE40E94"/>
    <w:rsid w:val="6EE60984"/>
    <w:rsid w:val="6EEC2F2D"/>
    <w:rsid w:val="6EF56BFD"/>
    <w:rsid w:val="6F010714"/>
    <w:rsid w:val="6F053711"/>
    <w:rsid w:val="6F103CF4"/>
    <w:rsid w:val="6F166CB7"/>
    <w:rsid w:val="6F1A349B"/>
    <w:rsid w:val="6F2029FB"/>
    <w:rsid w:val="6F211BCA"/>
    <w:rsid w:val="6F225983"/>
    <w:rsid w:val="6F2718E5"/>
    <w:rsid w:val="6F335E1D"/>
    <w:rsid w:val="6F3374F5"/>
    <w:rsid w:val="6F344886"/>
    <w:rsid w:val="6F3B1A8C"/>
    <w:rsid w:val="6F3C41C4"/>
    <w:rsid w:val="6F3E3021"/>
    <w:rsid w:val="6F3F5896"/>
    <w:rsid w:val="6F412BEE"/>
    <w:rsid w:val="6F445455"/>
    <w:rsid w:val="6F4850A6"/>
    <w:rsid w:val="6F496C8C"/>
    <w:rsid w:val="6F4D014A"/>
    <w:rsid w:val="6F516A80"/>
    <w:rsid w:val="6F534FBD"/>
    <w:rsid w:val="6F6A5E00"/>
    <w:rsid w:val="6F721A26"/>
    <w:rsid w:val="6F7306EB"/>
    <w:rsid w:val="6F7C5154"/>
    <w:rsid w:val="6F854425"/>
    <w:rsid w:val="6F871F4B"/>
    <w:rsid w:val="6F987AD2"/>
    <w:rsid w:val="6F9925FC"/>
    <w:rsid w:val="6F997ED1"/>
    <w:rsid w:val="6FA36815"/>
    <w:rsid w:val="6FA40B19"/>
    <w:rsid w:val="6FB351B7"/>
    <w:rsid w:val="6FB50F22"/>
    <w:rsid w:val="6FB63547"/>
    <w:rsid w:val="6FBC6B1C"/>
    <w:rsid w:val="6FD05919"/>
    <w:rsid w:val="6FD10B45"/>
    <w:rsid w:val="6FD9207B"/>
    <w:rsid w:val="6FE01DB0"/>
    <w:rsid w:val="6FED06BB"/>
    <w:rsid w:val="6FF63FFF"/>
    <w:rsid w:val="6FF90BB3"/>
    <w:rsid w:val="6FFC5590"/>
    <w:rsid w:val="6FFF580B"/>
    <w:rsid w:val="70021484"/>
    <w:rsid w:val="700657CD"/>
    <w:rsid w:val="70111B76"/>
    <w:rsid w:val="701B0935"/>
    <w:rsid w:val="701B1C74"/>
    <w:rsid w:val="701C7BA1"/>
    <w:rsid w:val="701D01BA"/>
    <w:rsid w:val="702227CB"/>
    <w:rsid w:val="702B7BA0"/>
    <w:rsid w:val="702D1108"/>
    <w:rsid w:val="70313C65"/>
    <w:rsid w:val="703A3B2D"/>
    <w:rsid w:val="70457711"/>
    <w:rsid w:val="704901F5"/>
    <w:rsid w:val="704A4E5E"/>
    <w:rsid w:val="70587444"/>
    <w:rsid w:val="705A3B96"/>
    <w:rsid w:val="705A5E13"/>
    <w:rsid w:val="705B6ACD"/>
    <w:rsid w:val="706B427C"/>
    <w:rsid w:val="706D1DD0"/>
    <w:rsid w:val="707372A5"/>
    <w:rsid w:val="70836361"/>
    <w:rsid w:val="70852757"/>
    <w:rsid w:val="70856B87"/>
    <w:rsid w:val="7085717D"/>
    <w:rsid w:val="70862203"/>
    <w:rsid w:val="708B79A9"/>
    <w:rsid w:val="708D5FE4"/>
    <w:rsid w:val="708F5292"/>
    <w:rsid w:val="709A3F00"/>
    <w:rsid w:val="709B1BB4"/>
    <w:rsid w:val="709B585E"/>
    <w:rsid w:val="70A02AD4"/>
    <w:rsid w:val="70A22CEB"/>
    <w:rsid w:val="70A26911"/>
    <w:rsid w:val="70A43A3C"/>
    <w:rsid w:val="70A57637"/>
    <w:rsid w:val="70A628A5"/>
    <w:rsid w:val="70A97C9F"/>
    <w:rsid w:val="70AD4428"/>
    <w:rsid w:val="70BF5715"/>
    <w:rsid w:val="70C476B5"/>
    <w:rsid w:val="70C72DED"/>
    <w:rsid w:val="70CB76D8"/>
    <w:rsid w:val="70D07922"/>
    <w:rsid w:val="70D527EE"/>
    <w:rsid w:val="70E06D52"/>
    <w:rsid w:val="70EE5FFA"/>
    <w:rsid w:val="70FB773A"/>
    <w:rsid w:val="70FF1A7E"/>
    <w:rsid w:val="70FF1B95"/>
    <w:rsid w:val="7108530A"/>
    <w:rsid w:val="7109146B"/>
    <w:rsid w:val="710A2D65"/>
    <w:rsid w:val="710B2212"/>
    <w:rsid w:val="71117357"/>
    <w:rsid w:val="711A6BA7"/>
    <w:rsid w:val="711F63F1"/>
    <w:rsid w:val="71235526"/>
    <w:rsid w:val="71253DAD"/>
    <w:rsid w:val="7126612A"/>
    <w:rsid w:val="713003C1"/>
    <w:rsid w:val="71343C3C"/>
    <w:rsid w:val="71362370"/>
    <w:rsid w:val="713B2B0B"/>
    <w:rsid w:val="71424DDB"/>
    <w:rsid w:val="7151759A"/>
    <w:rsid w:val="71557E27"/>
    <w:rsid w:val="715B1366"/>
    <w:rsid w:val="715B5300"/>
    <w:rsid w:val="71651FCA"/>
    <w:rsid w:val="71717835"/>
    <w:rsid w:val="71725481"/>
    <w:rsid w:val="717958C4"/>
    <w:rsid w:val="717A2F46"/>
    <w:rsid w:val="717D3483"/>
    <w:rsid w:val="717E112C"/>
    <w:rsid w:val="71866233"/>
    <w:rsid w:val="718801FD"/>
    <w:rsid w:val="71884DC5"/>
    <w:rsid w:val="718857DC"/>
    <w:rsid w:val="719171AE"/>
    <w:rsid w:val="719C1D81"/>
    <w:rsid w:val="71A8258A"/>
    <w:rsid w:val="71AB3F8D"/>
    <w:rsid w:val="71AF62A4"/>
    <w:rsid w:val="71B11502"/>
    <w:rsid w:val="71B247A1"/>
    <w:rsid w:val="71B44E0F"/>
    <w:rsid w:val="71B45DC9"/>
    <w:rsid w:val="71B92946"/>
    <w:rsid w:val="71C34C94"/>
    <w:rsid w:val="71C446AB"/>
    <w:rsid w:val="71CD0A4E"/>
    <w:rsid w:val="71CF2F56"/>
    <w:rsid w:val="71D27F8A"/>
    <w:rsid w:val="71D9528A"/>
    <w:rsid w:val="71D97C23"/>
    <w:rsid w:val="71E23D6F"/>
    <w:rsid w:val="71E64D59"/>
    <w:rsid w:val="71E731EF"/>
    <w:rsid w:val="71E8306A"/>
    <w:rsid w:val="71F13FFC"/>
    <w:rsid w:val="71F90B94"/>
    <w:rsid w:val="71F919B0"/>
    <w:rsid w:val="71FD64F5"/>
    <w:rsid w:val="71FE4472"/>
    <w:rsid w:val="7205184D"/>
    <w:rsid w:val="72052295"/>
    <w:rsid w:val="7205464F"/>
    <w:rsid w:val="72070CBC"/>
    <w:rsid w:val="72111FA0"/>
    <w:rsid w:val="72135FFD"/>
    <w:rsid w:val="7214383E"/>
    <w:rsid w:val="721B0970"/>
    <w:rsid w:val="72201112"/>
    <w:rsid w:val="72221DAC"/>
    <w:rsid w:val="72227A0E"/>
    <w:rsid w:val="722D2DBD"/>
    <w:rsid w:val="722D7BF3"/>
    <w:rsid w:val="722F44E0"/>
    <w:rsid w:val="7231763A"/>
    <w:rsid w:val="72353457"/>
    <w:rsid w:val="723622BA"/>
    <w:rsid w:val="723C3945"/>
    <w:rsid w:val="724103AC"/>
    <w:rsid w:val="724D788B"/>
    <w:rsid w:val="72504EAF"/>
    <w:rsid w:val="72553024"/>
    <w:rsid w:val="72563E89"/>
    <w:rsid w:val="725670AA"/>
    <w:rsid w:val="725A2630"/>
    <w:rsid w:val="72655D53"/>
    <w:rsid w:val="72684572"/>
    <w:rsid w:val="727302B3"/>
    <w:rsid w:val="727C14DD"/>
    <w:rsid w:val="727D63D7"/>
    <w:rsid w:val="727D66B0"/>
    <w:rsid w:val="727F53C5"/>
    <w:rsid w:val="728308F0"/>
    <w:rsid w:val="7285634C"/>
    <w:rsid w:val="72866EC3"/>
    <w:rsid w:val="72897D89"/>
    <w:rsid w:val="728D3997"/>
    <w:rsid w:val="72957659"/>
    <w:rsid w:val="72967519"/>
    <w:rsid w:val="729A2E19"/>
    <w:rsid w:val="729D0D9E"/>
    <w:rsid w:val="72A97D1E"/>
    <w:rsid w:val="72AC4572"/>
    <w:rsid w:val="72B27BD3"/>
    <w:rsid w:val="72C9287B"/>
    <w:rsid w:val="72D07765"/>
    <w:rsid w:val="72DA1696"/>
    <w:rsid w:val="72DA6670"/>
    <w:rsid w:val="72DF3D15"/>
    <w:rsid w:val="72E207A3"/>
    <w:rsid w:val="72E2083D"/>
    <w:rsid w:val="72E63993"/>
    <w:rsid w:val="72F07E08"/>
    <w:rsid w:val="72F83963"/>
    <w:rsid w:val="72FB64EF"/>
    <w:rsid w:val="73040A5D"/>
    <w:rsid w:val="730930F4"/>
    <w:rsid w:val="730F7253"/>
    <w:rsid w:val="73122968"/>
    <w:rsid w:val="7313085E"/>
    <w:rsid w:val="731B453E"/>
    <w:rsid w:val="731F5D5E"/>
    <w:rsid w:val="73313266"/>
    <w:rsid w:val="733927C4"/>
    <w:rsid w:val="733B4E26"/>
    <w:rsid w:val="73413BFB"/>
    <w:rsid w:val="7343454A"/>
    <w:rsid w:val="73534F02"/>
    <w:rsid w:val="735B4137"/>
    <w:rsid w:val="737511F7"/>
    <w:rsid w:val="73756ED0"/>
    <w:rsid w:val="7376262B"/>
    <w:rsid w:val="738A1868"/>
    <w:rsid w:val="738C33D8"/>
    <w:rsid w:val="739850DC"/>
    <w:rsid w:val="739A7D73"/>
    <w:rsid w:val="73A54D19"/>
    <w:rsid w:val="73A65EFF"/>
    <w:rsid w:val="73AF7CC3"/>
    <w:rsid w:val="73B01CAE"/>
    <w:rsid w:val="73B161DC"/>
    <w:rsid w:val="73B41CF1"/>
    <w:rsid w:val="73BA2B42"/>
    <w:rsid w:val="73C51AD5"/>
    <w:rsid w:val="73CF58CD"/>
    <w:rsid w:val="73D35069"/>
    <w:rsid w:val="73D57CFC"/>
    <w:rsid w:val="73D72D76"/>
    <w:rsid w:val="73ED2641"/>
    <w:rsid w:val="73EE3F0D"/>
    <w:rsid w:val="73F10723"/>
    <w:rsid w:val="73F34460"/>
    <w:rsid w:val="73F51C56"/>
    <w:rsid w:val="73FB184A"/>
    <w:rsid w:val="740C047A"/>
    <w:rsid w:val="7411148D"/>
    <w:rsid w:val="741226CF"/>
    <w:rsid w:val="741E793C"/>
    <w:rsid w:val="7427013C"/>
    <w:rsid w:val="74282D51"/>
    <w:rsid w:val="7436691B"/>
    <w:rsid w:val="743871BE"/>
    <w:rsid w:val="74393A30"/>
    <w:rsid w:val="743D083D"/>
    <w:rsid w:val="743D7636"/>
    <w:rsid w:val="74453473"/>
    <w:rsid w:val="74473B38"/>
    <w:rsid w:val="74473FDF"/>
    <w:rsid w:val="745632A4"/>
    <w:rsid w:val="745D58F6"/>
    <w:rsid w:val="745E3944"/>
    <w:rsid w:val="745F3381"/>
    <w:rsid w:val="746A6679"/>
    <w:rsid w:val="746F1200"/>
    <w:rsid w:val="7473021E"/>
    <w:rsid w:val="74743EBF"/>
    <w:rsid w:val="748372AA"/>
    <w:rsid w:val="74856C7E"/>
    <w:rsid w:val="7489630E"/>
    <w:rsid w:val="748A38D2"/>
    <w:rsid w:val="74A52D9C"/>
    <w:rsid w:val="74AA652C"/>
    <w:rsid w:val="74AB5120"/>
    <w:rsid w:val="74AE0AF1"/>
    <w:rsid w:val="74B87071"/>
    <w:rsid w:val="74BE7A92"/>
    <w:rsid w:val="74BF5F91"/>
    <w:rsid w:val="74C46857"/>
    <w:rsid w:val="74CA71C4"/>
    <w:rsid w:val="74CD76CB"/>
    <w:rsid w:val="74CF2C89"/>
    <w:rsid w:val="74D23A3D"/>
    <w:rsid w:val="74D742B5"/>
    <w:rsid w:val="74D80E48"/>
    <w:rsid w:val="74D81C35"/>
    <w:rsid w:val="74DC1C5D"/>
    <w:rsid w:val="74E25A80"/>
    <w:rsid w:val="74E83952"/>
    <w:rsid w:val="74EB4D2A"/>
    <w:rsid w:val="74EB770E"/>
    <w:rsid w:val="75003B16"/>
    <w:rsid w:val="75047C78"/>
    <w:rsid w:val="750A2243"/>
    <w:rsid w:val="750B356A"/>
    <w:rsid w:val="75155AED"/>
    <w:rsid w:val="751677C9"/>
    <w:rsid w:val="751A5610"/>
    <w:rsid w:val="751D2A0A"/>
    <w:rsid w:val="7525340F"/>
    <w:rsid w:val="7527027F"/>
    <w:rsid w:val="752B1BC9"/>
    <w:rsid w:val="753007A1"/>
    <w:rsid w:val="75302F4B"/>
    <w:rsid w:val="75307441"/>
    <w:rsid w:val="75316F6C"/>
    <w:rsid w:val="75412B9C"/>
    <w:rsid w:val="7545498E"/>
    <w:rsid w:val="754A358C"/>
    <w:rsid w:val="75502DDF"/>
    <w:rsid w:val="7556268A"/>
    <w:rsid w:val="7556674B"/>
    <w:rsid w:val="75575EA9"/>
    <w:rsid w:val="75601ABE"/>
    <w:rsid w:val="756D78A3"/>
    <w:rsid w:val="756E7CFF"/>
    <w:rsid w:val="75753F23"/>
    <w:rsid w:val="75867D7A"/>
    <w:rsid w:val="758D12CA"/>
    <w:rsid w:val="758D236E"/>
    <w:rsid w:val="75950C00"/>
    <w:rsid w:val="759A5AAD"/>
    <w:rsid w:val="75A3341B"/>
    <w:rsid w:val="75AA37F8"/>
    <w:rsid w:val="75B3511C"/>
    <w:rsid w:val="75B85F9E"/>
    <w:rsid w:val="75BA174B"/>
    <w:rsid w:val="75C15A7B"/>
    <w:rsid w:val="75C45CA4"/>
    <w:rsid w:val="75C66E24"/>
    <w:rsid w:val="75CB2294"/>
    <w:rsid w:val="75D02172"/>
    <w:rsid w:val="75D7077A"/>
    <w:rsid w:val="75E001C1"/>
    <w:rsid w:val="75EC2630"/>
    <w:rsid w:val="75ED6E1C"/>
    <w:rsid w:val="75EF0B52"/>
    <w:rsid w:val="75F61D2B"/>
    <w:rsid w:val="75FB1725"/>
    <w:rsid w:val="75FD30C7"/>
    <w:rsid w:val="760D0743"/>
    <w:rsid w:val="760D0CD1"/>
    <w:rsid w:val="761262E7"/>
    <w:rsid w:val="76135BC0"/>
    <w:rsid w:val="761A505C"/>
    <w:rsid w:val="761B0BB5"/>
    <w:rsid w:val="76204468"/>
    <w:rsid w:val="7623602F"/>
    <w:rsid w:val="7626696C"/>
    <w:rsid w:val="762A7AD4"/>
    <w:rsid w:val="7635099D"/>
    <w:rsid w:val="76360C22"/>
    <w:rsid w:val="763A6AA8"/>
    <w:rsid w:val="764511FA"/>
    <w:rsid w:val="76477CD9"/>
    <w:rsid w:val="764B3ED2"/>
    <w:rsid w:val="764D0FCD"/>
    <w:rsid w:val="764F5C46"/>
    <w:rsid w:val="76516632"/>
    <w:rsid w:val="765A299C"/>
    <w:rsid w:val="765A58EC"/>
    <w:rsid w:val="765B4ACC"/>
    <w:rsid w:val="76626E86"/>
    <w:rsid w:val="76665172"/>
    <w:rsid w:val="766F7EA3"/>
    <w:rsid w:val="76735D63"/>
    <w:rsid w:val="767C63C4"/>
    <w:rsid w:val="768472BE"/>
    <w:rsid w:val="76864D65"/>
    <w:rsid w:val="768F076C"/>
    <w:rsid w:val="76960FC2"/>
    <w:rsid w:val="769928BD"/>
    <w:rsid w:val="76A4069C"/>
    <w:rsid w:val="76A9678F"/>
    <w:rsid w:val="76AC2297"/>
    <w:rsid w:val="76AD5DE9"/>
    <w:rsid w:val="76AD7DBE"/>
    <w:rsid w:val="76AF1D88"/>
    <w:rsid w:val="76BB42F1"/>
    <w:rsid w:val="76C53359"/>
    <w:rsid w:val="76C549B0"/>
    <w:rsid w:val="76CC0B8C"/>
    <w:rsid w:val="76CC59D4"/>
    <w:rsid w:val="76E76A54"/>
    <w:rsid w:val="76EB225E"/>
    <w:rsid w:val="76F45218"/>
    <w:rsid w:val="76F66AE0"/>
    <w:rsid w:val="77001842"/>
    <w:rsid w:val="77030C6D"/>
    <w:rsid w:val="770E2F82"/>
    <w:rsid w:val="771B4211"/>
    <w:rsid w:val="7722255A"/>
    <w:rsid w:val="772A20B9"/>
    <w:rsid w:val="772B75BB"/>
    <w:rsid w:val="772F1896"/>
    <w:rsid w:val="773043A3"/>
    <w:rsid w:val="774146B3"/>
    <w:rsid w:val="77440722"/>
    <w:rsid w:val="77441568"/>
    <w:rsid w:val="77495D38"/>
    <w:rsid w:val="774A7579"/>
    <w:rsid w:val="774B712C"/>
    <w:rsid w:val="774E1E46"/>
    <w:rsid w:val="775112F6"/>
    <w:rsid w:val="775A1CF3"/>
    <w:rsid w:val="775E05FF"/>
    <w:rsid w:val="7762175A"/>
    <w:rsid w:val="77662B24"/>
    <w:rsid w:val="776A2099"/>
    <w:rsid w:val="776A4C8A"/>
    <w:rsid w:val="77717622"/>
    <w:rsid w:val="777237D6"/>
    <w:rsid w:val="77762421"/>
    <w:rsid w:val="777C7CC6"/>
    <w:rsid w:val="7786380C"/>
    <w:rsid w:val="7789082B"/>
    <w:rsid w:val="77924572"/>
    <w:rsid w:val="77926EB3"/>
    <w:rsid w:val="77996CC0"/>
    <w:rsid w:val="779F004E"/>
    <w:rsid w:val="77A73029"/>
    <w:rsid w:val="77B0155E"/>
    <w:rsid w:val="77B04EF1"/>
    <w:rsid w:val="77B56B1F"/>
    <w:rsid w:val="77B91110"/>
    <w:rsid w:val="77BF21AC"/>
    <w:rsid w:val="77CB2AB1"/>
    <w:rsid w:val="77D862E9"/>
    <w:rsid w:val="77DF43F1"/>
    <w:rsid w:val="77E11D85"/>
    <w:rsid w:val="77E8241F"/>
    <w:rsid w:val="77EB1902"/>
    <w:rsid w:val="77F25A8D"/>
    <w:rsid w:val="77F80566"/>
    <w:rsid w:val="78033707"/>
    <w:rsid w:val="78061E7B"/>
    <w:rsid w:val="780F09F4"/>
    <w:rsid w:val="782011DD"/>
    <w:rsid w:val="78206753"/>
    <w:rsid w:val="782F1236"/>
    <w:rsid w:val="783079EA"/>
    <w:rsid w:val="78492CD8"/>
    <w:rsid w:val="784C70E5"/>
    <w:rsid w:val="78547E94"/>
    <w:rsid w:val="78557495"/>
    <w:rsid w:val="78627E7E"/>
    <w:rsid w:val="7864230C"/>
    <w:rsid w:val="78643267"/>
    <w:rsid w:val="786B7DDD"/>
    <w:rsid w:val="78722A4B"/>
    <w:rsid w:val="78760DAF"/>
    <w:rsid w:val="78785F07"/>
    <w:rsid w:val="7883527A"/>
    <w:rsid w:val="788B412F"/>
    <w:rsid w:val="788D3CEF"/>
    <w:rsid w:val="78923639"/>
    <w:rsid w:val="789A1558"/>
    <w:rsid w:val="789D0B21"/>
    <w:rsid w:val="789F50B4"/>
    <w:rsid w:val="78A61C2A"/>
    <w:rsid w:val="78A90480"/>
    <w:rsid w:val="78AA236D"/>
    <w:rsid w:val="78AC5D7D"/>
    <w:rsid w:val="78B22A99"/>
    <w:rsid w:val="78B81D53"/>
    <w:rsid w:val="78BC495C"/>
    <w:rsid w:val="78BD5519"/>
    <w:rsid w:val="78C402FF"/>
    <w:rsid w:val="78C61E81"/>
    <w:rsid w:val="78CB653B"/>
    <w:rsid w:val="78CC78FE"/>
    <w:rsid w:val="78D035B3"/>
    <w:rsid w:val="78D17B4F"/>
    <w:rsid w:val="78D45AB3"/>
    <w:rsid w:val="78DA5468"/>
    <w:rsid w:val="78E45B7E"/>
    <w:rsid w:val="78E74D69"/>
    <w:rsid w:val="78E81931"/>
    <w:rsid w:val="78EA08DD"/>
    <w:rsid w:val="78ED1590"/>
    <w:rsid w:val="78F9378E"/>
    <w:rsid w:val="78F94596"/>
    <w:rsid w:val="79027336"/>
    <w:rsid w:val="79062AD2"/>
    <w:rsid w:val="7910674B"/>
    <w:rsid w:val="79140F58"/>
    <w:rsid w:val="79196BEE"/>
    <w:rsid w:val="791C789A"/>
    <w:rsid w:val="791F1630"/>
    <w:rsid w:val="79203652"/>
    <w:rsid w:val="79264D45"/>
    <w:rsid w:val="79294430"/>
    <w:rsid w:val="79334EF2"/>
    <w:rsid w:val="793653EA"/>
    <w:rsid w:val="793E4C56"/>
    <w:rsid w:val="79406CEE"/>
    <w:rsid w:val="794269D6"/>
    <w:rsid w:val="79492E4B"/>
    <w:rsid w:val="79541325"/>
    <w:rsid w:val="79567458"/>
    <w:rsid w:val="7958391A"/>
    <w:rsid w:val="79764F8A"/>
    <w:rsid w:val="797C31E3"/>
    <w:rsid w:val="797D7B0B"/>
    <w:rsid w:val="79875754"/>
    <w:rsid w:val="798A7D7B"/>
    <w:rsid w:val="798F5503"/>
    <w:rsid w:val="799C74A2"/>
    <w:rsid w:val="799D3D25"/>
    <w:rsid w:val="79A90AA0"/>
    <w:rsid w:val="79B239EF"/>
    <w:rsid w:val="79B646C7"/>
    <w:rsid w:val="79BC5696"/>
    <w:rsid w:val="79BD202F"/>
    <w:rsid w:val="79C21DD2"/>
    <w:rsid w:val="79CA59E3"/>
    <w:rsid w:val="79CA70DC"/>
    <w:rsid w:val="79CE0777"/>
    <w:rsid w:val="79DD34CD"/>
    <w:rsid w:val="79E87868"/>
    <w:rsid w:val="79EA4615"/>
    <w:rsid w:val="79F203B1"/>
    <w:rsid w:val="79F24A8A"/>
    <w:rsid w:val="7A0000E7"/>
    <w:rsid w:val="7A081EDB"/>
    <w:rsid w:val="7A123BF5"/>
    <w:rsid w:val="7A190B2D"/>
    <w:rsid w:val="7A193EA1"/>
    <w:rsid w:val="7A326F2F"/>
    <w:rsid w:val="7A326F58"/>
    <w:rsid w:val="7A364017"/>
    <w:rsid w:val="7A36650C"/>
    <w:rsid w:val="7A396538"/>
    <w:rsid w:val="7A4221DD"/>
    <w:rsid w:val="7A425463"/>
    <w:rsid w:val="7A44011F"/>
    <w:rsid w:val="7A47670A"/>
    <w:rsid w:val="7A482F82"/>
    <w:rsid w:val="7A5166B0"/>
    <w:rsid w:val="7A524368"/>
    <w:rsid w:val="7A55689A"/>
    <w:rsid w:val="7A557F98"/>
    <w:rsid w:val="7A565AB3"/>
    <w:rsid w:val="7A613399"/>
    <w:rsid w:val="7A673CC3"/>
    <w:rsid w:val="7A704E5C"/>
    <w:rsid w:val="7A7843C6"/>
    <w:rsid w:val="7A7943A4"/>
    <w:rsid w:val="7A7D276E"/>
    <w:rsid w:val="7A814AAE"/>
    <w:rsid w:val="7A8265E1"/>
    <w:rsid w:val="7A8D27AF"/>
    <w:rsid w:val="7A8D316E"/>
    <w:rsid w:val="7A8F3624"/>
    <w:rsid w:val="7A927A45"/>
    <w:rsid w:val="7AA02113"/>
    <w:rsid w:val="7AA46304"/>
    <w:rsid w:val="7AA7655F"/>
    <w:rsid w:val="7AAA4D40"/>
    <w:rsid w:val="7ABA08CA"/>
    <w:rsid w:val="7ABD6615"/>
    <w:rsid w:val="7AD22151"/>
    <w:rsid w:val="7AD65D12"/>
    <w:rsid w:val="7AE37D23"/>
    <w:rsid w:val="7AE7516E"/>
    <w:rsid w:val="7AFE6DAB"/>
    <w:rsid w:val="7B012E3C"/>
    <w:rsid w:val="7B036D6A"/>
    <w:rsid w:val="7B0614CE"/>
    <w:rsid w:val="7B061D0F"/>
    <w:rsid w:val="7B092108"/>
    <w:rsid w:val="7B1279B8"/>
    <w:rsid w:val="7B147B99"/>
    <w:rsid w:val="7B266DCC"/>
    <w:rsid w:val="7B373019"/>
    <w:rsid w:val="7B38059E"/>
    <w:rsid w:val="7B38234C"/>
    <w:rsid w:val="7B39121D"/>
    <w:rsid w:val="7B395C50"/>
    <w:rsid w:val="7B577A63"/>
    <w:rsid w:val="7B5B0730"/>
    <w:rsid w:val="7B5B72B3"/>
    <w:rsid w:val="7B6002A8"/>
    <w:rsid w:val="7B637A5A"/>
    <w:rsid w:val="7B670568"/>
    <w:rsid w:val="7B674C6D"/>
    <w:rsid w:val="7B686D42"/>
    <w:rsid w:val="7B6969A9"/>
    <w:rsid w:val="7B7035F4"/>
    <w:rsid w:val="7B7512CC"/>
    <w:rsid w:val="7B76665B"/>
    <w:rsid w:val="7B7B340C"/>
    <w:rsid w:val="7B814977"/>
    <w:rsid w:val="7B841746"/>
    <w:rsid w:val="7B8537C4"/>
    <w:rsid w:val="7B85590D"/>
    <w:rsid w:val="7B8E6A1D"/>
    <w:rsid w:val="7B931C78"/>
    <w:rsid w:val="7B986324"/>
    <w:rsid w:val="7B996BFF"/>
    <w:rsid w:val="7BA153D2"/>
    <w:rsid w:val="7BAD120F"/>
    <w:rsid w:val="7BB8348D"/>
    <w:rsid w:val="7BC22883"/>
    <w:rsid w:val="7BC462D5"/>
    <w:rsid w:val="7BCB0265"/>
    <w:rsid w:val="7BCC6F48"/>
    <w:rsid w:val="7BCE0E0C"/>
    <w:rsid w:val="7BD156AE"/>
    <w:rsid w:val="7BD25554"/>
    <w:rsid w:val="7BD81C8B"/>
    <w:rsid w:val="7BE14743"/>
    <w:rsid w:val="7BE44EE7"/>
    <w:rsid w:val="7BE60210"/>
    <w:rsid w:val="7BEB0D80"/>
    <w:rsid w:val="7BF23019"/>
    <w:rsid w:val="7BF32080"/>
    <w:rsid w:val="7BF556AB"/>
    <w:rsid w:val="7BFA0EC6"/>
    <w:rsid w:val="7BFD32C5"/>
    <w:rsid w:val="7C0B3F04"/>
    <w:rsid w:val="7C113AD3"/>
    <w:rsid w:val="7C122A2A"/>
    <w:rsid w:val="7C156B31"/>
    <w:rsid w:val="7C175EA5"/>
    <w:rsid w:val="7C1A07C3"/>
    <w:rsid w:val="7C1A5B06"/>
    <w:rsid w:val="7C1E76BB"/>
    <w:rsid w:val="7C304935"/>
    <w:rsid w:val="7C321491"/>
    <w:rsid w:val="7C402716"/>
    <w:rsid w:val="7C451665"/>
    <w:rsid w:val="7C4A52B4"/>
    <w:rsid w:val="7C4B6094"/>
    <w:rsid w:val="7C4D11B0"/>
    <w:rsid w:val="7C4F5489"/>
    <w:rsid w:val="7C603E81"/>
    <w:rsid w:val="7C617A4A"/>
    <w:rsid w:val="7C633215"/>
    <w:rsid w:val="7C6C5AC7"/>
    <w:rsid w:val="7C705B15"/>
    <w:rsid w:val="7C706090"/>
    <w:rsid w:val="7C790A10"/>
    <w:rsid w:val="7C7A2A5E"/>
    <w:rsid w:val="7C7C095E"/>
    <w:rsid w:val="7C7F7EE5"/>
    <w:rsid w:val="7C831CEC"/>
    <w:rsid w:val="7C8617DD"/>
    <w:rsid w:val="7C865339"/>
    <w:rsid w:val="7C896BD7"/>
    <w:rsid w:val="7C8C791E"/>
    <w:rsid w:val="7C90214B"/>
    <w:rsid w:val="7C944C83"/>
    <w:rsid w:val="7C9B3BCB"/>
    <w:rsid w:val="7C9D7BBA"/>
    <w:rsid w:val="7CA0464C"/>
    <w:rsid w:val="7CAD0EFD"/>
    <w:rsid w:val="7CB13FFA"/>
    <w:rsid w:val="7CB678E1"/>
    <w:rsid w:val="7CB96C8C"/>
    <w:rsid w:val="7CBA46C4"/>
    <w:rsid w:val="7CBC4BF7"/>
    <w:rsid w:val="7CBE4AA9"/>
    <w:rsid w:val="7CC33824"/>
    <w:rsid w:val="7CC43CCB"/>
    <w:rsid w:val="7CC625CD"/>
    <w:rsid w:val="7CC6544B"/>
    <w:rsid w:val="7CC705E2"/>
    <w:rsid w:val="7CCB2B20"/>
    <w:rsid w:val="7CCD11BA"/>
    <w:rsid w:val="7CD07196"/>
    <w:rsid w:val="7CD32684"/>
    <w:rsid w:val="7CD326DC"/>
    <w:rsid w:val="7CD43CCD"/>
    <w:rsid w:val="7CD442F6"/>
    <w:rsid w:val="7CE84588"/>
    <w:rsid w:val="7CF44998"/>
    <w:rsid w:val="7D0239FF"/>
    <w:rsid w:val="7D0632A5"/>
    <w:rsid w:val="7D142945"/>
    <w:rsid w:val="7D142ABD"/>
    <w:rsid w:val="7D2C4FAA"/>
    <w:rsid w:val="7D2F777E"/>
    <w:rsid w:val="7D361267"/>
    <w:rsid w:val="7D4B7198"/>
    <w:rsid w:val="7D4E03CE"/>
    <w:rsid w:val="7D54498A"/>
    <w:rsid w:val="7D5E40CD"/>
    <w:rsid w:val="7D5F219D"/>
    <w:rsid w:val="7D6116ED"/>
    <w:rsid w:val="7D632CB1"/>
    <w:rsid w:val="7D690EE2"/>
    <w:rsid w:val="7D74353F"/>
    <w:rsid w:val="7D753697"/>
    <w:rsid w:val="7D7B08FC"/>
    <w:rsid w:val="7D8732A6"/>
    <w:rsid w:val="7D8D3800"/>
    <w:rsid w:val="7D976E56"/>
    <w:rsid w:val="7D9934F6"/>
    <w:rsid w:val="7D996C29"/>
    <w:rsid w:val="7D997F53"/>
    <w:rsid w:val="7DA67ECA"/>
    <w:rsid w:val="7DA718CC"/>
    <w:rsid w:val="7DAE0A83"/>
    <w:rsid w:val="7DB30FFB"/>
    <w:rsid w:val="7DB67963"/>
    <w:rsid w:val="7DB82004"/>
    <w:rsid w:val="7DBB094B"/>
    <w:rsid w:val="7DBB1B92"/>
    <w:rsid w:val="7DC9372F"/>
    <w:rsid w:val="7DCD56F2"/>
    <w:rsid w:val="7DE23342"/>
    <w:rsid w:val="7DE24B5B"/>
    <w:rsid w:val="7DE35FE6"/>
    <w:rsid w:val="7DE50259"/>
    <w:rsid w:val="7DE557D7"/>
    <w:rsid w:val="7DE723EE"/>
    <w:rsid w:val="7DE768D6"/>
    <w:rsid w:val="7DEB3F9D"/>
    <w:rsid w:val="7DF04B20"/>
    <w:rsid w:val="7DF64DA9"/>
    <w:rsid w:val="7DF966CD"/>
    <w:rsid w:val="7E06528E"/>
    <w:rsid w:val="7E0C7ABE"/>
    <w:rsid w:val="7E156C67"/>
    <w:rsid w:val="7E1C0BDB"/>
    <w:rsid w:val="7E1E2CE0"/>
    <w:rsid w:val="7E203D3E"/>
    <w:rsid w:val="7E4B10FE"/>
    <w:rsid w:val="7E506012"/>
    <w:rsid w:val="7E613EDB"/>
    <w:rsid w:val="7E674B1D"/>
    <w:rsid w:val="7E6C693B"/>
    <w:rsid w:val="7E7244A8"/>
    <w:rsid w:val="7E7D1743"/>
    <w:rsid w:val="7E806CF0"/>
    <w:rsid w:val="7E847391"/>
    <w:rsid w:val="7E863920"/>
    <w:rsid w:val="7E8B290D"/>
    <w:rsid w:val="7E8B30DA"/>
    <w:rsid w:val="7E9D2239"/>
    <w:rsid w:val="7E9F1C23"/>
    <w:rsid w:val="7EA86647"/>
    <w:rsid w:val="7EA97DA7"/>
    <w:rsid w:val="7EAA213D"/>
    <w:rsid w:val="7EB250A1"/>
    <w:rsid w:val="7EB331E1"/>
    <w:rsid w:val="7EC3114D"/>
    <w:rsid w:val="7EC9371F"/>
    <w:rsid w:val="7ED700CE"/>
    <w:rsid w:val="7EDA0154"/>
    <w:rsid w:val="7EDA5A97"/>
    <w:rsid w:val="7EDD6145"/>
    <w:rsid w:val="7EE12CFA"/>
    <w:rsid w:val="7EE32BA8"/>
    <w:rsid w:val="7EF600A3"/>
    <w:rsid w:val="7EFF71F9"/>
    <w:rsid w:val="7F001CE7"/>
    <w:rsid w:val="7F066613"/>
    <w:rsid w:val="7F0F7867"/>
    <w:rsid w:val="7F1020C1"/>
    <w:rsid w:val="7F1822C4"/>
    <w:rsid w:val="7F1E1C16"/>
    <w:rsid w:val="7F202214"/>
    <w:rsid w:val="7F2647AC"/>
    <w:rsid w:val="7F313C82"/>
    <w:rsid w:val="7F385010"/>
    <w:rsid w:val="7F455E66"/>
    <w:rsid w:val="7F4B2F7C"/>
    <w:rsid w:val="7F4F5177"/>
    <w:rsid w:val="7F517E80"/>
    <w:rsid w:val="7F5434CC"/>
    <w:rsid w:val="7F567BAB"/>
    <w:rsid w:val="7F615B41"/>
    <w:rsid w:val="7F62208D"/>
    <w:rsid w:val="7F721F61"/>
    <w:rsid w:val="7F7508B8"/>
    <w:rsid w:val="7F7F026A"/>
    <w:rsid w:val="7F800382"/>
    <w:rsid w:val="7F81146D"/>
    <w:rsid w:val="7F834DE4"/>
    <w:rsid w:val="7F896D24"/>
    <w:rsid w:val="7F8B4B42"/>
    <w:rsid w:val="7F903433"/>
    <w:rsid w:val="7F9164CE"/>
    <w:rsid w:val="7F9437E5"/>
    <w:rsid w:val="7FA523E6"/>
    <w:rsid w:val="7FA83D61"/>
    <w:rsid w:val="7FAA3174"/>
    <w:rsid w:val="7FAB5D5E"/>
    <w:rsid w:val="7FAC067A"/>
    <w:rsid w:val="7FAD13DE"/>
    <w:rsid w:val="7FAE2A36"/>
    <w:rsid w:val="7FB11E49"/>
    <w:rsid w:val="7FBC20DC"/>
    <w:rsid w:val="7FD41824"/>
    <w:rsid w:val="7FDB520A"/>
    <w:rsid w:val="7FDF726A"/>
    <w:rsid w:val="7FE43A58"/>
    <w:rsid w:val="7FE47E50"/>
    <w:rsid w:val="7FE726DE"/>
    <w:rsid w:val="7FE72ABB"/>
    <w:rsid w:val="7FEC0DC4"/>
    <w:rsid w:val="7FEF3421"/>
    <w:rsid w:val="7FF46957"/>
    <w:rsid w:val="7FF57B3B"/>
    <w:rsid w:val="7FF70663"/>
    <w:rsid w:val="7FF7633F"/>
    <w:rsid w:val="7FF806CF"/>
    <w:rsid w:val="7FFD15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1"/>
    <w:pPr>
      <w:spacing w:beforeLines="0" w:afterLines="0"/>
      <w:ind w:left="700"/>
      <w:outlineLvl w:val="1"/>
    </w:pPr>
    <w:rPr>
      <w:rFonts w:hint="eastAsia"/>
      <w:b/>
      <w:sz w:val="24"/>
      <w:szCs w:val="24"/>
    </w:rPr>
  </w:style>
  <w:style w:type="paragraph" w:styleId="5">
    <w:name w:val="heading 3"/>
    <w:basedOn w:val="1"/>
    <w:next w:val="1"/>
    <w:qFormat/>
    <w:locked/>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2"/>
    <w:basedOn w:val="1"/>
    <w:next w:val="1"/>
    <w:link w:val="44"/>
    <w:qFormat/>
    <w:locked/>
    <w:uiPriority w:val="0"/>
    <w:pPr>
      <w:widowControl w:val="0"/>
      <w:spacing w:before="0" w:after="120" w:line="480" w:lineRule="auto"/>
      <w:ind w:left="0" w:right="0"/>
      <w:jc w:val="both"/>
    </w:pPr>
    <w:rPr>
      <w:szCs w:val="24"/>
    </w:rPr>
  </w:style>
  <w:style w:type="paragraph" w:styleId="6">
    <w:name w:val="Normal Indent"/>
    <w:basedOn w:val="1"/>
    <w:qFormat/>
    <w:locked/>
    <w:uiPriority w:val="0"/>
    <w:pPr>
      <w:adjustRightInd w:val="0"/>
      <w:spacing w:line="312" w:lineRule="atLeast"/>
      <w:ind w:firstLine="420"/>
      <w:textAlignment w:val="baseline"/>
    </w:pPr>
    <w:rPr>
      <w:kern w:val="0"/>
      <w:szCs w:val="20"/>
    </w:rPr>
  </w:style>
  <w:style w:type="paragraph" w:styleId="7">
    <w:name w:val="caption"/>
    <w:basedOn w:val="1"/>
    <w:next w:val="1"/>
    <w:qFormat/>
    <w:locked/>
    <w:uiPriority w:val="0"/>
    <w:pPr>
      <w:widowControl/>
      <w:jc w:val="left"/>
    </w:pPr>
    <w:rPr>
      <w:rFonts w:ascii="Arial" w:hAnsi="Arial" w:eastAsia="黑体" w:cs="Arial"/>
      <w:sz w:val="20"/>
      <w:szCs w:val="20"/>
    </w:rPr>
  </w:style>
  <w:style w:type="paragraph" w:styleId="8">
    <w:name w:val="annotation text"/>
    <w:basedOn w:val="1"/>
    <w:link w:val="36"/>
    <w:semiHidden/>
    <w:qFormat/>
    <w:uiPriority w:val="0"/>
    <w:pPr>
      <w:jc w:val="left"/>
    </w:pPr>
    <w:rPr>
      <w:kern w:val="0"/>
      <w:sz w:val="24"/>
      <w:szCs w:val="20"/>
    </w:rPr>
  </w:style>
  <w:style w:type="paragraph" w:styleId="9">
    <w:name w:val="Body Text"/>
    <w:basedOn w:val="1"/>
    <w:next w:val="10"/>
    <w:link w:val="34"/>
    <w:qFormat/>
    <w:uiPriority w:val="0"/>
    <w:pPr>
      <w:widowControl/>
      <w:snapToGrid w:val="0"/>
      <w:spacing w:before="60" w:after="160" w:line="259" w:lineRule="auto"/>
      <w:ind w:right="113"/>
    </w:pPr>
    <w:rPr>
      <w:szCs w:val="24"/>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link w:val="37"/>
    <w:qFormat/>
    <w:uiPriority w:val="0"/>
    <w:pPr>
      <w:spacing w:after="120"/>
      <w:ind w:left="420" w:leftChars="200"/>
    </w:pPr>
    <w:rPr>
      <w:kern w:val="0"/>
      <w:sz w:val="24"/>
      <w:szCs w:val="20"/>
    </w:rPr>
  </w:style>
  <w:style w:type="paragraph" w:styleId="12">
    <w:name w:val="toc 5"/>
    <w:basedOn w:val="1"/>
    <w:next w:val="1"/>
    <w:unhideWhenUsed/>
    <w:qFormat/>
    <w:locked/>
    <w:uiPriority w:val="39"/>
    <w:pPr>
      <w:spacing w:line="264" w:lineRule="auto"/>
      <w:ind w:left="400" w:leftChars="400"/>
    </w:pPr>
  </w:style>
  <w:style w:type="paragraph" w:styleId="13">
    <w:name w:val="Plain Text"/>
    <w:basedOn w:val="1"/>
    <w:next w:val="14"/>
    <w:link w:val="38"/>
    <w:qFormat/>
    <w:locked/>
    <w:uiPriority w:val="0"/>
    <w:pPr>
      <w:spacing w:line="240" w:lineRule="atLeast"/>
    </w:pPr>
    <w:rPr>
      <w:rFonts w:hint="eastAsia" w:ascii="宋体" w:hAnsi="Courier New"/>
    </w:rPr>
  </w:style>
  <w:style w:type="paragraph" w:styleId="14">
    <w:name w:val="toc 1"/>
    <w:basedOn w:val="1"/>
    <w:next w:val="1"/>
    <w:qFormat/>
    <w:locked/>
    <w:uiPriority w:val="0"/>
  </w:style>
  <w:style w:type="paragraph" w:styleId="15">
    <w:name w:val="Date"/>
    <w:basedOn w:val="1"/>
    <w:next w:val="1"/>
    <w:link w:val="39"/>
    <w:qFormat/>
    <w:uiPriority w:val="0"/>
    <w:pPr>
      <w:ind w:left="100" w:leftChars="2500"/>
    </w:pPr>
    <w:rPr>
      <w:kern w:val="0"/>
      <w:sz w:val="24"/>
      <w:szCs w:val="20"/>
    </w:rPr>
  </w:style>
  <w:style w:type="paragraph" w:styleId="16">
    <w:name w:val="Body Text Indent 2"/>
    <w:basedOn w:val="1"/>
    <w:link w:val="40"/>
    <w:qFormat/>
    <w:locked/>
    <w:uiPriority w:val="0"/>
    <w:pPr>
      <w:spacing w:after="120" w:line="480" w:lineRule="auto"/>
      <w:ind w:left="420" w:leftChars="200"/>
    </w:pPr>
  </w:style>
  <w:style w:type="paragraph" w:styleId="17">
    <w:name w:val="Balloon Text"/>
    <w:basedOn w:val="1"/>
    <w:link w:val="41"/>
    <w:semiHidden/>
    <w:qFormat/>
    <w:uiPriority w:val="0"/>
    <w:rPr>
      <w:kern w:val="0"/>
      <w:sz w:val="18"/>
      <w:szCs w:val="20"/>
    </w:rPr>
  </w:style>
  <w:style w:type="paragraph" w:styleId="18">
    <w:name w:val="footer"/>
    <w:basedOn w:val="1"/>
    <w:link w:val="42"/>
    <w:qFormat/>
    <w:uiPriority w:val="99"/>
    <w:pPr>
      <w:tabs>
        <w:tab w:val="center" w:pos="4153"/>
        <w:tab w:val="right" w:pos="8306"/>
      </w:tabs>
      <w:snapToGrid w:val="0"/>
      <w:jc w:val="left"/>
    </w:pPr>
    <w:rPr>
      <w:kern w:val="0"/>
      <w:sz w:val="18"/>
      <w:szCs w:val="20"/>
    </w:rPr>
  </w:style>
  <w:style w:type="paragraph" w:styleId="19">
    <w:name w:val="header"/>
    <w:basedOn w:val="1"/>
    <w:next w:val="7"/>
    <w:link w:val="43"/>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List"/>
    <w:basedOn w:val="1"/>
    <w:qFormat/>
    <w:locked/>
    <w:uiPriority w:val="0"/>
    <w:pPr>
      <w:ind w:left="200" w:hanging="200" w:hangingChars="200"/>
      <w:contextualSpacing/>
    </w:pPr>
  </w:style>
  <w:style w:type="paragraph" w:styleId="21">
    <w:name w:val="Body Text Indent 3"/>
    <w:basedOn w:val="1"/>
    <w:qFormat/>
    <w:locked/>
    <w:uiPriority w:val="0"/>
    <w:pPr>
      <w:spacing w:after="120"/>
      <w:ind w:left="420" w:leftChars="200"/>
    </w:pPr>
    <w:rPr>
      <w:sz w:val="16"/>
      <w:szCs w:val="16"/>
    </w:rPr>
  </w:style>
  <w:style w:type="paragraph" w:styleId="22">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8"/>
    <w:next w:val="8"/>
    <w:link w:val="46"/>
    <w:semiHidden/>
    <w:qFormat/>
    <w:uiPriority w:val="0"/>
    <w:rPr>
      <w:b/>
      <w:kern w:val="2"/>
    </w:rPr>
  </w:style>
  <w:style w:type="paragraph" w:styleId="24">
    <w:name w:val="Body Text First Indent"/>
    <w:basedOn w:val="9"/>
    <w:next w:val="1"/>
    <w:unhideWhenUsed/>
    <w:qFormat/>
    <w:locked/>
    <w:uiPriority w:val="99"/>
    <w:pPr>
      <w:ind w:firstLine="420" w:firstLineChars="100"/>
    </w:pPr>
  </w:style>
  <w:style w:type="paragraph" w:styleId="25">
    <w:name w:val="Body Text First Indent 2"/>
    <w:basedOn w:val="11"/>
    <w:next w:val="24"/>
    <w:qFormat/>
    <w:locked/>
    <w:uiPriority w:val="0"/>
    <w:pPr>
      <w:ind w:firstLine="420" w:firstLineChars="200"/>
    </w:p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locked/>
    <w:uiPriority w:val="0"/>
    <w:rPr>
      <w:b/>
    </w:rPr>
  </w:style>
  <w:style w:type="character" w:styleId="30">
    <w:name w:val="page number"/>
    <w:qFormat/>
    <w:locked/>
    <w:uiPriority w:val="0"/>
  </w:style>
  <w:style w:type="character" w:styleId="31">
    <w:name w:val="Emphasis"/>
    <w:qFormat/>
    <w:locked/>
    <w:uiPriority w:val="0"/>
    <w:rPr>
      <w:i/>
    </w:rPr>
  </w:style>
  <w:style w:type="character" w:styleId="32">
    <w:name w:val="Hyperlink"/>
    <w:qFormat/>
    <w:locked/>
    <w:uiPriority w:val="0"/>
    <w:rPr>
      <w:color w:val="0000FF"/>
      <w:u w:val="single"/>
    </w:rPr>
  </w:style>
  <w:style w:type="character" w:styleId="33">
    <w:name w:val="annotation reference"/>
    <w:semiHidden/>
    <w:qFormat/>
    <w:uiPriority w:val="0"/>
    <w:rPr>
      <w:sz w:val="21"/>
    </w:rPr>
  </w:style>
  <w:style w:type="character" w:customStyle="1" w:styleId="34">
    <w:name w:val="正文文本 Char1"/>
    <w:link w:val="9"/>
    <w:qFormat/>
    <w:uiPriority w:val="0"/>
    <w:rPr>
      <w:kern w:val="2"/>
      <w:sz w:val="21"/>
      <w:szCs w:val="24"/>
    </w:rPr>
  </w:style>
  <w:style w:type="character" w:customStyle="1" w:styleId="35">
    <w:name w:val="标题 1 Char"/>
    <w:link w:val="3"/>
    <w:qFormat/>
    <w:uiPriority w:val="99"/>
    <w:rPr>
      <w:rFonts w:eastAsia="黑体"/>
      <w:b/>
      <w:bCs/>
      <w:color w:val="000000"/>
      <w:kern w:val="44"/>
      <w:sz w:val="30"/>
      <w:szCs w:val="30"/>
    </w:rPr>
  </w:style>
  <w:style w:type="character" w:customStyle="1" w:styleId="36">
    <w:name w:val="批注文字 Char"/>
    <w:link w:val="8"/>
    <w:qFormat/>
    <w:locked/>
    <w:uiPriority w:val="0"/>
    <w:rPr>
      <w:rFonts w:ascii="Times New Roman" w:hAnsi="Times New Roman" w:eastAsia="宋体"/>
      <w:sz w:val="24"/>
    </w:rPr>
  </w:style>
  <w:style w:type="character" w:customStyle="1" w:styleId="37">
    <w:name w:val="正文文本缩进 Char"/>
    <w:link w:val="11"/>
    <w:semiHidden/>
    <w:qFormat/>
    <w:locked/>
    <w:uiPriority w:val="0"/>
    <w:rPr>
      <w:rFonts w:ascii="Times New Roman" w:hAnsi="Times New Roman" w:eastAsia="宋体"/>
      <w:sz w:val="24"/>
    </w:rPr>
  </w:style>
  <w:style w:type="character" w:customStyle="1" w:styleId="38">
    <w:name w:val="纯文本 Char"/>
    <w:link w:val="13"/>
    <w:qFormat/>
    <w:uiPriority w:val="0"/>
    <w:rPr>
      <w:rFonts w:hint="eastAsia" w:ascii="宋体" w:hAnsi="Courier New" w:eastAsia="宋体" w:cs="Courier New"/>
      <w:kern w:val="2"/>
      <w:sz w:val="21"/>
      <w:szCs w:val="21"/>
    </w:rPr>
  </w:style>
  <w:style w:type="character" w:customStyle="1" w:styleId="39">
    <w:name w:val="日期 Char"/>
    <w:link w:val="15"/>
    <w:qFormat/>
    <w:locked/>
    <w:uiPriority w:val="0"/>
    <w:rPr>
      <w:rFonts w:ascii="Times New Roman" w:hAnsi="Times New Roman" w:eastAsia="宋体"/>
      <w:sz w:val="24"/>
    </w:rPr>
  </w:style>
  <w:style w:type="character" w:customStyle="1" w:styleId="40">
    <w:name w:val="正文文本缩进 2 Char"/>
    <w:link w:val="16"/>
    <w:qFormat/>
    <w:uiPriority w:val="0"/>
    <w:rPr>
      <w:kern w:val="2"/>
      <w:sz w:val="21"/>
      <w:szCs w:val="21"/>
    </w:rPr>
  </w:style>
  <w:style w:type="character" w:customStyle="1" w:styleId="41">
    <w:name w:val="批注框文本 Char"/>
    <w:link w:val="17"/>
    <w:semiHidden/>
    <w:qFormat/>
    <w:locked/>
    <w:uiPriority w:val="0"/>
    <w:rPr>
      <w:rFonts w:ascii="Times New Roman" w:hAnsi="Times New Roman" w:eastAsia="宋体"/>
      <w:sz w:val="18"/>
    </w:rPr>
  </w:style>
  <w:style w:type="character" w:customStyle="1" w:styleId="42">
    <w:name w:val="页脚 Char"/>
    <w:link w:val="18"/>
    <w:qFormat/>
    <w:locked/>
    <w:uiPriority w:val="99"/>
    <w:rPr>
      <w:sz w:val="18"/>
    </w:rPr>
  </w:style>
  <w:style w:type="character" w:customStyle="1" w:styleId="43">
    <w:name w:val="页眉 Char"/>
    <w:link w:val="19"/>
    <w:qFormat/>
    <w:locked/>
    <w:uiPriority w:val="0"/>
    <w:rPr>
      <w:sz w:val="18"/>
    </w:rPr>
  </w:style>
  <w:style w:type="character" w:customStyle="1" w:styleId="44">
    <w:name w:val="正文文本 2 Char"/>
    <w:link w:val="2"/>
    <w:qFormat/>
    <w:uiPriority w:val="0"/>
    <w:rPr>
      <w:kern w:val="2"/>
      <w:sz w:val="21"/>
      <w:szCs w:val="24"/>
    </w:rPr>
  </w:style>
  <w:style w:type="character" w:customStyle="1" w:styleId="45">
    <w:name w:val="普通(网站) Char"/>
    <w:link w:val="22"/>
    <w:qFormat/>
    <w:locked/>
    <w:uiPriority w:val="0"/>
    <w:rPr>
      <w:rFonts w:ascii="宋体" w:hAnsi="宋体" w:eastAsia="宋体"/>
      <w:sz w:val="24"/>
    </w:rPr>
  </w:style>
  <w:style w:type="character" w:customStyle="1" w:styleId="46">
    <w:name w:val="批注主题 Char"/>
    <w:link w:val="23"/>
    <w:semiHidden/>
    <w:qFormat/>
    <w:locked/>
    <w:uiPriority w:val="0"/>
    <w:rPr>
      <w:rFonts w:ascii="Times New Roman" w:hAnsi="Times New Roman" w:eastAsia="宋体"/>
      <w:b/>
      <w:kern w:val="2"/>
      <w:sz w:val="24"/>
    </w:rPr>
  </w:style>
  <w:style w:type="paragraph" w:customStyle="1" w:styleId="47">
    <w:name w:val=" Char"/>
    <w:basedOn w:val="1"/>
    <w:qFormat/>
    <w:uiPriority w:val="0"/>
  </w:style>
  <w:style w:type="character" w:customStyle="1" w:styleId="48">
    <w:name w:val="页脚 字符"/>
    <w:qFormat/>
    <w:uiPriority w:val="99"/>
  </w:style>
  <w:style w:type="character" w:customStyle="1" w:styleId="49">
    <w:name w:val="正文文本 字符1"/>
    <w:semiHidden/>
    <w:qFormat/>
    <w:uiPriority w:val="0"/>
    <w:rPr>
      <w:rFonts w:ascii="Times New Roman" w:hAnsi="Times New Roman" w:eastAsia="宋体"/>
      <w:sz w:val="24"/>
    </w:rPr>
  </w:style>
  <w:style w:type="character" w:customStyle="1" w:styleId="50">
    <w:name w:val="表格 Char"/>
    <w:link w:val="51"/>
    <w:qFormat/>
    <w:locked/>
    <w:uiPriority w:val="0"/>
    <w:rPr>
      <w:rFonts w:ascii="宋体"/>
      <w:sz w:val="21"/>
    </w:rPr>
  </w:style>
  <w:style w:type="paragraph" w:customStyle="1" w:styleId="51">
    <w:name w:val="表格"/>
    <w:basedOn w:val="1"/>
    <w:next w:val="1"/>
    <w:link w:val="50"/>
    <w:qFormat/>
    <w:uiPriority w:val="0"/>
    <w:pPr>
      <w:adjustRightInd w:val="0"/>
      <w:snapToGrid w:val="0"/>
      <w:spacing w:beforeLines="10" w:afterLines="10" w:line="259" w:lineRule="auto"/>
      <w:jc w:val="center"/>
    </w:pPr>
    <w:rPr>
      <w:rFonts w:ascii="宋体"/>
      <w:kern w:val="0"/>
      <w:szCs w:val="20"/>
    </w:rPr>
  </w:style>
  <w:style w:type="character" w:customStyle="1" w:styleId="52">
    <w:name w:val="日期 字符"/>
    <w:semiHidden/>
    <w:qFormat/>
    <w:uiPriority w:val="0"/>
    <w:rPr>
      <w:rFonts w:ascii="Times New Roman" w:hAnsi="Times New Roman" w:eastAsia="宋体"/>
      <w:sz w:val="24"/>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正文文本 Char"/>
    <w:qFormat/>
    <w:locked/>
    <w:uiPriority w:val="0"/>
    <w:rPr>
      <w:sz w:val="18"/>
    </w:rPr>
  </w:style>
  <w:style w:type="paragraph" w:customStyle="1" w:styleId="55">
    <w:name w:val="样式 样式 小四 段前: 7.8 磅 段后: 7.8 磅 行距: 1.5 倍行距 + 首行缩进:  2 字符"/>
    <w:basedOn w:val="56"/>
    <w:qFormat/>
    <w:uiPriority w:val="0"/>
    <w:pPr>
      <w:spacing w:before="156" w:beforeLines="50" w:after="156" w:afterLines="50" w:line="240" w:lineRule="auto"/>
      <w:ind w:firstLine="0" w:firstLineChars="0"/>
      <w:jc w:val="center"/>
    </w:pPr>
    <w:rPr>
      <w:rFonts w:ascii="Times New Roman" w:hAnsi="Times New Roman" w:eastAsia="宋体" w:cs="Times New Roman"/>
      <w:b/>
    </w:rPr>
  </w:style>
  <w:style w:type="paragraph" w:customStyle="1" w:styleId="56">
    <w:name w:val="样式 小四 段前: 7.8 磅 段后: 7.8 磅 行距: 1.5 倍行距"/>
    <w:basedOn w:val="1"/>
    <w:qFormat/>
    <w:uiPriority w:val="0"/>
    <w:pPr>
      <w:spacing w:line="360" w:lineRule="auto"/>
      <w:ind w:firstLine="480" w:firstLineChars="200"/>
    </w:pPr>
    <w:rPr>
      <w:rFonts w:ascii="Times New Roman" w:hAnsi="Times New Roman" w:eastAsia="宋体" w:cs="Times New Roman"/>
      <w:sz w:val="24"/>
    </w:rPr>
  </w:style>
  <w:style w:type="paragraph" w:customStyle="1" w:styleId="5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58">
    <w:name w:val="表体"/>
    <w:basedOn w:val="1"/>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bCs/>
      <w:snapToGrid w:val="0"/>
      <w:color w:val="000000"/>
      <w:kern w:val="32"/>
      <w:sz w:val="21"/>
      <w:lang w:val="zh-CN"/>
    </w:rPr>
  </w:style>
  <w:style w:type="paragraph" w:customStyle="1" w:styleId="59">
    <w:name w:val="魏秀珍   正文"/>
    <w:basedOn w:val="6"/>
    <w:qFormat/>
    <w:uiPriority w:val="0"/>
    <w:rPr>
      <w:rFonts w:cs="宋体"/>
      <w:snapToGrid/>
      <w:color w:val="auto"/>
      <w:kern w:val="0"/>
      <w:szCs w:val="20"/>
    </w:rPr>
  </w:style>
  <w:style w:type="paragraph" w:customStyle="1" w:styleId="60">
    <w:name w:val="表格式"/>
    <w:basedOn w:val="20"/>
    <w:qFormat/>
    <w:uiPriority w:val="0"/>
    <w:pPr>
      <w:spacing w:line="400" w:lineRule="exact"/>
      <w:ind w:left="0" w:firstLine="0" w:firstLineChars="0"/>
      <w:jc w:val="center"/>
    </w:pPr>
    <w:rPr>
      <w:rFonts w:ascii="宋体"/>
      <w:szCs w:val="20"/>
    </w:rPr>
  </w:style>
  <w:style w:type="paragraph" w:customStyle="1" w:styleId="61">
    <w:name w:val="标书正文"/>
    <w:basedOn w:val="1"/>
    <w:qFormat/>
    <w:uiPriority w:val="0"/>
    <w:pPr>
      <w:adjustRightInd w:val="0"/>
      <w:snapToGrid w:val="0"/>
      <w:spacing w:line="300" w:lineRule="auto"/>
      <w:ind w:firstLine="200" w:firstLineChars="200"/>
    </w:pPr>
    <w:rPr>
      <w:rFonts w:eastAsia="仿宋_GB2312" w:cs="Times New Roman"/>
      <w:kern w:val="0"/>
      <w:sz w:val="28"/>
      <w:szCs w:val="24"/>
    </w:rPr>
  </w:style>
  <w:style w:type="paragraph" w:customStyle="1" w:styleId="62">
    <w:name w:val="样式 标题 1 + 四号 段前: 0 磅 段后: 0 磅 行距: 1.5 倍行距"/>
    <w:basedOn w:val="63"/>
    <w:next w:val="64"/>
    <w:qFormat/>
    <w:uiPriority w:val="0"/>
    <w:pPr>
      <w:spacing w:line="360" w:lineRule="auto"/>
      <w:jc w:val="center"/>
    </w:pPr>
    <w:rPr>
      <w:rFonts w:hAnsi="黑体" w:eastAsia="宋体"/>
      <w:sz w:val="21"/>
    </w:rPr>
  </w:style>
  <w:style w:type="paragraph" w:customStyle="1" w:styleId="63">
    <w:name w:val="1正文"/>
    <w:basedOn w:val="1"/>
    <w:qFormat/>
    <w:uiPriority w:val="0"/>
    <w:pPr>
      <w:spacing w:line="500" w:lineRule="exact"/>
      <w:ind w:firstLine="588" w:firstLineChars="196"/>
    </w:pPr>
    <w:rPr>
      <w:rFonts w:eastAsia="楷体_GB2312"/>
      <w:sz w:val="30"/>
      <w:szCs w:val="30"/>
    </w:rPr>
  </w:style>
  <w:style w:type="paragraph" w:customStyle="1" w:styleId="64">
    <w:name w:val="文本正文"/>
    <w:basedOn w:val="1"/>
    <w:qFormat/>
    <w:uiPriority w:val="0"/>
    <w:pPr>
      <w:snapToGrid w:val="0"/>
      <w:spacing w:line="360" w:lineRule="auto"/>
      <w:ind w:firstLine="510"/>
      <w:jc w:val="left"/>
    </w:pPr>
    <w:rPr>
      <w:spacing w:val="4"/>
      <w:kern w:val="24"/>
      <w:szCs w:val="24"/>
      <w:lang w:val="zh-CN"/>
    </w:rPr>
  </w:style>
  <w:style w:type="paragraph" w:customStyle="1" w:styleId="65">
    <w:name w:val="缩进"/>
    <w:basedOn w:val="1"/>
    <w:qFormat/>
    <w:uiPriority w:val="0"/>
    <w:pPr>
      <w:autoSpaceDE w:val="0"/>
      <w:autoSpaceDN w:val="0"/>
      <w:adjustRightInd w:val="0"/>
      <w:spacing w:line="400" w:lineRule="atLeast"/>
      <w:ind w:firstLine="200" w:firstLineChars="200"/>
      <w:textAlignment w:val="baseline"/>
    </w:pPr>
    <w:rPr>
      <w:rFonts w:ascii="Times New Roman" w:hAnsi="Times New Roman"/>
      <w:kern w:val="0"/>
      <w:sz w:val="24"/>
      <w:szCs w:val="20"/>
    </w:rPr>
  </w:style>
  <w:style w:type="paragraph" w:customStyle="1" w:styleId="6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7">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0"/>
    <w:basedOn w:val="1"/>
    <w:qFormat/>
    <w:uiPriority w:val="0"/>
    <w:pPr>
      <w:widowControl/>
      <w:snapToGrid w:val="0"/>
    </w:pPr>
    <w:rPr>
      <w:kern w:val="0"/>
      <w:szCs w:val="21"/>
    </w:rPr>
  </w:style>
  <w:style w:type="paragraph" w:customStyle="1" w:styleId="69">
    <w:name w:val="Normal_6"/>
    <w:qFormat/>
    <w:uiPriority w:val="0"/>
    <w:pPr>
      <w:spacing w:before="120" w:after="240"/>
      <w:jc w:val="both"/>
    </w:pPr>
    <w:rPr>
      <w:rFonts w:ascii="Calibri" w:hAnsi="Calibri" w:eastAsia="Calibri" w:cs="Times New Roman"/>
      <w:sz w:val="22"/>
      <w:szCs w:val="22"/>
      <w:lang w:val="ru-RU" w:eastAsia="en-US" w:bidi="ar-SA"/>
    </w:rPr>
  </w:style>
  <w:style w:type="paragraph" w:customStyle="1" w:styleId="70">
    <w:name w:val="表格文字"/>
    <w:basedOn w:val="1"/>
    <w:qFormat/>
    <w:uiPriority w:val="0"/>
    <w:pPr>
      <w:spacing w:line="280" w:lineRule="exact"/>
      <w:jc w:val="center"/>
    </w:pPr>
  </w:style>
  <w:style w:type="paragraph" w:customStyle="1" w:styleId="71">
    <w:name w:val="样式 中文报告书 + 两端对齐 段前: 7.8 磅 段后: 0 磅 行距: 1.5 倍行距"/>
    <w:basedOn w:val="72"/>
    <w:qFormat/>
    <w:uiPriority w:val="0"/>
    <w:pPr>
      <w:spacing w:after="0" w:afterLines="0" w:line="360" w:lineRule="auto"/>
      <w:jc w:val="both"/>
    </w:pPr>
    <w:rPr>
      <w:rFonts w:cs="宋体"/>
    </w:rPr>
  </w:style>
  <w:style w:type="paragraph" w:customStyle="1" w:styleId="72">
    <w:name w:val="中文报告书"/>
    <w:basedOn w:val="1"/>
    <w:qFormat/>
    <w:uiPriority w:val="0"/>
    <w:pPr>
      <w:adjustRightInd w:val="0"/>
      <w:spacing w:after="80" w:afterLines="0" w:line="420" w:lineRule="atLeast"/>
      <w:jc w:val="left"/>
      <w:textAlignment w:val="baseline"/>
    </w:pPr>
    <w:rPr>
      <w:sz w:val="24"/>
    </w:rPr>
  </w:style>
  <w:style w:type="paragraph" w:customStyle="1" w:styleId="73">
    <w:name w:val="表名"/>
    <w:basedOn w:val="1"/>
    <w:qFormat/>
    <w:uiPriority w:val="0"/>
    <w:pPr>
      <w:widowControl/>
      <w:spacing w:before="240" w:after="240"/>
      <w:jc w:val="center"/>
    </w:pPr>
    <w:rPr>
      <w:rFonts w:ascii="黑体" w:eastAsia="黑体"/>
      <w:sz w:val="24"/>
      <w:lang w:eastAsia="en-US"/>
    </w:rPr>
  </w:style>
  <w:style w:type="paragraph" w:customStyle="1" w:styleId="74">
    <w:name w:val="【表头】"/>
    <w:basedOn w:val="1"/>
    <w:qFormat/>
    <w:uiPriority w:val="0"/>
    <w:pPr>
      <w:spacing w:before="120" w:line="312" w:lineRule="auto"/>
      <w:jc w:val="center"/>
    </w:pPr>
    <w:rPr>
      <w:b/>
      <w:szCs w:val="24"/>
    </w:rPr>
  </w:style>
  <w:style w:type="paragraph" w:customStyle="1" w:styleId="75">
    <w:name w:val="样式 黑色 首行缩进:  2 字符"/>
    <w:basedOn w:val="1"/>
    <w:qFormat/>
    <w:uiPriority w:val="0"/>
    <w:pPr>
      <w:adjustRightInd w:val="0"/>
      <w:snapToGrid w:val="0"/>
      <w:spacing w:line="360" w:lineRule="auto"/>
      <w:ind w:firstLine="200" w:firstLineChars="200"/>
    </w:pPr>
    <w:rPr>
      <w:rFonts w:cs="宋体"/>
      <w:color w:val="000000"/>
      <w:sz w:val="24"/>
      <w:szCs w:val="20"/>
    </w:rPr>
  </w:style>
  <w:style w:type="paragraph" w:customStyle="1" w:styleId="76">
    <w:name w:val="Normal_0"/>
    <w:qFormat/>
    <w:uiPriority w:val="0"/>
    <w:rPr>
      <w:rFonts w:ascii="Times New Roman" w:hAnsi="Times New Roman" w:eastAsia="Times New Roman" w:cs="Times New Roman"/>
      <w:color w:val="000000"/>
      <w:lang w:val="en-US" w:eastAsia="zh-CN" w:bidi="ar-SA"/>
    </w:rPr>
  </w:style>
  <w:style w:type="paragraph" w:customStyle="1" w:styleId="77">
    <w:name w:val="A-文本格式"/>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8">
    <w:name w:val="p0"/>
    <w:basedOn w:val="1"/>
    <w:qFormat/>
    <w:uiPriority w:val="0"/>
    <w:pPr>
      <w:widowControl/>
    </w:pPr>
    <w:rPr>
      <w:rFonts w:ascii="Times New Roman" w:hAnsi="Times New Roman"/>
      <w:kern w:val="0"/>
      <w:szCs w:val="21"/>
    </w:rPr>
  </w:style>
  <w:style w:type="paragraph" w:customStyle="1" w:styleId="79">
    <w:name w:val="正文缩进1"/>
    <w:basedOn w:val="1"/>
    <w:qFormat/>
    <w:uiPriority w:val="0"/>
    <w:pPr>
      <w:ind w:firstLine="420"/>
    </w:pPr>
    <w:rPr>
      <w:rFonts w:ascii="宋体" w:hAnsi="宋体"/>
      <w:szCs w:val="21"/>
    </w:rPr>
  </w:style>
  <w:style w:type="paragraph" w:customStyle="1" w:styleId="80">
    <w:name w:val="11"/>
    <w:basedOn w:val="9"/>
    <w:qFormat/>
    <w:uiPriority w:val="0"/>
    <w:pPr>
      <w:autoSpaceDE w:val="0"/>
      <w:autoSpaceDN w:val="0"/>
      <w:adjustRightInd w:val="0"/>
      <w:spacing w:after="0" w:line="360" w:lineRule="auto"/>
      <w:ind w:firstLine="1320" w:firstLineChars="550"/>
      <w:textAlignment w:val="baseline"/>
    </w:pPr>
    <w:rPr>
      <w:sz w:val="24"/>
      <w:szCs w:val="24"/>
    </w:rPr>
  </w:style>
  <w:style w:type="paragraph" w:customStyle="1" w:styleId="81">
    <w:name w:val="无间隔1"/>
    <w:basedOn w:val="1"/>
    <w:qFormat/>
    <w:uiPriority w:val="1"/>
    <w:pPr>
      <w:widowControl/>
      <w:spacing w:line="360" w:lineRule="auto"/>
      <w:ind w:firstLine="200" w:firstLineChars="200"/>
      <w:jc w:val="left"/>
    </w:pPr>
    <w:rPr>
      <w:rFonts w:eastAsia="仿宋_GB2312"/>
      <w:kern w:val="0"/>
      <w:sz w:val="24"/>
      <w:szCs w:val="32"/>
      <w:lang w:eastAsia="en-US" w:bidi="en-US"/>
    </w:rPr>
  </w:style>
  <w:style w:type="paragraph" w:customStyle="1" w:styleId="82">
    <w:name w:val="Table Paragraph"/>
    <w:basedOn w:val="1"/>
    <w:unhideWhenUsed/>
    <w:qFormat/>
    <w:uiPriority w:val="1"/>
    <w:pPr>
      <w:spacing w:beforeLines="0" w:afterLines="0"/>
    </w:pPr>
    <w:rPr>
      <w:rFonts w:hint="eastAsia"/>
      <w:sz w:val="22"/>
      <w:szCs w:val="22"/>
    </w:rPr>
  </w:style>
  <w:style w:type="paragraph" w:customStyle="1" w:styleId="83">
    <w:name w:val="p19"/>
    <w:basedOn w:val="1"/>
    <w:qFormat/>
    <w:uiPriority w:val="99"/>
    <w:pPr>
      <w:widowControl/>
      <w:jc w:val="left"/>
    </w:pPr>
    <w:rPr>
      <w:rFonts w:ascii="Arial Unicode MS" w:hAnsi="Arial Unicode MS" w:eastAsia="Arial Unicode MS" w:cs="Arial Unicode MS"/>
      <w:kern w:val="0"/>
      <w:sz w:val="24"/>
    </w:rPr>
  </w:style>
  <w:style w:type="paragraph" w:customStyle="1" w:styleId="8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表头"/>
    <w:basedOn w:val="1"/>
    <w:qFormat/>
    <w:uiPriority w:val="0"/>
    <w:pPr>
      <w:adjustRightInd w:val="0"/>
      <w:snapToGrid w:val="0"/>
      <w:jc w:val="center"/>
      <w:textAlignment w:val="baseline"/>
    </w:pPr>
    <w:rPr>
      <w:b/>
      <w:kern w:val="0"/>
    </w:rPr>
  </w:style>
  <w:style w:type="paragraph" w:customStyle="1" w:styleId="86">
    <w:name w:val="简单回函地址"/>
    <w:basedOn w:val="1"/>
    <w:qFormat/>
    <w:uiPriority w:val="0"/>
  </w:style>
  <w:style w:type="paragraph" w:customStyle="1" w:styleId="87">
    <w:name w:val="正文2"/>
    <w:basedOn w:val="1"/>
    <w:next w:val="1"/>
    <w:qFormat/>
    <w:uiPriority w:val="0"/>
    <w:pPr>
      <w:adjustRightInd w:val="0"/>
      <w:snapToGrid w:val="0"/>
      <w:spacing w:line="360" w:lineRule="auto"/>
      <w:ind w:firstLine="200" w:firstLineChars="200"/>
    </w:pPr>
    <w:rPr>
      <w:rFonts w:cs="宋体"/>
      <w:sz w:val="28"/>
      <w:szCs w:val="28"/>
    </w:rPr>
  </w:style>
  <w:style w:type="paragraph" w:customStyle="1" w:styleId="88">
    <w:name w:val="标题4"/>
    <w:basedOn w:val="1"/>
    <w:qFormat/>
    <w:uiPriority w:val="0"/>
    <w:pPr>
      <w:snapToGrid w:val="0"/>
      <w:spacing w:line="480" w:lineRule="atLeast"/>
      <w:jc w:val="center"/>
    </w:pPr>
    <w:rPr>
      <w:b/>
      <w:color w:val="000000"/>
      <w:sz w:val="24"/>
      <w:szCs w:val="20"/>
    </w:rPr>
  </w:style>
  <w:style w:type="paragraph" w:customStyle="1" w:styleId="89">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90">
    <w:name w:val="居中表格"/>
    <w:basedOn w:val="1"/>
    <w:qFormat/>
    <w:uiPriority w:val="0"/>
    <w:pPr>
      <w:ind w:firstLine="0" w:firstLineChars="0"/>
      <w:jc w:val="center"/>
    </w:pPr>
    <w:rPr>
      <w:rFonts w:ascii="Times New Roman" w:hAnsi="Times New Roman" w:eastAsia="宋体" w:cs="Times New Roman"/>
      <w:snapToGrid w:val="0"/>
      <w:kern w:val="0"/>
      <w:sz w:val="20"/>
      <w:szCs w:val="21"/>
    </w:rPr>
  </w:style>
  <w:style w:type="paragraph" w:customStyle="1" w:styleId="91">
    <w:name w:val="正文样式1"/>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92">
    <w:name w:val="标题 #1"/>
    <w:basedOn w:val="76"/>
    <w:qFormat/>
    <w:uiPriority w:val="0"/>
    <w:pPr>
      <w:shd w:val="clear" w:color="auto" w:fill="FFFFFF"/>
      <w:spacing w:after="280"/>
      <w:jc w:val="center"/>
      <w:outlineLvl w:val="0"/>
    </w:pPr>
    <w:rPr>
      <w:rFonts w:ascii="MingLiU" w:hAnsi="MingLiU" w:eastAsia="MingLiU" w:cs="MingLiU"/>
      <w:sz w:val="46"/>
      <w:szCs w:val="46"/>
      <w:lang w:val="zh-CN" w:eastAsia="zh-CN" w:bidi="zh-CN"/>
    </w:rPr>
  </w:style>
  <w:style w:type="paragraph" w:customStyle="1" w:styleId="93">
    <w:name w:val="其他"/>
    <w:basedOn w:val="76"/>
    <w:qFormat/>
    <w:uiPriority w:val="0"/>
    <w:pPr>
      <w:shd w:val="clear" w:color="auto" w:fill="FFFFFF"/>
    </w:pPr>
    <w:rPr>
      <w:rFonts w:ascii="MingLiU" w:hAnsi="MingLiU" w:eastAsia="MingLiU" w:cs="MingLiU"/>
      <w:sz w:val="30"/>
      <w:szCs w:val="30"/>
      <w:lang w:val="zh-CN" w:eastAsia="zh-CN" w:bidi="zh-CN"/>
    </w:rPr>
  </w:style>
  <w:style w:type="paragraph" w:customStyle="1" w:styleId="94">
    <w:name w:val="Other|1"/>
    <w:basedOn w:val="1"/>
    <w:qFormat/>
    <w:uiPriority w:val="0"/>
    <w:pPr>
      <w:widowControl w:val="0"/>
      <w:shd w:val="clear" w:color="auto" w:fill="auto"/>
      <w:spacing w:line="386" w:lineRule="auto"/>
      <w:ind w:firstLine="400"/>
    </w:pPr>
    <w:rPr>
      <w:rFonts w:ascii="宋体" w:hAnsi="宋体" w:eastAsia="宋体" w:cs="宋体"/>
      <w:u w:val="none"/>
      <w:shd w:val="clear" w:color="auto" w:fill="auto"/>
      <w:lang w:val="zh-TW" w:eastAsia="zh-TW" w:bidi="zh-TW"/>
    </w:rPr>
  </w:style>
  <w:style w:type="paragraph" w:styleId="95">
    <w:name w:val="List Paragraph"/>
    <w:basedOn w:val="1"/>
    <w:qFormat/>
    <w:uiPriority w:val="1"/>
    <w:pPr>
      <w:spacing w:beforeLines="0" w:afterLines="0"/>
      <w:ind w:left="1301" w:hanging="601"/>
    </w:pPr>
    <w:rPr>
      <w:rFonts w:hint="eastAsia"/>
      <w:sz w:val="22"/>
      <w:szCs w:val="22"/>
    </w:rPr>
  </w:style>
  <w:style w:type="paragraph" w:customStyle="1" w:styleId="96">
    <w:name w:val="5 Char"/>
    <w:basedOn w:val="1"/>
    <w:qFormat/>
    <w:uiPriority w:val="0"/>
    <w:rPr>
      <w:sz w:val="24"/>
    </w:rPr>
  </w:style>
  <w:style w:type="paragraph" w:customStyle="1" w:styleId="97">
    <w:name w:val="BS 正文"/>
    <w:basedOn w:val="1"/>
    <w:qFormat/>
    <w:uiPriority w:val="0"/>
    <w:pPr>
      <w:wordWrap w:val="0"/>
      <w:spacing w:line="360" w:lineRule="auto"/>
      <w:ind w:firstLine="200" w:firstLineChars="200"/>
    </w:pPr>
  </w:style>
  <w:style w:type="paragraph" w:customStyle="1" w:styleId="98">
    <w:name w:val="BS 图表标题"/>
    <w:qFormat/>
    <w:uiPriority w:val="0"/>
    <w:pPr>
      <w:widowControl w:val="0"/>
      <w:autoSpaceDE w:val="0"/>
      <w:autoSpaceDN w:val="0"/>
      <w:adjustRightInd w:val="0"/>
      <w:jc w:val="center"/>
      <w:textAlignment w:val="baseline"/>
    </w:pPr>
    <w:rPr>
      <w:rFonts w:ascii="Times New Roman" w:hAnsi="Times New Roman" w:eastAsia="宋体" w:cs="Times New Roman"/>
      <w:b/>
      <w:kern w:val="2"/>
      <w:sz w:val="18"/>
      <w:szCs w:val="18"/>
      <w:lang w:val="en-US" w:eastAsia="zh-CN" w:bidi="ar-SA"/>
    </w:rPr>
  </w:style>
  <w:style w:type="paragraph" w:customStyle="1" w:styleId="99">
    <w:name w:val="报告表格"/>
    <w:basedOn w:val="1"/>
    <w:qFormat/>
    <w:uiPriority w:val="0"/>
    <w:pPr>
      <w:kinsoku w:val="0"/>
      <w:wordWrap w:val="0"/>
      <w:overflowPunct w:val="0"/>
      <w:autoSpaceDE w:val="0"/>
      <w:autoSpaceDN w:val="0"/>
      <w:adjustRightInd w:val="0"/>
      <w:jc w:val="center"/>
      <w:textAlignment w:val="baseline"/>
    </w:pPr>
    <w:rPr>
      <w:rFonts w:eastAsia="Traditional Arabic"/>
      <w:kern w:val="0"/>
      <w:sz w:val="18"/>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5.png"/><Relationship Id="rId3" Type="http://schemas.openxmlformats.org/officeDocument/2006/relationships/footer" Target="footer1.xml"/><Relationship Id="rId29" Type="http://schemas.openxmlformats.org/officeDocument/2006/relationships/image" Target="media/image14.emf"/><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3.emf"/><Relationship Id="rId25" Type="http://schemas.openxmlformats.org/officeDocument/2006/relationships/oleObject" Target="embeddings/oleObject5.bin"/><Relationship Id="rId24" Type="http://schemas.openxmlformats.org/officeDocument/2006/relationships/image" Target="media/image12.emf"/><Relationship Id="rId23" Type="http://schemas.openxmlformats.org/officeDocument/2006/relationships/oleObject" Target="embeddings/oleObject4.bin"/><Relationship Id="rId22" Type="http://schemas.openxmlformats.org/officeDocument/2006/relationships/image" Target="media/image11.emf"/><Relationship Id="rId21" Type="http://schemas.openxmlformats.org/officeDocument/2006/relationships/oleObject" Target="embeddings/oleObject3.bin"/><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9.emf"/><Relationship Id="rId17" Type="http://schemas.openxmlformats.org/officeDocument/2006/relationships/oleObject" Target="embeddings/oleObject1.bin"/><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43478</Words>
  <Characters>48035</Characters>
  <Lines>371</Lines>
  <Paragraphs>104</Paragraphs>
  <TotalTime>43</TotalTime>
  <ScaleCrop>false</ScaleCrop>
  <LinksUpToDate>false</LinksUpToDate>
  <CharactersWithSpaces>52828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2023-07-03T02:06:00Z</dcterms:created>
  <dc:creator>lhj</dc:creator>
  <cp:lastModifiedBy>噗喵</cp:lastModifiedBy>
  <cp:lastPrinted>2021-11-16T06:16:00Z</cp:lastPrinted>
  <dcterms:modified xsi:type="dcterms:W3CDTF">2023-08-31T06:56:03Z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D3CDA24ABF094A38AA1F3A2501E644A1</vt:lpwstr>
  </property>
</Properties>
</file>