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昆明市东川区医疗保障局</w:t>
      </w:r>
      <w:r>
        <w:rPr>
          <w:rFonts w:hint="default" w:ascii="Times New Roman" w:hAnsi="Times New Roman" w:eastAsia="方正小标宋_GBK" w:cs="Times New Roman"/>
          <w:color w:val="auto"/>
          <w:sz w:val="44"/>
          <w:szCs w:val="44"/>
          <w:highlight w:val="none"/>
          <w:lang w:val="en-US" w:eastAsia="zh-CN"/>
        </w:rPr>
        <w:t>2022</w:t>
      </w:r>
      <w:r>
        <w:rPr>
          <w:rFonts w:hint="eastAsia" w:ascii="方正小标宋_GBK" w:hAnsi="方正小标宋_GBK" w:eastAsia="方正小标宋_GBK" w:cs="方正小标宋_GBK"/>
          <w:color w:val="auto"/>
          <w:sz w:val="44"/>
          <w:szCs w:val="44"/>
          <w:highlight w:val="none"/>
          <w:lang w:val="en-US" w:eastAsia="zh-CN"/>
        </w:rPr>
        <w:t>年度</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新冠疫苗及接种补助专项资金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cs="仿宋_GB2312"/>
          <w:color w:val="auto"/>
          <w:sz w:val="32"/>
          <w:szCs w:val="32"/>
          <w:highlight w:val="none"/>
          <w:lang w:val="en-US" w:eastAsia="zh-CN"/>
        </w:rPr>
        <w:t>新冠疫苗及接种补助专项资金</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年初预算安排收入</w:t>
      </w:r>
      <w:r>
        <w:rPr>
          <w:rFonts w:hint="eastAsia" w:cs="Times New Roman"/>
          <w:color w:val="auto"/>
          <w:sz w:val="32"/>
          <w:szCs w:val="32"/>
          <w:highlight w:val="none"/>
          <w:lang w:val="en-US" w:eastAsia="zh-CN"/>
        </w:rPr>
        <w:t>25.19</w:t>
      </w:r>
      <w:r>
        <w:rPr>
          <w:rFonts w:hint="eastAsia" w:ascii="仿宋_GB2312" w:hAnsi="仿宋_GB2312" w:eastAsia="仿宋_GB2312" w:cs="仿宋_GB2312"/>
          <w:color w:val="auto"/>
          <w:sz w:val="32"/>
          <w:szCs w:val="32"/>
          <w:highlight w:val="none"/>
          <w:lang w:val="en-US" w:eastAsia="zh-CN"/>
        </w:rPr>
        <w:t>万元，其中：财政拨款收入</w:t>
      </w:r>
      <w:r>
        <w:rPr>
          <w:rFonts w:hint="eastAsia" w:cs="Times New Roman"/>
          <w:color w:val="auto"/>
          <w:sz w:val="32"/>
          <w:szCs w:val="32"/>
          <w:highlight w:val="none"/>
          <w:lang w:val="en-US" w:eastAsia="zh-CN"/>
        </w:rPr>
        <w:t>25.19</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种新冠病毒疫苗是降低人民群众感染病毒风险、有力阻断病毒传播，巩固疫情防控成果，实现经济社会秩序持续全面好转的重要举措，从维护广大人民群众的生命健康，促进医保基金长期可持续运行的高度，充分认识做好医保基金负担新冠病毒疫苗及接种费用财政补助工作的重要性，不折不扣落实好医保基金负担新冠病毒疫苗及接种费用财政补助事项有关工作，保证区级财政补助按时足额配备到位。</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cs="仿宋_GB2312"/>
          <w:color w:val="auto"/>
          <w:sz w:val="32"/>
          <w:szCs w:val="32"/>
          <w:highlight w:val="none"/>
          <w:lang w:val="en-US" w:eastAsia="zh-CN"/>
        </w:rPr>
        <w:t>新冠疫苗及接种补助专项资金</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年初预算安排收入</w:t>
      </w:r>
      <w:r>
        <w:rPr>
          <w:rFonts w:hint="eastAsia" w:cs="Times New Roman"/>
          <w:color w:val="auto"/>
          <w:sz w:val="32"/>
          <w:szCs w:val="32"/>
          <w:highlight w:val="none"/>
          <w:lang w:val="en-US" w:eastAsia="zh-CN"/>
        </w:rPr>
        <w:t>25.19</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25.19</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eastAsia" w:cs="Times New Roman"/>
          <w:color w:val="auto"/>
          <w:sz w:val="32"/>
          <w:szCs w:val="32"/>
          <w:highlight w:val="none"/>
          <w:lang w:val="en-US" w:eastAsia="zh-CN"/>
        </w:rPr>
        <w:t>4.47</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4.47</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eastAsia" w:cs="Times New Roman"/>
          <w:color w:val="auto"/>
          <w:sz w:val="32"/>
          <w:szCs w:val="32"/>
          <w:highlight w:val="none"/>
          <w:lang w:val="en-US" w:eastAsia="zh-CN"/>
        </w:rPr>
        <w:t>20.72</w:t>
      </w:r>
      <w:r>
        <w:rPr>
          <w:rFonts w:hint="eastAsia" w:ascii="仿宋_GB2312" w:hAnsi="仿宋_GB2312" w:eastAsia="仿宋_GB2312" w:cs="仿宋_GB2312"/>
          <w:color w:val="auto"/>
          <w:sz w:val="32"/>
          <w:szCs w:val="32"/>
          <w:highlight w:val="none"/>
          <w:lang w:val="zh-CN"/>
        </w:rPr>
        <w:t>万元，差异率</w:t>
      </w:r>
      <w:r>
        <w:rPr>
          <w:rFonts w:hint="eastAsia" w:cs="Times New Roman"/>
          <w:color w:val="auto"/>
          <w:sz w:val="32"/>
          <w:szCs w:val="32"/>
          <w:highlight w:val="none"/>
          <w:lang w:val="en-US" w:eastAsia="zh-CN"/>
        </w:rPr>
        <w:t>82.25</w:t>
      </w:r>
      <w:r>
        <w:rPr>
          <w:rFonts w:hint="eastAsia" w:ascii="仿宋_GB2312" w:hAnsi="仿宋_GB2312" w:eastAsia="仿宋_GB2312" w:cs="仿宋_GB2312"/>
          <w:color w:val="auto"/>
          <w:sz w:val="32"/>
          <w:szCs w:val="32"/>
          <w:highlight w:val="none"/>
          <w:lang w:val="zh-CN"/>
        </w:rPr>
        <w:t>%，差异原因分析：</w:t>
      </w:r>
      <w:r>
        <w:rPr>
          <w:rFonts w:hint="eastAsia" w:ascii="仿宋_GB2312" w:hAnsi="仿宋_GB2312" w:cs="仿宋_GB2312"/>
          <w:color w:val="auto"/>
          <w:sz w:val="32"/>
          <w:szCs w:val="32"/>
          <w:highlight w:val="none"/>
          <w:lang w:val="zh-CN"/>
        </w:rPr>
        <w:t>年初预算金额为预测数据</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zh-CN"/>
        </w:rPr>
        <w:t>因新冠疫苗接种数据测算期间调整，</w:t>
      </w:r>
      <w:r>
        <w:rPr>
          <w:rFonts w:hint="eastAsia" w:ascii="仿宋_GB2312" w:hAnsi="仿宋_GB2312" w:cs="仿宋_GB2312"/>
          <w:color w:val="auto"/>
          <w:sz w:val="32"/>
          <w:szCs w:val="32"/>
          <w:highlight w:val="none"/>
          <w:lang w:val="en-US" w:eastAsia="zh-CN"/>
        </w:rPr>
        <w:t>年终实际完成值小于年初预算数，</w:t>
      </w:r>
      <w:r>
        <w:rPr>
          <w:rFonts w:hint="eastAsia" w:ascii="仿宋_GB2312" w:hAnsi="仿宋_GB2312" w:eastAsia="仿宋_GB2312" w:cs="仿宋_GB2312"/>
          <w:color w:val="auto"/>
          <w:sz w:val="32"/>
          <w:szCs w:val="32"/>
          <w:highlight w:val="none"/>
          <w:lang w:val="zh-CN"/>
        </w:rPr>
        <w:t>故造成预、决算</w:t>
      </w:r>
      <w:r>
        <w:rPr>
          <w:rFonts w:hint="eastAsia" w:ascii="仿宋_GB2312" w:hAnsi="仿宋_GB2312" w:cs="仿宋_GB2312"/>
          <w:color w:val="auto"/>
          <w:sz w:val="32"/>
          <w:szCs w:val="32"/>
          <w:highlight w:val="none"/>
          <w:lang w:val="zh-CN"/>
        </w:rPr>
        <w:t>存</w:t>
      </w:r>
      <w:r>
        <w:rPr>
          <w:rFonts w:hint="eastAsia" w:ascii="仿宋_GB2312" w:hAnsi="仿宋_GB2312" w:eastAsia="仿宋_GB2312" w:cs="仿宋_GB2312"/>
          <w:color w:val="auto"/>
          <w:sz w:val="32"/>
          <w:szCs w:val="32"/>
          <w:highlight w:val="none"/>
          <w:lang w:val="zh-CN"/>
        </w:rPr>
        <w:t>差异。</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种新冠病毒疫苗是降低人民群众感染病毒风险、有力阻断病毒传播，巩固疫情防控成果，实现经济社会秩序持续全面好转的重要举措，从维护广大人民群众的生命健康，促进医保基金长期可持续运行的高度，充分认识做好医保基金负担新冠病毒疫苗及接种费用财政补助工作的重要性，不折不扣落实好医保基金负担新冠病毒疫苗及接种费用财政补助事项有关工作，区级财政补助按时足额配备到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公众新冠疫苗接种得到充分有效的补助</w:t>
      </w:r>
      <w:r>
        <w:rPr>
          <w:rFonts w:hint="eastAsia" w:ascii="仿宋_GB2312" w:hAnsi="仿宋_GB2312" w:eastAsia="仿宋_GB2312" w:cs="仿宋_GB2312"/>
          <w:b w:val="0"/>
          <w:bCs w:val="0"/>
          <w:color w:val="auto"/>
          <w:sz w:val="32"/>
          <w:szCs w:val="32"/>
          <w:highlight w:val="none"/>
        </w:rPr>
        <w:t>，</w:t>
      </w:r>
      <w:r>
        <w:rPr>
          <w:rFonts w:hint="eastAsia" w:cs="仿宋_GB2312"/>
          <w:b w:val="0"/>
          <w:bCs w:val="0"/>
          <w:color w:val="auto"/>
          <w:sz w:val="32"/>
          <w:szCs w:val="32"/>
          <w:highlight w:val="none"/>
          <w:lang w:eastAsia="zh-CN"/>
        </w:rPr>
        <w:t>缓解医疗机构压力，</w:t>
      </w:r>
      <w:r>
        <w:rPr>
          <w:rFonts w:hint="eastAsia" w:ascii="仿宋_GB2312" w:hAnsi="仿宋_GB2312" w:eastAsia="仿宋_GB2312" w:cs="仿宋_GB2312"/>
          <w:b w:val="0"/>
          <w:bCs w:val="0"/>
          <w:color w:val="auto"/>
          <w:sz w:val="32"/>
          <w:szCs w:val="32"/>
          <w:highlight w:val="none"/>
        </w:rPr>
        <w:t>公共服务能力稳步提升。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bookmarkStart w:id="0" w:name="_GoBack"/>
      <w:bookmarkEnd w:id="0"/>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en-US" w:eastAsia="zh-CN"/>
        </w:rPr>
        <w:t>新冠疫苗及接种补助专项资金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20</w:t>
      </w:r>
      <w:r>
        <w:rPr>
          <w:rFonts w:hint="default" w:ascii="Times New Roman" w:hAnsi="Times New Roman" w:cs="Times New Roman"/>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color w:val="auto"/>
          <w:sz w:val="32"/>
          <w:szCs w:val="32"/>
          <w:highlight w:val="none"/>
          <w:lang w:val="en-US" w:eastAsia="zh-CN"/>
        </w:rPr>
        <w:t>新冠疫苗及接种补助专项资金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default" w:ascii="Times New Roman" w:hAnsi="Times New Roman"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决策包含</w:t>
      </w:r>
      <w:r>
        <w:rPr>
          <w:rFonts w:hint="eastAsia" w:ascii="仿宋_GB2312" w:hAnsi="仿宋_GB2312" w:cs="仿宋_GB2312"/>
          <w:b w:val="0"/>
          <w:bCs w:val="0"/>
          <w:color w:val="auto"/>
          <w:sz w:val="32"/>
          <w:szCs w:val="32"/>
          <w:highlight w:val="none"/>
          <w:lang w:eastAsia="zh-CN"/>
        </w:rPr>
        <w:t>项目立项、项目</w:t>
      </w:r>
      <w:r>
        <w:rPr>
          <w:rFonts w:hint="eastAsia" w:ascii="仿宋_GB2312" w:hAnsi="仿宋_GB2312" w:eastAsia="仿宋_GB2312" w:cs="仿宋_GB2312"/>
          <w:b w:val="0"/>
          <w:bCs w:val="0"/>
          <w:color w:val="auto"/>
          <w:sz w:val="32"/>
          <w:szCs w:val="32"/>
          <w:highlight w:val="none"/>
        </w:rPr>
        <w:t>目标</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决策满分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项目立项</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项目目标</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管理包含</w:t>
      </w:r>
      <w:r>
        <w:rPr>
          <w:rFonts w:hint="eastAsia" w:ascii="仿宋_GB2312" w:hAnsi="仿宋_GB2312" w:cs="仿宋_GB2312"/>
          <w:b w:val="0"/>
          <w:bCs w:val="0"/>
          <w:color w:val="auto"/>
          <w:sz w:val="32"/>
          <w:szCs w:val="32"/>
          <w:highlight w:val="none"/>
          <w:lang w:eastAsia="zh-CN"/>
        </w:rPr>
        <w:t>投入管理、财务管理、项目实施</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管理满分</w:t>
      </w:r>
      <w:r>
        <w:rPr>
          <w:rFonts w:hint="default" w:ascii="Times New Roman" w:hAnsi="Times New Roman" w:eastAsia="仿宋_GB2312" w:cs="Times New Roman"/>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投入管理</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分，评价得分为</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）二级指标“财务管理”满分</w:t>
      </w: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eastAsia="zh-CN"/>
        </w:rPr>
        <w:t>）二级指标“项目实施”满分</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分，评价得分为</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绩效包含</w:t>
      </w:r>
      <w:r>
        <w:rPr>
          <w:rFonts w:hint="eastAsia" w:ascii="仿宋_GB2312" w:hAnsi="仿宋_GB2312" w:cs="仿宋_GB2312"/>
          <w:b w:val="0"/>
          <w:bCs w:val="0"/>
          <w:color w:val="auto"/>
          <w:sz w:val="32"/>
          <w:szCs w:val="32"/>
          <w:highlight w:val="none"/>
          <w:lang w:eastAsia="zh-CN"/>
        </w:rPr>
        <w:t>项目产出、项目效益</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指标。部门绩效满分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产出”满分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项目效益</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种新冠病毒疫苗是降低人民群众感染病毒风险、有力阻断病毒传播，巩固疫情防控成果，实现经济社会秩序持续全面好转的重要举措，从维护广大人民群众的生命健康，促进医保基金长期可持续运行的高度，充分认识做好医保基金负担新冠病毒疫苗及接种费用财政补助工作的重要性，不折不扣落实好医保基金负担新冠病毒疫苗及接种费用财政补助事项有关工作，区级财政补助按时足额配备到位。</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存在即是裁判员又是运动员的情况，跟踪监管、内控建设等工作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新冠疫苗及接种补助专项资金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default" w:ascii="Times New Roman" w:hAnsi="Times New Roman"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29600AF"/>
    <w:rsid w:val="075730B2"/>
    <w:rsid w:val="079B2F21"/>
    <w:rsid w:val="09C115E3"/>
    <w:rsid w:val="0A1B7E59"/>
    <w:rsid w:val="0A346E57"/>
    <w:rsid w:val="0BEF60F1"/>
    <w:rsid w:val="0D3F05D1"/>
    <w:rsid w:val="0E9E0539"/>
    <w:rsid w:val="0F916464"/>
    <w:rsid w:val="10BB07D4"/>
    <w:rsid w:val="139B620C"/>
    <w:rsid w:val="13AB43C9"/>
    <w:rsid w:val="14500A59"/>
    <w:rsid w:val="145D6BC3"/>
    <w:rsid w:val="149B2EE8"/>
    <w:rsid w:val="15D0044B"/>
    <w:rsid w:val="1A94418C"/>
    <w:rsid w:val="1CA81D0B"/>
    <w:rsid w:val="1FE0245C"/>
    <w:rsid w:val="234B0A4E"/>
    <w:rsid w:val="24C95675"/>
    <w:rsid w:val="262C3DF3"/>
    <w:rsid w:val="2A325FDC"/>
    <w:rsid w:val="2DDB4434"/>
    <w:rsid w:val="2E2325F8"/>
    <w:rsid w:val="2F9202B1"/>
    <w:rsid w:val="30665A00"/>
    <w:rsid w:val="308C4AC3"/>
    <w:rsid w:val="31D9592F"/>
    <w:rsid w:val="32780617"/>
    <w:rsid w:val="330F3B0A"/>
    <w:rsid w:val="33BE1C27"/>
    <w:rsid w:val="369C15EF"/>
    <w:rsid w:val="375D209E"/>
    <w:rsid w:val="38C1437D"/>
    <w:rsid w:val="3A66436F"/>
    <w:rsid w:val="3F5E30A9"/>
    <w:rsid w:val="3F62595E"/>
    <w:rsid w:val="3FF32979"/>
    <w:rsid w:val="402B7C64"/>
    <w:rsid w:val="4109475E"/>
    <w:rsid w:val="4176348D"/>
    <w:rsid w:val="41BB4E91"/>
    <w:rsid w:val="42A53AC2"/>
    <w:rsid w:val="440936BE"/>
    <w:rsid w:val="44BE56F7"/>
    <w:rsid w:val="4663783D"/>
    <w:rsid w:val="46982D4B"/>
    <w:rsid w:val="48F22EEF"/>
    <w:rsid w:val="4A7F60A4"/>
    <w:rsid w:val="4D862EB7"/>
    <w:rsid w:val="4E556730"/>
    <w:rsid w:val="4F7370ED"/>
    <w:rsid w:val="4FAB610E"/>
    <w:rsid w:val="4FD221F1"/>
    <w:rsid w:val="504E7E66"/>
    <w:rsid w:val="52110942"/>
    <w:rsid w:val="57E068B3"/>
    <w:rsid w:val="580C5987"/>
    <w:rsid w:val="58442E0F"/>
    <w:rsid w:val="5A065ABC"/>
    <w:rsid w:val="5A2E0D64"/>
    <w:rsid w:val="5CE0009C"/>
    <w:rsid w:val="5D7774BF"/>
    <w:rsid w:val="5DD23A08"/>
    <w:rsid w:val="5F1028D2"/>
    <w:rsid w:val="600671BE"/>
    <w:rsid w:val="6015352C"/>
    <w:rsid w:val="607A2744"/>
    <w:rsid w:val="65690042"/>
    <w:rsid w:val="656F4043"/>
    <w:rsid w:val="659B5E74"/>
    <w:rsid w:val="661C62FC"/>
    <w:rsid w:val="69063171"/>
    <w:rsid w:val="6A2E5E1F"/>
    <w:rsid w:val="6B905BE1"/>
    <w:rsid w:val="6ED54555"/>
    <w:rsid w:val="754A345D"/>
    <w:rsid w:val="768E1385"/>
    <w:rsid w:val="773C1BAB"/>
    <w:rsid w:val="78843C42"/>
    <w:rsid w:val="7B1924F4"/>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0</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英俊的红旅心</cp:lastModifiedBy>
  <cp:lastPrinted>2023-05-06T02:33:25Z</cp:lastPrinted>
  <dcterms:modified xsi:type="dcterms:W3CDTF">2023-05-06T02:33:27Z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