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昆明市东川区医疗保障局</w:t>
      </w:r>
      <w:r>
        <w:rPr>
          <w:rFonts w:hint="default" w:ascii="Times New Roman" w:hAnsi="Times New Roman" w:eastAsia="方正小标宋_GBK" w:cs="Times New Roman"/>
          <w:color w:val="auto"/>
          <w:sz w:val="44"/>
          <w:szCs w:val="44"/>
          <w:highlight w:val="none"/>
          <w:lang w:val="en-US" w:eastAsia="zh-CN"/>
        </w:rPr>
        <w:t>2022</w:t>
      </w:r>
      <w:r>
        <w:rPr>
          <w:rFonts w:hint="eastAsia" w:ascii="方正小标宋_GBK" w:hAnsi="方正小标宋_GBK" w:eastAsia="方正小标宋_GBK" w:cs="方正小标宋_GBK"/>
          <w:color w:val="auto"/>
          <w:sz w:val="44"/>
          <w:szCs w:val="44"/>
          <w:highlight w:val="none"/>
          <w:lang w:val="en-US" w:eastAsia="zh-CN"/>
        </w:rPr>
        <w:t>年度</w:t>
      </w:r>
      <w:r>
        <w:rPr>
          <w:rFonts w:hint="eastAsia" w:ascii="方正小标宋_GBK" w:hAnsi="方正小标宋_GBK" w:eastAsia="方正小标宋_GBK" w:cs="方正小标宋_GBK"/>
          <w:color w:val="auto"/>
          <w:sz w:val="44"/>
          <w:szCs w:val="44"/>
          <w:highlight w:val="none"/>
          <w:lang w:eastAsia="zh-CN"/>
        </w:rPr>
        <w:t>医疗服务</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与保障能力提升补助专项资金</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项目绩效自评报告</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一、绩效目标分解下达情况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cs="仿宋_GB2312"/>
          <w:color w:val="auto"/>
          <w:sz w:val="32"/>
          <w:szCs w:val="32"/>
          <w:highlight w:val="none"/>
          <w:lang w:val="en-US" w:eastAsia="zh-CN"/>
        </w:rPr>
        <w:t>医疗服务与保障能力提升补助专项资金</w:t>
      </w:r>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年初预算安排收入</w:t>
      </w:r>
      <w:r>
        <w:rPr>
          <w:rFonts w:hint="eastAsia" w:cs="Times New Roman"/>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val="en-US" w:eastAsia="zh-CN"/>
        </w:rPr>
        <w:t>万元，其中：财政拨款收入</w:t>
      </w:r>
      <w:r>
        <w:rPr>
          <w:rFonts w:hint="eastAsia" w:cs="Times New Roman"/>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val="en-US" w:eastAsia="zh-CN"/>
        </w:rPr>
        <w:t>万元，占总收入的</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重点完成了以下工作：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确保医疗保障信息系统正常运转，加大监管力度，提升医保经办服务能力，积极宣传医疗保障相关政策，提高服务对象满意度。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二、绩效目标完成情况分析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（一）资金投入情况分析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cs="仿宋_GB2312"/>
          <w:color w:val="auto"/>
          <w:sz w:val="32"/>
          <w:szCs w:val="32"/>
          <w:highlight w:val="none"/>
          <w:lang w:val="en-US" w:eastAsia="zh-CN"/>
        </w:rPr>
        <w:t>医疗服务与保障能力提升补助专项资金</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年初预算安排收入</w:t>
      </w:r>
      <w:r>
        <w:rPr>
          <w:rFonts w:hint="eastAsia" w:cs="Times New Roman"/>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32</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eastAsia="仿宋_GB2312" w:cs="Times New Roman"/>
          <w:color w:val="auto"/>
          <w:sz w:val="32"/>
          <w:szCs w:val="32"/>
          <w:highlight w:val="none"/>
          <w:lang w:val="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决算收入合计</w:t>
      </w:r>
      <w:r>
        <w:rPr>
          <w:rFonts w:hint="eastAsia" w:cs="Times New Roman"/>
          <w:color w:val="auto"/>
          <w:sz w:val="32"/>
          <w:szCs w:val="32"/>
          <w:highlight w:val="none"/>
          <w:lang w:val="en-US" w:eastAsia="zh-CN"/>
        </w:rPr>
        <w:t>40</w:t>
      </w:r>
      <w:r>
        <w:rPr>
          <w:rFonts w:hint="eastAsia" w:ascii="仿宋_GB2312" w:hAnsi="仿宋_GB2312" w:eastAsia="仿宋_GB2312" w:cs="仿宋_GB2312"/>
          <w:color w:val="auto"/>
          <w:sz w:val="32"/>
          <w:szCs w:val="32"/>
          <w:highlight w:val="none"/>
          <w:lang w:val="zh-CN"/>
        </w:rPr>
        <w:t>万元，其中：财政拨款收入</w:t>
      </w:r>
      <w:r>
        <w:rPr>
          <w:rFonts w:hint="eastAsia" w:cs="Times New Roman"/>
          <w:color w:val="auto"/>
          <w:sz w:val="32"/>
          <w:szCs w:val="32"/>
          <w:highlight w:val="none"/>
          <w:lang w:val="en-US" w:eastAsia="zh-CN"/>
        </w:rPr>
        <w:t>40</w:t>
      </w:r>
      <w:r>
        <w:rPr>
          <w:rFonts w:hint="eastAsia" w:ascii="仿宋_GB2312" w:hAnsi="仿宋_GB2312" w:eastAsia="仿宋_GB2312" w:cs="仿宋_GB2312"/>
          <w:color w:val="auto"/>
          <w:sz w:val="32"/>
          <w:szCs w:val="32"/>
          <w:highlight w:val="none"/>
          <w:lang w:val="zh-CN"/>
        </w:rPr>
        <w:t>万元，占总收入的</w:t>
      </w:r>
      <w:r>
        <w:rPr>
          <w:rFonts w:hint="default" w:ascii="Times New Roman" w:hAnsi="Times New Roman"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预、决算差异</w:t>
      </w:r>
      <w:r>
        <w:rPr>
          <w:rFonts w:hint="eastAsia" w:cs="Times New Roman"/>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zh-CN"/>
        </w:rPr>
        <w:t>万元，差异率</w:t>
      </w:r>
      <w:r>
        <w:rPr>
          <w:rFonts w:hint="eastAsia" w:cs="Times New Roman"/>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val="zh-CN"/>
        </w:rPr>
        <w:t>%，差异原因分析：昆明市东川区医疗保障局2022年</w:t>
      </w:r>
      <w:r>
        <w:rPr>
          <w:rFonts w:hint="eastAsia" w:ascii="仿宋_GB2312" w:hAnsi="仿宋_GB2312" w:cs="仿宋_GB2312"/>
          <w:color w:val="auto"/>
          <w:sz w:val="32"/>
          <w:szCs w:val="32"/>
          <w:highlight w:val="none"/>
          <w:lang w:val="zh-CN"/>
        </w:rPr>
        <w:t>初预算资金</w:t>
      </w:r>
      <w:r>
        <w:rPr>
          <w:rFonts w:hint="eastAsia" w:ascii="仿宋_GB2312" w:hAnsi="仿宋_GB2312" w:cs="仿宋_GB2312"/>
          <w:color w:val="auto"/>
          <w:sz w:val="32"/>
          <w:szCs w:val="32"/>
          <w:highlight w:val="none"/>
          <w:lang w:val="en-US" w:eastAsia="zh-CN"/>
        </w:rPr>
        <w:t>32万元</w:t>
      </w:r>
      <w:r>
        <w:rPr>
          <w:rFonts w:hint="eastAsia" w:ascii="仿宋_GB2312" w:hAnsi="仿宋_GB2312" w:eastAsia="仿宋_GB2312" w:cs="仿宋_GB2312"/>
          <w:color w:val="auto"/>
          <w:sz w:val="32"/>
          <w:szCs w:val="32"/>
          <w:highlight w:val="none"/>
          <w:lang w:val="zh-CN"/>
        </w:rPr>
        <w:t>，</w:t>
      </w:r>
      <w:r>
        <w:rPr>
          <w:rFonts w:hint="eastAsia" w:ascii="仿宋_GB2312" w:hAnsi="仿宋_GB2312" w:cs="仿宋_GB2312"/>
          <w:color w:val="auto"/>
          <w:sz w:val="32"/>
          <w:szCs w:val="32"/>
          <w:highlight w:val="none"/>
          <w:lang w:val="zh-CN"/>
        </w:rPr>
        <w:t>因上级再次下拨</w:t>
      </w:r>
      <w:r>
        <w:rPr>
          <w:rFonts w:hint="eastAsia" w:ascii="仿宋_GB2312" w:hAnsi="仿宋_GB2312" w:cs="仿宋_GB2312"/>
          <w:color w:val="auto"/>
          <w:sz w:val="32"/>
          <w:szCs w:val="32"/>
          <w:highlight w:val="none"/>
          <w:lang w:val="en-US" w:eastAsia="zh-CN"/>
        </w:rPr>
        <w:t>8万元专项资金，</w:t>
      </w:r>
      <w:r>
        <w:rPr>
          <w:rFonts w:hint="eastAsia" w:ascii="仿宋_GB2312" w:hAnsi="仿宋_GB2312" w:eastAsia="仿宋_GB2312" w:cs="仿宋_GB2312"/>
          <w:color w:val="auto"/>
          <w:sz w:val="32"/>
          <w:szCs w:val="32"/>
          <w:highlight w:val="none"/>
          <w:lang w:val="zh-CN"/>
        </w:rPr>
        <w:t>故造成预、决算</w:t>
      </w:r>
      <w:r>
        <w:rPr>
          <w:rFonts w:hint="eastAsia" w:ascii="仿宋_GB2312" w:hAnsi="仿宋_GB2312" w:cs="仿宋_GB2312"/>
          <w:color w:val="auto"/>
          <w:sz w:val="32"/>
          <w:szCs w:val="32"/>
          <w:highlight w:val="none"/>
          <w:lang w:val="zh-CN"/>
        </w:rPr>
        <w:t>存</w:t>
      </w:r>
      <w:r>
        <w:rPr>
          <w:rFonts w:hint="eastAsia" w:ascii="仿宋_GB2312" w:hAnsi="仿宋_GB2312" w:eastAsia="仿宋_GB2312" w:cs="仿宋_GB2312"/>
          <w:color w:val="auto"/>
          <w:sz w:val="32"/>
          <w:szCs w:val="32"/>
          <w:highlight w:val="none"/>
          <w:lang w:val="zh-CN"/>
        </w:rPr>
        <w:t>差异。</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w:t>
      </w:r>
      <w:r>
        <w:rPr>
          <w:rFonts w:hint="eastAsia" w:ascii="仿宋_GB2312" w:hAnsi="仿宋_GB2312" w:eastAsia="仿宋_GB2312" w:cs="仿宋_GB2312"/>
          <w:b w:val="0"/>
          <w:bCs w:val="0"/>
          <w:color w:val="auto"/>
          <w:sz w:val="32"/>
          <w:szCs w:val="32"/>
          <w:highlight w:val="none"/>
        </w:rPr>
        <w:t>认真制定并严格执行了相关制度，包括</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昆明市东川区医疗保障局内部控制制度（试行）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昆明市东川区医疗保障局（医险局）医疗保障基金拨付业务经办流程</w:t>
      </w:r>
      <w:r>
        <w:rPr>
          <w:rFonts w:hint="eastAsia" w:ascii="仿宋_GB2312" w:hAnsi="仿宋_GB2312" w:eastAsia="仿宋_GB2312" w:cs="仿宋_GB2312"/>
          <w:b w:val="0"/>
          <w:bCs w:val="0"/>
          <w:color w:val="auto"/>
          <w:sz w:val="32"/>
          <w:szCs w:val="32"/>
          <w:highlight w:val="none"/>
          <w:lang w:eastAsia="zh-CN"/>
        </w:rPr>
        <w:t>》《昆明市东川区医疗保障局（医险局）基金财务管理核算办法及票据管理制度》《昆明市东川区医疗保障局预算绩效管理暂行办法》《昆明市东川区医疗保障局预算绩效自评工作方案》《昆明市东川区医疗保障局绩效跟踪实施方案》《昆明市东川区医疗保障局预算绩效自评开展计划》</w:t>
      </w:r>
      <w:r>
        <w:rPr>
          <w:rFonts w:hint="eastAsia" w:ascii="仿宋_GB2312" w:hAnsi="仿宋_GB2312" w:eastAsia="仿宋_GB2312" w:cs="仿宋_GB2312"/>
          <w:b w:val="0"/>
          <w:bCs w:val="0"/>
          <w:color w:val="auto"/>
          <w:sz w:val="32"/>
          <w:szCs w:val="32"/>
          <w:highlight w:val="none"/>
        </w:rPr>
        <w:t>等制度，</w:t>
      </w:r>
      <w:r>
        <w:rPr>
          <w:rFonts w:hint="eastAsia" w:ascii="仿宋_GB2312" w:hAnsi="仿宋_GB2312" w:eastAsia="仿宋_GB2312" w:cs="仿宋_GB2312"/>
          <w:b w:val="0"/>
          <w:bCs w:val="0"/>
          <w:color w:val="auto"/>
          <w:sz w:val="32"/>
          <w:szCs w:val="32"/>
          <w:highlight w:val="none"/>
          <w:lang w:eastAsia="zh-CN"/>
        </w:rPr>
        <w:t>切实</w:t>
      </w:r>
      <w:r>
        <w:rPr>
          <w:rFonts w:hint="eastAsia" w:ascii="仿宋_GB2312" w:hAnsi="仿宋_GB2312" w:eastAsia="仿宋_GB2312" w:cs="仿宋_GB2312"/>
          <w:b w:val="0"/>
          <w:bCs w:val="0"/>
          <w:color w:val="auto"/>
          <w:sz w:val="32"/>
          <w:szCs w:val="32"/>
          <w:highlight w:val="none"/>
        </w:rPr>
        <w:t>保障各科室正常运行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各项工作有条不紊地开展</w:t>
      </w:r>
      <w:r>
        <w:rPr>
          <w:rFonts w:hint="eastAsia" w:ascii="仿宋_GB2312" w:hAnsi="仿宋_GB2312" w:eastAsia="仿宋_GB2312" w:cs="仿宋_GB2312"/>
          <w:color w:val="auto"/>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（二）总体绩效目标完成情况分析</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确保医疗保障信息系统正常运转，加大监管力度，提升医保经办服务能力，积极宣传医疗保障相关政策，提高服务对象满意度。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楷体_GB2312" w:hAnsi="楷体_GB2312" w:eastAsia="楷体_GB2312" w:cs="楷体_GB2312"/>
          <w:color w:val="auto"/>
          <w:sz w:val="32"/>
          <w:szCs w:val="32"/>
          <w:highlight w:val="none"/>
          <w:lang w:val="zh-CN"/>
        </w:rPr>
      </w:pPr>
      <w:r>
        <w:rPr>
          <w:rFonts w:hint="eastAsia" w:ascii="楷体_GB2312" w:hAnsi="楷体_GB2312" w:eastAsia="楷体_GB2312" w:cs="楷体_GB2312"/>
          <w:color w:val="auto"/>
          <w:sz w:val="32"/>
          <w:szCs w:val="32"/>
          <w:highlight w:val="none"/>
          <w:lang w:val="zh-CN"/>
        </w:rPr>
        <w:t>（三）绩效指标完成情况分析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b w:val="0"/>
          <w:bCs w:val="0"/>
          <w:color w:val="auto"/>
          <w:sz w:val="32"/>
          <w:szCs w:val="32"/>
          <w:highlight w:val="none"/>
        </w:rPr>
      </w:pPr>
      <w:r>
        <w:rPr>
          <w:rFonts w:hint="eastAsia" w:cs="仿宋_GB2312"/>
          <w:b w:val="0"/>
          <w:bCs w:val="0"/>
          <w:color w:val="auto"/>
          <w:sz w:val="32"/>
          <w:szCs w:val="32"/>
          <w:highlight w:val="none"/>
          <w:lang w:eastAsia="zh-CN"/>
        </w:rPr>
        <w:t>严格贯彻落实各项规章制度</w:t>
      </w:r>
      <w:r>
        <w:rPr>
          <w:rFonts w:hint="eastAsia" w:ascii="仿宋_GB2312" w:hAnsi="仿宋_GB2312" w:eastAsia="仿宋_GB2312" w:cs="仿宋_GB2312"/>
          <w:b w:val="0"/>
          <w:bCs w:val="0"/>
          <w:color w:val="auto"/>
          <w:sz w:val="32"/>
          <w:szCs w:val="32"/>
          <w:highlight w:val="none"/>
        </w:rPr>
        <w:t>，年度目标稳步推进，</w:t>
      </w:r>
      <w:r>
        <w:rPr>
          <w:rFonts w:hint="eastAsia" w:cs="仿宋_GB2312"/>
          <w:b w:val="0"/>
          <w:bCs w:val="0"/>
          <w:color w:val="auto"/>
          <w:sz w:val="32"/>
          <w:szCs w:val="32"/>
          <w:highlight w:val="none"/>
          <w:lang w:eastAsia="zh-CN"/>
        </w:rPr>
        <w:t>医疗服务与保障能力得到稳步提升</w:t>
      </w:r>
      <w:r>
        <w:rPr>
          <w:rFonts w:hint="eastAsia" w:ascii="仿宋_GB2312" w:hAnsi="仿宋_GB2312" w:eastAsia="仿宋_GB2312" w:cs="仿宋_GB2312"/>
          <w:b w:val="0"/>
          <w:bCs w:val="0"/>
          <w:color w:val="auto"/>
          <w:sz w:val="32"/>
          <w:szCs w:val="32"/>
          <w:highlight w:val="none"/>
        </w:rPr>
        <w:t>，公共服务能力</w:t>
      </w:r>
      <w:r>
        <w:rPr>
          <w:rFonts w:hint="eastAsia" w:cs="仿宋_GB2312"/>
          <w:b w:val="0"/>
          <w:bCs w:val="0"/>
          <w:color w:val="auto"/>
          <w:sz w:val="32"/>
          <w:szCs w:val="32"/>
          <w:highlight w:val="none"/>
          <w:lang w:eastAsia="zh-CN"/>
        </w:rPr>
        <w:t>进一步增强</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en-US" w:eastAsia="zh-CN"/>
        </w:rPr>
        <w:t>医疗服务与保障能力提升补助专项资金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具体绩效完成情况分析如下：</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cs="Times New Roman"/>
          <w:b w:val="0"/>
          <w:bCs w:val="0"/>
          <w:color w:val="auto"/>
          <w:sz w:val="32"/>
          <w:szCs w:val="32"/>
          <w:highlight w:val="none"/>
          <w:lang w:eastAsia="zh-CN"/>
        </w:rPr>
        <w:t>20</w:t>
      </w:r>
      <w:r>
        <w:rPr>
          <w:rFonts w:hint="default" w:ascii="Times New Roman" w:hAnsi="Times New Roman" w:cs="Times New Roman"/>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cs="仿宋_GB2312"/>
          <w:color w:val="auto"/>
          <w:sz w:val="32"/>
          <w:szCs w:val="32"/>
          <w:highlight w:val="none"/>
          <w:lang w:val="en-US" w:eastAsia="zh-CN"/>
        </w:rPr>
        <w:t>医疗服务与保障能力提升补助专项资金</w:t>
      </w:r>
      <w:r>
        <w:rPr>
          <w:rFonts w:hint="eastAsia" w:ascii="仿宋_GB2312" w:hAnsi="仿宋_GB2312" w:eastAsia="仿宋_GB2312" w:cs="仿宋_GB2312"/>
          <w:b w:val="0"/>
          <w:bCs w:val="0"/>
          <w:color w:val="auto"/>
          <w:sz w:val="32"/>
          <w:szCs w:val="32"/>
          <w:highlight w:val="none"/>
        </w:rPr>
        <w:t>绩效自评指标体系设置</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个一级指标、</w:t>
      </w:r>
      <w:r>
        <w:rPr>
          <w:rFonts w:hint="default" w:ascii="Times New Roman" w:hAnsi="Times New Roman" w:cs="Times New Roman"/>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29</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指标。其中：</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决策包含</w:t>
      </w:r>
      <w:r>
        <w:rPr>
          <w:rFonts w:hint="eastAsia" w:ascii="仿宋_GB2312" w:hAnsi="仿宋_GB2312" w:cs="仿宋_GB2312"/>
          <w:b w:val="0"/>
          <w:bCs w:val="0"/>
          <w:color w:val="auto"/>
          <w:sz w:val="32"/>
          <w:szCs w:val="32"/>
          <w:highlight w:val="none"/>
          <w:lang w:eastAsia="zh-CN"/>
        </w:rPr>
        <w:t>项目立项、项目</w:t>
      </w:r>
      <w:r>
        <w:rPr>
          <w:rFonts w:hint="eastAsia" w:ascii="仿宋_GB2312" w:hAnsi="仿宋_GB2312" w:eastAsia="仿宋_GB2312" w:cs="仿宋_GB2312"/>
          <w:b w:val="0"/>
          <w:bCs w:val="0"/>
          <w:color w:val="auto"/>
          <w:sz w:val="32"/>
          <w:szCs w:val="32"/>
          <w:highlight w:val="none"/>
        </w:rPr>
        <w:t>目标</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决策满分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项目立项</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项目目标</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分，评价得分</w:t>
      </w:r>
      <w:r>
        <w:rPr>
          <w:rFonts w:hint="default" w:ascii="Times New Roman" w:hAnsi="Times New Roman" w:cs="Times New Roman"/>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管理包含</w:t>
      </w:r>
      <w:r>
        <w:rPr>
          <w:rFonts w:hint="eastAsia" w:ascii="仿宋_GB2312" w:hAnsi="仿宋_GB2312" w:cs="仿宋_GB2312"/>
          <w:b w:val="0"/>
          <w:bCs w:val="0"/>
          <w:color w:val="auto"/>
          <w:sz w:val="32"/>
          <w:szCs w:val="32"/>
          <w:highlight w:val="none"/>
          <w:lang w:eastAsia="zh-CN"/>
        </w:rPr>
        <w:t>投入管理、财务管理、项目实施</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eastAsia="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管理满分</w:t>
      </w:r>
      <w:r>
        <w:rPr>
          <w:rFonts w:hint="default" w:ascii="Times New Roman" w:hAnsi="Times New Roman" w:eastAsia="仿宋_GB2312" w:cs="Times New Roman"/>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投入管理</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分，评价得分为</w:t>
      </w:r>
      <w:r>
        <w:rPr>
          <w:rFonts w:hint="eastAsia"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rPr>
        <w:t>）二级指标“财务管理”满分</w:t>
      </w:r>
      <w:r>
        <w:rPr>
          <w:rFonts w:hint="default" w:ascii="Times New Roman" w:hAnsi="Times New Roman" w:eastAsia="仿宋_GB2312" w:cs="Times New Roman"/>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rPr>
        <w:t>分，评价得分为</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cs="仿宋_GB2312"/>
          <w:b w:val="0"/>
          <w:bCs w:val="0"/>
          <w:color w:val="auto"/>
          <w:sz w:val="32"/>
          <w:szCs w:val="32"/>
          <w:highlight w:val="none"/>
          <w:lang w:eastAsia="zh-CN"/>
        </w:rPr>
        <w:t>）二级指标“项目实施”满分</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分，评价得分为</w:t>
      </w:r>
      <w:r>
        <w:rPr>
          <w:rFonts w:hint="default" w:ascii="Times New Roman" w:hAnsi="Times New Roman" w:cs="Times New Roman"/>
          <w:b w:val="0"/>
          <w:bCs w:val="0"/>
          <w:color w:val="auto"/>
          <w:sz w:val="32"/>
          <w:szCs w:val="32"/>
          <w:highlight w:val="none"/>
          <w:lang w:val="en-US" w:eastAsia="zh-CN"/>
        </w:rPr>
        <w:t>10</w:t>
      </w:r>
      <w:r>
        <w:rPr>
          <w:rFonts w:hint="eastAsia" w:ascii="仿宋_GB2312" w:hAnsi="仿宋_GB2312" w:cs="仿宋_GB2312"/>
          <w:b w:val="0"/>
          <w:bCs w:val="0"/>
          <w:color w:val="auto"/>
          <w:sz w:val="32"/>
          <w:szCs w:val="32"/>
          <w:highlight w:val="none"/>
          <w:lang w:val="en-US" w:eastAsia="zh-CN"/>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.一级指标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绩效包含</w:t>
      </w:r>
      <w:r>
        <w:rPr>
          <w:rFonts w:hint="eastAsia" w:ascii="仿宋_GB2312" w:hAnsi="仿宋_GB2312" w:cs="仿宋_GB2312"/>
          <w:b w:val="0"/>
          <w:bCs w:val="0"/>
          <w:color w:val="auto"/>
          <w:sz w:val="32"/>
          <w:szCs w:val="32"/>
          <w:highlight w:val="none"/>
          <w:lang w:eastAsia="zh-CN"/>
        </w:rPr>
        <w:t>项目产出、项目效益</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个二级指标</w:t>
      </w: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个</w:t>
      </w:r>
      <w:r>
        <w:rPr>
          <w:rFonts w:hint="eastAsia" w:ascii="仿宋_GB2312" w:hAnsi="仿宋_GB2312" w:eastAsia="仿宋_GB2312" w:cs="仿宋_GB2312"/>
          <w:b w:val="0"/>
          <w:bCs w:val="0"/>
          <w:color w:val="auto"/>
          <w:sz w:val="32"/>
          <w:szCs w:val="32"/>
          <w:highlight w:val="none"/>
        </w:rPr>
        <w:t>三级</w:t>
      </w:r>
      <w:r>
        <w:rPr>
          <w:rFonts w:hint="eastAsia" w:ascii="仿宋_GB2312" w:hAnsi="仿宋_GB2312" w:cs="仿宋_GB2312"/>
          <w:b w:val="0"/>
          <w:bCs w:val="0"/>
          <w:color w:val="auto"/>
          <w:sz w:val="32"/>
          <w:szCs w:val="32"/>
          <w:highlight w:val="none"/>
          <w:lang w:eastAsia="zh-CN"/>
        </w:rPr>
        <w:t>（含小四级指标）</w:t>
      </w:r>
      <w:r>
        <w:rPr>
          <w:rFonts w:hint="eastAsia" w:ascii="仿宋_GB2312" w:hAnsi="仿宋_GB2312" w:eastAsia="仿宋_GB2312" w:cs="仿宋_GB2312"/>
          <w:b w:val="0"/>
          <w:bCs w:val="0"/>
          <w:color w:val="auto"/>
          <w:sz w:val="32"/>
          <w:szCs w:val="32"/>
          <w:highlight w:val="none"/>
        </w:rPr>
        <w:t>指标。部门绩效满分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分，经评分本项得分</w:t>
      </w:r>
      <w:r>
        <w:rPr>
          <w:rFonts w:hint="default" w:ascii="Times New Roman" w:hAnsi="Times New Roman" w:cs="Times New Roman"/>
          <w:b w:val="0"/>
          <w:bCs w:val="0"/>
          <w:color w:val="auto"/>
          <w:sz w:val="32"/>
          <w:szCs w:val="32"/>
          <w:highlight w:val="none"/>
          <w:lang w:val="en-US" w:eastAsia="zh-CN"/>
        </w:rPr>
        <w:t>60</w:t>
      </w:r>
      <w:r>
        <w:rPr>
          <w:rFonts w:hint="eastAsia" w:ascii="仿宋_GB2312" w:hAnsi="仿宋_GB2312" w:eastAsia="仿宋_GB2312" w:cs="仿宋_GB2312"/>
          <w:b w:val="0"/>
          <w:bCs w:val="0"/>
          <w:color w:val="auto"/>
          <w:sz w:val="32"/>
          <w:szCs w:val="32"/>
          <w:highlight w:val="none"/>
        </w:rPr>
        <w:t>分。</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cs="仿宋_GB2312"/>
          <w:b w:val="0"/>
          <w:bCs w:val="0"/>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1</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产出”满分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kinsoku/>
        <w:wordWrap/>
        <w:overflowPunct/>
        <w:topLinePunct/>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二级指标“</w:t>
      </w:r>
      <w:r>
        <w:rPr>
          <w:rFonts w:hint="eastAsia" w:ascii="仿宋_GB2312" w:hAnsi="仿宋_GB2312" w:cs="仿宋_GB2312"/>
          <w:b w:val="0"/>
          <w:bCs w:val="0"/>
          <w:color w:val="auto"/>
          <w:sz w:val="32"/>
          <w:szCs w:val="32"/>
          <w:highlight w:val="none"/>
          <w:lang w:eastAsia="zh-CN"/>
        </w:rPr>
        <w:t>项目效益</w:t>
      </w:r>
      <w:r>
        <w:rPr>
          <w:rFonts w:hint="eastAsia" w:ascii="仿宋_GB2312" w:hAnsi="仿宋_GB2312" w:eastAsia="仿宋_GB2312" w:cs="仿宋_GB2312"/>
          <w:b w:val="0"/>
          <w:bCs w:val="0"/>
          <w:color w:val="auto"/>
          <w:sz w:val="32"/>
          <w:szCs w:val="32"/>
          <w:highlight w:val="none"/>
        </w:rPr>
        <w:t>”满分</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分，自评得分为</w:t>
      </w:r>
      <w:r>
        <w:rPr>
          <w:rFonts w:hint="default" w:ascii="Times New Roman" w:hAnsi="Times New Roman" w:cs="Times New Roman"/>
          <w:b w:val="0"/>
          <w:bCs w:val="0"/>
          <w:color w:val="auto"/>
          <w:sz w:val="32"/>
          <w:szCs w:val="32"/>
          <w:highlight w:val="none"/>
          <w:lang w:val="en-US" w:eastAsia="zh-CN"/>
        </w:rPr>
        <w:t>30</w:t>
      </w:r>
      <w:r>
        <w:rPr>
          <w:rFonts w:hint="eastAsia" w:ascii="仿宋_GB2312" w:hAnsi="仿宋_GB2312" w:eastAsia="仿宋_GB2312" w:cs="仿宋_GB2312"/>
          <w:b w:val="0"/>
          <w:bCs w:val="0"/>
          <w:color w:val="auto"/>
          <w:sz w:val="32"/>
          <w:szCs w:val="32"/>
          <w:highlight w:val="none"/>
        </w:rPr>
        <w:t>分</w:t>
      </w:r>
      <w:r>
        <w:rPr>
          <w:rFonts w:hint="eastAsia" w:ascii="仿宋_GB2312" w:hAnsi="仿宋_GB2312" w:cs="仿宋_GB2312"/>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三、偏离绩效目标的原因和下一步改进措施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确保医疗保障信息系统正常运转，加大监管力度，提升医保经办服务能力，积极宣传医疗保障相关政策，提高服务对象满意度。</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存在问题如下：</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人员配备不足、监管措施落实不充分。推行预算绩效管理以来，切实发挥绩效目标在全流程管理中的基础作用，以制度引导绩效，确保预算绩效管理规范有序。但由于预算绩效管理工作从业人员配备不足，存在即是裁判员又是运动员的情况，跟踪监管、内控建设等工作缺少稳步安全运行的基础。</w:t>
      </w:r>
    </w:p>
    <w:p>
      <w:pPr>
        <w:keepNext w:val="0"/>
        <w:keepLines w:val="0"/>
        <w:pageBreakBefore w:val="0"/>
        <w:widowControl/>
        <w:kinsoku/>
        <w:wordWrap/>
        <w:overflowPunct/>
        <w:topLinePunct w:val="0"/>
        <w:autoSpaceDE/>
        <w:autoSpaceDN/>
        <w:bidi w:val="0"/>
        <w:adjustRightInd/>
        <w:spacing w:line="560" w:lineRule="exact"/>
        <w:ind w:firstLine="632" w:firstLineChars="200"/>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昆明市东川区医疗保障局下一步将</w:t>
      </w:r>
      <w:r>
        <w:rPr>
          <w:rFonts w:hint="eastAsia" w:ascii="仿宋_GB2312" w:hAnsi="仿宋_GB2312" w:cs="仿宋_GB2312"/>
          <w:b w:val="0"/>
          <w:bCs w:val="0"/>
          <w:snapToGrid w:val="0"/>
          <w:color w:val="auto"/>
          <w:kern w:val="0"/>
          <w:sz w:val="32"/>
          <w:szCs w:val="32"/>
          <w:highlight w:val="none"/>
          <w:lang w:eastAsia="zh-CN"/>
        </w:rPr>
        <w:t>继续</w:t>
      </w:r>
      <w:r>
        <w:rPr>
          <w:rFonts w:hint="eastAsia" w:ascii="仿宋_GB2312" w:hAnsi="仿宋_GB2312" w:eastAsia="仿宋_GB2312" w:cs="仿宋_GB2312"/>
          <w:b w:val="0"/>
          <w:bCs w:val="0"/>
          <w:snapToGrid w:val="0"/>
          <w:color w:val="auto"/>
          <w:kern w:val="0"/>
          <w:sz w:val="32"/>
          <w:szCs w:val="32"/>
          <w:highlight w:val="none"/>
        </w:rPr>
        <w:t>做好资金的使用跟踪，完善制度的建设，规范管理专项资金，确保资金的安全及有效运行。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四、绩效自评结果拟应用和公开情况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根据自评材料，按照既定的绩效指标评价体系和评分标准，</w:t>
      </w:r>
      <w:r>
        <w:rPr>
          <w:rFonts w:hint="default" w:ascii="Times New Roman" w:hAnsi="Times New Roman" w:eastAsia="仿宋_GB2312" w:cs="Times New Roman"/>
          <w:color w:val="auto"/>
          <w:sz w:val="32"/>
          <w:szCs w:val="32"/>
          <w:highlight w:val="none"/>
          <w:lang w:val="zh-CN"/>
        </w:rPr>
        <w:t>202</w:t>
      </w:r>
      <w:r>
        <w:rPr>
          <w:rFonts w:hint="default" w:ascii="Times New Roman" w:hAnsi="Times New Roman"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zh-CN"/>
        </w:rPr>
        <w:t>年度</w:t>
      </w:r>
      <w:r>
        <w:rPr>
          <w:rFonts w:hint="eastAsia" w:ascii="仿宋_GB2312" w:hAnsi="仿宋_GB2312" w:cs="仿宋_GB2312"/>
          <w:color w:val="auto"/>
          <w:sz w:val="32"/>
          <w:szCs w:val="32"/>
          <w:highlight w:val="none"/>
          <w:lang w:val="zh-CN"/>
        </w:rPr>
        <w:t>医疗服务与保障能力提升补助专项资金</w:t>
      </w:r>
      <w:r>
        <w:rPr>
          <w:rFonts w:hint="eastAsia" w:ascii="仿宋_GB2312" w:hAnsi="仿宋_GB2312" w:eastAsia="仿宋_GB2312" w:cs="仿宋_GB2312"/>
          <w:color w:val="auto"/>
          <w:sz w:val="32"/>
          <w:szCs w:val="32"/>
          <w:highlight w:val="none"/>
          <w:lang w:val="zh-CN"/>
        </w:rPr>
        <w:t>绩效评价得分为</w:t>
      </w:r>
      <w:r>
        <w:rPr>
          <w:rFonts w:hint="eastAsia"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zh-CN"/>
        </w:rPr>
        <w:t>分，评价结果为优。从整体看绩效目标明确，各项工作开展完成情况良好。</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昆明市东川区医疗保障局将及时在东川区“政府门户”网站公开绩效自评结果。</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五、其他需要说明的问题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昆明市东川区医疗保障局</w:t>
      </w:r>
      <w:r>
        <w:rPr>
          <w:rFonts w:hint="eastAsia" w:ascii="仿宋_GB2312" w:hAnsi="仿宋_GB2312" w:eastAsia="仿宋_GB2312" w:cs="仿宋_GB2312"/>
          <w:color w:val="auto"/>
          <w:kern w:val="2"/>
          <w:sz w:val="32"/>
          <w:szCs w:val="32"/>
          <w:highlight w:val="none"/>
          <w:lang w:val="en-US" w:eastAsia="zh-CN" w:bidi="ar-SA"/>
        </w:rPr>
        <w:t>无其他需要说明的问题。</w:t>
      </w:r>
    </w:p>
    <w:p>
      <w:pPr>
        <w:keepNext w:val="0"/>
        <w:keepLines w:val="0"/>
        <w:pageBreakBefore w:val="0"/>
        <w:kinsoku/>
        <w:wordWrap/>
        <w:overflowPunct/>
        <w:topLinePunct/>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rPr>
      </w:pPr>
      <w:bookmarkStart w:id="0" w:name="_GoBack"/>
      <w:bookmarkEnd w:id="0"/>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kinsoku/>
        <w:wordWrap/>
        <w:overflowPunct/>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昆明市东川区</w:t>
      </w:r>
      <w:r>
        <w:rPr>
          <w:rFonts w:hint="eastAsia" w:ascii="仿宋_GB2312" w:hAnsi="仿宋_GB2312" w:eastAsia="仿宋_GB2312" w:cs="仿宋_GB2312"/>
          <w:b w:val="0"/>
          <w:bCs w:val="0"/>
          <w:color w:val="auto"/>
          <w:sz w:val="32"/>
          <w:szCs w:val="32"/>
          <w:highlight w:val="none"/>
          <w:lang w:eastAsia="zh-CN"/>
        </w:rPr>
        <w:t>医疗保障局</w:t>
      </w:r>
    </w:p>
    <w:p>
      <w:pPr>
        <w:keepNext w:val="0"/>
        <w:keepLines w:val="0"/>
        <w:pageBreakBefore w:val="0"/>
        <w:kinsoku/>
        <w:wordWrap/>
        <w:overflowPunct/>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20</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年</w:t>
      </w:r>
      <w:r>
        <w:rPr>
          <w:rFonts w:hint="default" w:ascii="Times New Roman" w:hAnsi="Times New Roman"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default" w:ascii="Times New Roman" w:hAnsi="Times New Roman" w:cs="Times New Roman"/>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日</w:t>
      </w:r>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ind w:righ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15</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00" w:right="360" w:firstLine="360"/>
      <w:rPr>
        <w:sz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ind w:left="335"/>
                  <w:rPr>
                    <w:rStyle w:val="12"/>
                    <w:rFonts w:ascii="宋体" w:hAnsi="宋体" w:eastAsia="宋体"/>
                    <w:sz w:val="28"/>
                  </w:rPr>
                </w:pPr>
                <w:r>
                  <w:rPr>
                    <w:rStyle w:val="12"/>
                    <w:rFonts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16</w:t>
                </w:r>
                <w:r>
                  <w:rPr>
                    <w:rStyle w:val="12"/>
                    <w:rFonts w:ascii="宋体" w:hAnsi="宋体" w:eastAsia="宋体"/>
                    <w:sz w:val="28"/>
                  </w:rPr>
                  <w:fldChar w:fldCharType="end"/>
                </w:r>
                <w:r>
                  <w:rPr>
                    <w:rStyle w:val="12"/>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0E6D"/>
    <w:rsid w:val="00002E28"/>
    <w:rsid w:val="00006A98"/>
    <w:rsid w:val="0001706E"/>
    <w:rsid w:val="00022680"/>
    <w:rsid w:val="000233B4"/>
    <w:rsid w:val="00026E7A"/>
    <w:rsid w:val="00031386"/>
    <w:rsid w:val="0004183B"/>
    <w:rsid w:val="00043944"/>
    <w:rsid w:val="00053CDD"/>
    <w:rsid w:val="00055E22"/>
    <w:rsid w:val="0005706F"/>
    <w:rsid w:val="00061B34"/>
    <w:rsid w:val="000667E3"/>
    <w:rsid w:val="000709CA"/>
    <w:rsid w:val="00073C11"/>
    <w:rsid w:val="00074AB3"/>
    <w:rsid w:val="00081929"/>
    <w:rsid w:val="00083B97"/>
    <w:rsid w:val="0008500E"/>
    <w:rsid w:val="00085C25"/>
    <w:rsid w:val="000874D7"/>
    <w:rsid w:val="000968BF"/>
    <w:rsid w:val="000A0A5F"/>
    <w:rsid w:val="000A6CE9"/>
    <w:rsid w:val="000B10C3"/>
    <w:rsid w:val="000B40EF"/>
    <w:rsid w:val="000C02B3"/>
    <w:rsid w:val="000C0F63"/>
    <w:rsid w:val="000C2A01"/>
    <w:rsid w:val="000C6A55"/>
    <w:rsid w:val="000D0079"/>
    <w:rsid w:val="000D1ABA"/>
    <w:rsid w:val="000E2175"/>
    <w:rsid w:val="000E327D"/>
    <w:rsid w:val="000E4635"/>
    <w:rsid w:val="000E4DEC"/>
    <w:rsid w:val="000E57AE"/>
    <w:rsid w:val="000F0DDC"/>
    <w:rsid w:val="000F20FF"/>
    <w:rsid w:val="000F2D14"/>
    <w:rsid w:val="000F2E4E"/>
    <w:rsid w:val="000F536B"/>
    <w:rsid w:val="000F7D42"/>
    <w:rsid w:val="001001D1"/>
    <w:rsid w:val="0010785A"/>
    <w:rsid w:val="00112694"/>
    <w:rsid w:val="00112882"/>
    <w:rsid w:val="00115F4D"/>
    <w:rsid w:val="00126F12"/>
    <w:rsid w:val="001342B0"/>
    <w:rsid w:val="00135572"/>
    <w:rsid w:val="00135F6A"/>
    <w:rsid w:val="0013625A"/>
    <w:rsid w:val="00146AB5"/>
    <w:rsid w:val="001534B8"/>
    <w:rsid w:val="00155091"/>
    <w:rsid w:val="00167969"/>
    <w:rsid w:val="00171B5D"/>
    <w:rsid w:val="00176B24"/>
    <w:rsid w:val="001776A1"/>
    <w:rsid w:val="00180E74"/>
    <w:rsid w:val="00181416"/>
    <w:rsid w:val="00185A5A"/>
    <w:rsid w:val="00197124"/>
    <w:rsid w:val="001A0D06"/>
    <w:rsid w:val="001A4BBC"/>
    <w:rsid w:val="001B1731"/>
    <w:rsid w:val="001B5425"/>
    <w:rsid w:val="001B78BB"/>
    <w:rsid w:val="001C242D"/>
    <w:rsid w:val="001D2295"/>
    <w:rsid w:val="001F49B2"/>
    <w:rsid w:val="001F5E8A"/>
    <w:rsid w:val="002021EA"/>
    <w:rsid w:val="00207B52"/>
    <w:rsid w:val="00215037"/>
    <w:rsid w:val="002164BD"/>
    <w:rsid w:val="002309FB"/>
    <w:rsid w:val="00231FEF"/>
    <w:rsid w:val="00232238"/>
    <w:rsid w:val="00236F6F"/>
    <w:rsid w:val="00240741"/>
    <w:rsid w:val="002447F1"/>
    <w:rsid w:val="00256325"/>
    <w:rsid w:val="0025740A"/>
    <w:rsid w:val="00260330"/>
    <w:rsid w:val="00260A38"/>
    <w:rsid w:val="00262DE3"/>
    <w:rsid w:val="0027333E"/>
    <w:rsid w:val="002738DD"/>
    <w:rsid w:val="002850E1"/>
    <w:rsid w:val="0028678C"/>
    <w:rsid w:val="00294E22"/>
    <w:rsid w:val="00294EE5"/>
    <w:rsid w:val="002A2DBC"/>
    <w:rsid w:val="002A3E2F"/>
    <w:rsid w:val="002C00B8"/>
    <w:rsid w:val="002C04C9"/>
    <w:rsid w:val="002C47A7"/>
    <w:rsid w:val="002C7B95"/>
    <w:rsid w:val="002D0675"/>
    <w:rsid w:val="002D3574"/>
    <w:rsid w:val="002E16E3"/>
    <w:rsid w:val="002E1817"/>
    <w:rsid w:val="002F701A"/>
    <w:rsid w:val="00301902"/>
    <w:rsid w:val="003020C6"/>
    <w:rsid w:val="00304EEE"/>
    <w:rsid w:val="00310BA0"/>
    <w:rsid w:val="00315DF3"/>
    <w:rsid w:val="00316E83"/>
    <w:rsid w:val="00317D49"/>
    <w:rsid w:val="003209BE"/>
    <w:rsid w:val="00320A77"/>
    <w:rsid w:val="00321744"/>
    <w:rsid w:val="00326530"/>
    <w:rsid w:val="00332A8E"/>
    <w:rsid w:val="0034543D"/>
    <w:rsid w:val="00352C3A"/>
    <w:rsid w:val="00355F9D"/>
    <w:rsid w:val="0035680E"/>
    <w:rsid w:val="0036040D"/>
    <w:rsid w:val="00365BFD"/>
    <w:rsid w:val="00366F22"/>
    <w:rsid w:val="003721CE"/>
    <w:rsid w:val="0037326A"/>
    <w:rsid w:val="00374C7B"/>
    <w:rsid w:val="00386252"/>
    <w:rsid w:val="00393AB7"/>
    <w:rsid w:val="0039440A"/>
    <w:rsid w:val="003A0C60"/>
    <w:rsid w:val="003A51ED"/>
    <w:rsid w:val="003B186F"/>
    <w:rsid w:val="003B19F6"/>
    <w:rsid w:val="003B20E7"/>
    <w:rsid w:val="003B44D0"/>
    <w:rsid w:val="003B609C"/>
    <w:rsid w:val="003B651F"/>
    <w:rsid w:val="003C1927"/>
    <w:rsid w:val="003D2002"/>
    <w:rsid w:val="003D2214"/>
    <w:rsid w:val="003D3F92"/>
    <w:rsid w:val="003D54EA"/>
    <w:rsid w:val="003F15F1"/>
    <w:rsid w:val="003F5D7D"/>
    <w:rsid w:val="003F7768"/>
    <w:rsid w:val="00414B0C"/>
    <w:rsid w:val="004158FE"/>
    <w:rsid w:val="00416A73"/>
    <w:rsid w:val="00416DB0"/>
    <w:rsid w:val="00441E1F"/>
    <w:rsid w:val="00443AFE"/>
    <w:rsid w:val="0044547C"/>
    <w:rsid w:val="00445E6D"/>
    <w:rsid w:val="00450C81"/>
    <w:rsid w:val="00451C23"/>
    <w:rsid w:val="004540BA"/>
    <w:rsid w:val="00454D22"/>
    <w:rsid w:val="0045599E"/>
    <w:rsid w:val="00463CBD"/>
    <w:rsid w:val="00466181"/>
    <w:rsid w:val="00470EA5"/>
    <w:rsid w:val="00476BB6"/>
    <w:rsid w:val="0048484B"/>
    <w:rsid w:val="004A1429"/>
    <w:rsid w:val="004A4350"/>
    <w:rsid w:val="004A75E5"/>
    <w:rsid w:val="004B2E49"/>
    <w:rsid w:val="004B7A2C"/>
    <w:rsid w:val="004C18E9"/>
    <w:rsid w:val="004C50EA"/>
    <w:rsid w:val="004C62CD"/>
    <w:rsid w:val="004D70DB"/>
    <w:rsid w:val="004E1416"/>
    <w:rsid w:val="004E5EBC"/>
    <w:rsid w:val="004F11EF"/>
    <w:rsid w:val="00501021"/>
    <w:rsid w:val="00503FA2"/>
    <w:rsid w:val="00504218"/>
    <w:rsid w:val="00511BD5"/>
    <w:rsid w:val="0051417D"/>
    <w:rsid w:val="00517539"/>
    <w:rsid w:val="005272AD"/>
    <w:rsid w:val="00532B05"/>
    <w:rsid w:val="0053301E"/>
    <w:rsid w:val="00533ACB"/>
    <w:rsid w:val="00535CA3"/>
    <w:rsid w:val="005436F4"/>
    <w:rsid w:val="005456D8"/>
    <w:rsid w:val="00547454"/>
    <w:rsid w:val="00547813"/>
    <w:rsid w:val="00547D91"/>
    <w:rsid w:val="00551AEB"/>
    <w:rsid w:val="00552B3A"/>
    <w:rsid w:val="005530A0"/>
    <w:rsid w:val="0055335F"/>
    <w:rsid w:val="00554C20"/>
    <w:rsid w:val="00556F57"/>
    <w:rsid w:val="0055784C"/>
    <w:rsid w:val="00560C6A"/>
    <w:rsid w:val="0056560F"/>
    <w:rsid w:val="005712B9"/>
    <w:rsid w:val="00573DAF"/>
    <w:rsid w:val="00583AA4"/>
    <w:rsid w:val="00583CA8"/>
    <w:rsid w:val="00585731"/>
    <w:rsid w:val="00587D66"/>
    <w:rsid w:val="0059061E"/>
    <w:rsid w:val="005969F0"/>
    <w:rsid w:val="00596EAF"/>
    <w:rsid w:val="005A1730"/>
    <w:rsid w:val="005B05E9"/>
    <w:rsid w:val="005B6ED8"/>
    <w:rsid w:val="005C0D4A"/>
    <w:rsid w:val="005C1E91"/>
    <w:rsid w:val="005C3612"/>
    <w:rsid w:val="005C5722"/>
    <w:rsid w:val="005C72EA"/>
    <w:rsid w:val="005D0EA8"/>
    <w:rsid w:val="005D1F7C"/>
    <w:rsid w:val="005E1439"/>
    <w:rsid w:val="005E4D4E"/>
    <w:rsid w:val="005F29A1"/>
    <w:rsid w:val="006011AF"/>
    <w:rsid w:val="0060381D"/>
    <w:rsid w:val="0060440F"/>
    <w:rsid w:val="0060590E"/>
    <w:rsid w:val="00610452"/>
    <w:rsid w:val="00615B3B"/>
    <w:rsid w:val="00620BDF"/>
    <w:rsid w:val="00623770"/>
    <w:rsid w:val="006301B9"/>
    <w:rsid w:val="006305BA"/>
    <w:rsid w:val="00634A37"/>
    <w:rsid w:val="0064758B"/>
    <w:rsid w:val="00654008"/>
    <w:rsid w:val="00657BF5"/>
    <w:rsid w:val="00660F21"/>
    <w:rsid w:val="00662BAF"/>
    <w:rsid w:val="0066328D"/>
    <w:rsid w:val="00663C57"/>
    <w:rsid w:val="0067583F"/>
    <w:rsid w:val="00684F23"/>
    <w:rsid w:val="00684FB2"/>
    <w:rsid w:val="00691838"/>
    <w:rsid w:val="006932B0"/>
    <w:rsid w:val="006A0D1C"/>
    <w:rsid w:val="006A1F81"/>
    <w:rsid w:val="006A2BFB"/>
    <w:rsid w:val="006A4479"/>
    <w:rsid w:val="006A6EB6"/>
    <w:rsid w:val="006B11BB"/>
    <w:rsid w:val="006C210B"/>
    <w:rsid w:val="006C3272"/>
    <w:rsid w:val="006C4437"/>
    <w:rsid w:val="006E5519"/>
    <w:rsid w:val="006F0D51"/>
    <w:rsid w:val="006F1CBE"/>
    <w:rsid w:val="006F3483"/>
    <w:rsid w:val="006F37CA"/>
    <w:rsid w:val="0070331B"/>
    <w:rsid w:val="00704826"/>
    <w:rsid w:val="00704DF1"/>
    <w:rsid w:val="00710B71"/>
    <w:rsid w:val="00711838"/>
    <w:rsid w:val="00713FA6"/>
    <w:rsid w:val="007154ED"/>
    <w:rsid w:val="0071564C"/>
    <w:rsid w:val="00724F2A"/>
    <w:rsid w:val="00731523"/>
    <w:rsid w:val="007347E8"/>
    <w:rsid w:val="00736FAB"/>
    <w:rsid w:val="00752484"/>
    <w:rsid w:val="00767A70"/>
    <w:rsid w:val="007740E0"/>
    <w:rsid w:val="00775808"/>
    <w:rsid w:val="007800E4"/>
    <w:rsid w:val="00780202"/>
    <w:rsid w:val="00793A2D"/>
    <w:rsid w:val="007A3BA1"/>
    <w:rsid w:val="007B37E0"/>
    <w:rsid w:val="007C0276"/>
    <w:rsid w:val="007D3CA3"/>
    <w:rsid w:val="007D7B29"/>
    <w:rsid w:val="007E48FF"/>
    <w:rsid w:val="007F24E4"/>
    <w:rsid w:val="007F5BD0"/>
    <w:rsid w:val="007F6AAF"/>
    <w:rsid w:val="00801F63"/>
    <w:rsid w:val="008030B0"/>
    <w:rsid w:val="0080354F"/>
    <w:rsid w:val="00805C8C"/>
    <w:rsid w:val="00810A2A"/>
    <w:rsid w:val="008123C9"/>
    <w:rsid w:val="008147E7"/>
    <w:rsid w:val="00826FB5"/>
    <w:rsid w:val="008273F9"/>
    <w:rsid w:val="008309FB"/>
    <w:rsid w:val="0083595C"/>
    <w:rsid w:val="008452A9"/>
    <w:rsid w:val="00850BF7"/>
    <w:rsid w:val="008525A4"/>
    <w:rsid w:val="0086384F"/>
    <w:rsid w:val="00864A2E"/>
    <w:rsid w:val="00865719"/>
    <w:rsid w:val="008671CF"/>
    <w:rsid w:val="00867D1B"/>
    <w:rsid w:val="0087128F"/>
    <w:rsid w:val="00872C26"/>
    <w:rsid w:val="008740CE"/>
    <w:rsid w:val="00880D51"/>
    <w:rsid w:val="00882234"/>
    <w:rsid w:val="00885932"/>
    <w:rsid w:val="00894054"/>
    <w:rsid w:val="00894BC7"/>
    <w:rsid w:val="00896C1C"/>
    <w:rsid w:val="008A0728"/>
    <w:rsid w:val="008A0FF1"/>
    <w:rsid w:val="008B0CFF"/>
    <w:rsid w:val="008B72D4"/>
    <w:rsid w:val="008C0B46"/>
    <w:rsid w:val="008C3230"/>
    <w:rsid w:val="008C56FC"/>
    <w:rsid w:val="008D4DFD"/>
    <w:rsid w:val="008E6F9E"/>
    <w:rsid w:val="008F0971"/>
    <w:rsid w:val="008F1FAB"/>
    <w:rsid w:val="008F3154"/>
    <w:rsid w:val="008F4A06"/>
    <w:rsid w:val="009007D9"/>
    <w:rsid w:val="009049D1"/>
    <w:rsid w:val="00905FD7"/>
    <w:rsid w:val="009141BF"/>
    <w:rsid w:val="009156B6"/>
    <w:rsid w:val="00927B11"/>
    <w:rsid w:val="0093272B"/>
    <w:rsid w:val="009416C0"/>
    <w:rsid w:val="0094751B"/>
    <w:rsid w:val="009511E2"/>
    <w:rsid w:val="00956F1A"/>
    <w:rsid w:val="00960202"/>
    <w:rsid w:val="00965B47"/>
    <w:rsid w:val="00970FC9"/>
    <w:rsid w:val="00971ACC"/>
    <w:rsid w:val="00971E3B"/>
    <w:rsid w:val="0097588C"/>
    <w:rsid w:val="00981092"/>
    <w:rsid w:val="00984AA9"/>
    <w:rsid w:val="009850D6"/>
    <w:rsid w:val="00990653"/>
    <w:rsid w:val="009A3F73"/>
    <w:rsid w:val="009A7BD2"/>
    <w:rsid w:val="009B1D6B"/>
    <w:rsid w:val="009B3504"/>
    <w:rsid w:val="009B39E9"/>
    <w:rsid w:val="009B709C"/>
    <w:rsid w:val="009C2E24"/>
    <w:rsid w:val="009C3064"/>
    <w:rsid w:val="009C3142"/>
    <w:rsid w:val="009C3197"/>
    <w:rsid w:val="009D17A6"/>
    <w:rsid w:val="009D5919"/>
    <w:rsid w:val="009D5993"/>
    <w:rsid w:val="009D5C6F"/>
    <w:rsid w:val="009E07A7"/>
    <w:rsid w:val="009E43A8"/>
    <w:rsid w:val="009E48D8"/>
    <w:rsid w:val="009E4F0E"/>
    <w:rsid w:val="00A01571"/>
    <w:rsid w:val="00A032C7"/>
    <w:rsid w:val="00A11CBD"/>
    <w:rsid w:val="00A120F7"/>
    <w:rsid w:val="00A15270"/>
    <w:rsid w:val="00A24155"/>
    <w:rsid w:val="00A2619A"/>
    <w:rsid w:val="00A262D5"/>
    <w:rsid w:val="00A27DBA"/>
    <w:rsid w:val="00A42F87"/>
    <w:rsid w:val="00A449C0"/>
    <w:rsid w:val="00A45A91"/>
    <w:rsid w:val="00A51BA5"/>
    <w:rsid w:val="00A52155"/>
    <w:rsid w:val="00A5366A"/>
    <w:rsid w:val="00A56402"/>
    <w:rsid w:val="00A566DF"/>
    <w:rsid w:val="00A57692"/>
    <w:rsid w:val="00A64654"/>
    <w:rsid w:val="00A6785C"/>
    <w:rsid w:val="00A8457E"/>
    <w:rsid w:val="00A86C6B"/>
    <w:rsid w:val="00AA149B"/>
    <w:rsid w:val="00AA52D6"/>
    <w:rsid w:val="00AA5D6F"/>
    <w:rsid w:val="00AB23C9"/>
    <w:rsid w:val="00AB4CF2"/>
    <w:rsid w:val="00AB6099"/>
    <w:rsid w:val="00AC15AA"/>
    <w:rsid w:val="00AC2E72"/>
    <w:rsid w:val="00AC443F"/>
    <w:rsid w:val="00AD65FF"/>
    <w:rsid w:val="00AE53FC"/>
    <w:rsid w:val="00B008D9"/>
    <w:rsid w:val="00B02043"/>
    <w:rsid w:val="00B0220F"/>
    <w:rsid w:val="00B03898"/>
    <w:rsid w:val="00B04909"/>
    <w:rsid w:val="00B05A2A"/>
    <w:rsid w:val="00B076B3"/>
    <w:rsid w:val="00B1591B"/>
    <w:rsid w:val="00B163B6"/>
    <w:rsid w:val="00B21FEA"/>
    <w:rsid w:val="00B268F0"/>
    <w:rsid w:val="00B2738C"/>
    <w:rsid w:val="00B36735"/>
    <w:rsid w:val="00B4331A"/>
    <w:rsid w:val="00B54619"/>
    <w:rsid w:val="00B634FD"/>
    <w:rsid w:val="00B6766E"/>
    <w:rsid w:val="00B73295"/>
    <w:rsid w:val="00B8171D"/>
    <w:rsid w:val="00B84F41"/>
    <w:rsid w:val="00BA1A64"/>
    <w:rsid w:val="00BB3B3E"/>
    <w:rsid w:val="00BC4B0B"/>
    <w:rsid w:val="00BC60B5"/>
    <w:rsid w:val="00BC7CC4"/>
    <w:rsid w:val="00BD1B59"/>
    <w:rsid w:val="00BD6019"/>
    <w:rsid w:val="00BD705D"/>
    <w:rsid w:val="00BD7DE4"/>
    <w:rsid w:val="00BE64FF"/>
    <w:rsid w:val="00BF0916"/>
    <w:rsid w:val="00BF7471"/>
    <w:rsid w:val="00C008B5"/>
    <w:rsid w:val="00C01F37"/>
    <w:rsid w:val="00C11A8D"/>
    <w:rsid w:val="00C126D1"/>
    <w:rsid w:val="00C145B3"/>
    <w:rsid w:val="00C20AD0"/>
    <w:rsid w:val="00C21CDB"/>
    <w:rsid w:val="00C231C4"/>
    <w:rsid w:val="00C37EAF"/>
    <w:rsid w:val="00C40EC7"/>
    <w:rsid w:val="00C42B76"/>
    <w:rsid w:val="00C467A2"/>
    <w:rsid w:val="00C53EF7"/>
    <w:rsid w:val="00C57A85"/>
    <w:rsid w:val="00C647AA"/>
    <w:rsid w:val="00C65AA2"/>
    <w:rsid w:val="00C739B0"/>
    <w:rsid w:val="00C9033E"/>
    <w:rsid w:val="00C97FB8"/>
    <w:rsid w:val="00CA2E44"/>
    <w:rsid w:val="00CA444B"/>
    <w:rsid w:val="00CB449A"/>
    <w:rsid w:val="00CB4DE5"/>
    <w:rsid w:val="00CB6B18"/>
    <w:rsid w:val="00CC05C3"/>
    <w:rsid w:val="00CC0D5B"/>
    <w:rsid w:val="00CC37DE"/>
    <w:rsid w:val="00CD2387"/>
    <w:rsid w:val="00CD4BEE"/>
    <w:rsid w:val="00CE0AEF"/>
    <w:rsid w:val="00CE310F"/>
    <w:rsid w:val="00CE46BF"/>
    <w:rsid w:val="00CF6CF0"/>
    <w:rsid w:val="00D02DC6"/>
    <w:rsid w:val="00D0466E"/>
    <w:rsid w:val="00D05E7A"/>
    <w:rsid w:val="00D061E6"/>
    <w:rsid w:val="00D12548"/>
    <w:rsid w:val="00D16944"/>
    <w:rsid w:val="00D20768"/>
    <w:rsid w:val="00D20D0A"/>
    <w:rsid w:val="00D342D5"/>
    <w:rsid w:val="00D3518E"/>
    <w:rsid w:val="00D42FD7"/>
    <w:rsid w:val="00D4728C"/>
    <w:rsid w:val="00D56F02"/>
    <w:rsid w:val="00D60CF2"/>
    <w:rsid w:val="00D60F2D"/>
    <w:rsid w:val="00D611EB"/>
    <w:rsid w:val="00D660D1"/>
    <w:rsid w:val="00D70844"/>
    <w:rsid w:val="00D77134"/>
    <w:rsid w:val="00D813C4"/>
    <w:rsid w:val="00D8141D"/>
    <w:rsid w:val="00D84199"/>
    <w:rsid w:val="00D87244"/>
    <w:rsid w:val="00D95998"/>
    <w:rsid w:val="00D97F7D"/>
    <w:rsid w:val="00DB44E9"/>
    <w:rsid w:val="00DC2631"/>
    <w:rsid w:val="00DC4A87"/>
    <w:rsid w:val="00DD46DD"/>
    <w:rsid w:val="00DF0E82"/>
    <w:rsid w:val="00DF5044"/>
    <w:rsid w:val="00E01910"/>
    <w:rsid w:val="00E066E7"/>
    <w:rsid w:val="00E0768F"/>
    <w:rsid w:val="00E124FB"/>
    <w:rsid w:val="00E219E0"/>
    <w:rsid w:val="00E235C9"/>
    <w:rsid w:val="00E25150"/>
    <w:rsid w:val="00E34A9E"/>
    <w:rsid w:val="00E44E53"/>
    <w:rsid w:val="00E4785D"/>
    <w:rsid w:val="00E54591"/>
    <w:rsid w:val="00E554C0"/>
    <w:rsid w:val="00E60A47"/>
    <w:rsid w:val="00E627D0"/>
    <w:rsid w:val="00E6372A"/>
    <w:rsid w:val="00E63FBB"/>
    <w:rsid w:val="00E75F2E"/>
    <w:rsid w:val="00E8471F"/>
    <w:rsid w:val="00E86972"/>
    <w:rsid w:val="00EA6877"/>
    <w:rsid w:val="00EB1222"/>
    <w:rsid w:val="00EB546F"/>
    <w:rsid w:val="00EB5E95"/>
    <w:rsid w:val="00EC756F"/>
    <w:rsid w:val="00ED4E2D"/>
    <w:rsid w:val="00ED6C37"/>
    <w:rsid w:val="00EE5BA9"/>
    <w:rsid w:val="00EE6832"/>
    <w:rsid w:val="00EE7BAE"/>
    <w:rsid w:val="00EF2828"/>
    <w:rsid w:val="00F021E1"/>
    <w:rsid w:val="00F02593"/>
    <w:rsid w:val="00F04486"/>
    <w:rsid w:val="00F06C38"/>
    <w:rsid w:val="00F17CAB"/>
    <w:rsid w:val="00F2210C"/>
    <w:rsid w:val="00F24665"/>
    <w:rsid w:val="00F25248"/>
    <w:rsid w:val="00F302EF"/>
    <w:rsid w:val="00F40020"/>
    <w:rsid w:val="00F424AA"/>
    <w:rsid w:val="00F52240"/>
    <w:rsid w:val="00F525BE"/>
    <w:rsid w:val="00F57C08"/>
    <w:rsid w:val="00F606B3"/>
    <w:rsid w:val="00F613AB"/>
    <w:rsid w:val="00F62808"/>
    <w:rsid w:val="00F73C06"/>
    <w:rsid w:val="00F8142A"/>
    <w:rsid w:val="00F8179E"/>
    <w:rsid w:val="00F97A16"/>
    <w:rsid w:val="00FA1056"/>
    <w:rsid w:val="00FA44EA"/>
    <w:rsid w:val="00FA691B"/>
    <w:rsid w:val="00FB0339"/>
    <w:rsid w:val="00FB036F"/>
    <w:rsid w:val="00FB26F1"/>
    <w:rsid w:val="00FB3310"/>
    <w:rsid w:val="00FC2270"/>
    <w:rsid w:val="00FD22FA"/>
    <w:rsid w:val="00FD248E"/>
    <w:rsid w:val="00FD422F"/>
    <w:rsid w:val="00FE4B81"/>
    <w:rsid w:val="00FF368B"/>
    <w:rsid w:val="01D202EA"/>
    <w:rsid w:val="029600AF"/>
    <w:rsid w:val="075730B2"/>
    <w:rsid w:val="079B2F21"/>
    <w:rsid w:val="09C115E3"/>
    <w:rsid w:val="0A1B7E59"/>
    <w:rsid w:val="0A346E57"/>
    <w:rsid w:val="0BEF60F1"/>
    <w:rsid w:val="0D3F05D1"/>
    <w:rsid w:val="0E9E0539"/>
    <w:rsid w:val="0F916464"/>
    <w:rsid w:val="10BB07D4"/>
    <w:rsid w:val="139B620C"/>
    <w:rsid w:val="13AB43C9"/>
    <w:rsid w:val="14500A59"/>
    <w:rsid w:val="145D6BC3"/>
    <w:rsid w:val="149B2EE8"/>
    <w:rsid w:val="15D0044B"/>
    <w:rsid w:val="1A94418C"/>
    <w:rsid w:val="1CA81D0B"/>
    <w:rsid w:val="1FE0245C"/>
    <w:rsid w:val="234B0A4E"/>
    <w:rsid w:val="24C95675"/>
    <w:rsid w:val="262C3DF3"/>
    <w:rsid w:val="2A325FDC"/>
    <w:rsid w:val="2DDB4434"/>
    <w:rsid w:val="2E2325F8"/>
    <w:rsid w:val="2F9202B1"/>
    <w:rsid w:val="30665A00"/>
    <w:rsid w:val="308C4AC3"/>
    <w:rsid w:val="31D9592F"/>
    <w:rsid w:val="32780617"/>
    <w:rsid w:val="330F3B0A"/>
    <w:rsid w:val="33BE1C27"/>
    <w:rsid w:val="369C15EF"/>
    <w:rsid w:val="375D209E"/>
    <w:rsid w:val="38C1437D"/>
    <w:rsid w:val="3A66436F"/>
    <w:rsid w:val="3F5E30A9"/>
    <w:rsid w:val="3F62595E"/>
    <w:rsid w:val="3FF32979"/>
    <w:rsid w:val="402B7C64"/>
    <w:rsid w:val="4109475E"/>
    <w:rsid w:val="4176348D"/>
    <w:rsid w:val="42A53AC2"/>
    <w:rsid w:val="44BE56F7"/>
    <w:rsid w:val="4663783D"/>
    <w:rsid w:val="46982D4B"/>
    <w:rsid w:val="48F22EEF"/>
    <w:rsid w:val="4A7F60A4"/>
    <w:rsid w:val="4D862EB7"/>
    <w:rsid w:val="4E556730"/>
    <w:rsid w:val="4F7370ED"/>
    <w:rsid w:val="4FAB610E"/>
    <w:rsid w:val="4FD221F1"/>
    <w:rsid w:val="504E7E66"/>
    <w:rsid w:val="52110942"/>
    <w:rsid w:val="57E068B3"/>
    <w:rsid w:val="580C5987"/>
    <w:rsid w:val="58442E0F"/>
    <w:rsid w:val="5A065ABC"/>
    <w:rsid w:val="5A2E0D64"/>
    <w:rsid w:val="5CE0009C"/>
    <w:rsid w:val="5D7774BF"/>
    <w:rsid w:val="5DD23A08"/>
    <w:rsid w:val="5F1028D2"/>
    <w:rsid w:val="600671BE"/>
    <w:rsid w:val="6015352C"/>
    <w:rsid w:val="607A2744"/>
    <w:rsid w:val="65690042"/>
    <w:rsid w:val="656F4043"/>
    <w:rsid w:val="659B5E74"/>
    <w:rsid w:val="661C62FC"/>
    <w:rsid w:val="69063171"/>
    <w:rsid w:val="6A2E5E1F"/>
    <w:rsid w:val="6B905BE1"/>
    <w:rsid w:val="6ED54555"/>
    <w:rsid w:val="754A345D"/>
    <w:rsid w:val="768E1385"/>
    <w:rsid w:val="773C1BAB"/>
    <w:rsid w:val="78843C42"/>
    <w:rsid w:val="7B1924F4"/>
    <w:rsid w:val="7DE10AFA"/>
    <w:rsid w:val="7FD11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9"/>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kern w:val="0"/>
      <w:sz w:val="18"/>
      <w:szCs w:val="18"/>
    </w:rPr>
  </w:style>
  <w:style w:type="paragraph" w:styleId="4">
    <w:name w:val="Body Text Indent"/>
    <w:basedOn w:val="1"/>
    <w:link w:val="17"/>
    <w:qFormat/>
    <w:uiPriority w:val="99"/>
    <w:pPr>
      <w:ind w:firstLine="632" w:firstLineChars="200"/>
    </w:pPr>
    <w:rPr>
      <w:kern w:val="0"/>
    </w:rPr>
  </w:style>
  <w:style w:type="paragraph" w:styleId="5">
    <w:name w:val="Plain Text"/>
    <w:basedOn w:val="1"/>
    <w:qFormat/>
    <w:uiPriority w:val="0"/>
    <w:rPr>
      <w:rFonts w:ascii="宋体" w:hAnsi="Courier New" w:cs="Courier New"/>
      <w:szCs w:val="21"/>
    </w:rPr>
  </w:style>
  <w:style w:type="paragraph" w:styleId="6">
    <w:name w:val="Date"/>
    <w:basedOn w:val="1"/>
    <w:next w:val="1"/>
    <w:link w:val="16"/>
    <w:qFormat/>
    <w:uiPriority w:val="99"/>
    <w:pPr>
      <w:ind w:left="100" w:leftChars="2500"/>
    </w:pPr>
    <w:rPr>
      <w:kern w:val="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Autospacing="1" w:afterAutospacing="1"/>
      <w:jc w:val="left"/>
    </w:pPr>
    <w:rPr>
      <w:rFonts w:ascii="Calibri" w:hAnsi="Calibri" w:eastAsia="宋体"/>
      <w:kern w:val="0"/>
      <w:sz w:val="24"/>
      <w:szCs w:val="24"/>
    </w:rPr>
  </w:style>
  <w:style w:type="character" w:styleId="11">
    <w:name w:val="Strong"/>
    <w:qFormat/>
    <w:locked/>
    <w:uiPriority w:val="99"/>
    <w:rPr>
      <w:rFonts w:cs="Times New Roman"/>
      <w:b/>
    </w:r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页眉 Char"/>
    <w:link w:val="7"/>
    <w:semiHidden/>
    <w:qFormat/>
    <w:uiPriority w:val="99"/>
    <w:rPr>
      <w:rFonts w:eastAsia="仿宋_GB2312"/>
      <w:sz w:val="18"/>
      <w:szCs w:val="18"/>
    </w:rPr>
  </w:style>
  <w:style w:type="character" w:customStyle="1" w:styleId="15">
    <w:name w:val="页脚 Char"/>
    <w:link w:val="2"/>
    <w:semiHidden/>
    <w:qFormat/>
    <w:uiPriority w:val="99"/>
    <w:rPr>
      <w:rFonts w:eastAsia="仿宋_GB2312"/>
      <w:sz w:val="18"/>
      <w:szCs w:val="18"/>
    </w:rPr>
  </w:style>
  <w:style w:type="character" w:customStyle="1" w:styleId="16">
    <w:name w:val="日期 Char"/>
    <w:link w:val="6"/>
    <w:semiHidden/>
    <w:qFormat/>
    <w:uiPriority w:val="99"/>
    <w:rPr>
      <w:rFonts w:eastAsia="仿宋_GB2312"/>
      <w:sz w:val="32"/>
      <w:szCs w:val="20"/>
    </w:rPr>
  </w:style>
  <w:style w:type="character" w:customStyle="1" w:styleId="17">
    <w:name w:val="正文文本缩进 Char"/>
    <w:link w:val="4"/>
    <w:semiHidden/>
    <w:qFormat/>
    <w:uiPriority w:val="99"/>
    <w:rPr>
      <w:rFonts w:eastAsia="仿宋_GB2312"/>
      <w:sz w:val="32"/>
      <w:szCs w:val="20"/>
    </w:rPr>
  </w:style>
  <w:style w:type="paragraph" w:customStyle="1" w:styleId="18">
    <w:name w:val="Char Char Char Char Char Char"/>
    <w:basedOn w:val="1"/>
    <w:qFormat/>
    <w:uiPriority w:val="99"/>
    <w:pPr>
      <w:adjustRightInd w:val="0"/>
    </w:pPr>
    <w:rPr>
      <w:rFonts w:ascii="Tahoma" w:hAnsi="Tahoma" w:eastAsia="宋体"/>
      <w:sz w:val="24"/>
    </w:rPr>
  </w:style>
  <w:style w:type="character" w:customStyle="1" w:styleId="19">
    <w:name w:val="标题 1 Char"/>
    <w:link w:val="3"/>
    <w:qFormat/>
    <w:uiPriority w:val="99"/>
    <w:rPr>
      <w:rFonts w:ascii="Calibri" w:hAnsi="Calibri" w:cs="Calibri"/>
      <w:b/>
      <w:bCs/>
      <w:kern w:val="44"/>
      <w:sz w:val="44"/>
      <w:szCs w:val="44"/>
    </w:rPr>
  </w:style>
  <w:style w:type="paragraph" w:customStyle="1" w:styleId="20">
    <w:name w:val="实施方案正文"/>
    <w:basedOn w:val="1"/>
    <w:qFormat/>
    <w:uiPriority w:val="99"/>
    <w:pPr>
      <w:ind w:firstLine="566" w:firstLineChars="202"/>
    </w:pPr>
    <w:rPr>
      <w:rFonts w:ascii="Calibri" w:hAnsi="Calibri" w:eastAsia="宋体"/>
      <w:sz w:val="21"/>
      <w:szCs w:val="28"/>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623"/>
      <w:jc w:val="left"/>
      <w:textAlignment w:val="baseline"/>
    </w:pPr>
    <w:rPr>
      <w:color w:val="000000"/>
      <w:kern w:val="0"/>
      <w:sz w:val="31"/>
      <w:u w:color="00000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18</Pages>
  <Words>1489</Words>
  <Characters>8488</Characters>
  <Lines>70</Lines>
  <Paragraphs>19</Paragraphs>
  <TotalTime>0</TotalTime>
  <ScaleCrop>false</ScaleCrop>
  <LinksUpToDate>false</LinksUpToDate>
  <CharactersWithSpaces>9958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英俊的红旅心</cp:lastModifiedBy>
  <cp:lastPrinted>2023-05-06T02:32:24Z</cp:lastPrinted>
  <dcterms:modified xsi:type="dcterms:W3CDTF">2023-05-06T02:32:25Z</dcterms:modified>
  <dc:title>益财会〔2002〕4号</dc:title>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