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昆明市东川区医疗保障局</w:t>
      </w:r>
      <w:r>
        <w:rPr>
          <w:rFonts w:hint="default" w:ascii="Times New Roman" w:hAnsi="Times New Roman" w:eastAsia="方正小标宋_GBK" w:cs="Times New Roman"/>
          <w:color w:val="auto"/>
          <w:sz w:val="44"/>
          <w:szCs w:val="44"/>
          <w:highlight w:val="none"/>
          <w:lang w:val="en-US" w:eastAsia="zh-CN"/>
        </w:rPr>
        <w:t>2022</w:t>
      </w:r>
      <w:r>
        <w:rPr>
          <w:rFonts w:hint="eastAsia" w:ascii="方正小标宋_GBK" w:hAnsi="方正小标宋_GBK" w:eastAsia="方正小标宋_GBK" w:cs="方正小标宋_GBK"/>
          <w:color w:val="auto"/>
          <w:sz w:val="44"/>
          <w:szCs w:val="44"/>
          <w:highlight w:val="none"/>
          <w:lang w:val="en-US" w:eastAsia="zh-CN"/>
        </w:rPr>
        <w:t>年度</w:t>
      </w:r>
      <w:r>
        <w:rPr>
          <w:rFonts w:hint="eastAsia" w:ascii="方正小标宋_GBK" w:hAnsi="方正小标宋_GBK" w:eastAsia="方正小标宋_GBK" w:cs="方正小标宋_GBK"/>
          <w:color w:val="auto"/>
          <w:sz w:val="44"/>
          <w:szCs w:val="44"/>
          <w:highlight w:val="none"/>
          <w:lang w:eastAsia="zh-CN"/>
        </w:rPr>
        <w:t>城乡居民</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参加基本医疗保险财政补助专项资金</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项目绩效自评报告</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一、绩效目标分解下达情况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cs="仿宋_GB2312"/>
          <w:color w:val="auto"/>
          <w:sz w:val="32"/>
          <w:szCs w:val="32"/>
          <w:highlight w:val="none"/>
          <w:lang w:val="en-US" w:eastAsia="zh-CN"/>
        </w:rPr>
        <w:t>城乡居民参加基本医疗保险财政补助专项资金</w:t>
      </w: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年初预算安排收入</w:t>
      </w:r>
      <w:r>
        <w:rPr>
          <w:rFonts w:hint="eastAsia" w:cs="Times New Roman"/>
          <w:color w:val="auto"/>
          <w:sz w:val="32"/>
          <w:szCs w:val="32"/>
          <w:highlight w:val="none"/>
          <w:lang w:val="en-US" w:eastAsia="zh-CN"/>
        </w:rPr>
        <w:t>17,944</w:t>
      </w:r>
      <w:r>
        <w:rPr>
          <w:rFonts w:hint="eastAsia" w:ascii="仿宋_GB2312" w:hAnsi="仿宋_GB2312" w:eastAsia="仿宋_GB2312" w:cs="仿宋_GB2312"/>
          <w:color w:val="auto"/>
          <w:sz w:val="32"/>
          <w:szCs w:val="32"/>
          <w:highlight w:val="none"/>
          <w:lang w:val="en-US" w:eastAsia="zh-CN"/>
        </w:rPr>
        <w:t>万元，其中：财政拨款收入</w:t>
      </w:r>
      <w:r>
        <w:rPr>
          <w:rFonts w:hint="eastAsia" w:cs="Times New Roman"/>
          <w:color w:val="auto"/>
          <w:sz w:val="32"/>
          <w:szCs w:val="32"/>
          <w:highlight w:val="none"/>
          <w:lang w:val="en-US" w:eastAsia="zh-CN"/>
        </w:rPr>
        <w:t>17,944</w:t>
      </w:r>
      <w:r>
        <w:rPr>
          <w:rFonts w:hint="eastAsia" w:ascii="仿宋_GB2312" w:hAnsi="仿宋_GB2312" w:eastAsia="仿宋_GB2312" w:cs="仿宋_GB2312"/>
          <w:color w:val="auto"/>
          <w:sz w:val="32"/>
          <w:szCs w:val="32"/>
          <w:highlight w:val="none"/>
          <w:lang w:val="en-US" w:eastAsia="zh-CN"/>
        </w:rPr>
        <w:t>万元，占总收入的</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重点完成了以下工作：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lang w:val="en-US" w:eastAsia="zh-CN"/>
        </w:rPr>
        <w:t>城乡居民参加基本医疗保</w:t>
      </w:r>
      <w:r>
        <w:rPr>
          <w:rFonts w:hint="eastAsia" w:ascii="仿宋_GB2312" w:hAnsi="仿宋_GB2312" w:cs="仿宋_GB2312"/>
          <w:color w:val="auto"/>
          <w:sz w:val="32"/>
          <w:szCs w:val="32"/>
          <w:highlight w:val="none"/>
          <w:lang w:val="en-US" w:eastAsia="zh-CN"/>
        </w:rPr>
        <w:t>险</w:t>
      </w:r>
      <w:r>
        <w:rPr>
          <w:rFonts w:hint="eastAsia" w:ascii="仿宋_GB2312" w:hAnsi="仿宋_GB2312" w:eastAsia="仿宋_GB2312" w:cs="仿宋_GB2312"/>
          <w:color w:val="auto"/>
          <w:sz w:val="32"/>
          <w:szCs w:val="32"/>
          <w:highlight w:val="none"/>
          <w:lang w:val="en-US" w:eastAsia="zh-CN"/>
        </w:rPr>
        <w:t>得到100%补助</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按标资助、人费对应，及时划转资助资</w:t>
      </w:r>
      <w:r>
        <w:rPr>
          <w:rFonts w:hint="eastAsia" w:ascii="仿宋_GB2312" w:hAnsi="仿宋_GB2312" w:cs="仿宋_GB2312"/>
          <w:color w:val="auto"/>
          <w:sz w:val="32"/>
          <w:szCs w:val="32"/>
          <w:highlight w:val="none"/>
          <w:lang w:val="en-US" w:eastAsia="zh-CN"/>
        </w:rPr>
        <w:t>金</w:t>
      </w:r>
      <w:r>
        <w:rPr>
          <w:rFonts w:hint="eastAsia" w:ascii="仿宋_GB2312" w:hAnsi="仿宋_GB2312" w:eastAsia="仿宋_GB2312" w:cs="仿宋_GB2312"/>
          <w:color w:val="auto"/>
          <w:sz w:val="32"/>
          <w:szCs w:val="32"/>
          <w:highlight w:val="none"/>
          <w:lang w:val="en-US" w:eastAsia="zh-CN"/>
        </w:rPr>
        <w:t>，应保尽保。</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二、绩效目标完成情况分析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（一）资金投入情况分析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cs="仿宋_GB2312"/>
          <w:color w:val="auto"/>
          <w:sz w:val="32"/>
          <w:szCs w:val="32"/>
          <w:highlight w:val="none"/>
          <w:lang w:val="en-US" w:eastAsia="zh-CN"/>
        </w:rPr>
        <w:t>城乡居民参加基本医疗保险财政补助专项资金</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年初预算安排收入</w:t>
      </w:r>
      <w:r>
        <w:rPr>
          <w:rFonts w:hint="eastAsia" w:cs="Times New Roman"/>
          <w:color w:val="auto"/>
          <w:sz w:val="32"/>
          <w:szCs w:val="32"/>
          <w:highlight w:val="none"/>
          <w:lang w:val="en-US" w:eastAsia="zh-CN"/>
        </w:rPr>
        <w:t>17,944</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17,944</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决算收入合计</w:t>
      </w:r>
      <w:r>
        <w:rPr>
          <w:rFonts w:hint="eastAsia" w:cs="Times New Roman"/>
          <w:color w:val="auto"/>
          <w:sz w:val="32"/>
          <w:szCs w:val="32"/>
          <w:highlight w:val="none"/>
          <w:lang w:val="en-US" w:eastAsia="zh-CN"/>
        </w:rPr>
        <w:t>429.43</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429.43</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预、决算差异</w:t>
      </w:r>
      <w:r>
        <w:rPr>
          <w:rFonts w:hint="eastAsia" w:cs="Times New Roman"/>
          <w:color w:val="auto"/>
          <w:sz w:val="32"/>
          <w:szCs w:val="32"/>
          <w:highlight w:val="none"/>
          <w:lang w:val="en-US" w:eastAsia="zh-CN"/>
        </w:rPr>
        <w:t>17,514.57</w:t>
      </w:r>
      <w:r>
        <w:rPr>
          <w:rFonts w:hint="eastAsia" w:ascii="仿宋_GB2312" w:hAnsi="仿宋_GB2312" w:eastAsia="仿宋_GB2312" w:cs="仿宋_GB2312"/>
          <w:color w:val="auto"/>
          <w:sz w:val="32"/>
          <w:szCs w:val="32"/>
          <w:highlight w:val="none"/>
          <w:lang w:val="zh-CN"/>
        </w:rPr>
        <w:t>万元，差异率</w:t>
      </w:r>
      <w:r>
        <w:rPr>
          <w:rFonts w:hint="eastAsia" w:cs="Times New Roman"/>
          <w:color w:val="auto"/>
          <w:sz w:val="32"/>
          <w:szCs w:val="32"/>
          <w:highlight w:val="none"/>
          <w:lang w:val="en-US" w:eastAsia="zh-CN"/>
        </w:rPr>
        <w:t>97.60</w:t>
      </w:r>
      <w:r>
        <w:rPr>
          <w:rFonts w:hint="eastAsia" w:ascii="仿宋_GB2312" w:hAnsi="仿宋_GB2312" w:eastAsia="仿宋_GB2312" w:cs="仿宋_GB2312"/>
          <w:color w:val="auto"/>
          <w:sz w:val="32"/>
          <w:szCs w:val="32"/>
          <w:highlight w:val="none"/>
          <w:lang w:val="zh-CN"/>
        </w:rPr>
        <w:t>%，差异原因分析：昆明市东川区医疗保障局2022年开展城乡居民参加基本医疗保险财政补助项目，年初预算包含中央、省、市配套补助资金，因市级统筹，2022年上级配套资金未下达至区级，故造成预、决算差异较大。</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eastAsia="仿宋_GB2312" w:cs="仿宋_GB2312"/>
          <w:b w:val="0"/>
          <w:bCs w:val="0"/>
          <w:color w:val="auto"/>
          <w:sz w:val="32"/>
          <w:szCs w:val="32"/>
          <w:highlight w:val="none"/>
        </w:rPr>
        <w:t>认真制定并严格执行了相关制度，包括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昆明市东川区医疗保障局内部控制制度（试行）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昆明市东川区医疗保障局（医险局）医疗保障基金拨付业务经办流程</w:t>
      </w:r>
      <w:r>
        <w:rPr>
          <w:rFonts w:hint="eastAsia" w:ascii="仿宋_GB2312" w:hAnsi="仿宋_GB2312" w:eastAsia="仿宋_GB2312" w:cs="仿宋_GB2312"/>
          <w:b w:val="0"/>
          <w:bCs w:val="0"/>
          <w:color w:val="auto"/>
          <w:sz w:val="32"/>
          <w:szCs w:val="32"/>
          <w:highlight w:val="none"/>
          <w:lang w:eastAsia="zh-CN"/>
        </w:rPr>
        <w:t>》《昆明市东川区医疗保障局（医险局）基金财务管理核算办法及票据管理制度》《昆明市东川区医疗保障局预算绩效管理暂行办法》《昆明市东川区医疗保障局预算绩效自评工作方案》《昆明市东川区医疗保障局绩效跟踪实施方案》《昆明市东川区医疗保障局预算绩效自评开展计划》</w:t>
      </w:r>
      <w:r>
        <w:rPr>
          <w:rFonts w:hint="eastAsia" w:ascii="仿宋_GB2312" w:hAnsi="仿宋_GB2312" w:eastAsia="仿宋_GB2312" w:cs="仿宋_GB2312"/>
          <w:b w:val="0"/>
          <w:bCs w:val="0"/>
          <w:color w:val="auto"/>
          <w:sz w:val="32"/>
          <w:szCs w:val="32"/>
          <w:highlight w:val="none"/>
        </w:rPr>
        <w:t>等制度，</w:t>
      </w:r>
      <w:r>
        <w:rPr>
          <w:rFonts w:hint="eastAsia" w:ascii="仿宋_GB2312" w:hAnsi="仿宋_GB2312" w:eastAsia="仿宋_GB2312" w:cs="仿宋_GB2312"/>
          <w:b w:val="0"/>
          <w:bCs w:val="0"/>
          <w:color w:val="auto"/>
          <w:sz w:val="32"/>
          <w:szCs w:val="32"/>
          <w:highlight w:val="none"/>
          <w:lang w:eastAsia="zh-CN"/>
        </w:rPr>
        <w:t>切实</w:t>
      </w:r>
      <w:r>
        <w:rPr>
          <w:rFonts w:hint="eastAsia" w:ascii="仿宋_GB2312" w:hAnsi="仿宋_GB2312" w:eastAsia="仿宋_GB2312" w:cs="仿宋_GB2312"/>
          <w:b w:val="0"/>
          <w:bCs w:val="0"/>
          <w:color w:val="auto"/>
          <w:sz w:val="32"/>
          <w:szCs w:val="32"/>
          <w:highlight w:val="none"/>
        </w:rPr>
        <w:t>保障各科室正常运行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各项工作有条不紊地开展</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（二）总体绩效目标完成情况分析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lang w:val="en-US" w:eastAsia="zh-CN"/>
        </w:rPr>
        <w:t>城乡居民参加基本医疗保</w:t>
      </w:r>
      <w:r>
        <w:rPr>
          <w:rFonts w:hint="eastAsia" w:ascii="仿宋_GB2312" w:hAnsi="仿宋_GB2312" w:cs="仿宋_GB2312"/>
          <w:color w:val="auto"/>
          <w:sz w:val="32"/>
          <w:szCs w:val="32"/>
          <w:highlight w:val="none"/>
          <w:lang w:val="en-US" w:eastAsia="zh-CN"/>
        </w:rPr>
        <w:t>险</w:t>
      </w:r>
      <w:r>
        <w:rPr>
          <w:rFonts w:hint="eastAsia" w:ascii="仿宋_GB2312" w:hAnsi="仿宋_GB2312" w:eastAsia="仿宋_GB2312" w:cs="仿宋_GB2312"/>
          <w:color w:val="auto"/>
          <w:sz w:val="32"/>
          <w:szCs w:val="32"/>
          <w:highlight w:val="none"/>
          <w:lang w:val="en-US" w:eastAsia="zh-CN"/>
        </w:rPr>
        <w:t>得到100%补助</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按标资助、人费对应，及时划转资助资</w:t>
      </w:r>
      <w:r>
        <w:rPr>
          <w:rFonts w:hint="eastAsia" w:ascii="仿宋_GB2312" w:hAnsi="仿宋_GB2312" w:cs="仿宋_GB2312"/>
          <w:color w:val="auto"/>
          <w:sz w:val="32"/>
          <w:szCs w:val="32"/>
          <w:highlight w:val="none"/>
          <w:lang w:val="en-US" w:eastAsia="zh-CN"/>
        </w:rPr>
        <w:t>金</w:t>
      </w:r>
      <w:r>
        <w:rPr>
          <w:rFonts w:hint="eastAsia" w:ascii="仿宋_GB2312" w:hAnsi="仿宋_GB2312" w:eastAsia="仿宋_GB2312" w:cs="仿宋_GB2312"/>
          <w:color w:val="auto"/>
          <w:sz w:val="32"/>
          <w:szCs w:val="32"/>
          <w:highlight w:val="none"/>
          <w:lang w:val="en-US" w:eastAsia="zh-CN"/>
        </w:rPr>
        <w:t>，应保尽保。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（三）绩效指标完成情况分析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各项</w:t>
      </w:r>
      <w:r>
        <w:rPr>
          <w:rFonts w:hint="eastAsia" w:cs="仿宋_GB2312"/>
          <w:b w:val="0"/>
          <w:bCs w:val="0"/>
          <w:color w:val="auto"/>
          <w:sz w:val="32"/>
          <w:szCs w:val="32"/>
          <w:highlight w:val="none"/>
          <w:lang w:eastAsia="zh-CN"/>
        </w:rPr>
        <w:t>任务</w:t>
      </w:r>
      <w:r>
        <w:rPr>
          <w:rFonts w:hint="eastAsia" w:ascii="仿宋_GB2312" w:hAnsi="仿宋_GB2312" w:eastAsia="仿宋_GB2312" w:cs="仿宋_GB2312"/>
          <w:b w:val="0"/>
          <w:bCs w:val="0"/>
          <w:color w:val="auto"/>
          <w:sz w:val="32"/>
          <w:szCs w:val="32"/>
          <w:highlight w:val="none"/>
        </w:rPr>
        <w:t>目标稳步推进，城乡居民参加基本医疗保险</w:t>
      </w:r>
      <w:r>
        <w:rPr>
          <w:rFonts w:hint="eastAsia" w:cs="仿宋_GB2312"/>
          <w:b w:val="0"/>
          <w:bCs w:val="0"/>
          <w:color w:val="auto"/>
          <w:sz w:val="32"/>
          <w:szCs w:val="32"/>
          <w:highlight w:val="none"/>
          <w:lang w:eastAsia="zh-CN"/>
        </w:rPr>
        <w:t>得到充分有效保障</w:t>
      </w:r>
      <w:r>
        <w:rPr>
          <w:rFonts w:hint="eastAsia" w:ascii="仿宋_GB2312" w:hAnsi="仿宋_GB2312" w:eastAsia="仿宋_GB2312" w:cs="仿宋_GB2312"/>
          <w:b w:val="0"/>
          <w:bCs w:val="0"/>
          <w:color w:val="auto"/>
          <w:sz w:val="32"/>
          <w:szCs w:val="32"/>
          <w:highlight w:val="none"/>
        </w:rPr>
        <w:t>，</w:t>
      </w:r>
      <w:r>
        <w:rPr>
          <w:rFonts w:hint="eastAsia" w:cs="仿宋_GB2312"/>
          <w:b w:val="0"/>
          <w:bCs w:val="0"/>
          <w:color w:val="auto"/>
          <w:sz w:val="32"/>
          <w:szCs w:val="32"/>
          <w:highlight w:val="none"/>
          <w:lang w:eastAsia="zh-CN"/>
        </w:rPr>
        <w:t>医疗保障</w:t>
      </w:r>
      <w:r>
        <w:rPr>
          <w:rFonts w:hint="eastAsia" w:ascii="仿宋_GB2312" w:hAnsi="仿宋_GB2312" w:eastAsia="仿宋_GB2312" w:cs="仿宋_GB2312"/>
          <w:b w:val="0"/>
          <w:bCs w:val="0"/>
          <w:color w:val="auto"/>
          <w:sz w:val="32"/>
          <w:szCs w:val="32"/>
          <w:highlight w:val="none"/>
        </w:rPr>
        <w:t>服务能力稳步提升。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en-US" w:eastAsia="zh-CN"/>
        </w:rPr>
        <w:t>城乡居民参加基本医疗保险财政补助专项资金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具体绩效完成情况分析如下：</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cs="Times New Roman"/>
          <w:b w:val="0"/>
          <w:bCs w:val="0"/>
          <w:color w:val="auto"/>
          <w:sz w:val="32"/>
          <w:szCs w:val="32"/>
          <w:highlight w:val="none"/>
          <w:lang w:eastAsia="zh-CN"/>
        </w:rPr>
        <w:t>20</w:t>
      </w:r>
      <w:r>
        <w:rPr>
          <w:rFonts w:hint="default" w:ascii="Times New Roman" w:hAnsi="Times New Roman" w:cs="Times New Roman"/>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cs="仿宋_GB2312"/>
          <w:color w:val="auto"/>
          <w:sz w:val="32"/>
          <w:szCs w:val="32"/>
          <w:highlight w:val="none"/>
          <w:lang w:val="en-US" w:eastAsia="zh-CN"/>
        </w:rPr>
        <w:t>城乡居民参加基本医疗保险财政补助专项资金</w:t>
      </w:r>
      <w:r>
        <w:rPr>
          <w:rFonts w:hint="eastAsia" w:ascii="仿宋_GB2312" w:hAnsi="仿宋_GB2312" w:eastAsia="仿宋_GB2312" w:cs="仿宋_GB2312"/>
          <w:b w:val="0"/>
          <w:bCs w:val="0"/>
          <w:color w:val="auto"/>
          <w:sz w:val="32"/>
          <w:szCs w:val="32"/>
          <w:highlight w:val="none"/>
        </w:rPr>
        <w:t>绩效自评指标体系设置</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个一级指标、</w:t>
      </w:r>
      <w:r>
        <w:rPr>
          <w:rFonts w:hint="default" w:ascii="Times New Roman" w:hAnsi="Times New Roman" w:cs="Times New Roman"/>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29</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指标。其中：</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决策包含</w:t>
      </w:r>
      <w:r>
        <w:rPr>
          <w:rFonts w:hint="eastAsia" w:ascii="仿宋_GB2312" w:hAnsi="仿宋_GB2312" w:cs="仿宋_GB2312"/>
          <w:b w:val="0"/>
          <w:bCs w:val="0"/>
          <w:color w:val="auto"/>
          <w:sz w:val="32"/>
          <w:szCs w:val="32"/>
          <w:highlight w:val="none"/>
          <w:lang w:eastAsia="zh-CN"/>
        </w:rPr>
        <w:t>项目立项、项目</w:t>
      </w:r>
      <w:r>
        <w:rPr>
          <w:rFonts w:hint="eastAsia" w:ascii="仿宋_GB2312" w:hAnsi="仿宋_GB2312" w:eastAsia="仿宋_GB2312" w:cs="仿宋_GB2312"/>
          <w:b w:val="0"/>
          <w:bCs w:val="0"/>
          <w:color w:val="auto"/>
          <w:sz w:val="32"/>
          <w:szCs w:val="32"/>
          <w:highlight w:val="none"/>
        </w:rPr>
        <w:t>目标</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决策满分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项目立项</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项目目标</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管理包含</w:t>
      </w:r>
      <w:r>
        <w:rPr>
          <w:rFonts w:hint="eastAsia" w:ascii="仿宋_GB2312" w:hAnsi="仿宋_GB2312" w:cs="仿宋_GB2312"/>
          <w:b w:val="0"/>
          <w:bCs w:val="0"/>
          <w:color w:val="auto"/>
          <w:sz w:val="32"/>
          <w:szCs w:val="32"/>
          <w:highlight w:val="none"/>
          <w:lang w:eastAsia="zh-CN"/>
        </w:rPr>
        <w:t>投入管理、财务管理、项目实施</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eastAsia="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管理满分</w:t>
      </w:r>
      <w:r>
        <w:rPr>
          <w:rFonts w:hint="default" w:ascii="Times New Roman" w:hAnsi="Times New Roman" w:eastAsia="仿宋_GB2312" w:cs="Times New Roman"/>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投入管理</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分，评价得分为</w:t>
      </w:r>
      <w:r>
        <w:rPr>
          <w:rFonts w:hint="eastAsia"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）二级指标“财务管理”满分</w:t>
      </w:r>
      <w:r>
        <w:rPr>
          <w:rFonts w:hint="default" w:ascii="Times New Roman" w:hAnsi="Times New Roman" w:eastAsia="仿宋_GB2312" w:cs="Times New Roman"/>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rPr>
        <w:t>分，评价得分为</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cs="仿宋_GB2312"/>
          <w:b w:val="0"/>
          <w:bCs w:val="0"/>
          <w:color w:val="auto"/>
          <w:sz w:val="32"/>
          <w:szCs w:val="32"/>
          <w:highlight w:val="none"/>
          <w:lang w:eastAsia="zh-CN"/>
        </w:rPr>
        <w:t>）二级指标“项目实施”满分</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分，评价得分为</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绩效包含</w:t>
      </w:r>
      <w:r>
        <w:rPr>
          <w:rFonts w:hint="eastAsia" w:ascii="仿宋_GB2312" w:hAnsi="仿宋_GB2312" w:cs="仿宋_GB2312"/>
          <w:b w:val="0"/>
          <w:bCs w:val="0"/>
          <w:color w:val="auto"/>
          <w:sz w:val="32"/>
          <w:szCs w:val="32"/>
          <w:highlight w:val="none"/>
          <w:lang w:eastAsia="zh-CN"/>
        </w:rPr>
        <w:t>项目产出、项目效益</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指标。部门绩效满分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产出”满分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项目效益</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三、偏离绩效目标的原因和下一步改进措施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lang w:val="en-US" w:eastAsia="zh-CN"/>
        </w:rPr>
        <w:t>城乡居民参加基本医疗保</w:t>
      </w:r>
      <w:r>
        <w:rPr>
          <w:rFonts w:hint="eastAsia" w:ascii="仿宋_GB2312" w:hAnsi="仿宋_GB2312" w:cs="仿宋_GB2312"/>
          <w:color w:val="auto"/>
          <w:sz w:val="32"/>
          <w:szCs w:val="32"/>
          <w:highlight w:val="none"/>
          <w:lang w:val="en-US" w:eastAsia="zh-CN"/>
        </w:rPr>
        <w:t>险</w:t>
      </w:r>
      <w:r>
        <w:rPr>
          <w:rFonts w:hint="eastAsia" w:ascii="仿宋_GB2312" w:hAnsi="仿宋_GB2312" w:eastAsia="仿宋_GB2312" w:cs="仿宋_GB2312"/>
          <w:color w:val="auto"/>
          <w:sz w:val="32"/>
          <w:szCs w:val="32"/>
          <w:highlight w:val="none"/>
          <w:lang w:val="en-US" w:eastAsia="zh-CN"/>
        </w:rPr>
        <w:t>得到100%补助</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按标资助、人费对应，及时划转资助资</w:t>
      </w:r>
      <w:r>
        <w:rPr>
          <w:rFonts w:hint="eastAsia" w:ascii="仿宋_GB2312" w:hAnsi="仿宋_GB2312" w:cs="仿宋_GB2312"/>
          <w:color w:val="auto"/>
          <w:sz w:val="32"/>
          <w:szCs w:val="32"/>
          <w:highlight w:val="none"/>
          <w:lang w:val="en-US" w:eastAsia="zh-CN"/>
        </w:rPr>
        <w:t>金</w:t>
      </w:r>
      <w:r>
        <w:rPr>
          <w:rFonts w:hint="eastAsia" w:ascii="仿宋_GB2312" w:hAnsi="仿宋_GB2312" w:eastAsia="仿宋_GB2312" w:cs="仿宋_GB2312"/>
          <w:color w:val="auto"/>
          <w:sz w:val="32"/>
          <w:szCs w:val="32"/>
          <w:highlight w:val="none"/>
          <w:lang w:val="en-US" w:eastAsia="zh-CN"/>
        </w:rPr>
        <w:t>，应保尽保。</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存在问题如下：</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人员配备不足、监管措施落实不充分。推行预算绩效管理以来，切实发挥绩效目标在全流程管理中的基础作用，以制度引导绩效，确保预算绩效管理规范有序。但由于预算绩效管理工作从业人员配备不足，存在即是裁判员又是运动员的情况，跟踪监管、内控建设等工作缺少稳步安全运行的基础。</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昆明市东川区医疗保障局下一步将</w:t>
      </w:r>
      <w:r>
        <w:rPr>
          <w:rFonts w:hint="eastAsia" w:ascii="仿宋_GB2312" w:hAnsi="仿宋_GB2312" w:cs="仿宋_GB2312"/>
          <w:b w:val="0"/>
          <w:bCs w:val="0"/>
          <w:snapToGrid w:val="0"/>
          <w:color w:val="auto"/>
          <w:kern w:val="0"/>
          <w:sz w:val="32"/>
          <w:szCs w:val="32"/>
          <w:highlight w:val="none"/>
          <w:lang w:eastAsia="zh-CN"/>
        </w:rPr>
        <w:t>继续</w:t>
      </w:r>
      <w:r>
        <w:rPr>
          <w:rFonts w:hint="eastAsia" w:ascii="仿宋_GB2312" w:hAnsi="仿宋_GB2312" w:eastAsia="仿宋_GB2312" w:cs="仿宋_GB2312"/>
          <w:b w:val="0"/>
          <w:bCs w:val="0"/>
          <w:snapToGrid w:val="0"/>
          <w:color w:val="auto"/>
          <w:kern w:val="0"/>
          <w:sz w:val="32"/>
          <w:szCs w:val="32"/>
          <w:highlight w:val="none"/>
        </w:rPr>
        <w:t>做好资金的使用跟踪，完善制度的建设，规范管理专项资金，确保资金的安全及有效运行。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四、绩效自评结果拟应用和公开情况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zh-CN"/>
        </w:rPr>
        <w:t>城乡居民参加基本医疗保险财政补助专项资金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昆明市东川区医疗保障局将及时在东川区“政府门户”网站公开绩效自评结果。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五、其他需要说明的问题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eastAsia="仿宋_GB2312" w:cs="仿宋_GB2312"/>
          <w:color w:val="auto"/>
          <w:kern w:val="2"/>
          <w:sz w:val="32"/>
          <w:szCs w:val="32"/>
          <w:highlight w:val="none"/>
          <w:lang w:val="en-US" w:eastAsia="zh-CN" w:bidi="ar-SA"/>
        </w:rPr>
        <w:t>无其他需要说明的问题。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highlight w:val="none"/>
        </w:rPr>
      </w:pPr>
      <w:bookmarkStart w:id="0" w:name="_GoBack"/>
      <w:bookmarkEnd w:id="0"/>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昆明市东川区</w:t>
      </w:r>
      <w:r>
        <w:rPr>
          <w:rFonts w:hint="eastAsia" w:ascii="仿宋_GB2312" w:hAnsi="仿宋_GB2312" w:eastAsia="仿宋_GB2312" w:cs="仿宋_GB2312"/>
          <w:b w:val="0"/>
          <w:bCs w:val="0"/>
          <w:color w:val="auto"/>
          <w:sz w:val="32"/>
          <w:szCs w:val="32"/>
          <w:highlight w:val="none"/>
          <w:lang w:eastAsia="zh-CN"/>
        </w:rPr>
        <w:t>医疗保障局</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20</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年</w:t>
      </w:r>
      <w:r>
        <w:rPr>
          <w:rFonts w:hint="default" w:ascii="Times New Roman" w:hAnsi="Times New Roman"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日</w:t>
      </w:r>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00" w:right="360" w:firstLine="360"/>
      <w:rPr>
        <w:sz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29600AF"/>
    <w:rsid w:val="075730B2"/>
    <w:rsid w:val="079B2F21"/>
    <w:rsid w:val="08590525"/>
    <w:rsid w:val="09C115E3"/>
    <w:rsid w:val="0A1B7E59"/>
    <w:rsid w:val="0A346E57"/>
    <w:rsid w:val="0D3F05D1"/>
    <w:rsid w:val="0E9E0539"/>
    <w:rsid w:val="0F916464"/>
    <w:rsid w:val="10BB07D4"/>
    <w:rsid w:val="139B620C"/>
    <w:rsid w:val="13AB43C9"/>
    <w:rsid w:val="14500A59"/>
    <w:rsid w:val="145D6BC3"/>
    <w:rsid w:val="149B2EE8"/>
    <w:rsid w:val="15D0044B"/>
    <w:rsid w:val="1A94418C"/>
    <w:rsid w:val="1CA81D0B"/>
    <w:rsid w:val="1FE0245C"/>
    <w:rsid w:val="234B0A4E"/>
    <w:rsid w:val="24C95675"/>
    <w:rsid w:val="262C3DF3"/>
    <w:rsid w:val="2A325FDC"/>
    <w:rsid w:val="2A8140DC"/>
    <w:rsid w:val="2DDB4434"/>
    <w:rsid w:val="2E2325F8"/>
    <w:rsid w:val="2F9202B1"/>
    <w:rsid w:val="30665A00"/>
    <w:rsid w:val="308C4AC3"/>
    <w:rsid w:val="31D9592F"/>
    <w:rsid w:val="32780617"/>
    <w:rsid w:val="330F3B0A"/>
    <w:rsid w:val="33BE1C27"/>
    <w:rsid w:val="369C15EF"/>
    <w:rsid w:val="375D209E"/>
    <w:rsid w:val="38C1437D"/>
    <w:rsid w:val="3A66436F"/>
    <w:rsid w:val="3F5E30A9"/>
    <w:rsid w:val="3F62595E"/>
    <w:rsid w:val="3FF32979"/>
    <w:rsid w:val="402B7C64"/>
    <w:rsid w:val="4109475E"/>
    <w:rsid w:val="4176348D"/>
    <w:rsid w:val="42A53AC2"/>
    <w:rsid w:val="44BE56F7"/>
    <w:rsid w:val="4663783D"/>
    <w:rsid w:val="46982D4B"/>
    <w:rsid w:val="48F22EEF"/>
    <w:rsid w:val="4A7F60A4"/>
    <w:rsid w:val="4D862EB7"/>
    <w:rsid w:val="4E556730"/>
    <w:rsid w:val="4F7370ED"/>
    <w:rsid w:val="4FAB610E"/>
    <w:rsid w:val="4FD221F1"/>
    <w:rsid w:val="504E7E66"/>
    <w:rsid w:val="52110942"/>
    <w:rsid w:val="57E068B3"/>
    <w:rsid w:val="580C5987"/>
    <w:rsid w:val="58442E0F"/>
    <w:rsid w:val="5A065ABC"/>
    <w:rsid w:val="5A2E0D64"/>
    <w:rsid w:val="5CE0009C"/>
    <w:rsid w:val="5D7774BF"/>
    <w:rsid w:val="5DD23A08"/>
    <w:rsid w:val="5F1028D2"/>
    <w:rsid w:val="600671BE"/>
    <w:rsid w:val="607A2744"/>
    <w:rsid w:val="65690042"/>
    <w:rsid w:val="656F4043"/>
    <w:rsid w:val="659B5E74"/>
    <w:rsid w:val="661C62FC"/>
    <w:rsid w:val="69063171"/>
    <w:rsid w:val="6A2E5E1F"/>
    <w:rsid w:val="6B905BE1"/>
    <w:rsid w:val="6ED54555"/>
    <w:rsid w:val="754A345D"/>
    <w:rsid w:val="768E1385"/>
    <w:rsid w:val="773C1BAB"/>
    <w:rsid w:val="78843C42"/>
    <w:rsid w:val="7B1924F4"/>
    <w:rsid w:val="7DE10AFA"/>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kern w:val="0"/>
      <w:sz w:val="18"/>
      <w:szCs w:val="18"/>
    </w:rPr>
  </w:style>
  <w:style w:type="paragraph" w:styleId="4">
    <w:name w:val="Body Text Indent"/>
    <w:basedOn w:val="1"/>
    <w:link w:val="17"/>
    <w:qFormat/>
    <w:uiPriority w:val="99"/>
    <w:pPr>
      <w:ind w:firstLine="632" w:firstLineChars="200"/>
    </w:pPr>
    <w:rPr>
      <w:kern w:val="0"/>
    </w:rPr>
  </w:style>
  <w:style w:type="paragraph" w:styleId="5">
    <w:name w:val="Plain Text"/>
    <w:basedOn w:val="1"/>
    <w:qFormat/>
    <w:uiPriority w:val="0"/>
    <w:rPr>
      <w:rFonts w:ascii="宋体" w:hAnsi="Courier New" w:cs="Courier New"/>
      <w:szCs w:val="21"/>
    </w:rPr>
  </w:style>
  <w:style w:type="paragraph" w:styleId="6">
    <w:name w:val="Date"/>
    <w:basedOn w:val="1"/>
    <w:next w:val="1"/>
    <w:link w:val="16"/>
    <w:qFormat/>
    <w:uiPriority w:val="99"/>
    <w:pPr>
      <w:ind w:left="100" w:leftChars="2500"/>
    </w:pPr>
    <w:rPr>
      <w:kern w:val="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2"/>
    <w:semiHidden/>
    <w:qFormat/>
    <w:uiPriority w:val="99"/>
    <w:rPr>
      <w:rFonts w:eastAsia="仿宋_GB2312"/>
      <w:sz w:val="18"/>
      <w:szCs w:val="18"/>
    </w:rPr>
  </w:style>
  <w:style w:type="character" w:customStyle="1" w:styleId="16">
    <w:name w:val="日期 Char"/>
    <w:link w:val="6"/>
    <w:semiHidden/>
    <w:qFormat/>
    <w:uiPriority w:val="99"/>
    <w:rPr>
      <w:rFonts w:eastAsia="仿宋_GB2312"/>
      <w:sz w:val="32"/>
      <w:szCs w:val="20"/>
    </w:rPr>
  </w:style>
  <w:style w:type="character" w:customStyle="1" w:styleId="17">
    <w:name w:val="正文文本缩进 Char"/>
    <w:link w:val="4"/>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3"/>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0</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英俊的红旅心</cp:lastModifiedBy>
  <cp:lastPrinted>2023-05-06T02:31:29Z</cp:lastPrinted>
  <dcterms:modified xsi:type="dcterms:W3CDTF">2023-05-06T02:31:30Z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