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昆明市东川区医疗保障局</w:t>
      </w:r>
      <w:r>
        <w:rPr>
          <w:rFonts w:hint="default" w:ascii="Times New Roman" w:hAnsi="Times New Roman" w:eastAsia="方正小标宋_GBK" w:cs="Times New Roman"/>
          <w:color w:val="auto"/>
          <w:sz w:val="44"/>
          <w:szCs w:val="44"/>
          <w:highlight w:val="none"/>
          <w:lang w:val="en-US" w:eastAsia="zh-CN"/>
        </w:rPr>
        <w:t>2022</w:t>
      </w:r>
      <w:r>
        <w:rPr>
          <w:rFonts w:hint="eastAsia" w:ascii="方正小标宋_GBK" w:hAnsi="方正小标宋_GBK" w:eastAsia="方正小标宋_GBK" w:cs="方正小标宋_GBK"/>
          <w:color w:val="auto"/>
          <w:sz w:val="44"/>
          <w:szCs w:val="44"/>
          <w:highlight w:val="none"/>
          <w:lang w:val="en-US" w:eastAsia="zh-CN"/>
        </w:rPr>
        <w:t>年度</w:t>
      </w:r>
      <w:r>
        <w:rPr>
          <w:rFonts w:hint="eastAsia" w:ascii="方正小标宋_GBK" w:hAnsi="方正小标宋_GBK" w:eastAsia="方正小标宋_GBK" w:cs="方正小标宋_GBK"/>
          <w:color w:val="auto"/>
          <w:sz w:val="44"/>
          <w:szCs w:val="44"/>
          <w:highlight w:val="none"/>
        </w:rPr>
        <w:t>离休干部医疗保障专项资金项目绩效自评报告</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一、绩效目标分解下达情况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昆明市东川区医疗保障局离休干部医疗保障专项资金</w:t>
      </w:r>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年初预算安排收入</w:t>
      </w:r>
      <w:r>
        <w:rPr>
          <w:rFonts w:hint="default" w:ascii="Times New Roman" w:hAnsi="Times New Roman" w:cs="Times New Roman"/>
          <w:color w:val="auto"/>
          <w:sz w:val="32"/>
          <w:szCs w:val="32"/>
          <w:highlight w:val="none"/>
          <w:lang w:val="en-US" w:eastAsia="zh-CN"/>
        </w:rPr>
        <w:t>500</w:t>
      </w:r>
      <w:r>
        <w:rPr>
          <w:rFonts w:hint="eastAsia" w:ascii="仿宋_GB2312" w:hAnsi="仿宋_GB2312" w:eastAsia="仿宋_GB2312" w:cs="仿宋_GB2312"/>
          <w:color w:val="auto"/>
          <w:sz w:val="32"/>
          <w:szCs w:val="32"/>
          <w:highlight w:val="none"/>
          <w:lang w:val="en-US" w:eastAsia="zh-CN"/>
        </w:rPr>
        <w:t>万元，其中：财政拨款收入</w:t>
      </w:r>
      <w:r>
        <w:rPr>
          <w:rFonts w:hint="default" w:ascii="Times New Roman" w:hAnsi="Times New Roman" w:cs="Times New Roman"/>
          <w:color w:val="auto"/>
          <w:sz w:val="32"/>
          <w:szCs w:val="32"/>
          <w:highlight w:val="none"/>
          <w:lang w:val="en-US" w:eastAsia="zh-CN"/>
        </w:rPr>
        <w:t>500</w:t>
      </w:r>
      <w:r>
        <w:rPr>
          <w:rFonts w:hint="eastAsia" w:ascii="仿宋_GB2312" w:hAnsi="仿宋_GB2312" w:eastAsia="仿宋_GB2312" w:cs="仿宋_GB2312"/>
          <w:color w:val="auto"/>
          <w:sz w:val="32"/>
          <w:szCs w:val="32"/>
          <w:highlight w:val="none"/>
          <w:lang w:val="en-US" w:eastAsia="zh-CN"/>
        </w:rPr>
        <w:t>万元，占总收入的</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重点完成了以下工作：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离休干部是党和国家的宝贵财富，在中国革命和社会主义建设的各个历史时期都作出了巨大贡献。在政治上关心、生活上照顾离休干部，是党和国家关于离休干部工作的一项基本政策。落实离休干部的医疗保障待遇</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是责任，也是一项重要的政治任务。</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二、绩效目标完成情况分析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（一）资金投入情况分析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eastAsia="仿宋_GB2312" w:cs="仿宋_GB2312"/>
          <w:color w:val="auto"/>
          <w:sz w:val="32"/>
          <w:szCs w:val="32"/>
          <w:highlight w:val="none"/>
          <w:lang w:val="en-US" w:eastAsia="zh-CN"/>
        </w:rPr>
        <w:t>离休干部医疗保障专项资金</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年初预算安排收入</w:t>
      </w:r>
      <w:r>
        <w:rPr>
          <w:rFonts w:hint="default" w:ascii="Times New Roman" w:hAnsi="Times New Roman" w:cs="Times New Roman"/>
          <w:color w:val="auto"/>
          <w:sz w:val="32"/>
          <w:szCs w:val="32"/>
          <w:highlight w:val="none"/>
          <w:lang w:val="en-US" w:eastAsia="zh-CN"/>
        </w:rPr>
        <w:t>500</w:t>
      </w:r>
      <w:r>
        <w:rPr>
          <w:rFonts w:hint="eastAsia" w:ascii="仿宋_GB2312" w:hAnsi="仿宋_GB2312" w:eastAsia="仿宋_GB2312" w:cs="仿宋_GB2312"/>
          <w:color w:val="auto"/>
          <w:sz w:val="32"/>
          <w:szCs w:val="32"/>
          <w:highlight w:val="none"/>
          <w:lang w:val="zh-CN"/>
        </w:rPr>
        <w:t>万元，其中：财政拨款收入</w:t>
      </w:r>
      <w:r>
        <w:rPr>
          <w:rFonts w:hint="default" w:ascii="Times New Roman" w:hAnsi="Times New Roman" w:cs="Times New Roman"/>
          <w:color w:val="auto"/>
          <w:sz w:val="32"/>
          <w:szCs w:val="32"/>
          <w:highlight w:val="none"/>
          <w:lang w:val="en-US" w:eastAsia="zh-CN"/>
        </w:rPr>
        <w:t>500</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决算收入合计</w:t>
      </w:r>
      <w:r>
        <w:rPr>
          <w:rFonts w:hint="default" w:ascii="Times New Roman" w:hAnsi="Times New Roman" w:cs="Times New Roman"/>
          <w:color w:val="auto"/>
          <w:sz w:val="32"/>
          <w:szCs w:val="32"/>
          <w:highlight w:val="none"/>
          <w:lang w:val="en-US" w:eastAsia="zh-CN"/>
        </w:rPr>
        <w:t>350</w:t>
      </w:r>
      <w:r>
        <w:rPr>
          <w:rFonts w:hint="eastAsia" w:ascii="仿宋_GB2312" w:hAnsi="仿宋_GB2312" w:eastAsia="仿宋_GB2312" w:cs="仿宋_GB2312"/>
          <w:color w:val="auto"/>
          <w:sz w:val="32"/>
          <w:szCs w:val="32"/>
          <w:highlight w:val="none"/>
          <w:lang w:val="zh-CN"/>
        </w:rPr>
        <w:t>万元，其中：财政拨款收入</w:t>
      </w:r>
      <w:r>
        <w:rPr>
          <w:rFonts w:hint="default" w:ascii="Times New Roman" w:hAnsi="Times New Roman" w:cs="Times New Roman"/>
          <w:color w:val="auto"/>
          <w:sz w:val="32"/>
          <w:szCs w:val="32"/>
          <w:highlight w:val="none"/>
          <w:lang w:val="en-US" w:eastAsia="zh-CN"/>
        </w:rPr>
        <w:t>350</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预、决算差异</w:t>
      </w:r>
      <w:r>
        <w:rPr>
          <w:rFonts w:hint="default" w:ascii="Times New Roman" w:hAnsi="Times New Roman" w:cs="Times New Roman"/>
          <w:color w:val="auto"/>
          <w:sz w:val="32"/>
          <w:szCs w:val="32"/>
          <w:highlight w:val="none"/>
          <w:lang w:val="en-US" w:eastAsia="zh-CN"/>
        </w:rPr>
        <w:t>150</w:t>
      </w:r>
      <w:r>
        <w:rPr>
          <w:rFonts w:hint="eastAsia" w:ascii="仿宋_GB2312" w:hAnsi="仿宋_GB2312" w:eastAsia="仿宋_GB2312" w:cs="仿宋_GB2312"/>
          <w:color w:val="auto"/>
          <w:sz w:val="32"/>
          <w:szCs w:val="32"/>
          <w:highlight w:val="none"/>
          <w:lang w:val="zh-CN"/>
        </w:rPr>
        <w:t>万元，差异率</w:t>
      </w:r>
      <w:r>
        <w:rPr>
          <w:rFonts w:hint="default" w:ascii="Times New Roman" w:hAnsi="Times New Roman" w:cs="Times New Roman"/>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zh-CN"/>
        </w:rPr>
        <w:t>%，差异原因分析：因</w:t>
      </w:r>
      <w:r>
        <w:rPr>
          <w:rFonts w:hint="eastAsia" w:ascii="仿宋_GB2312" w:hAnsi="仿宋_GB2312" w:cs="仿宋_GB2312"/>
          <w:color w:val="auto"/>
          <w:sz w:val="32"/>
          <w:szCs w:val="32"/>
          <w:highlight w:val="none"/>
          <w:lang w:val="zh-CN"/>
        </w:rPr>
        <w:t>离休干部自然减员，就医费用减少</w:t>
      </w:r>
      <w:r>
        <w:rPr>
          <w:rFonts w:hint="eastAsia" w:ascii="仿宋_GB2312" w:hAnsi="仿宋_GB2312" w:eastAsia="仿宋_GB2312" w:cs="仿宋_GB2312"/>
          <w:color w:val="auto"/>
          <w:sz w:val="32"/>
          <w:szCs w:val="32"/>
          <w:highlight w:val="none"/>
          <w:lang w:val="zh-CN"/>
        </w:rPr>
        <w:t>，故造成预、决算</w:t>
      </w:r>
      <w:r>
        <w:rPr>
          <w:rFonts w:hint="eastAsia" w:ascii="仿宋_GB2312" w:hAnsi="仿宋_GB2312" w:cs="仿宋_GB2312"/>
          <w:color w:val="auto"/>
          <w:sz w:val="32"/>
          <w:szCs w:val="32"/>
          <w:highlight w:val="none"/>
          <w:lang w:val="zh-CN"/>
        </w:rPr>
        <w:t>存</w:t>
      </w:r>
      <w:r>
        <w:rPr>
          <w:rFonts w:hint="eastAsia" w:ascii="仿宋_GB2312" w:hAnsi="仿宋_GB2312" w:eastAsia="仿宋_GB2312" w:cs="仿宋_GB2312"/>
          <w:color w:val="auto"/>
          <w:sz w:val="32"/>
          <w:szCs w:val="32"/>
          <w:highlight w:val="none"/>
          <w:lang w:val="zh-CN"/>
        </w:rPr>
        <w:t>差异。</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eastAsia="仿宋_GB2312" w:cs="仿宋_GB2312"/>
          <w:b w:val="0"/>
          <w:bCs w:val="0"/>
          <w:color w:val="auto"/>
          <w:sz w:val="32"/>
          <w:szCs w:val="32"/>
          <w:highlight w:val="none"/>
        </w:rPr>
        <w:t>认真制定并严格执行了相关制度，包括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昆明市东川区医疗保障局内部控制制度（试行）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昆明市东川区医疗保障局（医险局）医疗保障基金拨付业务经办流程</w:t>
      </w:r>
      <w:r>
        <w:rPr>
          <w:rFonts w:hint="eastAsia" w:ascii="仿宋_GB2312" w:hAnsi="仿宋_GB2312" w:eastAsia="仿宋_GB2312" w:cs="仿宋_GB2312"/>
          <w:b w:val="0"/>
          <w:bCs w:val="0"/>
          <w:color w:val="auto"/>
          <w:sz w:val="32"/>
          <w:szCs w:val="32"/>
          <w:highlight w:val="none"/>
          <w:lang w:eastAsia="zh-CN"/>
        </w:rPr>
        <w:t>》《昆明市东川区医疗保障局（医险局）基金财务管理核算办法及票据管理制度》《昆明市东川区医疗保障局预算绩效管理暂行办法》《昆明市东川区医疗保障局预算绩效自评工作方案》《昆明市东川区医疗保障局绩效跟踪实施方案》《昆明市东川区医疗保障局预算绩效自评开展计划》</w:t>
      </w:r>
      <w:r>
        <w:rPr>
          <w:rFonts w:hint="eastAsia" w:ascii="仿宋_GB2312" w:hAnsi="仿宋_GB2312" w:eastAsia="仿宋_GB2312" w:cs="仿宋_GB2312"/>
          <w:b w:val="0"/>
          <w:bCs w:val="0"/>
          <w:color w:val="auto"/>
          <w:sz w:val="32"/>
          <w:szCs w:val="32"/>
          <w:highlight w:val="none"/>
        </w:rPr>
        <w:t>等制度，</w:t>
      </w:r>
      <w:r>
        <w:rPr>
          <w:rFonts w:hint="eastAsia" w:ascii="仿宋_GB2312" w:hAnsi="仿宋_GB2312" w:eastAsia="仿宋_GB2312" w:cs="仿宋_GB2312"/>
          <w:b w:val="0"/>
          <w:bCs w:val="0"/>
          <w:color w:val="auto"/>
          <w:sz w:val="32"/>
          <w:szCs w:val="32"/>
          <w:highlight w:val="none"/>
          <w:lang w:eastAsia="zh-CN"/>
        </w:rPr>
        <w:t>切实</w:t>
      </w:r>
      <w:r>
        <w:rPr>
          <w:rFonts w:hint="eastAsia" w:ascii="仿宋_GB2312" w:hAnsi="仿宋_GB2312" w:eastAsia="仿宋_GB2312" w:cs="仿宋_GB2312"/>
          <w:b w:val="0"/>
          <w:bCs w:val="0"/>
          <w:color w:val="auto"/>
          <w:sz w:val="32"/>
          <w:szCs w:val="32"/>
          <w:highlight w:val="none"/>
        </w:rPr>
        <w:t>保障各科室正常运行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各项工作有条不紊地开展</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（二）总体绩效目标完成情况分析</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一方面</w:t>
      </w:r>
      <w:r>
        <w:rPr>
          <w:rFonts w:hint="eastAsia" w:ascii="仿宋_GB2312" w:hAnsi="仿宋_GB2312" w:cs="仿宋_GB2312"/>
          <w:color w:val="auto"/>
          <w:sz w:val="32"/>
          <w:szCs w:val="32"/>
          <w:highlight w:val="none"/>
          <w:lang w:val="en-US" w:eastAsia="zh-CN"/>
        </w:rPr>
        <w:t>确保</w:t>
      </w:r>
      <w:r>
        <w:rPr>
          <w:rFonts w:hint="eastAsia" w:ascii="仿宋_GB2312" w:hAnsi="仿宋_GB2312" w:eastAsia="仿宋_GB2312" w:cs="仿宋_GB2312"/>
          <w:color w:val="auto"/>
          <w:sz w:val="32"/>
          <w:szCs w:val="32"/>
          <w:highlight w:val="none"/>
          <w:lang w:val="en-US" w:eastAsia="zh-CN"/>
        </w:rPr>
        <w:t>离休干部的医疗需求，最大限度的方便离休干部就医；另一方面对就医待遇加强审核工作</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将离休干部医疗费控制在合理费用范围内，坚决杜绝浪费。</w:t>
      </w:r>
      <w:r>
        <w:rPr>
          <w:rFonts w:hint="eastAsia" w:ascii="仿宋_GB2312" w:hAnsi="仿宋_GB2312" w:eastAsia="仿宋_GB2312" w:cs="仿宋_GB2312"/>
          <w:color w:val="auto"/>
          <w:sz w:val="32"/>
          <w:szCs w:val="32"/>
          <w:highlight w:val="none"/>
          <w:lang w:val="zh-CN"/>
        </w:rPr>
        <w:t>离休干部是党和国家的宝贵财富，</w:t>
      </w:r>
      <w:r>
        <w:rPr>
          <w:rFonts w:hint="eastAsia" w:ascii="仿宋_GB2312" w:hAnsi="仿宋_GB2312" w:eastAsia="仿宋_GB2312" w:cs="仿宋_GB2312"/>
          <w:color w:val="auto"/>
          <w:sz w:val="32"/>
          <w:szCs w:val="32"/>
          <w:highlight w:val="none"/>
          <w:lang w:val="en-US" w:eastAsia="zh-CN"/>
        </w:rPr>
        <w:t>保障对象的权益得到充分有效的实施，覆盖面达到</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（三）绩效指标完成情况分析</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cs="仿宋_GB2312"/>
          <w:b w:val="0"/>
          <w:bCs w:val="0"/>
          <w:color w:val="auto"/>
          <w:sz w:val="32"/>
          <w:szCs w:val="32"/>
          <w:highlight w:val="none"/>
          <w:lang w:eastAsia="zh-CN"/>
        </w:rPr>
        <w:t>离休干部是国家宝贵的财富</w:t>
      </w:r>
      <w:r>
        <w:rPr>
          <w:rFonts w:hint="eastAsia" w:ascii="仿宋_GB2312" w:hAnsi="仿宋_GB2312" w:eastAsia="仿宋_GB2312" w:cs="仿宋_GB2312"/>
          <w:b w:val="0"/>
          <w:bCs w:val="0"/>
          <w:color w:val="auto"/>
          <w:sz w:val="32"/>
          <w:szCs w:val="32"/>
          <w:highlight w:val="none"/>
        </w:rPr>
        <w:t>，离休干部人员医疗待遇</w:t>
      </w:r>
      <w:r>
        <w:rPr>
          <w:rFonts w:hint="eastAsia" w:cs="仿宋_GB2312"/>
          <w:b w:val="0"/>
          <w:bCs w:val="0"/>
          <w:color w:val="auto"/>
          <w:sz w:val="32"/>
          <w:szCs w:val="32"/>
          <w:highlight w:val="none"/>
          <w:lang w:eastAsia="zh-CN"/>
        </w:rPr>
        <w:t>得到</w:t>
      </w:r>
      <w:r>
        <w:rPr>
          <w:rFonts w:hint="eastAsia" w:ascii="仿宋_GB2312" w:hAnsi="仿宋_GB2312" w:eastAsia="仿宋_GB2312" w:cs="仿宋_GB2312"/>
          <w:b w:val="0"/>
          <w:bCs w:val="0"/>
          <w:color w:val="auto"/>
          <w:sz w:val="32"/>
          <w:szCs w:val="32"/>
          <w:highlight w:val="none"/>
        </w:rPr>
        <w:t>全面落实，</w:t>
      </w:r>
      <w:r>
        <w:rPr>
          <w:rFonts w:hint="eastAsia" w:cs="仿宋_GB2312"/>
          <w:b w:val="0"/>
          <w:bCs w:val="0"/>
          <w:color w:val="auto"/>
          <w:sz w:val="32"/>
          <w:szCs w:val="32"/>
          <w:highlight w:val="none"/>
          <w:lang w:eastAsia="zh-CN"/>
        </w:rPr>
        <w:t>离休干部的权益得到充分的保障</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eastAsia="仿宋_GB2312" w:cs="仿宋_GB2312"/>
          <w:color w:val="auto"/>
          <w:sz w:val="32"/>
          <w:szCs w:val="32"/>
          <w:highlight w:val="none"/>
          <w:lang w:val="en-US" w:eastAsia="zh-CN"/>
        </w:rPr>
        <w:t>离休干部医疗保障专项资金</w:t>
      </w:r>
      <w:r>
        <w:rPr>
          <w:rFonts w:hint="eastAsia" w:ascii="仿宋_GB2312" w:hAnsi="仿宋_GB2312" w:eastAsia="仿宋_GB2312" w:cs="仿宋_GB2312"/>
          <w:color w:val="auto"/>
          <w:sz w:val="32"/>
          <w:szCs w:val="32"/>
          <w:highlight w:val="none"/>
          <w:lang w:val="zh-CN"/>
        </w:rPr>
        <w:t>绩效评价得分为</w:t>
      </w:r>
      <w:r>
        <w:rPr>
          <w:rFonts w:hint="default" w:ascii="Times New Roman" w:hAnsi="Times New Roman" w:cs="Times New Roman"/>
          <w:color w:val="auto"/>
          <w:sz w:val="32"/>
          <w:szCs w:val="32"/>
          <w:highlight w:val="none"/>
          <w:lang w:val="en-US" w:eastAsia="zh-CN"/>
        </w:rPr>
        <w:t>99</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r>
        <w:rPr>
          <w:rFonts w:hint="eastAsia" w:ascii="仿宋_GB2312" w:hAnsi="仿宋_GB2312" w:eastAsia="仿宋_GB2312" w:cs="仿宋_GB2312"/>
          <w:b w:val="0"/>
          <w:bCs w:val="0"/>
          <w:color w:val="auto"/>
          <w:sz w:val="32"/>
          <w:szCs w:val="32"/>
          <w:highlight w:val="none"/>
          <w:lang w:eastAsia="zh-CN"/>
        </w:rPr>
        <w:t>但在预算执行率，成本指标执行情况方面的工作有待进一步加强。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具体绩效完成情况分析如下：</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cs="Times New Roman"/>
          <w:b w:val="0"/>
          <w:bCs w:val="0"/>
          <w:color w:val="auto"/>
          <w:sz w:val="32"/>
          <w:szCs w:val="32"/>
          <w:highlight w:val="none"/>
          <w:lang w:eastAsia="zh-CN"/>
        </w:rPr>
        <w:t>20</w:t>
      </w:r>
      <w:r>
        <w:rPr>
          <w:rFonts w:hint="default" w:ascii="Times New Roman" w:hAnsi="Times New Roman" w:cs="Times New Roman"/>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离休干部医疗保障专项资金</w:t>
      </w:r>
      <w:r>
        <w:rPr>
          <w:rFonts w:hint="eastAsia" w:ascii="仿宋_GB2312" w:hAnsi="仿宋_GB2312" w:eastAsia="仿宋_GB2312" w:cs="仿宋_GB2312"/>
          <w:b w:val="0"/>
          <w:bCs w:val="0"/>
          <w:color w:val="auto"/>
          <w:sz w:val="32"/>
          <w:szCs w:val="32"/>
          <w:highlight w:val="none"/>
        </w:rPr>
        <w:t>绩效自评指标体系设置</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个一级指标、</w:t>
      </w:r>
      <w:r>
        <w:rPr>
          <w:rFonts w:hint="default" w:ascii="Times New Roman" w:hAnsi="Times New Roman" w:cs="Times New Roman"/>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个二级指标、</w:t>
      </w:r>
      <w:r>
        <w:rPr>
          <w:rFonts w:hint="default" w:ascii="Times New Roman" w:hAnsi="Times New Roman" w:cs="Times New Roman"/>
          <w:b w:val="0"/>
          <w:bCs w:val="0"/>
          <w:color w:val="auto"/>
          <w:sz w:val="32"/>
          <w:szCs w:val="32"/>
          <w:highlight w:val="none"/>
          <w:lang w:val="en-US" w:eastAsia="zh-CN"/>
        </w:rPr>
        <w:t>29</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指标。其中：</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决策包含</w:t>
      </w:r>
      <w:r>
        <w:rPr>
          <w:rFonts w:hint="eastAsia" w:ascii="仿宋_GB2312" w:hAnsi="仿宋_GB2312" w:cs="仿宋_GB2312"/>
          <w:b w:val="0"/>
          <w:bCs w:val="0"/>
          <w:color w:val="auto"/>
          <w:sz w:val="32"/>
          <w:szCs w:val="32"/>
          <w:highlight w:val="none"/>
          <w:lang w:eastAsia="zh-CN"/>
        </w:rPr>
        <w:t>项目立项、项目</w:t>
      </w:r>
      <w:r>
        <w:rPr>
          <w:rFonts w:hint="eastAsia" w:ascii="仿宋_GB2312" w:hAnsi="仿宋_GB2312" w:eastAsia="仿宋_GB2312" w:cs="仿宋_GB2312"/>
          <w:b w:val="0"/>
          <w:bCs w:val="0"/>
          <w:color w:val="auto"/>
          <w:sz w:val="32"/>
          <w:szCs w:val="32"/>
          <w:highlight w:val="none"/>
        </w:rPr>
        <w:t>目标</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决策满分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项目立项</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分，评价得分</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项目目标</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分，评价得分</w:t>
      </w:r>
      <w:r>
        <w:rPr>
          <w:rFonts w:hint="default" w:ascii="Times New Roman" w:hAnsi="Times New Roman"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管理包含</w:t>
      </w:r>
      <w:r>
        <w:rPr>
          <w:rFonts w:hint="eastAsia" w:ascii="仿宋_GB2312" w:hAnsi="仿宋_GB2312" w:cs="仿宋_GB2312"/>
          <w:b w:val="0"/>
          <w:bCs w:val="0"/>
          <w:color w:val="auto"/>
          <w:sz w:val="32"/>
          <w:szCs w:val="32"/>
          <w:highlight w:val="none"/>
          <w:lang w:eastAsia="zh-CN"/>
        </w:rPr>
        <w:t>投入管理、财务管理、项目实施</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eastAsia="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管理满分</w:t>
      </w:r>
      <w:r>
        <w:rPr>
          <w:rFonts w:hint="default" w:ascii="Times New Roman" w:hAnsi="Times New Roman" w:eastAsia="仿宋_GB2312" w:cs="Times New Roman"/>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rPr>
        <w:t>分，经评分本项得分</w:t>
      </w:r>
      <w:r>
        <w:rPr>
          <w:rFonts w:hint="eastAsia" w:cs="Times New Roman"/>
          <w:b w:val="0"/>
          <w:bCs w:val="0"/>
          <w:color w:val="auto"/>
          <w:sz w:val="32"/>
          <w:szCs w:val="32"/>
          <w:highlight w:val="none"/>
          <w:lang w:val="en-US" w:eastAsia="zh-CN"/>
        </w:rPr>
        <w:t>19</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投入管理</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分，评价得分为</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）二级指标“财务管理”满分</w:t>
      </w:r>
      <w:r>
        <w:rPr>
          <w:rFonts w:hint="default" w:ascii="Times New Roman" w:hAnsi="Times New Roman" w:eastAsia="仿宋_GB2312" w:cs="Times New Roman"/>
          <w:b w:val="0"/>
          <w:bCs w:val="0"/>
          <w:color w:val="auto"/>
          <w:sz w:val="32"/>
          <w:szCs w:val="32"/>
          <w:highlight w:val="none"/>
        </w:rPr>
        <w:t>6</w:t>
      </w:r>
      <w:r>
        <w:rPr>
          <w:rFonts w:hint="eastAsia" w:ascii="仿宋_GB2312" w:hAnsi="仿宋_GB2312" w:eastAsia="仿宋_GB2312" w:cs="仿宋_GB2312"/>
          <w:b w:val="0"/>
          <w:bCs w:val="0"/>
          <w:color w:val="auto"/>
          <w:sz w:val="32"/>
          <w:szCs w:val="32"/>
          <w:highlight w:val="none"/>
        </w:rPr>
        <w:t>分，评价得分为</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cs="仿宋_GB2312"/>
          <w:b w:val="0"/>
          <w:bCs w:val="0"/>
          <w:color w:val="auto"/>
          <w:sz w:val="32"/>
          <w:szCs w:val="32"/>
          <w:highlight w:val="none"/>
          <w:lang w:eastAsia="zh-CN"/>
        </w:rPr>
        <w:t>）二级指标“项目实施”满分</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分，评价得分为</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绩效包含</w:t>
      </w:r>
      <w:r>
        <w:rPr>
          <w:rFonts w:hint="eastAsia" w:ascii="仿宋_GB2312" w:hAnsi="仿宋_GB2312" w:cs="仿宋_GB2312"/>
          <w:b w:val="0"/>
          <w:bCs w:val="0"/>
          <w:color w:val="auto"/>
          <w:sz w:val="32"/>
          <w:szCs w:val="32"/>
          <w:highlight w:val="none"/>
          <w:lang w:eastAsia="zh-CN"/>
        </w:rPr>
        <w:t>项目产出、项目效益</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指标。部门绩效满分</w:t>
      </w:r>
      <w:r>
        <w:rPr>
          <w:rFonts w:hint="default" w:ascii="Times New Roman" w:hAnsi="Times New Roman"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产出”满分</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分，自评得分为</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项目效益</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分，自评得分为</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三、偏离绩效目标的原因和下一步改进措施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一方面</w:t>
      </w:r>
      <w:r>
        <w:rPr>
          <w:rFonts w:hint="eastAsia" w:ascii="仿宋_GB2312" w:hAnsi="仿宋_GB2312" w:cs="仿宋_GB2312"/>
          <w:color w:val="auto"/>
          <w:sz w:val="32"/>
          <w:szCs w:val="32"/>
          <w:highlight w:val="none"/>
          <w:lang w:val="en-US" w:eastAsia="zh-CN"/>
        </w:rPr>
        <w:t>确保</w:t>
      </w:r>
      <w:r>
        <w:rPr>
          <w:rFonts w:hint="eastAsia" w:ascii="仿宋_GB2312" w:hAnsi="仿宋_GB2312" w:eastAsia="仿宋_GB2312" w:cs="仿宋_GB2312"/>
          <w:color w:val="auto"/>
          <w:sz w:val="32"/>
          <w:szCs w:val="32"/>
          <w:highlight w:val="none"/>
          <w:lang w:val="en-US" w:eastAsia="zh-CN"/>
        </w:rPr>
        <w:t>离休干部的医疗需求，最大限度的方便离休干部就医；另一方面对就医待遇加强审核工作，将离休干部医疗费控制在合理费用范围内，坚决杜绝浪费。让保障对象的权益得到充分有效的实施，覆盖面达到</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存在问题如下：</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人员配备不足、监管措施落实不充分。推行预算绩效管理以来，切实发挥绩效目标在全流程管理中的基础作用，以制度引导绩效，确保预算绩效管理规范有序。但由于预算绩效管理工作从业人员配备不足，存在即是裁判员又是运动员的情况，跟踪监管、内控建设等工作缺少稳步安全运行的基础。</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昆明市东川区医疗保障局下一步将</w:t>
      </w:r>
      <w:r>
        <w:rPr>
          <w:rFonts w:hint="eastAsia" w:ascii="仿宋_GB2312" w:hAnsi="仿宋_GB2312" w:cs="仿宋_GB2312"/>
          <w:b w:val="0"/>
          <w:bCs w:val="0"/>
          <w:snapToGrid w:val="0"/>
          <w:color w:val="auto"/>
          <w:kern w:val="0"/>
          <w:sz w:val="32"/>
          <w:szCs w:val="32"/>
          <w:highlight w:val="none"/>
          <w:lang w:eastAsia="zh-CN"/>
        </w:rPr>
        <w:t>继续</w:t>
      </w:r>
      <w:r>
        <w:rPr>
          <w:rFonts w:hint="eastAsia" w:ascii="仿宋_GB2312" w:hAnsi="仿宋_GB2312" w:eastAsia="仿宋_GB2312" w:cs="仿宋_GB2312"/>
          <w:b w:val="0"/>
          <w:bCs w:val="0"/>
          <w:snapToGrid w:val="0"/>
          <w:color w:val="auto"/>
          <w:kern w:val="0"/>
          <w:sz w:val="32"/>
          <w:szCs w:val="32"/>
          <w:highlight w:val="none"/>
        </w:rPr>
        <w:t>做好资金的使用跟踪，完善制度的建设，规范管理专项资金，确保资金的安全及有效运行。</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四、绩效自评结果拟应用和公开情况</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年度离休干部医疗保障专项资金绩效评价得分为</w:t>
      </w:r>
      <w:r>
        <w:rPr>
          <w:rFonts w:hint="default" w:ascii="Times New Roman" w:hAnsi="Times New Roman" w:cs="Times New Roman"/>
          <w:color w:val="auto"/>
          <w:sz w:val="32"/>
          <w:szCs w:val="32"/>
          <w:highlight w:val="none"/>
          <w:lang w:val="en-US" w:eastAsia="zh-CN"/>
        </w:rPr>
        <w:t>99</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r>
        <w:rPr>
          <w:rFonts w:hint="eastAsia" w:ascii="仿宋_GB2312" w:hAnsi="仿宋_GB2312" w:eastAsia="仿宋_GB2312" w:cs="仿宋_GB2312"/>
          <w:b w:val="0"/>
          <w:bCs w:val="0"/>
          <w:color w:val="auto"/>
          <w:sz w:val="32"/>
          <w:szCs w:val="32"/>
          <w:highlight w:val="none"/>
          <w:lang w:eastAsia="zh-CN"/>
        </w:rPr>
        <w:t>但在预算执行率，成本指标执行情况方面的工作有待进一步加强。</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昆明市东川区医疗保障局将及时在东川区“政府门户”网站公开绩效自评结果。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五、其他需要说明的问题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eastAsia="仿宋_GB2312" w:cs="仿宋_GB2312"/>
          <w:color w:val="auto"/>
          <w:kern w:val="2"/>
          <w:sz w:val="32"/>
          <w:szCs w:val="32"/>
          <w:highlight w:val="none"/>
          <w:lang w:val="en-US" w:eastAsia="zh-CN" w:bidi="ar-SA"/>
        </w:rPr>
        <w:t>无其他需要说明的问题。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昆明市东川区</w:t>
      </w:r>
      <w:r>
        <w:rPr>
          <w:rFonts w:hint="eastAsia" w:ascii="仿宋_GB2312" w:hAnsi="仿宋_GB2312" w:eastAsia="仿宋_GB2312" w:cs="仿宋_GB2312"/>
          <w:b w:val="0"/>
          <w:bCs w:val="0"/>
          <w:color w:val="auto"/>
          <w:sz w:val="32"/>
          <w:szCs w:val="32"/>
          <w:highlight w:val="none"/>
          <w:lang w:eastAsia="zh-CN"/>
        </w:rPr>
        <w:t>医疗保障局</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20</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年</w:t>
      </w:r>
      <w:r>
        <w:rPr>
          <w:rFonts w:hint="default" w:ascii="Times New Roman" w:hAnsi="Times New Roman"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月</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日</w:t>
      </w:r>
    </w:p>
    <w:sectPr>
      <w:footerReference r:id="rId3" w:type="default"/>
      <w:footerReference r:id="rId4" w:type="even"/>
      <w:pgSz w:w="11907" w:h="16840"/>
      <w:pgMar w:top="2098" w:right="1474" w:bottom="1984" w:left="1587" w:header="1020" w:footer="164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00" w:right="360" w:firstLine="360"/>
      <w:rPr>
        <w:sz w:val="28"/>
      </w:rPr>
    </w:pPr>
    <w:r>
      <w:rPr>
        <w:sz w:val="2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29600AF"/>
    <w:rsid w:val="0619781A"/>
    <w:rsid w:val="075730B2"/>
    <w:rsid w:val="079B2F21"/>
    <w:rsid w:val="09C115E3"/>
    <w:rsid w:val="0A1B7E59"/>
    <w:rsid w:val="0A346E57"/>
    <w:rsid w:val="0D3F05D1"/>
    <w:rsid w:val="0E9E0539"/>
    <w:rsid w:val="0F916464"/>
    <w:rsid w:val="10BB07D4"/>
    <w:rsid w:val="1347731D"/>
    <w:rsid w:val="139B620C"/>
    <w:rsid w:val="13AB43C9"/>
    <w:rsid w:val="14500A59"/>
    <w:rsid w:val="145D6BC3"/>
    <w:rsid w:val="149B2EE8"/>
    <w:rsid w:val="15D0044B"/>
    <w:rsid w:val="1A94418C"/>
    <w:rsid w:val="1CA81D0B"/>
    <w:rsid w:val="1FE0245C"/>
    <w:rsid w:val="234B0A4E"/>
    <w:rsid w:val="24C95675"/>
    <w:rsid w:val="262C3DF3"/>
    <w:rsid w:val="28AA282E"/>
    <w:rsid w:val="2A325FDC"/>
    <w:rsid w:val="2DDB4434"/>
    <w:rsid w:val="2E2325F8"/>
    <w:rsid w:val="2F9202B1"/>
    <w:rsid w:val="308C4AC3"/>
    <w:rsid w:val="31D9592F"/>
    <w:rsid w:val="32780617"/>
    <w:rsid w:val="330F3B0A"/>
    <w:rsid w:val="33BE1C27"/>
    <w:rsid w:val="369C15EF"/>
    <w:rsid w:val="375D209E"/>
    <w:rsid w:val="38C1437D"/>
    <w:rsid w:val="3A66436F"/>
    <w:rsid w:val="3F62595E"/>
    <w:rsid w:val="3FF32979"/>
    <w:rsid w:val="402B7C64"/>
    <w:rsid w:val="40D45739"/>
    <w:rsid w:val="4109475E"/>
    <w:rsid w:val="4176348D"/>
    <w:rsid w:val="42A53AC2"/>
    <w:rsid w:val="44BE56F7"/>
    <w:rsid w:val="4663783D"/>
    <w:rsid w:val="46982D4B"/>
    <w:rsid w:val="483A08AA"/>
    <w:rsid w:val="48F22EEF"/>
    <w:rsid w:val="4A7F60A4"/>
    <w:rsid w:val="4D862EB7"/>
    <w:rsid w:val="4E556730"/>
    <w:rsid w:val="4F7370ED"/>
    <w:rsid w:val="4FAB610E"/>
    <w:rsid w:val="4FD221F1"/>
    <w:rsid w:val="504E7E66"/>
    <w:rsid w:val="52110942"/>
    <w:rsid w:val="53BA40DE"/>
    <w:rsid w:val="56FB7F2D"/>
    <w:rsid w:val="57E068B3"/>
    <w:rsid w:val="580C5987"/>
    <w:rsid w:val="58442E0F"/>
    <w:rsid w:val="5A065ABC"/>
    <w:rsid w:val="5A2E0D64"/>
    <w:rsid w:val="5CE0009C"/>
    <w:rsid w:val="5D7774BF"/>
    <w:rsid w:val="5DD23A08"/>
    <w:rsid w:val="5F1028D2"/>
    <w:rsid w:val="600671BE"/>
    <w:rsid w:val="607A2744"/>
    <w:rsid w:val="65690042"/>
    <w:rsid w:val="656F4043"/>
    <w:rsid w:val="659B5E74"/>
    <w:rsid w:val="661C62FC"/>
    <w:rsid w:val="69063171"/>
    <w:rsid w:val="6A2E5E1F"/>
    <w:rsid w:val="6B905BE1"/>
    <w:rsid w:val="6ED54555"/>
    <w:rsid w:val="754A345D"/>
    <w:rsid w:val="768E1385"/>
    <w:rsid w:val="773C1BAB"/>
    <w:rsid w:val="78843C42"/>
    <w:rsid w:val="7B1924F4"/>
    <w:rsid w:val="7DE10AFA"/>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kern w:val="0"/>
      <w:sz w:val="18"/>
      <w:szCs w:val="18"/>
    </w:rPr>
  </w:style>
  <w:style w:type="paragraph" w:styleId="4">
    <w:name w:val="Body Text Indent"/>
    <w:basedOn w:val="1"/>
    <w:link w:val="17"/>
    <w:qFormat/>
    <w:uiPriority w:val="99"/>
    <w:pPr>
      <w:ind w:firstLine="632" w:firstLineChars="200"/>
    </w:pPr>
    <w:rPr>
      <w:kern w:val="0"/>
    </w:rPr>
  </w:style>
  <w:style w:type="paragraph" w:styleId="5">
    <w:name w:val="Plain Text"/>
    <w:basedOn w:val="1"/>
    <w:qFormat/>
    <w:uiPriority w:val="0"/>
    <w:rPr>
      <w:rFonts w:ascii="宋体" w:hAnsi="Courier New" w:cs="Courier New"/>
      <w:szCs w:val="21"/>
    </w:rPr>
  </w:style>
  <w:style w:type="paragraph" w:styleId="6">
    <w:name w:val="Date"/>
    <w:basedOn w:val="1"/>
    <w:next w:val="1"/>
    <w:link w:val="16"/>
    <w:qFormat/>
    <w:uiPriority w:val="99"/>
    <w:pPr>
      <w:ind w:left="100" w:leftChars="2500"/>
    </w:pPr>
    <w:rPr>
      <w:kern w:val="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2"/>
    <w:semiHidden/>
    <w:qFormat/>
    <w:uiPriority w:val="99"/>
    <w:rPr>
      <w:rFonts w:eastAsia="仿宋_GB2312"/>
      <w:sz w:val="18"/>
      <w:szCs w:val="18"/>
    </w:rPr>
  </w:style>
  <w:style w:type="character" w:customStyle="1" w:styleId="16">
    <w:name w:val="日期 Char"/>
    <w:link w:val="6"/>
    <w:semiHidden/>
    <w:qFormat/>
    <w:uiPriority w:val="99"/>
    <w:rPr>
      <w:rFonts w:eastAsia="仿宋_GB2312"/>
      <w:sz w:val="32"/>
      <w:szCs w:val="20"/>
    </w:rPr>
  </w:style>
  <w:style w:type="character" w:customStyle="1" w:styleId="17">
    <w:name w:val="正文文本缩进 Char"/>
    <w:link w:val="4"/>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3"/>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1</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英俊的红旅心</cp:lastModifiedBy>
  <cp:lastPrinted>2019-07-09T02:31:00Z</cp:lastPrinted>
  <dcterms:modified xsi:type="dcterms:W3CDTF">2023-05-06T02:30:26Z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