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昆明市东川区医疗保障局</w:t>
      </w:r>
      <w:r>
        <w:rPr>
          <w:rFonts w:hint="default" w:ascii="Times New Roman" w:hAnsi="Times New Roman" w:eastAsia="方正小标宋_GBK" w:cs="Times New Roman"/>
          <w:color w:val="auto"/>
          <w:sz w:val="44"/>
          <w:szCs w:val="44"/>
          <w:highlight w:val="none"/>
        </w:rPr>
        <w:t>202</w:t>
      </w:r>
      <w:r>
        <w:rPr>
          <w:rFonts w:hint="default" w:ascii="Times New Roman" w:hAnsi="Times New Roman" w:eastAsia="方正小标宋_GBK" w:cs="Times New Roman"/>
          <w:color w:val="auto"/>
          <w:sz w:val="44"/>
          <w:szCs w:val="44"/>
          <w:highlight w:val="none"/>
          <w:lang w:val="en-US" w:eastAsia="zh-CN"/>
        </w:rPr>
        <w:t>2</w:t>
      </w:r>
      <w:r>
        <w:rPr>
          <w:rFonts w:hint="eastAsia" w:ascii="方正小标宋_GBK" w:hAnsi="方正小标宋_GBK" w:eastAsia="方正小标宋_GBK" w:cs="方正小标宋_GBK"/>
          <w:color w:val="auto"/>
          <w:sz w:val="44"/>
          <w:szCs w:val="44"/>
          <w:highlight w:val="none"/>
        </w:rPr>
        <w:t>年度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长期护理保险费财政配套专项资金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eastAsia="zh-CN"/>
        </w:rPr>
      </w:pPr>
      <w:r>
        <w:rPr>
          <w:rFonts w:hint="eastAsia" w:ascii="方正小标宋_GBK" w:hAnsi="方正小标宋_GBK" w:eastAsia="方正小标宋_GBK" w:cs="方正小标宋_GBK"/>
          <w:color w:val="auto"/>
          <w:sz w:val="44"/>
          <w:szCs w:val="44"/>
          <w:highlight w:val="none"/>
        </w:rPr>
        <w:t>项目绩效自评报告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一、绩效目标分解下达情况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昆明市东川区医疗保障局长期护理保险费财政配套专项资金</w:t>
      </w:r>
      <w:r>
        <w:rPr>
          <w:rFonts w:hint="default" w:ascii="Times New Roman" w:hAnsi="Times New Roman" w:eastAsia="仿宋_GB2312" w:cs="Times New Roman"/>
          <w:color w:val="auto"/>
          <w:sz w:val="32"/>
          <w:szCs w:val="32"/>
          <w:highlight w:val="none"/>
          <w:lang w:val="en-US" w:eastAsia="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年初预算安排收入</w:t>
      </w:r>
      <w:r>
        <w:rPr>
          <w:rFonts w:hint="default" w:ascii="Times New Roman" w:hAnsi="Times New Roman" w:cs="Times New Roman"/>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万元，其中：财政拨款收入</w:t>
      </w:r>
      <w:r>
        <w:rPr>
          <w:rFonts w:hint="default" w:ascii="Times New Roman" w:hAnsi="Times New Roman" w:cs="Times New Roman"/>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万元，占总收入的</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重点完成了以下工作：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zh-CN"/>
        </w:rPr>
        <w:t>对因年老、疾病、伤残、严重认知障碍等导致长期重度失能的参保人，享有基本生活照料和与之密切相关的医疗护理提供服务和资金保障。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二、绩效目标完成情况分析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（一）资金投入情况分析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lang w:val="en-US" w:eastAsia="zh-CN"/>
        </w:rPr>
        <w:t>长期护理保险费财政配套专项资金</w:t>
      </w:r>
      <w:r>
        <w:rPr>
          <w:rFonts w:hint="eastAsia" w:ascii="仿宋_GB2312" w:hAnsi="仿宋_GB2312" w:cs="仿宋_GB2312"/>
          <w:color w:val="auto"/>
          <w:sz w:val="32"/>
          <w:szCs w:val="32"/>
          <w:highlight w:val="none"/>
          <w:lang w:val="zh-CN"/>
        </w:rPr>
        <w:t>”</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年初预算安排收入</w:t>
      </w:r>
      <w:r>
        <w:rPr>
          <w:rFonts w:hint="default" w:ascii="Times New Roman" w:hAnsi="Times New Roman" w:cs="Times New Roman"/>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zh-CN"/>
        </w:rPr>
        <w:t>万元，其中：财政拨款收入</w:t>
      </w:r>
      <w:r>
        <w:rPr>
          <w:rFonts w:hint="default" w:ascii="Times New Roman" w:hAnsi="Times New Roman" w:cs="Times New Roman"/>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eastAsia="仿宋_GB2312" w:cs="Times New Roman"/>
          <w:color w:val="auto"/>
          <w:sz w:val="32"/>
          <w:szCs w:val="32"/>
          <w:highlight w:val="none"/>
          <w:lang w:val="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rPr>
        <w:t>决算收入合计</w:t>
      </w:r>
      <w:r>
        <w:rPr>
          <w:rFonts w:hint="default" w:ascii="Times New Roman" w:hAnsi="Times New Roman" w:cs="Times New Roman"/>
          <w:color w:val="auto"/>
          <w:sz w:val="32"/>
          <w:szCs w:val="32"/>
          <w:highlight w:val="none"/>
          <w:lang w:val="en-US" w:eastAsia="zh-CN"/>
        </w:rPr>
        <w:t>15</w:t>
      </w:r>
      <w:r>
        <w:rPr>
          <w:rFonts w:hint="eastAsia" w:ascii="仿宋_GB2312" w:hAnsi="仿宋_GB2312" w:cs="仿宋_GB2312"/>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08</w:t>
      </w:r>
      <w:r>
        <w:rPr>
          <w:rFonts w:hint="eastAsia" w:ascii="仿宋_GB2312" w:hAnsi="仿宋_GB2312" w:eastAsia="仿宋_GB2312" w:cs="仿宋_GB2312"/>
          <w:color w:val="auto"/>
          <w:sz w:val="32"/>
          <w:szCs w:val="32"/>
          <w:highlight w:val="none"/>
          <w:lang w:val="zh-CN"/>
        </w:rPr>
        <w:t>万元，其中：财政拨款收入</w:t>
      </w:r>
      <w:r>
        <w:rPr>
          <w:rFonts w:hint="default" w:ascii="Times New Roman" w:hAnsi="Times New Roman" w:cs="Times New Roman"/>
          <w:color w:val="auto"/>
          <w:sz w:val="32"/>
          <w:szCs w:val="32"/>
          <w:highlight w:val="none"/>
          <w:lang w:val="en-US" w:eastAsia="zh-CN"/>
        </w:rPr>
        <w:t>15</w:t>
      </w:r>
      <w:r>
        <w:rPr>
          <w:rFonts w:hint="eastAsia" w:ascii="仿宋_GB2312" w:hAnsi="仿宋_GB2312" w:cs="仿宋_GB2312"/>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08</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w:t>
      </w:r>
      <w:r>
        <w:rPr>
          <w:rFonts w:hint="eastAsia" w:ascii="仿宋_GB2312" w:hAnsi="仿宋_GB2312" w:cs="仿宋_GB2312"/>
          <w:color w:val="auto"/>
          <w:sz w:val="32"/>
          <w:szCs w:val="32"/>
          <w:highlight w:val="none"/>
          <w:lang w:val="zh-CN"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lang w:val="zh-CN" w:eastAsia="zh-CN"/>
        </w:rPr>
      </w:pPr>
      <w:r>
        <w:rPr>
          <w:rFonts w:hint="eastAsia" w:ascii="仿宋_GB2312" w:hAnsi="仿宋_GB2312" w:eastAsia="仿宋_GB2312" w:cs="仿宋_GB2312"/>
          <w:color w:val="auto"/>
          <w:sz w:val="32"/>
          <w:szCs w:val="32"/>
          <w:highlight w:val="none"/>
          <w:lang w:val="zh-CN"/>
        </w:rPr>
        <w:t>预、决算差异</w:t>
      </w:r>
      <w:r>
        <w:rPr>
          <w:rFonts w:hint="eastAsia" w:ascii="仿宋_GB2312" w:hAnsi="仿宋_GB2312" w:cs="仿宋_GB2312"/>
          <w:color w:val="auto"/>
          <w:sz w:val="32"/>
          <w:szCs w:val="32"/>
          <w:highlight w:val="none"/>
          <w:lang w:val="en-US" w:eastAsia="zh-CN"/>
        </w:rPr>
        <w:t>4.92</w:t>
      </w:r>
      <w:r>
        <w:rPr>
          <w:rFonts w:hint="eastAsia" w:ascii="仿宋_GB2312" w:hAnsi="仿宋_GB2312" w:eastAsia="仿宋_GB2312" w:cs="仿宋_GB2312"/>
          <w:color w:val="auto"/>
          <w:sz w:val="32"/>
          <w:szCs w:val="32"/>
          <w:highlight w:val="none"/>
          <w:lang w:val="zh-CN"/>
        </w:rPr>
        <w:t>万元，差异率</w:t>
      </w:r>
      <w:r>
        <w:rPr>
          <w:rFonts w:hint="eastAsia" w:ascii="仿宋_GB2312" w:hAnsi="仿宋_GB2312" w:cs="仿宋_GB2312"/>
          <w:color w:val="auto"/>
          <w:sz w:val="32"/>
          <w:szCs w:val="32"/>
          <w:highlight w:val="none"/>
          <w:lang w:val="en-US" w:eastAsia="zh-CN"/>
        </w:rPr>
        <w:t>24.6</w:t>
      </w:r>
      <w:r>
        <w:rPr>
          <w:rFonts w:hint="eastAsia" w:ascii="仿宋_GB2312" w:hAnsi="仿宋_GB2312" w:eastAsia="仿宋_GB2312" w:cs="仿宋_GB2312"/>
          <w:color w:val="auto"/>
          <w:sz w:val="32"/>
          <w:szCs w:val="32"/>
          <w:highlight w:val="none"/>
          <w:lang w:val="zh-CN"/>
        </w:rPr>
        <w:t>%，差异原因分析：因</w:t>
      </w:r>
      <w:r>
        <w:rPr>
          <w:rFonts w:hint="eastAsia" w:ascii="仿宋_GB2312" w:hAnsi="仿宋_GB2312" w:cs="仿宋_GB2312"/>
          <w:color w:val="auto"/>
          <w:sz w:val="32"/>
          <w:szCs w:val="32"/>
          <w:highlight w:val="none"/>
          <w:lang w:val="zh-CN"/>
        </w:rPr>
        <w:t>符合条件人员较预测数据有</w:t>
      </w:r>
      <w:r>
        <w:rPr>
          <w:rFonts w:hint="eastAsia" w:ascii="仿宋_GB2312" w:hAnsi="仿宋_GB2312" w:cs="仿宋_GB2312"/>
          <w:color w:val="auto"/>
          <w:sz w:val="32"/>
          <w:szCs w:val="32"/>
          <w:highlight w:val="none"/>
          <w:lang w:val="zh-CN" w:eastAsia="zh-CN"/>
        </w:rPr>
        <w:t>误差</w:t>
      </w:r>
      <w:r>
        <w:rPr>
          <w:rFonts w:hint="eastAsia" w:ascii="仿宋_GB2312" w:hAnsi="仿宋_GB2312" w:eastAsia="仿宋_GB2312" w:cs="仿宋_GB2312"/>
          <w:color w:val="auto"/>
          <w:sz w:val="32"/>
          <w:szCs w:val="32"/>
          <w:highlight w:val="none"/>
          <w:lang w:val="zh-CN"/>
        </w:rPr>
        <w:t>，故造成预、决算</w:t>
      </w:r>
      <w:r>
        <w:rPr>
          <w:rFonts w:hint="eastAsia" w:ascii="仿宋_GB2312" w:hAnsi="仿宋_GB2312" w:cs="仿宋_GB2312"/>
          <w:color w:val="auto"/>
          <w:sz w:val="32"/>
          <w:szCs w:val="32"/>
          <w:highlight w:val="none"/>
          <w:lang w:val="zh-CN"/>
        </w:rPr>
        <w:t>存</w:t>
      </w:r>
      <w:r>
        <w:rPr>
          <w:rFonts w:hint="eastAsia" w:ascii="仿宋_GB2312" w:hAnsi="仿宋_GB2312" w:eastAsia="仿宋_GB2312" w:cs="仿宋_GB2312"/>
          <w:color w:val="auto"/>
          <w:sz w:val="32"/>
          <w:szCs w:val="32"/>
          <w:highlight w:val="none"/>
          <w:lang w:val="zh-CN"/>
        </w:rPr>
        <w:t>差异。</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eastAsia="仿宋_GB2312" w:cs="仿宋_GB2312"/>
          <w:b w:val="0"/>
          <w:bCs w:val="0"/>
          <w:color w:val="auto"/>
          <w:sz w:val="32"/>
          <w:szCs w:val="32"/>
          <w:highlight w:val="none"/>
        </w:rPr>
        <w:t>认真制定并严格执行了相关制度，包括</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昆明市东川区医疗保障局内部控制制度（试行）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昆明市东川区医疗保障局（医险局）医疗保障基金拨付业务经办流程</w:t>
      </w:r>
      <w:r>
        <w:rPr>
          <w:rFonts w:hint="eastAsia" w:ascii="仿宋_GB2312" w:hAnsi="仿宋_GB2312" w:eastAsia="仿宋_GB2312" w:cs="仿宋_GB2312"/>
          <w:b w:val="0"/>
          <w:bCs w:val="0"/>
          <w:color w:val="auto"/>
          <w:sz w:val="32"/>
          <w:szCs w:val="32"/>
          <w:highlight w:val="none"/>
          <w:lang w:eastAsia="zh-CN"/>
        </w:rPr>
        <w:t>》《昆明市东川区医疗保障局（医险局）基金财务管理核算办法及票据管理制度》《昆明市东川区医疗保障局预算绩效管理暂行办法》《昆明市东川区医疗保障局预算绩效自评工作方案》《昆明市东川区医疗保障局绩效跟踪实施方案》《昆明市东川区医疗保障局预算绩效自评开展计划》</w:t>
      </w:r>
      <w:r>
        <w:rPr>
          <w:rFonts w:hint="eastAsia" w:ascii="仿宋_GB2312" w:hAnsi="仿宋_GB2312" w:eastAsia="仿宋_GB2312" w:cs="仿宋_GB2312"/>
          <w:b w:val="0"/>
          <w:bCs w:val="0"/>
          <w:color w:val="auto"/>
          <w:sz w:val="32"/>
          <w:szCs w:val="32"/>
          <w:highlight w:val="none"/>
        </w:rPr>
        <w:t>等制度，</w:t>
      </w:r>
      <w:r>
        <w:rPr>
          <w:rFonts w:hint="eastAsia" w:ascii="仿宋_GB2312" w:hAnsi="仿宋_GB2312" w:eastAsia="仿宋_GB2312" w:cs="仿宋_GB2312"/>
          <w:b w:val="0"/>
          <w:bCs w:val="0"/>
          <w:color w:val="auto"/>
          <w:sz w:val="32"/>
          <w:szCs w:val="32"/>
          <w:highlight w:val="none"/>
          <w:lang w:eastAsia="zh-CN"/>
        </w:rPr>
        <w:t>切实</w:t>
      </w:r>
      <w:r>
        <w:rPr>
          <w:rFonts w:hint="eastAsia" w:ascii="仿宋_GB2312" w:hAnsi="仿宋_GB2312" w:eastAsia="仿宋_GB2312" w:cs="仿宋_GB2312"/>
          <w:b w:val="0"/>
          <w:bCs w:val="0"/>
          <w:color w:val="auto"/>
          <w:sz w:val="32"/>
          <w:szCs w:val="32"/>
          <w:highlight w:val="none"/>
        </w:rPr>
        <w:t>保障各科室正常运行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各项工作有条不紊地开展</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（二）总体绩效目标完成情况分析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年对因年老、疾病、伤残、严重认知障碍等导致长期重度失能的参保人，享有基本生活照料和与之密切相关的医疗护理提供服务和资金保障。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根据昆明市经济社会发展水平和人口老龄化的实际，基本建立了为长期失能人员的基本生活照料和与之密切相关的医疗护理提供服务、资金保障的社会保险制度，满足群众多层次社会保障需求。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（三）绩效指标完成情况分析</w:t>
      </w:r>
    </w:p>
    <w:p>
      <w:pPr>
        <w:keepNext w:val="0"/>
        <w:keepLines w:val="0"/>
        <w:pageBreakBefore w:val="0"/>
        <w:widowControl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cs="仿宋_GB2312"/>
          <w:b w:val="0"/>
          <w:bCs w:val="0"/>
          <w:color w:val="auto"/>
          <w:sz w:val="32"/>
          <w:szCs w:val="32"/>
          <w:highlight w:val="none"/>
          <w:lang w:eastAsia="zh-CN"/>
        </w:rPr>
        <w:t>强化责任落实</w:t>
      </w:r>
      <w:r>
        <w:rPr>
          <w:rFonts w:hint="eastAsia" w:ascii="仿宋_GB2312" w:hAnsi="仿宋_GB2312" w:eastAsia="仿宋_GB2312" w:cs="仿宋_GB2312"/>
          <w:b w:val="0"/>
          <w:bCs w:val="0"/>
          <w:color w:val="auto"/>
          <w:sz w:val="32"/>
          <w:szCs w:val="32"/>
          <w:highlight w:val="none"/>
        </w:rPr>
        <w:t>，各项</w:t>
      </w:r>
      <w:r>
        <w:rPr>
          <w:rFonts w:hint="eastAsia" w:cs="仿宋_GB2312"/>
          <w:b w:val="0"/>
          <w:bCs w:val="0"/>
          <w:color w:val="auto"/>
          <w:sz w:val="32"/>
          <w:szCs w:val="32"/>
          <w:highlight w:val="none"/>
          <w:lang w:eastAsia="zh-CN"/>
        </w:rPr>
        <w:t>任务</w:t>
      </w:r>
      <w:r>
        <w:rPr>
          <w:rFonts w:hint="eastAsia" w:ascii="仿宋_GB2312" w:hAnsi="仿宋_GB2312" w:eastAsia="仿宋_GB2312" w:cs="仿宋_GB2312"/>
          <w:b w:val="0"/>
          <w:bCs w:val="0"/>
          <w:color w:val="auto"/>
          <w:sz w:val="32"/>
          <w:szCs w:val="32"/>
          <w:highlight w:val="none"/>
        </w:rPr>
        <w:t>目标稳步推进，长期护理保险费财政配套专项资金</w:t>
      </w:r>
      <w:r>
        <w:rPr>
          <w:rFonts w:hint="eastAsia" w:cs="仿宋_GB2312"/>
          <w:b w:val="0"/>
          <w:bCs w:val="0"/>
          <w:color w:val="auto"/>
          <w:sz w:val="32"/>
          <w:szCs w:val="32"/>
          <w:highlight w:val="none"/>
          <w:lang w:eastAsia="zh-CN"/>
        </w:rPr>
        <w:t>及时足额缴纳</w:t>
      </w:r>
      <w:r>
        <w:rPr>
          <w:rFonts w:hint="eastAsia" w:ascii="仿宋_GB2312" w:hAnsi="仿宋_GB2312" w:eastAsia="仿宋_GB2312" w:cs="仿宋_GB2312"/>
          <w:b w:val="0"/>
          <w:bCs w:val="0"/>
          <w:color w:val="auto"/>
          <w:sz w:val="32"/>
          <w:szCs w:val="32"/>
          <w:highlight w:val="none"/>
        </w:rPr>
        <w:t>，公共服务能力稳步提升。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color w:val="auto"/>
          <w:sz w:val="32"/>
          <w:szCs w:val="32"/>
          <w:highlight w:val="none"/>
          <w:lang w:val="zh-CN"/>
        </w:rPr>
      </w:pPr>
      <w:bookmarkStart w:id="0" w:name="_GoBack"/>
      <w:bookmarkEnd w:id="0"/>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年度</w:t>
      </w:r>
      <w:r>
        <w:rPr>
          <w:rFonts w:hint="eastAsia" w:ascii="仿宋_GB2312" w:hAnsi="仿宋_GB2312" w:eastAsia="仿宋_GB2312" w:cs="仿宋_GB2312"/>
          <w:color w:val="auto"/>
          <w:sz w:val="32"/>
          <w:szCs w:val="32"/>
          <w:highlight w:val="none"/>
          <w:lang w:val="en-US" w:eastAsia="zh-CN"/>
        </w:rPr>
        <w:t>长期护理保险费财政配套专项资金</w:t>
      </w:r>
      <w:r>
        <w:rPr>
          <w:rFonts w:hint="eastAsia" w:ascii="仿宋_GB2312" w:hAnsi="仿宋_GB2312" w:eastAsia="仿宋_GB2312" w:cs="仿宋_GB2312"/>
          <w:color w:val="auto"/>
          <w:sz w:val="32"/>
          <w:szCs w:val="32"/>
          <w:highlight w:val="none"/>
          <w:lang w:val="zh-CN"/>
        </w:rPr>
        <w:t>绩效评价得分为</w:t>
      </w:r>
      <w:r>
        <w:rPr>
          <w:rFonts w:hint="default" w:ascii="Times New Roman" w:hAnsi="Times New Roman"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分，评价结果为优。从整体看绩效目标明确，各项工作开展完成情况良好。具体绩效完成情况分析如下：</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cs="Times New Roman"/>
          <w:b w:val="0"/>
          <w:bCs w:val="0"/>
          <w:color w:val="auto"/>
          <w:sz w:val="32"/>
          <w:szCs w:val="32"/>
          <w:highlight w:val="none"/>
          <w:lang w:eastAsia="zh-CN"/>
        </w:rPr>
        <w:t>20</w:t>
      </w:r>
      <w:r>
        <w:rPr>
          <w:rFonts w:hint="default" w:ascii="Times New Roman" w:hAnsi="Times New Roman" w:cs="Times New Roman"/>
          <w:b w:val="0"/>
          <w:bCs w:val="0"/>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长期护理保险费财政配套专项资金</w:t>
      </w:r>
      <w:r>
        <w:rPr>
          <w:rFonts w:hint="eastAsia" w:ascii="仿宋_GB2312" w:hAnsi="仿宋_GB2312" w:eastAsia="仿宋_GB2312" w:cs="仿宋_GB2312"/>
          <w:b w:val="0"/>
          <w:bCs w:val="0"/>
          <w:color w:val="auto"/>
          <w:sz w:val="32"/>
          <w:szCs w:val="32"/>
          <w:highlight w:val="none"/>
        </w:rPr>
        <w:t>绩效自评指标体系设置</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个一级指标、</w:t>
      </w:r>
      <w:r>
        <w:rPr>
          <w:rFonts w:hint="default" w:ascii="Times New Roman" w:hAnsi="Times New Roman" w:cs="Times New Roman"/>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个二级指标、</w:t>
      </w:r>
      <w:r>
        <w:rPr>
          <w:rFonts w:hint="default" w:ascii="Times New Roman" w:hAnsi="Times New Roman" w:cs="Times New Roman"/>
          <w:b w:val="0"/>
          <w:bCs w:val="0"/>
          <w:color w:val="auto"/>
          <w:sz w:val="32"/>
          <w:szCs w:val="32"/>
          <w:highlight w:val="none"/>
          <w:lang w:val="en-US" w:eastAsia="zh-CN"/>
        </w:rPr>
        <w:t>29</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指标。其中：</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决策包含</w:t>
      </w:r>
      <w:r>
        <w:rPr>
          <w:rFonts w:hint="eastAsia" w:ascii="仿宋_GB2312" w:hAnsi="仿宋_GB2312" w:cs="仿宋_GB2312"/>
          <w:b w:val="0"/>
          <w:bCs w:val="0"/>
          <w:color w:val="auto"/>
          <w:sz w:val="32"/>
          <w:szCs w:val="32"/>
          <w:highlight w:val="none"/>
          <w:lang w:eastAsia="zh-CN"/>
        </w:rPr>
        <w:t>项目立项、项目</w:t>
      </w:r>
      <w:r>
        <w:rPr>
          <w:rFonts w:hint="eastAsia" w:ascii="仿宋_GB2312" w:hAnsi="仿宋_GB2312" w:eastAsia="仿宋_GB2312" w:cs="仿宋_GB2312"/>
          <w:b w:val="0"/>
          <w:bCs w:val="0"/>
          <w:color w:val="auto"/>
          <w:sz w:val="32"/>
          <w:szCs w:val="32"/>
          <w:highlight w:val="none"/>
        </w:rPr>
        <w:t>目标</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个二级指标，</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决策满分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项目立项</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分，评价得分</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项目目标</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分，评价得分</w:t>
      </w:r>
      <w:r>
        <w:rPr>
          <w:rFonts w:hint="default" w:ascii="Times New Roman" w:hAnsi="Times New Roman"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管理包含</w:t>
      </w:r>
      <w:r>
        <w:rPr>
          <w:rFonts w:hint="eastAsia" w:ascii="仿宋_GB2312" w:hAnsi="仿宋_GB2312" w:cs="仿宋_GB2312"/>
          <w:b w:val="0"/>
          <w:bCs w:val="0"/>
          <w:color w:val="auto"/>
          <w:sz w:val="32"/>
          <w:szCs w:val="32"/>
          <w:highlight w:val="none"/>
          <w:lang w:eastAsia="zh-CN"/>
        </w:rPr>
        <w:t>投入管理、财务管理、项目实施</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eastAsia="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管理满分</w:t>
      </w:r>
      <w:r>
        <w:rPr>
          <w:rFonts w:hint="default" w:ascii="Times New Roman" w:hAnsi="Times New Roman" w:eastAsia="仿宋_GB2312" w:cs="Times New Roman"/>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投入管理</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分，评价得分为</w:t>
      </w:r>
      <w:r>
        <w:rPr>
          <w:rFonts w:hint="default" w:ascii="Times New Roman" w:hAnsi="Times New Roman"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）二级指标“财务管理”满分</w:t>
      </w:r>
      <w:r>
        <w:rPr>
          <w:rFonts w:hint="default" w:ascii="Times New Roman" w:hAnsi="Times New Roman" w:eastAsia="仿宋_GB2312" w:cs="Times New Roman"/>
          <w:b w:val="0"/>
          <w:bCs w:val="0"/>
          <w:color w:val="auto"/>
          <w:sz w:val="32"/>
          <w:szCs w:val="32"/>
          <w:highlight w:val="none"/>
        </w:rPr>
        <w:t>6</w:t>
      </w:r>
      <w:r>
        <w:rPr>
          <w:rFonts w:hint="eastAsia" w:ascii="仿宋_GB2312" w:hAnsi="仿宋_GB2312" w:eastAsia="仿宋_GB2312" w:cs="仿宋_GB2312"/>
          <w:b w:val="0"/>
          <w:bCs w:val="0"/>
          <w:color w:val="auto"/>
          <w:sz w:val="32"/>
          <w:szCs w:val="32"/>
          <w:highlight w:val="none"/>
        </w:rPr>
        <w:t>分，评价得分为</w:t>
      </w:r>
      <w:r>
        <w:rPr>
          <w:rFonts w:hint="default" w:ascii="Times New Roman" w:hAnsi="Times New Roman"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cs="仿宋_GB2312"/>
          <w:b w:val="0"/>
          <w:bCs w:val="0"/>
          <w:color w:val="auto"/>
          <w:sz w:val="32"/>
          <w:szCs w:val="32"/>
          <w:highlight w:val="none"/>
          <w:lang w:eastAsia="zh-CN"/>
        </w:rPr>
        <w:t>）二级指标“项目实施”满分</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分，评价得分为</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绩效包含</w:t>
      </w:r>
      <w:r>
        <w:rPr>
          <w:rFonts w:hint="eastAsia" w:ascii="仿宋_GB2312" w:hAnsi="仿宋_GB2312" w:cs="仿宋_GB2312"/>
          <w:b w:val="0"/>
          <w:bCs w:val="0"/>
          <w:color w:val="auto"/>
          <w:sz w:val="32"/>
          <w:szCs w:val="32"/>
          <w:highlight w:val="none"/>
          <w:lang w:eastAsia="zh-CN"/>
        </w:rPr>
        <w:t>项目产出、项目效益</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指标。部门绩效满分</w:t>
      </w:r>
      <w:r>
        <w:rPr>
          <w:rFonts w:hint="default" w:ascii="Times New Roman" w:hAnsi="Times New Roman"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cs="仿宋_GB2312"/>
          <w:b w:val="0"/>
          <w:bCs w:val="0"/>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1</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产出”满分</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分，自评得分为</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r>
        <w:rPr>
          <w:rFonts w:hint="eastAsia" w:ascii="仿宋_GB2312" w:hAnsi="仿宋_GB2312" w:cs="仿宋_GB2312"/>
          <w:b w:val="0"/>
          <w:bCs w:val="0"/>
          <w:color w:val="auto"/>
          <w:sz w:val="32"/>
          <w:szCs w:val="32"/>
          <w:highlight w:val="none"/>
          <w:lang w:eastAsia="zh-CN"/>
        </w:rPr>
        <w:t>。</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项目效益</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分，自评得分为</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r>
        <w:rPr>
          <w:rFonts w:hint="eastAsia" w:ascii="仿宋_GB2312" w:hAnsi="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三、偏离绩效目标的原因和下一步改进措施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年，昆明市东川区医疗保障局根据昆明市经济社会发展水平和人口老龄化的实际，基本建立</w:t>
      </w:r>
      <w:r>
        <w:rPr>
          <w:rFonts w:hint="eastAsia" w:ascii="仿宋_GB2312" w:hAnsi="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lang w:val="en-US" w:eastAsia="zh-CN"/>
        </w:rPr>
        <w:t>为长期失能人员的基本生活照料和与之密切相关的医疗护理提供服务、资金保障的社会保险制度，满足群众多层次社会保障需求。</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存在问题如下：</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人员配备不足、监管措施落实不充分。推行预算绩效管理以来，切实发挥绩效目标在全流程管理中的基础作用，以制度引导绩效，确保预算绩效管理规范有序。但由于预算绩效管理工作从业人员配备不足，存在即是裁判员又是运动员的情况，跟踪监管、内控建设等工作缺少稳步安全运行的基础。</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昆明市东川区医疗保障局下一步将</w:t>
      </w:r>
      <w:r>
        <w:rPr>
          <w:rFonts w:hint="eastAsia" w:ascii="仿宋_GB2312" w:hAnsi="仿宋_GB2312" w:cs="仿宋_GB2312"/>
          <w:b w:val="0"/>
          <w:bCs w:val="0"/>
          <w:snapToGrid w:val="0"/>
          <w:color w:val="auto"/>
          <w:kern w:val="0"/>
          <w:sz w:val="32"/>
          <w:szCs w:val="32"/>
          <w:highlight w:val="none"/>
          <w:lang w:eastAsia="zh-CN"/>
        </w:rPr>
        <w:t>继续</w:t>
      </w:r>
      <w:r>
        <w:rPr>
          <w:rFonts w:hint="eastAsia" w:ascii="仿宋_GB2312" w:hAnsi="仿宋_GB2312" w:eastAsia="仿宋_GB2312" w:cs="仿宋_GB2312"/>
          <w:b w:val="0"/>
          <w:bCs w:val="0"/>
          <w:snapToGrid w:val="0"/>
          <w:color w:val="auto"/>
          <w:kern w:val="0"/>
          <w:sz w:val="32"/>
          <w:szCs w:val="32"/>
          <w:highlight w:val="none"/>
        </w:rPr>
        <w:t>做好资金的使用跟踪，完善制度的建设，规范管理专项资金，确保资金的安全及有效运行。</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四、绩效自评结果拟应用和公开情况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年度长期护理保险费财政配套专项资金绩效评价得分为</w:t>
      </w:r>
      <w:r>
        <w:rPr>
          <w:rFonts w:hint="default" w:ascii="Times New Roman" w:hAnsi="Times New Roman"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昆明市东川区医疗保障局将及时在东川区“政府门户”网站公开绩效自评结果。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五、其他需要说明的问题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昆明市东川区医疗保障局</w:t>
      </w:r>
      <w:r>
        <w:rPr>
          <w:rFonts w:hint="eastAsia" w:ascii="仿宋_GB2312" w:hAnsi="仿宋_GB2312" w:eastAsia="仿宋_GB2312" w:cs="仿宋_GB2312"/>
          <w:color w:val="auto"/>
          <w:kern w:val="2"/>
          <w:sz w:val="32"/>
          <w:szCs w:val="32"/>
          <w:highlight w:val="none"/>
          <w:lang w:val="en-US" w:eastAsia="zh-CN" w:bidi="ar-SA"/>
        </w:rPr>
        <w:t>无其他需要说明的问题。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756" w:firstLineChars="1505"/>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昆明市东川区医疗保障局</w:t>
      </w:r>
    </w:p>
    <w:p>
      <w:pPr>
        <w:keepNext w:val="0"/>
        <w:keepLines w:val="0"/>
        <w:pageBreakBefore w:val="0"/>
        <w:kinsoku/>
        <w:wordWrap/>
        <w:overflowPunct/>
        <w:topLinePunct w:val="0"/>
        <w:autoSpaceDE/>
        <w:autoSpaceDN/>
        <w:bidi w:val="0"/>
        <w:adjustRightInd/>
        <w:snapToGrid/>
        <w:spacing w:line="560" w:lineRule="exact"/>
        <w:ind w:firstLine="5372" w:firstLineChars="1700"/>
        <w:jc w:val="both"/>
        <w:textAlignment w:val="auto"/>
        <w:rPr>
          <w:rFonts w:hint="eastAsia" w:ascii="方正小标宋简体" w:eastAsia="方正小标宋简体"/>
          <w:color w:val="auto"/>
          <w:sz w:val="44"/>
          <w:szCs w:val="44"/>
          <w:highlight w:val="none"/>
        </w:rPr>
      </w:pPr>
      <w:r>
        <w:rPr>
          <w:rFonts w:hint="default" w:ascii="Times New Roman" w:hAnsi="Times New Roman" w:eastAsia="仿宋_GB2312" w:cs="Times New Roman"/>
          <w:color w:val="auto"/>
          <w:kern w:val="2"/>
          <w:sz w:val="32"/>
          <w:szCs w:val="32"/>
          <w:highlight w:val="none"/>
          <w:lang w:val="en-US" w:eastAsia="zh-CN" w:bidi="ar-SA"/>
        </w:rPr>
        <w:t>202</w:t>
      </w:r>
      <w:r>
        <w:rPr>
          <w:rFonts w:hint="default" w:ascii="Times New Roman" w:hAnsi="Times New Roman" w:cs="Times New Roman"/>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年</w:t>
      </w:r>
      <w:r>
        <w:rPr>
          <w:rFonts w:hint="default" w:ascii="Times New Roman" w:hAnsi="Times New Roman" w:cs="Times New Roman"/>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US" w:eastAsia="zh-CN" w:bidi="ar-SA"/>
        </w:rPr>
        <w:t>月</w:t>
      </w:r>
      <w:r>
        <w:rPr>
          <w:rFonts w:hint="default" w:ascii="Times New Roman" w:hAnsi="Times New Roman" w:cs="Times New Roman"/>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en-US" w:eastAsia="zh-CN" w:bidi="ar-SA"/>
        </w:rPr>
        <w:t>日</w:t>
      </w: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ascii="仿宋_GB2312"/>
          <w:b w:val="0"/>
          <w:bCs w:val="0"/>
          <w:color w:val="auto"/>
        </w:rPr>
      </w:pPr>
    </w:p>
    <w:sectPr>
      <w:footerReference r:id="rId3" w:type="default"/>
      <w:footerReference r:id="rId4" w:type="even"/>
      <w:pgSz w:w="11907" w:h="16840"/>
      <w:pgMar w:top="2098" w:right="1474" w:bottom="1984" w:left="1587" w:header="1020" w:footer="1644" w:gutter="0"/>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00" w:right="360" w:firstLine="360"/>
      <w:rPr>
        <w:sz w:val="28"/>
      </w:rPr>
    </w:pPr>
    <w:r>
      <w:rPr>
        <w:sz w:val="2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4FC7AAF"/>
    <w:rsid w:val="075730B2"/>
    <w:rsid w:val="082E48FD"/>
    <w:rsid w:val="0A1B7E59"/>
    <w:rsid w:val="0A346E57"/>
    <w:rsid w:val="0AAD27BC"/>
    <w:rsid w:val="0C4F1707"/>
    <w:rsid w:val="0C5B46D8"/>
    <w:rsid w:val="0F141521"/>
    <w:rsid w:val="0F2B2993"/>
    <w:rsid w:val="10BB07D4"/>
    <w:rsid w:val="10BF620A"/>
    <w:rsid w:val="139B620C"/>
    <w:rsid w:val="140B0C84"/>
    <w:rsid w:val="142E6D7B"/>
    <w:rsid w:val="14E1753C"/>
    <w:rsid w:val="15D0044B"/>
    <w:rsid w:val="170A10B4"/>
    <w:rsid w:val="18ED6A14"/>
    <w:rsid w:val="197808DA"/>
    <w:rsid w:val="1A1A64CB"/>
    <w:rsid w:val="1AA12594"/>
    <w:rsid w:val="1F8B5042"/>
    <w:rsid w:val="216171BA"/>
    <w:rsid w:val="22197A7E"/>
    <w:rsid w:val="234B0A4E"/>
    <w:rsid w:val="24196E52"/>
    <w:rsid w:val="24C95675"/>
    <w:rsid w:val="262C3DF3"/>
    <w:rsid w:val="277D4D97"/>
    <w:rsid w:val="2A0E0BC4"/>
    <w:rsid w:val="2C2907CD"/>
    <w:rsid w:val="2D796C27"/>
    <w:rsid w:val="2DDB4434"/>
    <w:rsid w:val="2E2325F8"/>
    <w:rsid w:val="308C4AC3"/>
    <w:rsid w:val="311D2067"/>
    <w:rsid w:val="32780617"/>
    <w:rsid w:val="330F3B0A"/>
    <w:rsid w:val="33BE1C27"/>
    <w:rsid w:val="348B26E1"/>
    <w:rsid w:val="369C15EF"/>
    <w:rsid w:val="38C1437D"/>
    <w:rsid w:val="3AEA6C7B"/>
    <w:rsid w:val="402B7C64"/>
    <w:rsid w:val="4109475E"/>
    <w:rsid w:val="4176348D"/>
    <w:rsid w:val="4293232F"/>
    <w:rsid w:val="43043BC7"/>
    <w:rsid w:val="46982D4B"/>
    <w:rsid w:val="46BE2D2C"/>
    <w:rsid w:val="48F22EEF"/>
    <w:rsid w:val="4C2E6387"/>
    <w:rsid w:val="4E556730"/>
    <w:rsid w:val="4EB12046"/>
    <w:rsid w:val="4F7370ED"/>
    <w:rsid w:val="4F9622C0"/>
    <w:rsid w:val="4FAC0EB5"/>
    <w:rsid w:val="4FBC462D"/>
    <w:rsid w:val="504E7E66"/>
    <w:rsid w:val="52110942"/>
    <w:rsid w:val="52EA3C9D"/>
    <w:rsid w:val="56405B83"/>
    <w:rsid w:val="57E068B3"/>
    <w:rsid w:val="58AD5E2D"/>
    <w:rsid w:val="5A6F1C93"/>
    <w:rsid w:val="5C682A39"/>
    <w:rsid w:val="5C7F08E5"/>
    <w:rsid w:val="5C7F2B14"/>
    <w:rsid w:val="5CC4100A"/>
    <w:rsid w:val="5CD21ED5"/>
    <w:rsid w:val="5CE0009C"/>
    <w:rsid w:val="5D1F421A"/>
    <w:rsid w:val="5E5405BD"/>
    <w:rsid w:val="600671BE"/>
    <w:rsid w:val="607A2744"/>
    <w:rsid w:val="618A3A54"/>
    <w:rsid w:val="64557D2B"/>
    <w:rsid w:val="65690042"/>
    <w:rsid w:val="656F4043"/>
    <w:rsid w:val="661C62FC"/>
    <w:rsid w:val="667A5F89"/>
    <w:rsid w:val="6B486350"/>
    <w:rsid w:val="6B905BE1"/>
    <w:rsid w:val="6C351310"/>
    <w:rsid w:val="6C7D71A8"/>
    <w:rsid w:val="6E144860"/>
    <w:rsid w:val="6ED54555"/>
    <w:rsid w:val="6F106232"/>
    <w:rsid w:val="70C36080"/>
    <w:rsid w:val="717043A8"/>
    <w:rsid w:val="73373279"/>
    <w:rsid w:val="734B4549"/>
    <w:rsid w:val="735A032B"/>
    <w:rsid w:val="74AA434F"/>
    <w:rsid w:val="750A60E9"/>
    <w:rsid w:val="754A345D"/>
    <w:rsid w:val="768E1385"/>
    <w:rsid w:val="773C1BAB"/>
    <w:rsid w:val="78843C42"/>
    <w:rsid w:val="793A284C"/>
    <w:rsid w:val="79771888"/>
    <w:rsid w:val="79B61B09"/>
    <w:rsid w:val="7ADC5469"/>
    <w:rsid w:val="7B01255E"/>
    <w:rsid w:val="7D955834"/>
    <w:rsid w:val="7E6564B8"/>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kern w:val="0"/>
      <w:sz w:val="18"/>
      <w:szCs w:val="18"/>
    </w:rPr>
  </w:style>
  <w:style w:type="paragraph" w:styleId="4">
    <w:name w:val="Body Text Indent"/>
    <w:basedOn w:val="1"/>
    <w:link w:val="17"/>
    <w:qFormat/>
    <w:uiPriority w:val="99"/>
    <w:pPr>
      <w:ind w:firstLine="632" w:firstLineChars="200"/>
    </w:pPr>
    <w:rPr>
      <w:kern w:val="0"/>
    </w:rPr>
  </w:style>
  <w:style w:type="paragraph" w:styleId="5">
    <w:name w:val="Plain Text"/>
    <w:basedOn w:val="1"/>
    <w:qFormat/>
    <w:uiPriority w:val="0"/>
    <w:rPr>
      <w:rFonts w:ascii="宋体" w:hAnsi="Courier New" w:cs="Courier New"/>
      <w:szCs w:val="21"/>
    </w:rPr>
  </w:style>
  <w:style w:type="paragraph" w:styleId="6">
    <w:name w:val="Date"/>
    <w:basedOn w:val="1"/>
    <w:next w:val="1"/>
    <w:link w:val="16"/>
    <w:qFormat/>
    <w:uiPriority w:val="99"/>
    <w:pPr>
      <w:ind w:left="100" w:leftChars="2500"/>
    </w:pPr>
    <w:rPr>
      <w:kern w:val="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2"/>
    <w:semiHidden/>
    <w:qFormat/>
    <w:uiPriority w:val="99"/>
    <w:rPr>
      <w:rFonts w:eastAsia="仿宋_GB2312"/>
      <w:sz w:val="18"/>
      <w:szCs w:val="18"/>
    </w:rPr>
  </w:style>
  <w:style w:type="character" w:customStyle="1" w:styleId="16">
    <w:name w:val="日期 Char"/>
    <w:link w:val="6"/>
    <w:semiHidden/>
    <w:qFormat/>
    <w:uiPriority w:val="99"/>
    <w:rPr>
      <w:rFonts w:eastAsia="仿宋_GB2312"/>
      <w:sz w:val="32"/>
      <w:szCs w:val="20"/>
    </w:rPr>
  </w:style>
  <w:style w:type="character" w:customStyle="1" w:styleId="17">
    <w:name w:val="正文文本缩进 Char"/>
    <w:link w:val="4"/>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3"/>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0</TotalTime>
  <ScaleCrop>false</ScaleCrop>
  <LinksUpToDate>false</LinksUpToDate>
  <CharactersWithSpaces>9958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英俊的红旅心</cp:lastModifiedBy>
  <cp:lastPrinted>2019-07-09T02:31:00Z</cp:lastPrinted>
  <dcterms:modified xsi:type="dcterms:W3CDTF">2023-05-06T02:23:45Z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