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5" w:name="_GoBack"/>
      <w:bookmarkEnd w:id="5"/>
      <w:r>
        <w:rPr>
          <w:rFonts w:ascii="Times New Roman" w:hAnsi="Times New Roman" w:cs="Times New Roman"/>
          <w:b/>
          <w:color w:val="000000" w:themeColor="text1"/>
          <w:sz w:val="28"/>
          <w:szCs w:val="20"/>
        </w:rPr>
        <w:t>一、建设项目基本情况</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551"/>
        <w:gridCol w:w="30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云南祥闳环保科技有限公司生产轻集料混凝土建设项目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云南祥闳环保科技有限公司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-04-01-</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lang w:eastAsia="zh-CN"/>
              </w:rPr>
              <w:t>张*</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022" w:type="dxa"/>
            <w:tcBorders>
              <w:lef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135</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云南东川产业园区天生桥片区天三路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东经103°15'1.225"，北纬25°38'21.216"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该项目生产的</w:t>
            </w:r>
            <w:r>
              <w:rPr>
                <w:rFonts w:ascii="Times New Roman" w:hAnsi="Times New Roman" w:cs="Times New Roman"/>
                <w:color w:val="000000" w:themeColor="text1"/>
                <w:sz w:val="24"/>
                <w:szCs w:val="24"/>
              </w:rPr>
              <w:t>轻集料混凝土</w:t>
            </w:r>
            <w:r>
              <w:rPr>
                <w:rFonts w:hint="eastAsia" w:ascii="Times New Roman" w:hAnsi="Times New Roman" w:cs="Times New Roman"/>
                <w:color w:val="000000" w:themeColor="text1"/>
                <w:sz w:val="24"/>
                <w:szCs w:val="24"/>
              </w:rPr>
              <w:t>产品即属于3024 轻质建筑材料制造，又属于3039 其他建筑材料制造</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022"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“二十七、非金属矿物制品业</w:t>
            </w:r>
            <w:r>
              <w:rPr>
                <w:rFonts w:ascii="Times New Roman" w:hAnsi="Times New Roman" w:cs="Times New Roman"/>
                <w:color w:val="000000" w:themeColor="text1"/>
                <w:sz w:val="24"/>
                <w:szCs w:val="24"/>
              </w:rPr>
              <w:t>30</w:t>
            </w:r>
            <w:r>
              <w:rPr>
                <w:rFonts w:hint="eastAsia" w:ascii="Times New Roman" w:hAnsi="Times New Roman" w:cs="Times New Roman"/>
                <w:color w:val="000000" w:themeColor="text1"/>
                <w:sz w:val="24"/>
                <w:szCs w:val="24"/>
              </w:rPr>
              <w:t>”下“砖瓦、石材等建筑材料制造</w:t>
            </w:r>
            <w:r>
              <w:rPr>
                <w:rFonts w:ascii="Times New Roman" w:hAnsi="Times New Roman" w:cs="Times New Roman"/>
                <w:color w:val="000000" w:themeColor="text1"/>
                <w:sz w:val="24"/>
                <w:szCs w:val="24"/>
              </w:rPr>
              <w:t>303</w:t>
            </w:r>
            <w:r>
              <w:rPr>
                <w:rFonts w:hint="eastAsia" w:ascii="Times New Roman" w:hAnsi="Times New Roman" w:cs="Times New Roman"/>
                <w:color w:val="000000" w:themeColor="text1"/>
                <w:sz w:val="24"/>
                <w:szCs w:val="24"/>
              </w:rPr>
              <w:t>”中“其他建筑材料制造”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022"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MS Mincho" w:hAnsi="MS Mincho" w:eastAsia="MS Mincho" w:cs="MS Mincho"/>
                <w:color w:val="000000" w:themeColor="text1"/>
                <w:sz w:val="24"/>
                <w:szCs w:val="24"/>
              </w:rPr>
              <w:t>☑</w:t>
            </w: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022"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-04-01-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718.35</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022"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4.75%</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022"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否</w:t>
            </w:r>
          </w:p>
        </w:tc>
        <w:tc>
          <w:tcPr>
            <w:tcW w:w="255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022"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该项目专项评价设置情况具体如下表所示。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15"/>
              <w:gridCol w:w="3743"/>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331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743"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该项目情况</w:t>
                  </w:r>
                </w:p>
              </w:tc>
              <w:tc>
                <w:tcPr>
                  <w:tcW w:w="72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3315"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743" w:type="dxa"/>
                  <w:vAlign w:val="center"/>
                </w:tcPr>
                <w:p>
                  <w:pPr>
                    <w:pStyle w:val="30"/>
                    <w:spacing w:line="360" w:lineRule="exact"/>
                    <w:ind w:firstLine="210" w:firstLineChars="100"/>
                    <w:jc w:val="both"/>
                    <w:rPr>
                      <w:color w:val="000000" w:themeColor="text1"/>
                      <w:szCs w:val="21"/>
                    </w:rPr>
                  </w:pPr>
                  <w:r>
                    <w:rPr>
                      <w:color w:val="000000" w:themeColor="text1"/>
                      <w:szCs w:val="21"/>
                    </w:rPr>
                    <w:t>该项目排放的大气污染物主要包括</w:t>
                  </w:r>
                  <w:r>
                    <w:rPr>
                      <w:rFonts w:hint="eastAsia"/>
                      <w:color w:val="000000" w:themeColor="text1"/>
                      <w:szCs w:val="21"/>
                    </w:rPr>
                    <w:t>原料车间扬尘、搅拌混合粉尘</w:t>
                  </w:r>
                  <w:r>
                    <w:rPr>
                      <w:color w:val="000000" w:themeColor="text1"/>
                      <w:szCs w:val="21"/>
                    </w:rPr>
                    <w:t>；不含上述需设置大气专项评价的排放因子，因此不设置大气专项评价。</w:t>
                  </w:r>
                </w:p>
              </w:tc>
              <w:tc>
                <w:tcPr>
                  <w:tcW w:w="725" w:type="dxa"/>
                  <w:vAlign w:val="center"/>
                </w:tcPr>
                <w:p>
                  <w:pPr>
                    <w:pStyle w:val="30"/>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3315"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743"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该项目无废水产生</w:t>
                  </w:r>
                  <w:r>
                    <w:rPr>
                      <w:color w:val="000000" w:themeColor="text1"/>
                      <w:szCs w:val="21"/>
                    </w:rPr>
                    <w:t>；因此不设置地表水专项评价。</w:t>
                  </w:r>
                </w:p>
              </w:tc>
              <w:tc>
                <w:tcPr>
                  <w:tcW w:w="72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3315"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743" w:type="dxa"/>
                  <w:vAlign w:val="center"/>
                </w:tcPr>
                <w:p>
                  <w:pPr>
                    <w:pStyle w:val="30"/>
                    <w:spacing w:line="360" w:lineRule="exact"/>
                    <w:ind w:firstLine="210" w:firstLineChars="100"/>
                    <w:jc w:val="both"/>
                    <w:rPr>
                      <w:color w:val="000000" w:themeColor="text1"/>
                      <w:szCs w:val="21"/>
                    </w:rPr>
                  </w:pPr>
                  <w:r>
                    <w:rPr>
                      <w:color w:val="000000" w:themeColor="text1"/>
                      <w:szCs w:val="21"/>
                    </w:rPr>
                    <w:t>该项目涉及的危险物质包括暂存的废机油，其中废机油最大储存量为0.08t（临界量为2500t）</w:t>
                  </w:r>
                  <w:r>
                    <w:rPr>
                      <w:rFonts w:hint="eastAsia"/>
                      <w:color w:val="000000" w:themeColor="text1"/>
                      <w:szCs w:val="21"/>
                    </w:rPr>
                    <w:t>，</w:t>
                  </w:r>
                  <w:r>
                    <w:rPr>
                      <w:color w:val="000000" w:themeColor="text1"/>
                      <w:szCs w:val="21"/>
                    </w:rPr>
                    <w:t>则未超过临界量，因此不需设置环境风险评价等级。</w:t>
                  </w:r>
                </w:p>
              </w:tc>
              <w:tc>
                <w:tcPr>
                  <w:tcW w:w="72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3315"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743" w:type="dxa"/>
                  <w:vAlign w:val="center"/>
                </w:tcPr>
                <w:p>
                  <w:pPr>
                    <w:pStyle w:val="30"/>
                    <w:spacing w:line="360" w:lineRule="exact"/>
                    <w:ind w:firstLine="210" w:firstLineChars="100"/>
                    <w:jc w:val="both"/>
                    <w:rPr>
                      <w:color w:val="000000" w:themeColor="text1"/>
                      <w:sz w:val="24"/>
                      <w:szCs w:val="24"/>
                      <w:lang w:val="en-US"/>
                    </w:rPr>
                  </w:pPr>
                  <w:r>
                    <w:rPr>
                      <w:color w:val="000000" w:themeColor="text1"/>
                      <w:szCs w:val="21"/>
                    </w:rPr>
                    <w:t>该项目不涉及河道取水，因此不设置生态专项评价。</w:t>
                  </w:r>
                </w:p>
              </w:tc>
              <w:tc>
                <w:tcPr>
                  <w:tcW w:w="725" w:type="dxa"/>
                  <w:vAlign w:val="center"/>
                </w:tcPr>
                <w:p>
                  <w:pPr>
                    <w:pStyle w:val="30"/>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3315" w:type="dxa"/>
                  <w:vAlign w:val="center"/>
                </w:tcPr>
                <w:p>
                  <w:pPr>
                    <w:pStyle w:val="30"/>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743" w:type="dxa"/>
                  <w:vAlign w:val="center"/>
                </w:tcPr>
                <w:p>
                  <w:pPr>
                    <w:pStyle w:val="30"/>
                    <w:spacing w:line="360" w:lineRule="exact"/>
                    <w:ind w:firstLine="210" w:firstLineChars="100"/>
                    <w:jc w:val="both"/>
                    <w:rPr>
                      <w:color w:val="000000" w:themeColor="text1"/>
                      <w:szCs w:val="21"/>
                    </w:rPr>
                  </w:pPr>
                  <w:r>
                    <w:rPr>
                      <w:color w:val="000000" w:themeColor="text1"/>
                      <w:szCs w:val="21"/>
                    </w:rPr>
                    <w:t>该项目不涉及海洋，因此不设置海洋专项评价。</w:t>
                  </w:r>
                </w:p>
              </w:tc>
              <w:tc>
                <w:tcPr>
                  <w:tcW w:w="725" w:type="dxa"/>
                  <w:vAlign w:val="center"/>
                </w:tcPr>
                <w:p>
                  <w:pPr>
                    <w:pStyle w:val="30"/>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该项目位于云南东川产业园区天生桥片区天三路，云南东川产业园区</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园区代码为S539017，该园区批准时间为2004年4月，审批机关为云南省工信厅，</w:t>
            </w:r>
            <w:r>
              <w:rPr>
                <w:rFonts w:hint="eastAsia" w:ascii="Times New Roman" w:hAnsi="Times New Roman" w:cs="Times New Roman"/>
                <w:color w:val="000000" w:themeColor="text1"/>
                <w:sz w:val="24"/>
                <w:szCs w:val="24"/>
              </w:rPr>
              <w:t>而天生桥片区成立于2010年，按照《云南省各类开发区优化提升总体方案》（云委【2020】287号），</w:t>
            </w:r>
            <w:r>
              <w:rPr>
                <w:rFonts w:ascii="Times New Roman" w:hAnsi="Times New Roman" w:cs="Times New Roman"/>
                <w:color w:val="000000" w:themeColor="text1"/>
                <w:sz w:val="24"/>
                <w:szCs w:val="24"/>
              </w:rPr>
              <w:t>云南东川产业园区</w:t>
            </w:r>
            <w:r>
              <w:rPr>
                <w:rFonts w:hint="eastAsia" w:ascii="Times New Roman" w:hAnsi="Times New Roman" w:cs="Times New Roman"/>
                <w:color w:val="000000" w:themeColor="text1"/>
                <w:sz w:val="24"/>
                <w:szCs w:val="24"/>
              </w:rPr>
              <w:t>为保留下来的省级产业园区。</w:t>
            </w:r>
            <w:r>
              <w:rPr>
                <w:rFonts w:ascii="Times New Roman" w:hAnsi="Times New Roman" w:cs="Times New Roman"/>
                <w:color w:val="000000" w:themeColor="text1"/>
                <w:sz w:val="24"/>
                <w:szCs w:val="24"/>
              </w:rPr>
              <w:t>根据《云南东川产业园区总体规划修编（2021-2035）》，园区空间布局为“一园三片区”，规划总面积为1408.01hm²，其中项目所在的天生桥片区面积为193.07</w:t>
            </w:r>
            <w:r>
              <w:rPr>
                <w:rFonts w:hint="eastAsia"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天生桥片区主导产业为：重点发展以“城市矿产”为主的循环经济、新能源和新型建材产业。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云南东川产业园区成立于2004年</w:t>
            </w:r>
            <w:r>
              <w:rPr>
                <w:rFonts w:hint="eastAsia" w:ascii="Times New Roman" w:hAnsi="Times New Roman" w:cs="Times New Roman"/>
                <w:color w:val="000000" w:themeColor="text1"/>
                <w:sz w:val="24"/>
                <w:szCs w:val="24"/>
              </w:rPr>
              <w:t>，成立期间园区还无所在的天生桥片区，2010年，为</w:t>
            </w:r>
            <w:r>
              <w:rPr>
                <w:rFonts w:ascii="Times New Roman" w:hAnsi="Times New Roman" w:cs="Times New Roman"/>
                <w:color w:val="000000" w:themeColor="text1"/>
                <w:sz w:val="24"/>
                <w:szCs w:val="24"/>
              </w:rPr>
              <w:t>解决资源枯竭型城市与贫困县</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发展模式</w:t>
            </w:r>
            <w:r>
              <w:rPr>
                <w:rFonts w:hint="eastAsia" w:ascii="Times New Roman" w:hAnsi="Times New Roman" w:cs="Times New Roman"/>
                <w:color w:val="000000" w:themeColor="text1"/>
                <w:sz w:val="24"/>
                <w:szCs w:val="24"/>
              </w:rPr>
              <w:t>，成立</w:t>
            </w:r>
            <w:r>
              <w:rPr>
                <w:rFonts w:ascii="Times New Roman" w:hAnsi="Times New Roman" w:cs="Times New Roman"/>
                <w:color w:val="000000" w:themeColor="text1"/>
                <w:sz w:val="24"/>
                <w:szCs w:val="24"/>
              </w:rPr>
              <w:t>云南省东川再就业特区天生桥特色产业园</w:t>
            </w:r>
            <w:r>
              <w:rPr>
                <w:rFonts w:hint="eastAsia" w:ascii="Times New Roman" w:hAnsi="Times New Roman" w:cs="Times New Roman"/>
                <w:color w:val="000000" w:themeColor="text1"/>
                <w:sz w:val="24"/>
                <w:szCs w:val="24"/>
              </w:rPr>
              <w:t>，同年，</w:t>
            </w:r>
            <w:r>
              <w:rPr>
                <w:rFonts w:ascii="Times New Roman" w:hAnsi="Times New Roman" w:cs="Times New Roman"/>
                <w:color w:val="000000" w:themeColor="text1"/>
                <w:sz w:val="24"/>
                <w:szCs w:val="24"/>
              </w:rPr>
              <w:t>东川再就业特色产业园区管委会组织编制了《云南省东川再就业特区天生桥特色产业园总体规划</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2010-2030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环境影响报告书》，并取得云南省环境保护局（现云南省生态环境厅）下发的《关于云南省东川再就业特区天生桥特色产业园总体规划环境影响报告书审查意见的函》（云环函【2012】340号）</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该园区经过不断的发展，东川再就业特色产业园区管理委员会组织对其规划进行了</w:t>
            </w:r>
            <w:r>
              <w:rPr>
                <w:rFonts w:hint="eastAsia" w:ascii="Times New Roman" w:hAnsi="Times New Roman" w:cs="Times New Roman"/>
                <w:color w:val="000000" w:themeColor="text1"/>
                <w:sz w:val="24"/>
                <w:szCs w:val="24"/>
              </w:rPr>
              <w:t>多</w:t>
            </w:r>
            <w:r>
              <w:rPr>
                <w:rFonts w:ascii="Times New Roman" w:hAnsi="Times New Roman" w:cs="Times New Roman"/>
                <w:color w:val="000000" w:themeColor="text1"/>
                <w:sz w:val="24"/>
                <w:szCs w:val="24"/>
              </w:rPr>
              <w:t>次修编，并组织编制完成了《云南东川产业园区总体规划修编（2021-2035）环境影响报告书》；20</w:t>
            </w:r>
            <w:r>
              <w:rPr>
                <w:rFonts w:hint="eastAsia"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年</w:t>
            </w:r>
            <w:r>
              <w:rPr>
                <w:rFonts w:hint="eastAsia"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月</w:t>
            </w:r>
            <w:r>
              <w:rPr>
                <w:rFonts w:hint="eastAsia"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日，由昆明市生态环境局</w:t>
            </w:r>
            <w:r>
              <w:rPr>
                <w:rFonts w:hint="eastAsia" w:ascii="Times New Roman" w:hAnsi="Times New Roman" w:cs="Times New Roman"/>
                <w:color w:val="000000" w:themeColor="text1"/>
                <w:sz w:val="24"/>
                <w:szCs w:val="24"/>
              </w:rPr>
              <w:t>召集专家及有关部门代表</w:t>
            </w:r>
            <w:r>
              <w:rPr>
                <w:rFonts w:ascii="Times New Roman" w:hAnsi="Times New Roman" w:cs="Times New Roman"/>
                <w:color w:val="000000" w:themeColor="text1"/>
                <w:sz w:val="24"/>
                <w:szCs w:val="24"/>
              </w:rPr>
              <w:t>对该规划环评进行审查，2023年5月4日</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昆明市生态环境局下发了《关于云南东川产业园区总体规划修编（2021-2035）环境影响报告书的审查意见》（昆环审【2023】1号）。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hint="eastAsia" w:ascii="Times New Roman" w:hAnsi="宋体" w:eastAsia="宋体" w:cs="Times New Roman"/>
                <w:b/>
                <w:color w:val="000000" w:themeColor="text1"/>
                <w:sz w:val="24"/>
                <w:szCs w:val="24"/>
              </w:rPr>
              <w:t>园区</w:t>
            </w:r>
            <w:r>
              <w:rPr>
                <w:rFonts w:ascii="Times New Roman" w:hAnsi="Times New Roman" w:eastAsia="宋体" w:cs="Times New Roman"/>
                <w:b/>
                <w:color w:val="000000" w:themeColor="text1"/>
                <w:sz w:val="24"/>
                <w:szCs w:val="24"/>
              </w:rPr>
              <w:t>规划产业定位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选址区域属于云南东川产业园区天生桥片区，根据《云南东川产业园区总体规划修编（2021-2035）》，天生桥片区主导产业为：重点发展以“城市矿产”为主的循环经济、新能源和新型建材产业。建材领域主要发展高性能混凝土、特种混凝土添加剂等水泥基材料，协同发展新型防水材料、新型隔热隔音材料以及轻质建筑材料。发展废弃电器电子产品、报废车等回收利用产业化，加大对电池等危险废物无害化处理力度。</w:t>
            </w:r>
          </w:p>
          <w:p>
            <w:pPr>
              <w:spacing w:line="360" w:lineRule="auto"/>
              <w:ind w:firstLine="482" w:firstLineChars="200"/>
              <w:rPr>
                <w:rFonts w:ascii="Times New Roman" w:hAnsi="宋体" w:eastAsia="宋体" w:cs="Times New Roman"/>
                <w:b/>
                <w:color w:val="000000" w:themeColor="text1"/>
                <w:sz w:val="24"/>
                <w:szCs w:val="24"/>
              </w:rPr>
            </w:pPr>
            <w:r>
              <w:rPr>
                <w:rFonts w:hint="eastAsia" w:ascii="Times New Roman" w:hAnsi="宋体" w:eastAsia="宋体" w:cs="Times New Roman"/>
                <w:b/>
                <w:color w:val="000000" w:themeColor="text1"/>
                <w:sz w:val="24"/>
                <w:szCs w:val="24"/>
              </w:rPr>
              <w:t>②规划环评审查意见的产业定位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规划环评审查意见的</w:t>
            </w:r>
            <w:r>
              <w:rPr>
                <w:rFonts w:ascii="Times New Roman" w:hAnsi="Times New Roman" w:cs="Times New Roman"/>
                <w:color w:val="000000" w:themeColor="text1"/>
                <w:sz w:val="24"/>
                <w:szCs w:val="24"/>
              </w:rPr>
              <w:t>园区产业定位</w:t>
            </w:r>
            <w:r>
              <w:rPr>
                <w:rFonts w:hint="eastAsia" w:ascii="Times New Roman" w:hAnsi="Times New Roman" w:cs="Times New Roman"/>
                <w:color w:val="000000" w:themeColor="text1"/>
                <w:sz w:val="24"/>
                <w:szCs w:val="24"/>
              </w:rPr>
              <w:t>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根据项目建设由来可知，该项目利用铝矾土、泡棉、机制砂和水泥搅拌混合生产轻集料混凝土，属于</w:t>
            </w:r>
            <w:r>
              <w:rPr>
                <w:rFonts w:ascii="Times New Roman" w:hAnsi="Times New Roman" w:cs="Times New Roman"/>
                <w:color w:val="000000" w:themeColor="text1"/>
                <w:sz w:val="24"/>
                <w:szCs w:val="24"/>
              </w:rPr>
              <w:t>轻质建筑材料</w:t>
            </w:r>
            <w:r>
              <w:rPr>
                <w:rFonts w:hint="eastAsia" w:ascii="Times New Roman" w:hAnsi="Times New Roman" w:cs="Times New Roman"/>
                <w:color w:val="000000" w:themeColor="text1"/>
                <w:sz w:val="24"/>
                <w:szCs w:val="24"/>
              </w:rPr>
              <w:t>生产项目。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综上，该项目符合云南东川产业园区天生桥片区的产业定位。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①与园区规划环境影响评价结论的符合性分析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w:t>
            </w:r>
            <w:r>
              <w:rPr>
                <w:rFonts w:hint="eastAsia" w:ascii="Times New Roman" w:hAnsi="Times New Roman" w:cs="Times New Roman"/>
                <w:color w:val="000000" w:themeColor="text1"/>
                <w:sz w:val="24"/>
                <w:szCs w:val="24"/>
              </w:rPr>
              <w:t>，该项目与</w:t>
            </w:r>
            <w:r>
              <w:rPr>
                <w:rFonts w:ascii="Times New Roman" w:hAnsi="Times New Roman" w:cs="Times New Roman"/>
                <w:color w:val="000000" w:themeColor="text1"/>
                <w:sz w:val="24"/>
                <w:szCs w:val="24"/>
              </w:rPr>
              <w:t>规划环评结论符合性分析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 xml:space="preserve">1-2 </w:t>
            </w:r>
            <w:r>
              <w:rPr>
                <w:rFonts w:ascii="Times New Roman" w:cs="Times New Roman"/>
                <w:b/>
                <w:color w:val="000000" w:themeColor="text1"/>
              </w:rPr>
              <w:t>与园区规划环评结论符合性分析一览表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9"/>
              <w:gridCol w:w="4026"/>
              <w:gridCol w:w="3420"/>
              <w:gridCol w:w="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要求</w:t>
                  </w:r>
                </w:p>
              </w:tc>
              <w:tc>
                <w:tcPr>
                  <w:tcW w:w="40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规划环评</w:t>
                  </w:r>
                  <w:r>
                    <w:rPr>
                      <w:rFonts w:hint="eastAsia" w:eastAsiaTheme="minorEastAsia"/>
                      <w:color w:val="000000" w:themeColor="text1"/>
                      <w:szCs w:val="21"/>
                    </w:rPr>
                    <w:t>结论</w:t>
                  </w:r>
                  <w:r>
                    <w:rPr>
                      <w:rFonts w:eastAsiaTheme="minorEastAsia"/>
                      <w:color w:val="000000" w:themeColor="text1"/>
                      <w:szCs w:val="21"/>
                    </w:rPr>
                    <w:t>要求</w:t>
                  </w:r>
                </w:p>
              </w:tc>
              <w:tc>
                <w:tcPr>
                  <w:tcW w:w="342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2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w:t>
                  </w:r>
                </w:p>
              </w:tc>
              <w:tc>
                <w:tcPr>
                  <w:tcW w:w="4026" w:type="dxa"/>
                  <w:vAlign w:val="center"/>
                </w:tcPr>
                <w:p>
                  <w:pPr>
                    <w:pStyle w:val="30"/>
                    <w:spacing w:line="360" w:lineRule="exact"/>
                    <w:ind w:firstLine="210" w:firstLineChars="100"/>
                    <w:jc w:val="both"/>
                    <w:rPr>
                      <w:color w:val="000000" w:themeColor="text1"/>
                      <w:szCs w:val="21"/>
                    </w:rPr>
                  </w:pPr>
                  <w:r>
                    <w:rPr>
                      <w:color w:val="000000" w:themeColor="text1"/>
                      <w:szCs w:val="21"/>
                    </w:rPr>
                    <w:t>化工、有色金属冶炼、建材属于国家严格控制发展的两高行业，因此，建议根据区域大气环境容量，严格控制园区有色金属冶炼、化工行业发展规模，加快能源结构升级改造和使用清洁能源，促进区域环境质量改善。有色金属冶炼、化工、建材等“两高”行业应实行废气主要污染物区域“等量削减”</w:t>
                  </w:r>
                  <w:r>
                    <w:rPr>
                      <w:rFonts w:hint="eastAsia"/>
                      <w:color w:val="000000" w:themeColor="text1"/>
                      <w:szCs w:val="21"/>
                    </w:rPr>
                    <w:t>；</w:t>
                  </w:r>
                  <w:r>
                    <w:rPr>
                      <w:color w:val="000000" w:themeColor="text1"/>
                      <w:szCs w:val="21"/>
                    </w:rPr>
                    <w:t>涉重金属重点行业实行重金属污染物“减量削减”，削减比例不得低于1.2</w:t>
                  </w:r>
                  <w:r>
                    <w:rPr>
                      <w:rFonts w:hint="eastAsia"/>
                      <w:color w:val="000000" w:themeColor="text1"/>
                      <w:szCs w:val="21"/>
                    </w:rPr>
                    <w:t>：</w:t>
                  </w:r>
                  <w:r>
                    <w:rPr>
                      <w:color w:val="000000" w:themeColor="text1"/>
                      <w:szCs w:val="21"/>
                    </w:rPr>
                    <w:t>1，铅锌冶炼和铜冶炼企业须执行颗粒物和重点重金属污染物特别排放限值。</w:t>
                  </w:r>
                </w:p>
              </w:tc>
              <w:tc>
                <w:tcPr>
                  <w:tcW w:w="342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根据项目建设由来可知，该项目利用铝矾土、泡棉、机制砂和水泥搅拌混合生产轻集料混凝土，属于3024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其他建筑材料制造，不属于《云南省发展和改革委员会关于进一步开展“两高”项目梳理排查的函》（云发改产业函【2021】295号）中“两高”项目行业范围，因此不需要</w:t>
                  </w:r>
                  <w:r>
                    <w:rPr>
                      <w:color w:val="000000" w:themeColor="text1"/>
                      <w:szCs w:val="21"/>
                    </w:rPr>
                    <w:t>废气主要污染物区域“等量削减”；</w:t>
                  </w:r>
                  <w:r>
                    <w:rPr>
                      <w:rFonts w:hint="eastAsia"/>
                      <w:color w:val="000000" w:themeColor="text1"/>
                      <w:szCs w:val="21"/>
                    </w:rPr>
                    <w:t>也不属于</w:t>
                  </w:r>
                  <w:r>
                    <w:rPr>
                      <w:color w:val="000000" w:themeColor="text1"/>
                      <w:szCs w:val="21"/>
                    </w:rPr>
                    <w:t>重金属重点行业</w:t>
                  </w:r>
                  <w:r>
                    <w:rPr>
                      <w:rFonts w:hint="eastAsia"/>
                      <w:color w:val="000000" w:themeColor="text1"/>
                      <w:szCs w:val="21"/>
                    </w:rPr>
                    <w:t>，因此不需要进行</w:t>
                  </w:r>
                  <w:r>
                    <w:rPr>
                      <w:color w:val="000000" w:themeColor="text1"/>
                      <w:szCs w:val="21"/>
                    </w:rPr>
                    <w:t>重金属污染物“减量削减”</w:t>
                  </w:r>
                  <w:r>
                    <w:rPr>
                      <w:rFonts w:hint="eastAsia"/>
                      <w:color w:val="000000" w:themeColor="text1"/>
                      <w:szCs w:val="21"/>
                    </w:rPr>
                    <w:t>。</w:t>
                  </w:r>
                </w:p>
              </w:tc>
              <w:tc>
                <w:tcPr>
                  <w:tcW w:w="623"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2</w:t>
                  </w:r>
                </w:p>
              </w:tc>
              <w:tc>
                <w:tcPr>
                  <w:tcW w:w="4026" w:type="dxa"/>
                  <w:vAlign w:val="center"/>
                </w:tcPr>
                <w:p>
                  <w:pPr>
                    <w:pStyle w:val="30"/>
                    <w:spacing w:line="360" w:lineRule="exact"/>
                    <w:ind w:firstLine="210" w:firstLineChars="100"/>
                    <w:jc w:val="both"/>
                    <w:rPr>
                      <w:color w:val="000000" w:themeColor="text1"/>
                      <w:szCs w:val="21"/>
                    </w:rPr>
                  </w:pPr>
                  <w:r>
                    <w:rPr>
                      <w:color w:val="000000" w:themeColor="text1"/>
                      <w:szCs w:val="21"/>
                    </w:rPr>
                    <w:t>建议优化调整碧谷片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w:t>
                  </w:r>
                  <w:r>
                    <w:rPr>
                      <w:rFonts w:hint="eastAsia"/>
                      <w:color w:val="000000" w:themeColor="text1"/>
                      <w:szCs w:val="21"/>
                    </w:rPr>
                    <w:t>。</w:t>
                  </w:r>
                </w:p>
              </w:tc>
              <w:tc>
                <w:tcPr>
                  <w:tcW w:w="342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该项目位于</w:t>
                  </w:r>
                  <w:r>
                    <w:rPr>
                      <w:color w:val="000000" w:themeColor="text1"/>
                      <w:szCs w:val="21"/>
                    </w:rPr>
                    <w:t>云南东川产业园区天生桥片区天三路</w:t>
                  </w:r>
                  <w:r>
                    <w:rPr>
                      <w:rFonts w:hint="eastAsia"/>
                      <w:color w:val="000000" w:themeColor="text1"/>
                      <w:szCs w:val="21"/>
                    </w:rPr>
                    <w:t>，不涉及</w:t>
                  </w:r>
                  <w:r>
                    <w:rPr>
                      <w:color w:val="000000" w:themeColor="text1"/>
                      <w:szCs w:val="21"/>
                    </w:rPr>
                    <w:t>碧谷片区</w:t>
                  </w:r>
                  <w:r>
                    <w:rPr>
                      <w:rFonts w:hint="eastAsia"/>
                      <w:color w:val="000000" w:themeColor="text1"/>
                      <w:szCs w:val="21"/>
                    </w:rPr>
                    <w:t>。</w:t>
                  </w:r>
                </w:p>
              </w:tc>
              <w:tc>
                <w:tcPr>
                  <w:tcW w:w="623"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w:t>
                  </w:r>
                </w:p>
              </w:tc>
              <w:tc>
                <w:tcPr>
                  <w:tcW w:w="4026" w:type="dxa"/>
                  <w:vAlign w:val="center"/>
                </w:tcPr>
                <w:p>
                  <w:pPr>
                    <w:pStyle w:val="30"/>
                    <w:spacing w:line="360" w:lineRule="exact"/>
                    <w:ind w:firstLine="210" w:firstLineChars="100"/>
                    <w:jc w:val="both"/>
                    <w:rPr>
                      <w:color w:val="000000" w:themeColor="text1"/>
                      <w:szCs w:val="21"/>
                    </w:rPr>
                  </w:pPr>
                  <w:r>
                    <w:rPr>
                      <w:color w:val="000000" w:themeColor="text1"/>
                      <w:szCs w:val="21"/>
                    </w:rPr>
                    <w:t>在昆明市东川区人民政府、东川再就业特色产业园区管理委员会落实《东川区主要污染物区域削减方案（2021~2025年）》，削减区域部分大气污染物排放量的前提下，规划近期、远期大气污染物的排放能满足区域环境目标的要求，规划可行。</w:t>
                  </w:r>
                </w:p>
              </w:tc>
              <w:tc>
                <w:tcPr>
                  <w:tcW w:w="342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该项目主要污染物为颗粒物，符合</w:t>
                  </w:r>
                  <w:r>
                    <w:rPr>
                      <w:color w:val="000000" w:themeColor="text1"/>
                      <w:szCs w:val="21"/>
                    </w:rPr>
                    <w:t>《东川区主要污染物区域削减方案（2021~2025年）》</w:t>
                  </w:r>
                  <w:r>
                    <w:rPr>
                      <w:rFonts w:hint="eastAsia"/>
                      <w:color w:val="000000" w:themeColor="text1"/>
                      <w:szCs w:val="21"/>
                    </w:rPr>
                    <w:t>的要求。</w:t>
                  </w:r>
                </w:p>
              </w:tc>
              <w:tc>
                <w:tcPr>
                  <w:tcW w:w="623"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w:t>
                  </w:r>
                </w:p>
              </w:tc>
              <w:tc>
                <w:tcPr>
                  <w:tcW w:w="4026" w:type="dxa"/>
                  <w:vAlign w:val="center"/>
                </w:tcPr>
                <w:p>
                  <w:pPr>
                    <w:pStyle w:val="30"/>
                    <w:spacing w:line="360" w:lineRule="exact"/>
                    <w:ind w:firstLine="210" w:firstLineChars="100"/>
                    <w:jc w:val="both"/>
                    <w:rPr>
                      <w:color w:val="000000" w:themeColor="text1"/>
                      <w:szCs w:val="21"/>
                    </w:rPr>
                  </w:pPr>
                  <w:r>
                    <w:rPr>
                      <w:color w:val="000000" w:themeColor="text1"/>
                      <w:szCs w:val="21"/>
                    </w:rPr>
                    <w:t>将产业园区划分为重点保护区、重点控制区、其他区域三类，对其实施分级管控；</w:t>
                  </w:r>
                  <w:r>
                    <w:rPr>
                      <w:rFonts w:hint="eastAsia"/>
                      <w:color w:val="000000" w:themeColor="text1"/>
                      <w:szCs w:val="21"/>
                    </w:rPr>
                    <w:t>具体如下：</w:t>
                  </w:r>
                </w:p>
                <w:p>
                  <w:pPr>
                    <w:pStyle w:val="30"/>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在重点保护区内应严格管控项目的入驻，加强对洗马塘2#泉点、小新街1#泉点、小新街2#泉点、小龙潭村泉点、大龙潭村泉点等的保护。</w:t>
                  </w:r>
                </w:p>
                <w:p>
                  <w:pPr>
                    <w:pStyle w:val="30"/>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30"/>
                    <w:spacing w:line="360" w:lineRule="exact"/>
                    <w:ind w:firstLine="210" w:firstLineChars="100"/>
                    <w:jc w:val="both"/>
                    <w:rPr>
                      <w:color w:val="000000" w:themeColor="text1"/>
                      <w:szCs w:val="21"/>
                    </w:rPr>
                  </w:pPr>
                  <w:r>
                    <w:rPr>
                      <w:rFonts w:hint="eastAsia"/>
                      <w:color w:val="000000" w:themeColor="text1"/>
                      <w:szCs w:val="21"/>
                    </w:rPr>
                    <w:t>③</w:t>
                  </w:r>
                  <w:r>
                    <w:rPr>
                      <w:color w:val="000000" w:themeColor="text1"/>
                      <w:szCs w:val="21"/>
                    </w:rPr>
                    <w:t>在其他区域内可引导项目入驻，但入驻企业仍须做好厂区的污染防渗措施。</w:t>
                  </w:r>
                </w:p>
              </w:tc>
              <w:tc>
                <w:tcPr>
                  <w:tcW w:w="342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根据对照规划环评分析，该项目位于</w:t>
                  </w:r>
                  <w:r>
                    <w:rPr>
                      <w:color w:val="000000" w:themeColor="text1"/>
                      <w:szCs w:val="21"/>
                    </w:rPr>
                    <w:t>云南东川产业园区天生桥片区天三路</w:t>
                  </w:r>
                  <w:r>
                    <w:rPr>
                      <w:rFonts w:hint="eastAsia"/>
                      <w:color w:val="000000" w:themeColor="text1"/>
                      <w:szCs w:val="21"/>
                    </w:rPr>
                    <w:t>，该区域属于</w:t>
                  </w:r>
                  <w:r>
                    <w:rPr>
                      <w:color w:val="000000" w:themeColor="text1"/>
                      <w:szCs w:val="21"/>
                    </w:rPr>
                    <w:t>分级管控</w:t>
                  </w:r>
                  <w:r>
                    <w:rPr>
                      <w:rFonts w:hint="eastAsia"/>
                      <w:color w:val="000000" w:themeColor="text1"/>
                      <w:szCs w:val="21"/>
                    </w:rPr>
                    <w:t>中的“</w:t>
                  </w:r>
                  <w:r>
                    <w:rPr>
                      <w:color w:val="000000" w:themeColor="text1"/>
                      <w:szCs w:val="21"/>
                    </w:rPr>
                    <w:t>其他区域</w:t>
                  </w:r>
                  <w:r>
                    <w:rPr>
                      <w:rFonts w:hint="eastAsia"/>
                      <w:color w:val="000000" w:themeColor="text1"/>
                      <w:szCs w:val="21"/>
                    </w:rPr>
                    <w:t>”，项目将严格执行</w:t>
                  </w:r>
                  <w:r>
                    <w:rPr>
                      <w:color w:val="000000" w:themeColor="text1"/>
                      <w:szCs w:val="21"/>
                    </w:rPr>
                    <w:t>《危险废物贮存污染控制标准》（GB</w:t>
                  </w:r>
                  <w:r>
                    <w:rPr>
                      <w:rFonts w:hint="eastAsia"/>
                      <w:color w:val="000000" w:themeColor="text1"/>
                      <w:szCs w:val="21"/>
                      <w:lang w:eastAsia="zh-CN"/>
                    </w:rPr>
                    <w:t>*****</w:t>
                  </w:r>
                  <w:r>
                    <w:rPr>
                      <w:color w:val="000000" w:themeColor="text1"/>
                      <w:szCs w:val="21"/>
                    </w:rPr>
                    <w:t>-2023）</w:t>
                  </w:r>
                  <w:r>
                    <w:rPr>
                      <w:rFonts w:hint="eastAsia"/>
                      <w:color w:val="000000" w:themeColor="text1"/>
                      <w:szCs w:val="21"/>
                    </w:rPr>
                    <w:t>的要求，采取分区防渗措施。</w:t>
                  </w:r>
                </w:p>
              </w:tc>
              <w:tc>
                <w:tcPr>
                  <w:tcW w:w="623"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5</w:t>
                  </w:r>
                </w:p>
              </w:tc>
              <w:tc>
                <w:tcPr>
                  <w:tcW w:w="4026" w:type="dxa"/>
                  <w:vAlign w:val="center"/>
                </w:tcPr>
                <w:p>
                  <w:pPr>
                    <w:pStyle w:val="30"/>
                    <w:spacing w:line="360" w:lineRule="exact"/>
                    <w:ind w:firstLine="200" w:firstLineChars="100"/>
                    <w:jc w:val="both"/>
                    <w:rPr>
                      <w:color w:val="000000" w:themeColor="text1"/>
                      <w:szCs w:val="21"/>
                    </w:rPr>
                  </w:pPr>
                  <w:r>
                    <w:rPr>
                      <w:color w:val="000000" w:themeColor="text1"/>
                      <w:sz w:val="20"/>
                      <w:szCs w:val="21"/>
                    </w:rPr>
                    <w:t>建议园区入园项目避开河道管理范围，并根据河道管理的相关要求，开展涉河项目洪水影响评价，并征求水务部门的意见，满足《昆明市河道管理条例》的要求。</w:t>
                  </w:r>
                </w:p>
              </w:tc>
              <w:tc>
                <w:tcPr>
                  <w:tcW w:w="342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该项目位于</w:t>
                  </w:r>
                  <w:r>
                    <w:rPr>
                      <w:color w:val="000000" w:themeColor="text1"/>
                      <w:sz w:val="20"/>
                      <w:szCs w:val="21"/>
                    </w:rPr>
                    <w:t>云南东川产业园区天生桥片区天三路</w:t>
                  </w:r>
                  <w:r>
                    <w:rPr>
                      <w:rFonts w:hint="eastAsia"/>
                      <w:color w:val="000000" w:themeColor="text1"/>
                      <w:sz w:val="20"/>
                      <w:szCs w:val="21"/>
                    </w:rPr>
                    <w:t>，</w:t>
                  </w:r>
                  <w:r>
                    <w:rPr>
                      <w:rFonts w:hint="eastAsia"/>
                      <w:color w:val="000000" w:themeColor="text1"/>
                      <w:szCs w:val="21"/>
                    </w:rPr>
                    <w:t>不涉及</w:t>
                  </w:r>
                  <w:r>
                    <w:rPr>
                      <w:color w:val="000000" w:themeColor="text1"/>
                      <w:sz w:val="20"/>
                      <w:szCs w:val="21"/>
                    </w:rPr>
                    <w:t>河道管理范围</w:t>
                  </w:r>
                  <w:r>
                    <w:rPr>
                      <w:rFonts w:hint="eastAsia"/>
                      <w:color w:val="000000" w:themeColor="text1"/>
                      <w:sz w:val="20"/>
                      <w:szCs w:val="21"/>
                    </w:rPr>
                    <w:t>。</w:t>
                  </w:r>
                </w:p>
              </w:tc>
              <w:tc>
                <w:tcPr>
                  <w:tcW w:w="623"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由上表可知，该项目建设符合</w:t>
            </w:r>
            <w:r>
              <w:rPr>
                <w:color w:val="000000" w:themeColor="text1"/>
                <w:sz w:val="24"/>
              </w:rPr>
              <w:t>规划环评结论</w:t>
            </w:r>
            <w:r>
              <w:rPr>
                <w:rFonts w:hint="eastAsia"/>
                <w:color w:val="000000" w:themeColor="text1"/>
                <w:sz w:val="24"/>
              </w:rPr>
              <w:t>的相关要求。</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②</w:t>
            </w:r>
            <w:r>
              <w:rPr>
                <w:b/>
                <w:color w:val="000000" w:themeColor="text1"/>
                <w:sz w:val="24"/>
              </w:rPr>
              <w:t>入驻项目</w:t>
            </w:r>
            <w:r>
              <w:rPr>
                <w:rFonts w:ascii="Times New Roman" w:hAnsi="Times New Roman" w:cs="Times New Roman"/>
                <w:b/>
                <w:color w:val="000000" w:themeColor="text1"/>
                <w:sz w:val="24"/>
              </w:rPr>
              <w:t>与</w:t>
            </w:r>
            <w:r>
              <w:rPr>
                <w:rFonts w:hint="eastAsia"/>
                <w:b/>
                <w:color w:val="000000" w:themeColor="text1"/>
                <w:sz w:val="24"/>
              </w:rPr>
              <w:t>园区规划</w:t>
            </w:r>
            <w:r>
              <w:rPr>
                <w:b/>
                <w:color w:val="000000" w:themeColor="text1"/>
                <w:sz w:val="24"/>
              </w:rPr>
              <w:t>环境准入负面清单</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w:t>
            </w:r>
            <w:r>
              <w:rPr>
                <w:rFonts w:hint="eastAsia" w:ascii="Times New Roman" w:hAnsi="Times New Roman" w:cs="Times New Roman"/>
                <w:color w:val="000000" w:themeColor="text1"/>
                <w:sz w:val="24"/>
                <w:szCs w:val="24"/>
              </w:rPr>
              <w:t>，该项目与园区规划</w:t>
            </w:r>
            <w:r>
              <w:rPr>
                <w:rFonts w:ascii="Times New Roman" w:hAnsi="Times New Roman" w:cs="Times New Roman"/>
                <w:color w:val="000000" w:themeColor="text1"/>
                <w:sz w:val="24"/>
                <w:szCs w:val="24"/>
              </w:rPr>
              <w:t>环境准入负面清单的符合性分析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w:t>
            </w:r>
            <w:r>
              <w:rPr>
                <w:rFonts w:hint="eastAsia"/>
                <w:b/>
                <w:color w:val="000000" w:themeColor="text1"/>
              </w:rPr>
              <w:t>园区规划</w:t>
            </w:r>
            <w:r>
              <w:rPr>
                <w:b/>
                <w:color w:val="000000" w:themeColor="text1"/>
              </w:rPr>
              <w:t>环境准入负面清单</w:t>
            </w:r>
            <w:r>
              <w:rPr>
                <w:rFonts w:ascii="Times New Roman" w:hAnsi="Times New Roman" w:cs="Times New Roman"/>
                <w:b/>
                <w:color w:val="000000" w:themeColor="text1"/>
              </w:rPr>
              <w:t>的符合性</w:t>
            </w:r>
            <w:r>
              <w:rPr>
                <w:rFonts w:ascii="Times New Roman" w:cs="Times New Roman"/>
                <w:b/>
                <w:color w:val="000000" w:themeColor="text1"/>
              </w:rPr>
              <w:t>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3577"/>
              <w:gridCol w:w="3865"/>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要求</w:t>
                  </w:r>
                </w:p>
              </w:tc>
              <w:tc>
                <w:tcPr>
                  <w:tcW w:w="354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 w:val="20"/>
                      <w:szCs w:val="21"/>
                    </w:rPr>
                    <w:t>规划</w:t>
                  </w:r>
                  <w:r>
                    <w:rPr>
                      <w:rFonts w:eastAsiaTheme="minorEastAsia"/>
                      <w:color w:val="000000" w:themeColor="text1"/>
                      <w:sz w:val="20"/>
                      <w:szCs w:val="21"/>
                    </w:rPr>
                    <w:t>环境准入负面清单</w:t>
                  </w:r>
                </w:p>
              </w:tc>
              <w:tc>
                <w:tcPr>
                  <w:tcW w:w="38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1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w:t>
                  </w:r>
                </w:p>
              </w:tc>
              <w:tc>
                <w:tcPr>
                  <w:tcW w:w="3541" w:type="dxa"/>
                  <w:vAlign w:val="center"/>
                </w:tcPr>
                <w:p>
                  <w:pPr>
                    <w:pStyle w:val="30"/>
                    <w:spacing w:line="360" w:lineRule="exact"/>
                    <w:ind w:firstLine="210" w:firstLineChars="100"/>
                    <w:jc w:val="both"/>
                    <w:rPr>
                      <w:color w:val="000000" w:themeColor="text1"/>
                      <w:szCs w:val="21"/>
                    </w:rPr>
                  </w:pPr>
                  <w:r>
                    <w:rPr>
                      <w:color w:val="000000" w:themeColor="text1"/>
                      <w:szCs w:val="21"/>
                    </w:rPr>
                    <w:t>不符合园区规划产业的项目</w:t>
                  </w:r>
                </w:p>
              </w:tc>
              <w:tc>
                <w:tcPr>
                  <w:tcW w:w="3826"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该项目利用铝矾土、泡棉、机制砂和水泥搅拌混合生产轻集料混凝土，其行业类别为3024 轻质建筑材料制造或3039 其他建筑材料制造，属于</w:t>
                  </w:r>
                  <w:r>
                    <w:rPr>
                      <w:color w:val="000000" w:themeColor="text1"/>
                      <w:szCs w:val="21"/>
                    </w:rPr>
                    <w:t>天生桥片区主导产业</w:t>
                  </w:r>
                  <w:r>
                    <w:rPr>
                      <w:rFonts w:hint="eastAsia"/>
                      <w:color w:val="000000" w:themeColor="text1"/>
                      <w:szCs w:val="21"/>
                    </w:rPr>
                    <w:t>中的“</w:t>
                  </w:r>
                  <w:r>
                    <w:rPr>
                      <w:color w:val="000000" w:themeColor="text1"/>
                      <w:szCs w:val="21"/>
                    </w:rPr>
                    <w:t>建材领域</w:t>
                  </w:r>
                  <w:r>
                    <w:rPr>
                      <w:rFonts w:hint="eastAsia"/>
                      <w:color w:val="000000" w:themeColor="text1"/>
                      <w:szCs w:val="21"/>
                    </w:rPr>
                    <w:t>的</w:t>
                  </w:r>
                  <w:r>
                    <w:rPr>
                      <w:color w:val="000000" w:themeColor="text1"/>
                      <w:szCs w:val="21"/>
                    </w:rPr>
                    <w:t>轻质建筑材料</w:t>
                  </w:r>
                  <w:r>
                    <w:rPr>
                      <w:rFonts w:hint="eastAsia"/>
                      <w:color w:val="000000" w:themeColor="text1"/>
                      <w:szCs w:val="21"/>
                    </w:rPr>
                    <w:t>”。</w:t>
                  </w:r>
                  <w:r>
                    <w:rPr>
                      <w:color w:val="000000" w:themeColor="text1"/>
                      <w:szCs w:val="21"/>
                    </w:rPr>
                    <w:t>符合云南东川产业园区天生桥片区的产业定位。</w:t>
                  </w:r>
                </w:p>
              </w:tc>
              <w:tc>
                <w:tcPr>
                  <w:tcW w:w="61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2</w:t>
                  </w:r>
                </w:p>
              </w:tc>
              <w:tc>
                <w:tcPr>
                  <w:tcW w:w="3541" w:type="dxa"/>
                  <w:vAlign w:val="center"/>
                </w:tcPr>
                <w:p>
                  <w:pPr>
                    <w:pStyle w:val="30"/>
                    <w:spacing w:line="360" w:lineRule="exact"/>
                    <w:ind w:firstLine="210" w:firstLineChars="100"/>
                    <w:jc w:val="both"/>
                    <w:rPr>
                      <w:color w:val="000000" w:themeColor="text1"/>
                      <w:szCs w:val="21"/>
                    </w:rPr>
                  </w:pPr>
                  <w:r>
                    <w:rPr>
                      <w:color w:val="000000" w:themeColor="text1"/>
                      <w:szCs w:val="21"/>
                    </w:rPr>
                    <w:t>属于《产业结构调整指导目录（2019 年本）》、《云南省工业产业结构调整指导目录（2006 年本）》、《外商投资产业指导目录（2015 修订）》、《产业转移指导目录（2012 年本）》等文件中淘汰类的项目，《环境保护综合名录（2021 年版）》中高风险高污染行业、以及属于《工商投资领域制止重复建设目录》、《禁止外商投资产业目录》、《严重污染环境的淘汰工艺与设备名录》等文件内的建设项目，一律禁止引入园区</w:t>
                  </w:r>
                </w:p>
              </w:tc>
              <w:tc>
                <w:tcPr>
                  <w:tcW w:w="3826"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该项目不属于</w:t>
                  </w:r>
                  <w:r>
                    <w:rPr>
                      <w:color w:val="000000" w:themeColor="text1"/>
                      <w:szCs w:val="21"/>
                    </w:rPr>
                    <w:t>《产业结构调整指导目录（2019年本）》</w:t>
                  </w:r>
                  <w:r>
                    <w:rPr>
                      <w:rFonts w:hint="eastAsia"/>
                      <w:color w:val="000000" w:themeColor="text1"/>
                      <w:szCs w:val="21"/>
                    </w:rPr>
                    <w:t>中鼓励类、限制类和淘汰类项目，属于允许类项目，不属于</w:t>
                  </w:r>
                  <w:r>
                    <w:rPr>
                      <w:color w:val="000000" w:themeColor="text1"/>
                      <w:szCs w:val="21"/>
                    </w:rPr>
                    <w:t>《云南省工业产业结构调整指导目录（2006 年本）》、《外商投资产业指导目录（2015 修订）》、《产业转移指导目录（2012 年本）》等文件中淘汰类的项目</w:t>
                  </w:r>
                  <w:r>
                    <w:rPr>
                      <w:rFonts w:hint="eastAsia"/>
                      <w:color w:val="000000" w:themeColor="text1"/>
                      <w:szCs w:val="21"/>
                    </w:rPr>
                    <w:t>；不属于</w:t>
                  </w:r>
                  <w:r>
                    <w:rPr>
                      <w:color w:val="000000" w:themeColor="text1"/>
                      <w:szCs w:val="21"/>
                    </w:rPr>
                    <w:t>《环境保护综合名录（2021 年版）》中高风险高污染行业</w:t>
                  </w:r>
                  <w:r>
                    <w:rPr>
                      <w:rFonts w:hint="eastAsia"/>
                      <w:color w:val="000000" w:themeColor="text1"/>
                      <w:szCs w:val="21"/>
                    </w:rPr>
                    <w:t>；不属于</w:t>
                  </w:r>
                  <w:r>
                    <w:rPr>
                      <w:color w:val="000000" w:themeColor="text1"/>
                      <w:szCs w:val="21"/>
                    </w:rPr>
                    <w:t>《工商投资领域制止重复建设目录》、《禁止外商投资产业目录》、《严重污染环境的淘汰工艺与设备名录》</w:t>
                  </w:r>
                  <w:r>
                    <w:rPr>
                      <w:rFonts w:hint="eastAsia"/>
                      <w:color w:val="000000" w:themeColor="text1"/>
                      <w:szCs w:val="21"/>
                    </w:rPr>
                    <w:t>。</w:t>
                  </w:r>
                </w:p>
              </w:tc>
              <w:tc>
                <w:tcPr>
                  <w:tcW w:w="61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w:t>
                  </w:r>
                </w:p>
              </w:tc>
              <w:tc>
                <w:tcPr>
                  <w:tcW w:w="3541" w:type="dxa"/>
                  <w:vAlign w:val="center"/>
                </w:tcPr>
                <w:p>
                  <w:pPr>
                    <w:pStyle w:val="30"/>
                    <w:spacing w:line="360" w:lineRule="exact"/>
                    <w:ind w:firstLine="210" w:firstLineChars="100"/>
                    <w:jc w:val="both"/>
                    <w:rPr>
                      <w:color w:val="000000" w:themeColor="text1"/>
                      <w:szCs w:val="21"/>
                    </w:rPr>
                  </w:pPr>
                  <w:r>
                    <w:rPr>
                      <w:color w:val="000000" w:themeColor="text1"/>
                      <w:szCs w:val="21"/>
                    </w:rPr>
                    <w:t>单位产值水耗、能耗、污染物产生和排放量等清洁生产指标低于国内平均水平的产业（项目）</w:t>
                  </w:r>
                </w:p>
              </w:tc>
              <w:tc>
                <w:tcPr>
                  <w:tcW w:w="3826"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该项目使用电能，其</w:t>
                  </w:r>
                  <w:r>
                    <w:rPr>
                      <w:color w:val="000000" w:themeColor="text1"/>
                      <w:szCs w:val="21"/>
                    </w:rPr>
                    <w:t>单位产值水耗、能耗、污染物产生和排放量等</w:t>
                  </w:r>
                  <w:r>
                    <w:rPr>
                      <w:rFonts w:hint="eastAsia"/>
                      <w:color w:val="000000" w:themeColor="text1"/>
                      <w:szCs w:val="21"/>
                    </w:rPr>
                    <w:t>均可达到国内先进水平。</w:t>
                  </w:r>
                </w:p>
              </w:tc>
              <w:tc>
                <w:tcPr>
                  <w:tcW w:w="61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由上表可知，该项目不属于园区规划</w:t>
            </w:r>
            <w:r>
              <w:rPr>
                <w:color w:val="000000" w:themeColor="text1"/>
                <w:sz w:val="24"/>
              </w:rPr>
              <w:t>环境准入负面清单</w:t>
            </w:r>
            <w:r>
              <w:rPr>
                <w:rFonts w:hint="eastAsia"/>
                <w:color w:val="000000" w:themeColor="text1"/>
                <w:sz w:val="24"/>
              </w:rPr>
              <w:t>内项目。</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③</w:t>
            </w:r>
            <w:r>
              <w:rPr>
                <w:rFonts w:ascii="Times New Roman" w:hAnsi="Times New Roman" w:cs="Times New Roman"/>
                <w:b/>
                <w:color w:val="000000" w:themeColor="text1"/>
                <w:sz w:val="24"/>
              </w:rPr>
              <w:t>与</w:t>
            </w:r>
            <w:r>
              <w:rPr>
                <w:b/>
                <w:color w:val="000000" w:themeColor="text1"/>
                <w:sz w:val="24"/>
              </w:rPr>
              <w:t>园区规划环评审查意见</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w:t>
            </w:r>
            <w:r>
              <w:rPr>
                <w:rFonts w:hint="eastAsia"/>
                <w:color w:val="000000" w:themeColor="text1"/>
                <w:sz w:val="24"/>
              </w:rPr>
              <w:t>昆明市生态环境局关于</w:t>
            </w:r>
            <w:r>
              <w:rPr>
                <w:rFonts w:ascii="Times New Roman" w:hAnsi="Times New Roman" w:cs="Times New Roman"/>
                <w:color w:val="000000" w:themeColor="text1"/>
                <w:sz w:val="24"/>
                <w:szCs w:val="24"/>
              </w:rPr>
              <w:t>云南东川产业园区总体规划修编（2021-2035）环境影响报告书</w:t>
            </w:r>
            <w:r>
              <w:rPr>
                <w:rFonts w:hint="eastAsia"/>
                <w:color w:val="000000" w:themeColor="text1"/>
                <w:sz w:val="24"/>
              </w:rPr>
              <w:t>的审查意见</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，该项目与</w:t>
            </w:r>
            <w:r>
              <w:rPr>
                <w:rFonts w:ascii="Times New Roman" w:hAnsi="Times New Roman" w:cs="Times New Roman"/>
                <w:color w:val="000000" w:themeColor="text1"/>
                <w:sz w:val="24"/>
                <w:szCs w:val="24"/>
              </w:rPr>
              <w:t>规划环评结论符合性分析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1-</w:t>
            </w:r>
            <w:r>
              <w:rPr>
                <w:rFonts w:hint="eastAsia" w:ascii="Times New Roman" w:hAnsi="Times New Roman" w:cs="Times New Roman"/>
                <w:b/>
                <w:color w:val="000000" w:themeColor="text1"/>
              </w:rPr>
              <w:t xml:space="preserve">4 </w:t>
            </w:r>
            <w:r>
              <w:rPr>
                <w:rFonts w:ascii="Times New Roman" w:cs="Times New Roman"/>
                <w:b/>
                <w:color w:val="000000" w:themeColor="text1"/>
              </w:rPr>
              <w:t>与园区规划环评结论符合性分析一览表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2"/>
              <w:gridCol w:w="4023"/>
              <w:gridCol w:w="3418"/>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color w:val="000000" w:themeColor="text1"/>
                      <w:szCs w:val="21"/>
                    </w:rPr>
                  </w:pPr>
                  <w:r>
                    <w:rPr>
                      <w:rFonts w:hAnsi="宋体"/>
                      <w:color w:val="000000" w:themeColor="text1"/>
                      <w:szCs w:val="21"/>
                    </w:rPr>
                    <w:t>要求</w:t>
                  </w:r>
                </w:p>
              </w:tc>
              <w:tc>
                <w:tcPr>
                  <w:tcW w:w="3983" w:type="dxa"/>
                  <w:vAlign w:val="center"/>
                </w:tcPr>
                <w:p>
                  <w:pPr>
                    <w:pStyle w:val="30"/>
                    <w:spacing w:line="360" w:lineRule="exact"/>
                    <w:rPr>
                      <w:color w:val="000000" w:themeColor="text1"/>
                      <w:szCs w:val="21"/>
                    </w:rPr>
                  </w:pPr>
                  <w:r>
                    <w:rPr>
                      <w:rFonts w:hAnsi="宋体"/>
                      <w:color w:val="000000" w:themeColor="text1"/>
                      <w:szCs w:val="21"/>
                    </w:rPr>
                    <w:t>审查意见要求</w:t>
                  </w:r>
                </w:p>
              </w:tc>
              <w:tc>
                <w:tcPr>
                  <w:tcW w:w="3384" w:type="dxa"/>
                  <w:vAlign w:val="center"/>
                </w:tcPr>
                <w:p>
                  <w:pPr>
                    <w:pStyle w:val="30"/>
                    <w:spacing w:line="360" w:lineRule="exact"/>
                    <w:rPr>
                      <w:color w:val="000000" w:themeColor="text1"/>
                      <w:szCs w:val="21"/>
                    </w:rPr>
                  </w:pPr>
                  <w:r>
                    <w:rPr>
                      <w:rFonts w:hAnsi="宋体"/>
                      <w:color w:val="000000" w:themeColor="text1"/>
                      <w:szCs w:val="21"/>
                    </w:rPr>
                    <w:t>项目实际情况</w:t>
                  </w:r>
                </w:p>
              </w:tc>
              <w:tc>
                <w:tcPr>
                  <w:tcW w:w="619" w:type="dxa"/>
                  <w:vAlign w:val="center"/>
                </w:tcPr>
                <w:p>
                  <w:pPr>
                    <w:pStyle w:val="30"/>
                    <w:spacing w:line="360" w:lineRule="exact"/>
                    <w:rPr>
                      <w:color w:val="000000" w:themeColor="text1"/>
                      <w:szCs w:val="21"/>
                    </w:rPr>
                  </w:pPr>
                  <w:r>
                    <w:rPr>
                      <w:rFonts w:hAnsi="宋体"/>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color w:val="000000" w:themeColor="text1"/>
                      <w:szCs w:val="21"/>
                    </w:rPr>
                  </w:pPr>
                  <w:r>
                    <w:rPr>
                      <w:color w:val="000000" w:themeColor="text1"/>
                      <w:szCs w:val="21"/>
                    </w:rPr>
                    <w:t>1</w:t>
                  </w:r>
                </w:p>
              </w:tc>
              <w:tc>
                <w:tcPr>
                  <w:tcW w:w="3983" w:type="dxa"/>
                  <w:vAlign w:val="center"/>
                </w:tcPr>
                <w:p>
                  <w:pPr>
                    <w:pStyle w:val="30"/>
                    <w:spacing w:line="360" w:lineRule="exact"/>
                    <w:ind w:firstLine="210" w:firstLineChars="100"/>
                    <w:jc w:val="both"/>
                    <w:rPr>
                      <w:color w:val="000000" w:themeColor="text1"/>
                      <w:szCs w:val="21"/>
                    </w:rPr>
                  </w:pPr>
                  <w:r>
                    <w:rPr>
                      <w:color w:val="000000" w:themeColor="text1"/>
                      <w:szCs w:val="21"/>
                    </w:rPr>
                    <w:t>根据区域大气环境容量，严格控制有色金属治炼、化工发展规模，加快能源结构升级改造和使用清洁能源，促进区域环境质量改善。园区内现有治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2018年）》中污染物的企业。</w:t>
                  </w:r>
                </w:p>
              </w:tc>
              <w:tc>
                <w:tcPr>
                  <w:tcW w:w="3384"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该项目利用铝矾土、泡棉、机制砂和水泥搅拌混合生产轻集料混凝土，属于3024 轻质建筑材料制造和3039 其他建筑材料制造，不属于</w:t>
                  </w:r>
                  <w:r>
                    <w:rPr>
                      <w:color w:val="000000" w:themeColor="text1"/>
                      <w:szCs w:val="21"/>
                    </w:rPr>
                    <w:t>有色金属治炼、化工</w:t>
                  </w:r>
                  <w:r>
                    <w:rPr>
                      <w:rFonts w:hint="eastAsia"/>
                      <w:color w:val="000000" w:themeColor="text1"/>
                      <w:szCs w:val="21"/>
                    </w:rPr>
                    <w:t>项目，不属于传统建材行业，项目使用电能，项目</w:t>
                  </w:r>
                  <w:r>
                    <w:rPr>
                      <w:color w:val="000000" w:themeColor="text1"/>
                      <w:szCs w:val="21"/>
                    </w:rPr>
                    <w:t>符合云南东川产业园区天生桥片区的产业定位。</w:t>
                  </w:r>
                </w:p>
              </w:tc>
              <w:tc>
                <w:tcPr>
                  <w:tcW w:w="619" w:type="dxa"/>
                  <w:vAlign w:val="center"/>
                </w:tcPr>
                <w:p>
                  <w:pPr>
                    <w:pStyle w:val="30"/>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color w:val="000000" w:themeColor="text1"/>
                      <w:szCs w:val="21"/>
                    </w:rPr>
                  </w:pPr>
                  <w:r>
                    <w:rPr>
                      <w:color w:val="000000" w:themeColor="text1"/>
                      <w:szCs w:val="21"/>
                    </w:rPr>
                    <w:t>2</w:t>
                  </w:r>
                </w:p>
              </w:tc>
              <w:tc>
                <w:tcPr>
                  <w:tcW w:w="3983" w:type="dxa"/>
                  <w:vAlign w:val="center"/>
                </w:tcPr>
                <w:p>
                  <w:pPr>
                    <w:pStyle w:val="30"/>
                    <w:spacing w:line="360" w:lineRule="exact"/>
                    <w:ind w:firstLine="210" w:firstLineChars="100"/>
                    <w:jc w:val="both"/>
                    <w:rPr>
                      <w:color w:val="000000" w:themeColor="text1"/>
                      <w:szCs w:val="21"/>
                    </w:rPr>
                  </w:pPr>
                  <w:r>
                    <w:rPr>
                      <w:rFonts w:hAnsi="宋体"/>
                      <w:color w:val="000000" w:themeColor="text1"/>
                      <w:szCs w:val="21"/>
                    </w:rPr>
                    <w:t>《规划》产业布局、发展规模应严格执行《中华人民共和国长江保护法》、《长江经济带发展负面清单指南（试行，</w:t>
                  </w:r>
                  <w:r>
                    <w:rPr>
                      <w:color w:val="000000" w:themeColor="text1"/>
                      <w:szCs w:val="21"/>
                    </w:rPr>
                    <w:t>2022</w:t>
                  </w:r>
                  <w:r>
                    <w:rPr>
                      <w:rFonts w:hAnsi="宋体"/>
                      <w:color w:val="000000" w:themeColor="text1"/>
                      <w:szCs w:val="21"/>
                    </w:rPr>
                    <w:t>年版）》、《云南省长江经济带发展负面清单指南实施细则（试行，</w:t>
                  </w:r>
                  <w:r>
                    <w:rPr>
                      <w:color w:val="000000" w:themeColor="text1"/>
                      <w:szCs w:val="21"/>
                    </w:rPr>
                    <w:t>2022</w:t>
                  </w:r>
                  <w:r>
                    <w:rPr>
                      <w:rFonts w:hAnsi="宋体"/>
                      <w:color w:val="000000" w:themeColor="text1"/>
                      <w:szCs w:val="21"/>
                    </w:rPr>
                    <w:t>年版）》等相关规定。化工园区申报及建设应严格执行《化工园区开发建设导则》、《化工园区综合评价导则》、《化工园区建设标准和认定管理办法（试行）》、《云南省化工园区确认办法（试行）》等相关规定。</w:t>
                  </w:r>
                </w:p>
              </w:tc>
              <w:tc>
                <w:tcPr>
                  <w:tcW w:w="3384" w:type="dxa"/>
                  <w:vAlign w:val="center"/>
                </w:tcPr>
                <w:p>
                  <w:pPr>
                    <w:pStyle w:val="30"/>
                    <w:spacing w:line="360" w:lineRule="exact"/>
                    <w:ind w:firstLine="210" w:firstLineChars="100"/>
                    <w:jc w:val="both"/>
                    <w:rPr>
                      <w:color w:val="000000" w:themeColor="text1"/>
                      <w:szCs w:val="21"/>
                    </w:rPr>
                  </w:pPr>
                  <w:r>
                    <w:rPr>
                      <w:rFonts w:hAnsi="宋体"/>
                      <w:color w:val="000000" w:themeColor="text1"/>
                      <w:szCs w:val="21"/>
                    </w:rPr>
                    <w:t>根据分析，该项目不属于化工项目，项目建设符合《中华人民共和国长江保护法》、《长江经济带发展负面清单指南（试行，</w:t>
                  </w:r>
                  <w:r>
                    <w:rPr>
                      <w:color w:val="000000" w:themeColor="text1"/>
                      <w:szCs w:val="21"/>
                    </w:rPr>
                    <w:t>2022</w:t>
                  </w:r>
                  <w:r>
                    <w:rPr>
                      <w:rFonts w:hAnsi="宋体"/>
                      <w:color w:val="000000" w:themeColor="text1"/>
                      <w:szCs w:val="21"/>
                    </w:rPr>
                    <w:t>年版）》、《云南省长江经济带发展负面清单指南实施细则（试行，</w:t>
                  </w:r>
                  <w:r>
                    <w:rPr>
                      <w:color w:val="000000" w:themeColor="text1"/>
                      <w:szCs w:val="21"/>
                    </w:rPr>
                    <w:t>2022</w:t>
                  </w:r>
                  <w:r>
                    <w:rPr>
                      <w:rFonts w:hAnsi="宋体"/>
                      <w:color w:val="000000" w:themeColor="text1"/>
                      <w:szCs w:val="21"/>
                    </w:rPr>
                    <w:t>年版）》等相关规定。</w:t>
                  </w:r>
                </w:p>
              </w:tc>
              <w:tc>
                <w:tcPr>
                  <w:tcW w:w="619" w:type="dxa"/>
                  <w:vAlign w:val="center"/>
                </w:tcPr>
                <w:p>
                  <w:pPr>
                    <w:pStyle w:val="30"/>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000000" w:themeColor="text1"/>
                      <w:szCs w:val="21"/>
                    </w:rPr>
                  </w:pPr>
                  <w:r>
                    <w:rPr>
                      <w:color w:val="000000" w:themeColor="text1"/>
                      <w:szCs w:val="21"/>
                    </w:rPr>
                    <w:t>3</w:t>
                  </w:r>
                </w:p>
              </w:tc>
              <w:tc>
                <w:tcPr>
                  <w:tcW w:w="3983" w:type="dxa"/>
                  <w:vAlign w:val="center"/>
                </w:tcPr>
                <w:p>
                  <w:pPr>
                    <w:pStyle w:val="30"/>
                    <w:spacing w:line="360" w:lineRule="exact"/>
                    <w:ind w:firstLine="210" w:firstLineChars="100"/>
                    <w:jc w:val="both"/>
                    <w:rPr>
                      <w:color w:val="000000" w:themeColor="text1"/>
                      <w:szCs w:val="21"/>
                    </w:rPr>
                  </w:pPr>
                  <w:r>
                    <w:rPr>
                      <w:rFonts w:hAnsi="宋体"/>
                      <w:color w:val="000000" w:themeColor="text1"/>
                      <w:szCs w:val="21"/>
                    </w:rPr>
                    <w:t>根据国家、云南省和</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有关大气污染防洽的相关要求，落实主要污染物区域削减方案，严格执行园区大气污染物管控要求，合理确定产业规模、布局、建设时序。有色金属冶炼、化工、建材等</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行业应实行主要污染物区域等量削滅，重点行业重点重金属排放减量替代比例不得低于</w:t>
                  </w:r>
                  <w:r>
                    <w:rPr>
                      <w:color w:val="000000" w:themeColor="text1"/>
                      <w:szCs w:val="21"/>
                    </w:rPr>
                    <w:t>1.2</w:t>
                  </w:r>
                  <w:r>
                    <w:rPr>
                      <w:rFonts w:hAnsi="宋体"/>
                      <w:color w:val="000000" w:themeColor="text1"/>
                      <w:szCs w:val="21"/>
                    </w:rPr>
                    <w:t>：</w:t>
                  </w:r>
                  <w:r>
                    <w:rPr>
                      <w:color w:val="000000" w:themeColor="text1"/>
                      <w:szCs w:val="21"/>
                    </w:rPr>
                    <w:t>1</w:t>
                  </w:r>
                  <w:r>
                    <w:rPr>
                      <w:rFonts w:hAnsi="宋体"/>
                      <w:color w:val="000000" w:themeColor="text1"/>
                      <w:szCs w:val="21"/>
                    </w:rPr>
                    <w:t>，铅锌冶炼和铜治炼企业须执行颗粒物和重点重金属污染物特别排放限值。</w:t>
                  </w:r>
                </w:p>
              </w:tc>
              <w:tc>
                <w:tcPr>
                  <w:tcW w:w="3384" w:type="dxa"/>
                  <w:vAlign w:val="center"/>
                </w:tcPr>
                <w:p>
                  <w:pPr>
                    <w:pStyle w:val="30"/>
                    <w:spacing w:line="360" w:lineRule="exact"/>
                    <w:ind w:firstLine="210" w:firstLineChars="100"/>
                    <w:jc w:val="both"/>
                    <w:rPr>
                      <w:rFonts w:hAnsi="宋体"/>
                      <w:color w:val="000000" w:themeColor="text1"/>
                      <w:szCs w:val="21"/>
                    </w:rPr>
                  </w:pPr>
                  <w:r>
                    <w:rPr>
                      <w:color w:val="000000" w:themeColor="text1"/>
                      <w:szCs w:val="21"/>
                    </w:rPr>
                    <w:t>项目建设符合云南省和“三线一单”有关大气污染防洽的相关要求，</w:t>
                  </w:r>
                  <w:r>
                    <w:rPr>
                      <w:rFonts w:hint="eastAsia"/>
                      <w:color w:val="000000" w:themeColor="text1"/>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其他建筑材料制造，不属于《云南省发展和改革委员会关于进一步开展“两高”项目梳理排查的函》（云发改产业函【2021】295号）中“两高”项目行业范围，因此不需要</w:t>
                  </w:r>
                  <w:r>
                    <w:rPr>
                      <w:color w:val="000000" w:themeColor="text1"/>
                      <w:szCs w:val="21"/>
                    </w:rPr>
                    <w:t>废气主要污染物区域“等量削减”；</w:t>
                  </w:r>
                  <w:r>
                    <w:rPr>
                      <w:rFonts w:hint="eastAsia"/>
                      <w:color w:val="000000" w:themeColor="text1"/>
                      <w:szCs w:val="21"/>
                    </w:rPr>
                    <w:t>也不属于</w:t>
                  </w:r>
                  <w:r>
                    <w:rPr>
                      <w:color w:val="000000" w:themeColor="text1"/>
                      <w:szCs w:val="21"/>
                    </w:rPr>
                    <w:t>重金属重点行业</w:t>
                  </w:r>
                  <w:r>
                    <w:rPr>
                      <w:rFonts w:hint="eastAsia"/>
                      <w:color w:val="000000" w:themeColor="text1"/>
                      <w:szCs w:val="21"/>
                    </w:rPr>
                    <w:t>，因此不需要进行</w:t>
                  </w:r>
                  <w:r>
                    <w:rPr>
                      <w:color w:val="000000" w:themeColor="text1"/>
                      <w:szCs w:val="21"/>
                    </w:rPr>
                    <w:t>重金属污染物“减量削减”</w:t>
                  </w:r>
                  <w:r>
                    <w:rPr>
                      <w:rFonts w:hint="eastAsia"/>
                      <w:color w:val="000000" w:themeColor="text1"/>
                      <w:szCs w:val="21"/>
                    </w:rPr>
                    <w:t>。</w:t>
                  </w:r>
                </w:p>
              </w:tc>
              <w:tc>
                <w:tcPr>
                  <w:tcW w:w="619" w:type="dxa"/>
                  <w:vAlign w:val="center"/>
                </w:tcPr>
                <w:p>
                  <w:pPr>
                    <w:pStyle w:val="30"/>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color w:val="000000" w:themeColor="text1"/>
                      <w:szCs w:val="21"/>
                    </w:rPr>
                  </w:pPr>
                  <w:r>
                    <w:rPr>
                      <w:color w:val="000000" w:themeColor="text1"/>
                      <w:szCs w:val="21"/>
                    </w:rPr>
                    <w:t>4</w:t>
                  </w:r>
                </w:p>
              </w:tc>
              <w:tc>
                <w:tcPr>
                  <w:tcW w:w="3983" w:type="dxa"/>
                  <w:vAlign w:val="center"/>
                </w:tcPr>
                <w:p>
                  <w:pPr>
                    <w:pStyle w:val="30"/>
                    <w:spacing w:line="360" w:lineRule="exact"/>
                    <w:ind w:firstLine="210" w:firstLineChars="100"/>
                    <w:jc w:val="both"/>
                    <w:rPr>
                      <w:color w:val="000000" w:themeColor="text1"/>
                      <w:szCs w:val="21"/>
                    </w:rPr>
                  </w:pPr>
                  <w:r>
                    <w:rPr>
                      <w:color w:val="000000" w:themeColor="text1"/>
                      <w:szCs w:val="21"/>
                    </w:rPr>
                    <w:t>入驻企业应采用先进的生产工艺、装备、清洁能源与原料，从源头上控制污染物的产生；采用先进高效的污染防治措施，做好大气污染物的减排工作。</w:t>
                  </w:r>
                </w:p>
              </w:tc>
              <w:tc>
                <w:tcPr>
                  <w:tcW w:w="3384" w:type="dxa"/>
                  <w:vAlign w:val="center"/>
                </w:tcPr>
                <w:p>
                  <w:pPr>
                    <w:pStyle w:val="30"/>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拟</w:t>
                  </w:r>
                  <w:r>
                    <w:rPr>
                      <w:color w:val="000000" w:themeColor="text1"/>
                      <w:szCs w:val="21"/>
                    </w:rPr>
                    <w:t>采用先进的生产工艺、装备、清洁能源与原料，从源头控制了污染物的产生，</w:t>
                  </w:r>
                  <w:r>
                    <w:rPr>
                      <w:rFonts w:hint="eastAsia"/>
                      <w:color w:val="000000" w:themeColor="text1"/>
                      <w:szCs w:val="21"/>
                    </w:rPr>
                    <w:t>针对项目产生的无组织扬尘，项目设置了封闭厂房有效抑制无组织扬尘的产生，在水泥仓顶端配套设置2#袋式除尘器对水泥仓粉尘处理后无组织排放，</w:t>
                  </w:r>
                  <w:r>
                    <w:rPr>
                      <w:color w:val="000000" w:themeColor="text1"/>
                      <w:szCs w:val="21"/>
                    </w:rPr>
                    <w:t>投料</w:t>
                  </w:r>
                  <w:r>
                    <w:rPr>
                      <w:rFonts w:hint="eastAsia"/>
                      <w:color w:val="000000" w:themeColor="text1"/>
                      <w:szCs w:val="21"/>
                    </w:rPr>
                    <w:t>粉尘经集气罩收集、搅拌混合粉尘经密闭管道收集，收集后的粉尘</w:t>
                  </w:r>
                  <w:r>
                    <w:rPr>
                      <w:color w:val="000000" w:themeColor="text1"/>
                      <w:szCs w:val="21"/>
                    </w:rPr>
                    <w:t>进入1#袋式除尘器处理</w:t>
                  </w:r>
                  <w:r>
                    <w:rPr>
                      <w:rFonts w:hint="eastAsia"/>
                      <w:color w:val="000000" w:themeColor="text1"/>
                      <w:szCs w:val="21"/>
                    </w:rPr>
                    <w:t>后通过DA001外排。</w:t>
                  </w:r>
                </w:p>
              </w:tc>
              <w:tc>
                <w:tcPr>
                  <w:tcW w:w="619" w:type="dxa"/>
                  <w:vAlign w:val="center"/>
                </w:tcPr>
                <w:p>
                  <w:pPr>
                    <w:pStyle w:val="30"/>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color w:val="000000" w:themeColor="text1"/>
                      <w:szCs w:val="21"/>
                    </w:rPr>
                  </w:pPr>
                  <w:r>
                    <w:rPr>
                      <w:color w:val="000000" w:themeColor="text1"/>
                      <w:szCs w:val="21"/>
                    </w:rPr>
                    <w:t>5</w:t>
                  </w:r>
                </w:p>
              </w:tc>
              <w:tc>
                <w:tcPr>
                  <w:tcW w:w="3983" w:type="dxa"/>
                  <w:vAlign w:val="center"/>
                </w:tcPr>
                <w:p>
                  <w:pPr>
                    <w:pStyle w:val="30"/>
                    <w:spacing w:line="360" w:lineRule="exact"/>
                    <w:ind w:firstLine="210" w:firstLineChars="100"/>
                    <w:jc w:val="both"/>
                    <w:rPr>
                      <w:color w:val="000000" w:themeColor="text1"/>
                      <w:szCs w:val="21"/>
                    </w:rPr>
                  </w:pPr>
                  <w:r>
                    <w:rPr>
                      <w:rFonts w:hAnsi="宋体"/>
                      <w:color w:val="000000" w:themeColor="text1"/>
                      <w:szCs w:val="21"/>
                    </w:rPr>
                    <w:t>重视园区废水收集、处理、回用、排放的环境管理。全面实施</w:t>
                  </w:r>
                  <w:r>
                    <w:rPr>
                      <w:color w:val="000000" w:themeColor="text1"/>
                      <w:szCs w:val="21"/>
                    </w:rPr>
                    <w:t>“</w:t>
                  </w:r>
                  <w:r>
                    <w:rPr>
                      <w:rFonts w:hAnsi="宋体"/>
                      <w:color w:val="000000" w:themeColor="text1"/>
                      <w:szCs w:val="21"/>
                    </w:rPr>
                    <w:t>雨污分流</w:t>
                  </w:r>
                  <w:r>
                    <w:rPr>
                      <w:color w:val="000000" w:themeColor="text1"/>
                      <w:szCs w:val="21"/>
                    </w:rPr>
                    <w:t>”“</w:t>
                  </w:r>
                  <w:r>
                    <w:rPr>
                      <w:rFonts w:hAnsi="宋体"/>
                      <w:color w:val="000000" w:themeColor="text1"/>
                      <w:szCs w:val="21"/>
                    </w:rPr>
                    <w:t>清污分流</w:t>
                  </w:r>
                  <w:r>
                    <w:rPr>
                      <w:color w:val="000000" w:themeColor="text1"/>
                      <w:szCs w:val="21"/>
                    </w:rPr>
                    <w:t>”</w:t>
                  </w:r>
                  <w:r>
                    <w:rPr>
                      <w:rFonts w:hAnsi="宋体"/>
                      <w:color w:val="000000" w:themeColor="text1"/>
                      <w:szCs w:val="21"/>
                    </w:rPr>
                    <w:t>制度，提高入驻企业工业用水重复利用率和中水回用率。</w:t>
                  </w:r>
                </w:p>
              </w:tc>
              <w:tc>
                <w:tcPr>
                  <w:tcW w:w="3384" w:type="dxa"/>
                  <w:vAlign w:val="center"/>
                </w:tcPr>
                <w:p>
                  <w:pPr>
                    <w:pStyle w:val="30"/>
                    <w:spacing w:line="360" w:lineRule="exact"/>
                    <w:ind w:firstLine="210" w:firstLineChars="100"/>
                    <w:jc w:val="both"/>
                    <w:rPr>
                      <w:color w:val="000000" w:themeColor="text1"/>
                      <w:szCs w:val="21"/>
                    </w:rPr>
                  </w:pPr>
                  <w:r>
                    <w:rPr>
                      <w:rFonts w:hAnsi="宋体"/>
                      <w:color w:val="000000" w:themeColor="text1"/>
                      <w:szCs w:val="21"/>
                    </w:rPr>
                    <w:t>项目</w:t>
                  </w:r>
                  <w:r>
                    <w:rPr>
                      <w:rFonts w:hint="eastAsia" w:hAnsi="宋体"/>
                      <w:color w:val="000000" w:themeColor="text1"/>
                      <w:szCs w:val="21"/>
                    </w:rPr>
                    <w:t>无废水产生</w:t>
                  </w:r>
                  <w:r>
                    <w:rPr>
                      <w:rFonts w:hAnsi="宋体"/>
                      <w:color w:val="000000" w:themeColor="text1"/>
                      <w:szCs w:val="21"/>
                    </w:rPr>
                    <w:t>。</w:t>
                  </w:r>
                </w:p>
              </w:tc>
              <w:tc>
                <w:tcPr>
                  <w:tcW w:w="619" w:type="dxa"/>
                  <w:vAlign w:val="center"/>
                </w:tcPr>
                <w:p>
                  <w:pPr>
                    <w:pStyle w:val="30"/>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0"/>
                    <w:spacing w:line="360" w:lineRule="exact"/>
                    <w:rPr>
                      <w:color w:val="000000" w:themeColor="text1"/>
                      <w:szCs w:val="21"/>
                    </w:rPr>
                  </w:pPr>
                  <w:r>
                    <w:rPr>
                      <w:color w:val="000000" w:themeColor="text1"/>
                      <w:szCs w:val="21"/>
                    </w:rPr>
                    <w:t>6</w:t>
                  </w:r>
                </w:p>
              </w:tc>
              <w:tc>
                <w:tcPr>
                  <w:tcW w:w="3983" w:type="dxa"/>
                  <w:vAlign w:val="center"/>
                </w:tcPr>
                <w:p>
                  <w:pPr>
                    <w:pStyle w:val="30"/>
                    <w:spacing w:line="360" w:lineRule="exact"/>
                    <w:ind w:firstLine="210" w:firstLineChars="100"/>
                    <w:jc w:val="both"/>
                    <w:rPr>
                      <w:color w:val="000000" w:themeColor="text1"/>
                      <w:szCs w:val="21"/>
                    </w:rPr>
                  </w:pPr>
                  <w:r>
                    <w:rPr>
                      <w:rFonts w:hAnsi="宋体"/>
                      <w:color w:val="000000" w:themeColor="text1"/>
                      <w:szCs w:val="21"/>
                    </w:rPr>
                    <w:t>入驻企业按相关规范要求采取针对性防渗措施，确保区域地下水安全。</w:t>
                  </w:r>
                </w:p>
              </w:tc>
              <w:tc>
                <w:tcPr>
                  <w:tcW w:w="3384" w:type="dxa"/>
                  <w:vAlign w:val="center"/>
                </w:tcPr>
                <w:p>
                  <w:pPr>
                    <w:pStyle w:val="30"/>
                    <w:spacing w:line="360" w:lineRule="exact"/>
                    <w:ind w:firstLine="210" w:firstLineChars="100"/>
                    <w:jc w:val="both"/>
                    <w:rPr>
                      <w:color w:val="000000" w:themeColor="text1"/>
                      <w:szCs w:val="21"/>
                    </w:rPr>
                  </w:pPr>
                  <w:r>
                    <w:rPr>
                      <w:rFonts w:hAnsi="宋体"/>
                      <w:color w:val="000000" w:themeColor="text1"/>
                      <w:szCs w:val="21"/>
                    </w:rPr>
                    <w:t>项目将严格执行《危险废物贮存污染控制标准》（</w:t>
                  </w:r>
                  <w:r>
                    <w:rPr>
                      <w:color w:val="000000" w:themeColor="text1"/>
                      <w:szCs w:val="21"/>
                    </w:rPr>
                    <w:t>GB</w:t>
                  </w:r>
                  <w:r>
                    <w:rPr>
                      <w:rFonts w:hint="eastAsia"/>
                      <w:color w:val="000000" w:themeColor="text1"/>
                      <w:szCs w:val="21"/>
                      <w:lang w:eastAsia="zh-CN"/>
                    </w:rPr>
                    <w:t>*****</w:t>
                  </w:r>
                  <w:r>
                    <w:rPr>
                      <w:color w:val="000000" w:themeColor="text1"/>
                      <w:szCs w:val="21"/>
                    </w:rPr>
                    <w:t>-2023</w:t>
                  </w:r>
                  <w:r>
                    <w:rPr>
                      <w:rFonts w:hAnsi="宋体"/>
                      <w:color w:val="000000" w:themeColor="text1"/>
                      <w:szCs w:val="21"/>
                    </w:rPr>
                    <w:t>）的要求，采取分区防渗措施。</w:t>
                  </w:r>
                </w:p>
              </w:tc>
              <w:tc>
                <w:tcPr>
                  <w:tcW w:w="619" w:type="dxa"/>
                  <w:vAlign w:val="center"/>
                </w:tcPr>
                <w:p>
                  <w:pPr>
                    <w:pStyle w:val="30"/>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000000" w:themeColor="text1"/>
                      <w:szCs w:val="21"/>
                    </w:rPr>
                  </w:pPr>
                  <w:r>
                    <w:rPr>
                      <w:color w:val="000000" w:themeColor="text1"/>
                      <w:szCs w:val="21"/>
                    </w:rPr>
                    <w:t>7</w:t>
                  </w:r>
                </w:p>
              </w:tc>
              <w:tc>
                <w:tcPr>
                  <w:tcW w:w="3983" w:type="dxa"/>
                  <w:vAlign w:val="center"/>
                </w:tcPr>
                <w:p>
                  <w:pPr>
                    <w:pStyle w:val="30"/>
                    <w:spacing w:line="360" w:lineRule="exact"/>
                    <w:ind w:firstLine="210" w:firstLineChars="100"/>
                    <w:jc w:val="both"/>
                    <w:rPr>
                      <w:rFonts w:hAnsi="宋体"/>
                      <w:color w:val="000000" w:themeColor="text1"/>
                      <w:szCs w:val="21"/>
                    </w:rPr>
                  </w:pPr>
                  <w:r>
                    <w:rPr>
                      <w:rFonts w:hAnsi="宋体"/>
                      <w:color w:val="000000" w:themeColor="text1"/>
                      <w:szCs w:val="21"/>
                    </w:rPr>
                    <w:t>〔四）制定准入清单，严格入园项目生态环境准入管理。加强“两高”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三线一单”大气、水、土壤等重点管控单元要求。</w:t>
                  </w:r>
                </w:p>
              </w:tc>
              <w:tc>
                <w:tcPr>
                  <w:tcW w:w="3384" w:type="dxa"/>
                  <w:vAlign w:val="center"/>
                </w:tcPr>
                <w:p>
                  <w:pPr>
                    <w:pStyle w:val="30"/>
                    <w:spacing w:line="360" w:lineRule="exact"/>
                    <w:ind w:firstLine="210" w:firstLineChars="100"/>
                    <w:jc w:val="both"/>
                    <w:rPr>
                      <w:rFonts w:hAnsi="宋体"/>
                      <w:color w:val="000000" w:themeColor="text1"/>
                      <w:szCs w:val="21"/>
                    </w:rPr>
                  </w:pPr>
                  <w:r>
                    <w:rPr>
                      <w:rFonts w:hint="eastAsia" w:hAnsi="宋体"/>
                      <w:color w:val="000000" w:themeColor="text1"/>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r>
                    <w:rPr>
                      <w:rFonts w:hAnsi="宋体"/>
                      <w:color w:val="000000" w:themeColor="text1"/>
                      <w:szCs w:val="21"/>
                    </w:rPr>
                    <w:t>该项目单位产值水耗、能耗、污染物产生和排放量等均可达到国内先进水平。项目符合国家产业政策、产业布局规划要求，符合“三线一单”大气、水、土壤等重点管控单元要求。</w:t>
                  </w:r>
                </w:p>
              </w:tc>
              <w:tc>
                <w:tcPr>
                  <w:tcW w:w="619" w:type="dxa"/>
                  <w:vAlign w:val="center"/>
                </w:tcPr>
                <w:p>
                  <w:pPr>
                    <w:pStyle w:val="30"/>
                    <w:spacing w:line="360" w:lineRule="exact"/>
                    <w:rPr>
                      <w:color w:val="000000" w:themeColor="text1"/>
                      <w:szCs w:val="21"/>
                    </w:rPr>
                  </w:pPr>
                  <w:r>
                    <w:rPr>
                      <w:rFonts w:hAnsi="宋体"/>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由上表可知，该项目建设符合</w:t>
            </w:r>
            <w:r>
              <w:rPr>
                <w:color w:val="000000" w:themeColor="text1"/>
                <w:sz w:val="24"/>
              </w:rPr>
              <w:t>规划环评</w:t>
            </w:r>
            <w:r>
              <w:rPr>
                <w:rFonts w:hint="eastAsia"/>
                <w:color w:val="000000" w:themeColor="text1"/>
                <w:sz w:val="24"/>
              </w:rPr>
              <w:t>审查意见的相关要求。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该项目建设符合《云南东川产业园区总体规划修编（2021-2035）环境影响报告书》及《昆明市生态环境局关于云南东川产业园区总体规划修编（2021-2035）环境影响报告书的审查意见》（昆环审【2023】1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w:t>
            </w:r>
            <w:r>
              <w:rPr>
                <w:rFonts w:hint="eastAsia" w:ascii="Times New Roman" w:hAnsi="Times New Roman" w:eastAsia="宋体" w:cs="Times New Roman"/>
                <w:color w:val="000000" w:themeColor="text1"/>
                <w:sz w:val="24"/>
                <w:szCs w:val="24"/>
              </w:rPr>
              <w:t>产业政策符合性、</w:t>
            </w:r>
            <w:r>
              <w:rPr>
                <w:rFonts w:ascii="Times New Roman" w:hAnsi="Times New Roman" w:eastAsia="宋体" w:cs="Times New Roman"/>
                <w:color w:val="000000" w:themeColor="text1"/>
                <w:sz w:val="24"/>
                <w:szCs w:val="24"/>
              </w:rPr>
              <w:t>“三线一单”符合性、生态环境保护法律法规政策符合性和生态环境保护规划的符合性，具体如下：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bookmarkStart w:id="0" w:name="_Toc433545018"/>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产业政策符合性分析</w:t>
            </w:r>
            <w:bookmarkEnd w:id="0"/>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该项目利用铝矾土、泡棉、机制砂和水泥搅拌混合生产轻集料混凝土，</w:t>
            </w:r>
            <w:r>
              <w:rPr>
                <w:rFonts w:ascii="Times New Roman" w:hAnsi="Times New Roman" w:cs="Times New Roman"/>
                <w:color w:val="000000" w:themeColor="text1"/>
                <w:sz w:val="24"/>
              </w:rPr>
              <w:t>查阅中华人民共和国国家发展和改革委员会第21号令《产业结构调整指导目录（2019年本）》，</w:t>
            </w:r>
            <w:r>
              <w:rPr>
                <w:rFonts w:hint="eastAsia" w:ascii="Times New Roman" w:hAnsi="Times New Roman" w:cs="Times New Roman"/>
                <w:color w:val="000000" w:themeColor="text1"/>
                <w:sz w:val="24"/>
              </w:rPr>
              <w:t>该项目不属于鼓励类、限制类和淘汰类项目，属于允许类项目，该项目</w:t>
            </w:r>
            <w:r>
              <w:rPr>
                <w:rFonts w:ascii="Times New Roman" w:hAnsi="Times New Roman" w:cs="Times New Roman"/>
                <w:color w:val="000000" w:themeColor="text1"/>
                <w:sz w:val="24"/>
              </w:rPr>
              <w:t>于2023年7月6日</w:t>
            </w:r>
            <w:r>
              <w:rPr>
                <w:rFonts w:hint="eastAsia" w:ascii="Times New Roman" w:hAnsi="Times New Roman" w:cs="Times New Roman"/>
                <w:color w:val="000000" w:themeColor="text1"/>
                <w:sz w:val="24"/>
              </w:rPr>
              <w:t>取得《云南省固定资产投资项目备案证》</w:t>
            </w:r>
            <w:r>
              <w:rPr>
                <w:rFonts w:ascii="Times New Roman" w:hAnsi="Times New Roman" w:cs="Times New Roman"/>
                <w:color w:val="000000" w:themeColor="text1"/>
                <w:sz w:val="24"/>
              </w:rPr>
              <w:t>（项目代码为：</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-04-01-</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）；因此项目建设符合国家的产业政策。</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）“三线一单”符合性分析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昆明市人民政府已发布《昆明市人民政府关于昆明市“三线一单”生态环境分区管控的实施意见》，该项目符合性分析具体如下：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w:t>
            </w:r>
            <w:r>
              <w:rPr>
                <w:rFonts w:ascii="Times New Roman" w:hAnsi="Times New Roman" w:cs="Times New Roman"/>
                <w:color w:val="000000" w:themeColor="text1"/>
                <w:sz w:val="24"/>
                <w:szCs w:val="24"/>
              </w:rPr>
              <w:t>云南东川产业园区天生桥片区天三路</w:t>
            </w: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rPr>
              <w:t>不涉及生态红线。又《昆明市人民政府关于昆明市“三线一单”生态环境分区管控的实施意见》明确将“</w:t>
            </w:r>
            <w:r>
              <w:rPr>
                <w:rFonts w:ascii="Times New Roman" w:hAnsi="Times New Roman" w:cs="Times New Roman"/>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hAnsi="Times New Roman" w:cs="Times New Roman"/>
                <w:color w:val="000000" w:themeColor="text1"/>
                <w:sz w:val="24"/>
              </w:rPr>
              <w:t>”，该项目位于云南东川产业园区天生桥片区天三路，项目所在地属于</w:t>
            </w:r>
            <w:r>
              <w:rPr>
                <w:rFonts w:ascii="Times New Roman" w:hAnsi="Times New Roman" w:cs="Times New Roman"/>
                <w:color w:val="000000" w:themeColor="text1"/>
                <w:sz w:val="24"/>
              </w:rPr>
              <w:t>云南东川再就业特色产业园区重点管控单元</w:t>
            </w:r>
            <w:r>
              <w:rPr>
                <w:rFonts w:hint="eastAsia" w:ascii="Times New Roman" w:hAnsi="Times New Roman" w:cs="Times New Roman"/>
                <w:color w:val="000000" w:themeColor="text1"/>
                <w:sz w:val="24"/>
              </w:rPr>
              <w:t>，因此项目不属于优先保护单元。</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生态环境分区管控的实施意见》对环境质量底线设定了2025年和2035年两个目标，该项目位于云南东川产业园区天生桥片区天三路，环境质量底线和该项目相关的要求及符合性分析如下：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w:t>
            </w:r>
            <w:r>
              <w:rPr>
                <w:rFonts w:ascii="Times New Roman" w:cs="Times New Roman" w:hAnsiTheme="minorEastAsia"/>
                <w:color w:val="000000" w:themeColor="text1"/>
                <w:sz w:val="24"/>
                <w:vertAlign w:val="subscript"/>
              </w:rPr>
              <w:t>2.5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w:t>
            </w:r>
            <w:r>
              <w:rPr>
                <w:rFonts w:hint="eastAsia" w:ascii="Times New Roman" w:cs="Times New Roman" w:hAnsiTheme="minorEastAsia"/>
                <w:color w:val="000000" w:themeColor="text1"/>
                <w:sz w:val="24"/>
                <w:lang w:eastAsia="zh-CN"/>
              </w:rPr>
              <w:t>****</w:t>
            </w:r>
            <w:r>
              <w:rPr>
                <w:rFonts w:ascii="Times New Roman" w:cs="Times New Roman" w:hAnsiTheme="minorEastAsia"/>
                <w:color w:val="000000" w:themeColor="text1"/>
                <w:sz w:val="24"/>
              </w:rPr>
              <w:t>-2012）二级标准，属于空气达标区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且该项目的建设不会改变区域环境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w:t>
            </w:r>
            <w:r>
              <w:rPr>
                <w:rFonts w:ascii="Times New Roman" w:cs="Times New Roman" w:hAnsiTheme="minorEastAsia"/>
                <w:color w:val="000000" w:themeColor="text1"/>
                <w:sz w:val="24"/>
              </w:rPr>
              <w:t>地表水体</w:t>
            </w:r>
            <w:r>
              <w:rPr>
                <w:rFonts w:hint="eastAsia" w:ascii="Times New Roman" w:cs="Times New Roman" w:hAnsiTheme="minorEastAsia"/>
                <w:color w:val="000000" w:themeColor="text1"/>
                <w:sz w:val="24"/>
              </w:rPr>
              <w:t>黑泥沟河汇入</w:t>
            </w:r>
            <w:r>
              <w:rPr>
                <w:rFonts w:ascii="Times New Roman" w:cs="Times New Roman" w:hAnsiTheme="minorEastAsia"/>
                <w:color w:val="000000" w:themeColor="text1"/>
                <w:sz w:val="24"/>
              </w:rPr>
              <w:t>摩洛河（甸头河）</w:t>
            </w:r>
            <w:r>
              <w:rPr>
                <w:rFonts w:hint="eastAsia" w:ascii="Times New Roman" w:cs="Times New Roman" w:hAnsiTheme="minorEastAsia"/>
                <w:color w:val="000000" w:themeColor="text1"/>
                <w:sz w:val="24"/>
              </w:rPr>
              <w:t>口下游2km断面</w:t>
            </w:r>
            <w:r>
              <w:rPr>
                <w:rFonts w:ascii="Times New Roman" w:cs="Times New Roman" w:hAnsiTheme="minorEastAsia"/>
                <w:color w:val="000000" w:themeColor="text1"/>
                <w:sz w:val="24"/>
              </w:rPr>
              <w:t>水质</w:t>
            </w:r>
            <w:r>
              <w:rPr>
                <w:rFonts w:hint="eastAsia" w:ascii="Times New Roman" w:cs="Times New Roman" w:hAnsiTheme="minorEastAsia"/>
                <w:color w:val="000000" w:themeColor="text1"/>
                <w:sz w:val="24"/>
              </w:rPr>
              <w:t>可达到</w:t>
            </w:r>
            <w:r>
              <w:rPr>
                <w:rFonts w:ascii="Times New Roman" w:cs="Times New Roman" w:hAnsiTheme="minorEastAsia"/>
                <w:color w:val="000000" w:themeColor="text1"/>
                <w:sz w:val="24"/>
              </w:rPr>
              <w:t>《地表水环境质量标准》（GB</w:t>
            </w:r>
            <w:r>
              <w:rPr>
                <w:rFonts w:hint="eastAsia" w:ascii="Times New Roman" w:cs="Times New Roman" w:hAnsiTheme="minorEastAsia"/>
                <w:color w:val="000000" w:themeColor="text1"/>
                <w:sz w:val="24"/>
                <w:lang w:eastAsia="zh-CN"/>
              </w:rPr>
              <w:t>****</w:t>
            </w:r>
            <w:r>
              <w:rPr>
                <w:rFonts w:ascii="Times New Roman" w:cs="Times New Roman" w:hAnsiTheme="minorEastAsia"/>
                <w:color w:val="000000" w:themeColor="text1"/>
                <w:sz w:val="24"/>
              </w:rPr>
              <w:t>-2002）中的</w:t>
            </w:r>
            <w:r>
              <w:rPr>
                <w:rFonts w:hint="eastAsia" w:ascii="Times New Roman" w:cs="Times New Roman" w:hAnsiTheme="minorEastAsia"/>
                <w:color w:val="000000" w:themeColor="text1"/>
                <w:sz w:val="24"/>
              </w:rPr>
              <w:t>Ⅲ</w:t>
            </w:r>
            <w:r>
              <w:rPr>
                <w:rFonts w:ascii="Times New Roman" w:cs="Times New Roman" w:hAnsiTheme="minorEastAsia"/>
                <w:color w:val="000000" w:themeColor="text1"/>
                <w:sz w:val="24"/>
              </w:rPr>
              <w:t>类水质标准</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w:t>
            </w:r>
            <w:r>
              <w:rPr>
                <w:rFonts w:ascii="Times New Roman" w:cs="Times New Roman" w:hAnsiTheme="minorEastAsia"/>
                <w:color w:val="000000" w:themeColor="text1"/>
                <w:sz w:val="24"/>
              </w:rPr>
              <w:t>项目不使用生产用水</w:t>
            </w:r>
            <w:r>
              <w:rPr>
                <w:rFonts w:hint="eastAsia" w:ascii="Times New Roman" w:cs="Times New Roman" w:hAnsiTheme="minorEastAsia"/>
                <w:color w:val="000000" w:themeColor="text1"/>
                <w:sz w:val="24"/>
              </w:rPr>
              <w:t>；项目选址位于</w:t>
            </w:r>
            <w:r>
              <w:rPr>
                <w:rFonts w:ascii="Times New Roman" w:cs="Times New Roman" w:hAnsiTheme="minorEastAsia"/>
                <w:color w:val="000000" w:themeColor="text1"/>
                <w:sz w:val="24"/>
              </w:rPr>
              <w:t>云南东川产业园区天生桥片区天三路</w:t>
            </w:r>
            <w:r>
              <w:rPr>
                <w:rFonts w:hint="eastAsia" w:ascii="Times New Roman" w:cs="Times New Roman" w:hAnsiTheme="minorEastAsia"/>
                <w:color w:val="000000" w:themeColor="text1"/>
                <w:sz w:val="24"/>
              </w:rPr>
              <w:t>，项目选址位于工业园区，</w:t>
            </w:r>
            <w:r>
              <w:rPr>
                <w:rFonts w:ascii="Times New Roman" w:cs="Times New Roman" w:hAnsiTheme="minorEastAsia"/>
                <w:color w:val="000000" w:themeColor="text1"/>
                <w:sz w:val="24"/>
              </w:rPr>
              <w:t>租用云南嘉佳烨新型材料科技有限责任公司建设的标准厂房</w:t>
            </w:r>
            <w:r>
              <w:rPr>
                <w:rFonts w:hint="eastAsia" w:ascii="Times New Roman" w:cs="Times New Roman" w:hAnsiTheme="minorEastAsia"/>
                <w:color w:val="000000" w:themeColor="text1"/>
                <w:sz w:val="24"/>
              </w:rPr>
              <w:t>进行项目</w:t>
            </w:r>
            <w:r>
              <w:rPr>
                <w:rFonts w:ascii="Times New Roman" w:cs="Times New Roman" w:hAnsiTheme="minorEastAsia"/>
                <w:color w:val="000000" w:themeColor="text1"/>
                <w:sz w:val="24"/>
              </w:rPr>
              <w:t>建设</w:t>
            </w:r>
            <w:r>
              <w:rPr>
                <w:rFonts w:hint="eastAsia" w:ascii="Times New Roman" w:cs="Times New Roman" w:hAnsiTheme="minorEastAsia"/>
                <w:color w:val="000000" w:themeColor="text1"/>
                <w:sz w:val="24"/>
              </w:rPr>
              <w:t>，不涉及耕地、基本农田等土地资源，项目能耗较低；因此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根据调查，该项目位于该项目位于云南东川产业园区天生桥片区天三路，项目所在地属于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的管理要求，该项目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表1-5</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9"/>
              <w:gridCol w:w="733"/>
              <w:gridCol w:w="3399"/>
              <w:gridCol w:w="3042"/>
              <w:gridCol w:w="7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4132" w:type="dxa"/>
                  <w:gridSpan w:val="2"/>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042"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restart"/>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733"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399" w:type="dxa"/>
                  <w:vAlign w:val="center"/>
                </w:tcPr>
                <w:p>
                  <w:pPr>
                    <w:pStyle w:val="30"/>
                    <w:spacing w:line="360" w:lineRule="exact"/>
                    <w:ind w:firstLine="210" w:firstLineChars="100"/>
                    <w:jc w:val="both"/>
                    <w:rPr>
                      <w:color w:val="000000" w:themeColor="text1"/>
                      <w:szCs w:val="21"/>
                    </w:rPr>
                  </w:pPr>
                  <w:r>
                    <w:rPr>
                      <w:color w:val="000000" w:themeColor="text1"/>
                      <w:szCs w:val="21"/>
                    </w:rPr>
                    <w:t>重点发展重化工、有色冶金、铸造、有色金属和稀贵金属加工、机械制造、机电设备、黄金精加工、建筑建材以及食品加工、生物医药行业。</w:t>
                  </w:r>
                </w:p>
              </w:tc>
              <w:tc>
                <w:tcPr>
                  <w:tcW w:w="3042"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该项目利用铝矾土、泡棉、机制砂和水泥搅拌混合生产轻集料混凝土，其行业类别为3024 轻质建筑材料制造或3039 其他建筑材料制造，属于</w:t>
                  </w:r>
                  <w:r>
                    <w:rPr>
                      <w:color w:val="000000" w:themeColor="text1"/>
                      <w:szCs w:val="21"/>
                    </w:rPr>
                    <w:t>天生桥片区主导产业</w:t>
                  </w:r>
                  <w:r>
                    <w:rPr>
                      <w:rFonts w:hint="eastAsia"/>
                      <w:color w:val="000000" w:themeColor="text1"/>
                      <w:szCs w:val="21"/>
                    </w:rPr>
                    <w:t>中的“</w:t>
                  </w:r>
                  <w:r>
                    <w:rPr>
                      <w:color w:val="000000" w:themeColor="text1"/>
                      <w:szCs w:val="21"/>
                    </w:rPr>
                    <w:t>建材领域</w:t>
                  </w:r>
                  <w:r>
                    <w:rPr>
                      <w:rFonts w:hint="eastAsia"/>
                      <w:color w:val="000000" w:themeColor="text1"/>
                      <w:szCs w:val="21"/>
                    </w:rPr>
                    <w:t>的</w:t>
                  </w:r>
                  <w:r>
                    <w:rPr>
                      <w:color w:val="000000" w:themeColor="text1"/>
                      <w:szCs w:val="21"/>
                    </w:rPr>
                    <w:t>轻质建筑材料</w:t>
                  </w:r>
                  <w:r>
                    <w:rPr>
                      <w:rFonts w:hint="eastAsia"/>
                      <w:color w:val="000000" w:themeColor="text1"/>
                      <w:szCs w:val="21"/>
                    </w:rPr>
                    <w:t>”，符合《</w:t>
                  </w:r>
                  <w:r>
                    <w:rPr>
                      <w:color w:val="000000" w:themeColor="text1"/>
                      <w:szCs w:val="21"/>
                    </w:rPr>
                    <w:t>云南东川产业园区总体规划修编（2021-2035）</w:t>
                  </w:r>
                  <w:r>
                    <w:rPr>
                      <w:rFonts w:hint="eastAsia"/>
                      <w:color w:val="000000" w:themeColor="text1"/>
                      <w:szCs w:val="21"/>
                    </w:rPr>
                    <w:t>》。</w:t>
                  </w:r>
                </w:p>
              </w:tc>
              <w:tc>
                <w:tcPr>
                  <w:tcW w:w="71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0"/>
                    <w:spacing w:line="360" w:lineRule="exact"/>
                    <w:rPr>
                      <w:rFonts w:hAnsiTheme="minorEastAsia" w:eastAsiaTheme="minorEastAsia"/>
                      <w:color w:val="000000" w:themeColor="text1"/>
                      <w:szCs w:val="21"/>
                    </w:rPr>
                  </w:pPr>
                </w:p>
              </w:tc>
              <w:tc>
                <w:tcPr>
                  <w:tcW w:w="733"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399" w:type="dxa"/>
                  <w:vAlign w:val="center"/>
                </w:tcPr>
                <w:p>
                  <w:pPr>
                    <w:pStyle w:val="30"/>
                    <w:spacing w:line="360" w:lineRule="exact"/>
                    <w:ind w:firstLine="210" w:firstLineChars="100"/>
                    <w:jc w:val="both"/>
                    <w:rPr>
                      <w:color w:val="000000" w:themeColor="text1"/>
                      <w:szCs w:val="21"/>
                    </w:rPr>
                  </w:pPr>
                  <w:r>
                    <w:rPr>
                      <w:color w:val="000000" w:themeColor="text1"/>
                      <w:szCs w:val="21"/>
                    </w:rPr>
                    <w:t>1.四方地组团禁止再安排重污染企业，防止加重该区域的环境污染。</w:t>
                  </w:r>
                </w:p>
                <w:p>
                  <w:pPr>
                    <w:pStyle w:val="30"/>
                    <w:spacing w:line="360" w:lineRule="exact"/>
                    <w:ind w:firstLine="210" w:firstLineChars="100"/>
                    <w:jc w:val="both"/>
                    <w:rPr>
                      <w:color w:val="000000" w:themeColor="text1"/>
                      <w:szCs w:val="21"/>
                    </w:rPr>
                  </w:pPr>
                  <w:r>
                    <w:rPr>
                      <w:color w:val="000000" w:themeColor="text1"/>
                      <w:szCs w:val="21"/>
                    </w:rPr>
                    <w:t>2.碧谷片区靠近城区一侧安排居住及轻污染的工业项目，该地区地势较低，不得布置空气污染较重的项目。</w:t>
                  </w:r>
                </w:p>
                <w:p>
                  <w:pPr>
                    <w:pStyle w:val="30"/>
                    <w:spacing w:line="360" w:lineRule="exact"/>
                    <w:ind w:firstLine="210" w:firstLineChars="100"/>
                    <w:jc w:val="both"/>
                    <w:rPr>
                      <w:color w:val="000000" w:themeColor="text1"/>
                      <w:szCs w:val="21"/>
                    </w:rPr>
                  </w:pPr>
                  <w:r>
                    <w:rPr>
                      <w:color w:val="000000" w:themeColor="text1"/>
                      <w:szCs w:val="21"/>
                    </w:rPr>
                    <w:t>3.对门山片区不宜作为工业片区，作为城市服务功能区，靠近城区一侧应营造绿化带和布置低噪声影响项目。</w:t>
                  </w:r>
                </w:p>
                <w:p>
                  <w:pPr>
                    <w:pStyle w:val="30"/>
                    <w:spacing w:line="360" w:lineRule="exact"/>
                    <w:ind w:firstLine="210" w:firstLineChars="100"/>
                    <w:jc w:val="both"/>
                    <w:rPr>
                      <w:color w:val="000000" w:themeColor="text1"/>
                      <w:szCs w:val="21"/>
                    </w:rPr>
                  </w:pPr>
                  <w:r>
                    <w:rPr>
                      <w:color w:val="000000" w:themeColor="text1"/>
                      <w:szCs w:val="21"/>
                    </w:rPr>
                    <w:t>4.阿旺片区不宜布局空气污染大的项目。</w:t>
                  </w:r>
                </w:p>
              </w:tc>
              <w:tc>
                <w:tcPr>
                  <w:tcW w:w="3042" w:type="dxa"/>
                  <w:vAlign w:val="center"/>
                </w:tcPr>
                <w:p>
                  <w:pPr>
                    <w:pStyle w:val="30"/>
                    <w:spacing w:line="360" w:lineRule="exact"/>
                    <w:ind w:firstLine="210" w:firstLineChars="100"/>
                    <w:jc w:val="both"/>
                    <w:rPr>
                      <w:color w:val="000000" w:themeColor="text1"/>
                      <w:szCs w:val="21"/>
                    </w:rPr>
                  </w:pPr>
                  <w:r>
                    <w:rPr>
                      <w:color w:val="000000" w:themeColor="text1"/>
                      <w:szCs w:val="21"/>
                    </w:rPr>
                    <w:t>该项目位于云南东川产业园区天生桥片区天三路，</w:t>
                  </w:r>
                  <w:r>
                    <w:rPr>
                      <w:rFonts w:hint="eastAsia"/>
                      <w:color w:val="000000" w:themeColor="text1"/>
                      <w:szCs w:val="21"/>
                    </w:rPr>
                    <w:t>选址不涉及</w:t>
                  </w:r>
                  <w:r>
                    <w:rPr>
                      <w:color w:val="000000" w:themeColor="text1"/>
                      <w:szCs w:val="21"/>
                    </w:rPr>
                    <w:t>四方地</w:t>
                  </w:r>
                  <w:r>
                    <w:rPr>
                      <w:rFonts w:hint="eastAsia"/>
                      <w:color w:val="000000" w:themeColor="text1"/>
                      <w:szCs w:val="21"/>
                    </w:rPr>
                    <w:t>片区、</w:t>
                  </w:r>
                  <w:r>
                    <w:rPr>
                      <w:color w:val="000000" w:themeColor="text1"/>
                      <w:szCs w:val="21"/>
                    </w:rPr>
                    <w:t>碧谷片区</w:t>
                  </w:r>
                  <w:r>
                    <w:rPr>
                      <w:rFonts w:hint="eastAsia"/>
                      <w:color w:val="000000" w:themeColor="text1"/>
                      <w:szCs w:val="21"/>
                    </w:rPr>
                    <w:t>、</w:t>
                  </w:r>
                  <w:r>
                    <w:rPr>
                      <w:color w:val="000000" w:themeColor="text1"/>
                      <w:szCs w:val="21"/>
                    </w:rPr>
                    <w:t>对门山片区</w:t>
                  </w:r>
                  <w:r>
                    <w:rPr>
                      <w:rFonts w:hint="eastAsia"/>
                      <w:color w:val="000000" w:themeColor="text1"/>
                      <w:szCs w:val="21"/>
                    </w:rPr>
                    <w:t>和</w:t>
                  </w:r>
                  <w:r>
                    <w:rPr>
                      <w:color w:val="000000" w:themeColor="text1"/>
                      <w:szCs w:val="21"/>
                    </w:rPr>
                    <w:t>阿旺片区</w:t>
                  </w:r>
                  <w:r>
                    <w:rPr>
                      <w:rFonts w:hint="eastAsia"/>
                      <w:color w:val="000000" w:themeColor="text1"/>
                      <w:szCs w:val="21"/>
                    </w:rPr>
                    <w:t>。</w:t>
                  </w:r>
                </w:p>
              </w:tc>
              <w:tc>
                <w:tcPr>
                  <w:tcW w:w="71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0"/>
                    <w:spacing w:line="360" w:lineRule="exact"/>
                    <w:rPr>
                      <w:rFonts w:hAnsiTheme="minorEastAsia" w:eastAsiaTheme="minorEastAsia"/>
                      <w:color w:val="000000" w:themeColor="text1"/>
                      <w:szCs w:val="21"/>
                    </w:rPr>
                  </w:pPr>
                </w:p>
              </w:tc>
              <w:tc>
                <w:tcPr>
                  <w:tcW w:w="733"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399" w:type="dxa"/>
                  <w:vAlign w:val="center"/>
                </w:tcPr>
                <w:p>
                  <w:pPr>
                    <w:pStyle w:val="30"/>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042" w:type="dxa"/>
                  <w:vAlign w:val="center"/>
                </w:tcPr>
                <w:p>
                  <w:pPr>
                    <w:pStyle w:val="30"/>
                    <w:spacing w:line="360" w:lineRule="exact"/>
                    <w:ind w:firstLine="200" w:firstLineChars="100"/>
                    <w:jc w:val="both"/>
                    <w:rPr>
                      <w:color w:val="000000" w:themeColor="text1"/>
                    </w:rPr>
                  </w:pPr>
                  <w:r>
                    <w:rPr>
                      <w:rFonts w:hint="eastAsia" w:hAnsiTheme="minorEastAsia" w:eastAsiaTheme="minorEastAsia"/>
                      <w:color w:val="000000" w:themeColor="text1"/>
                      <w:sz w:val="20"/>
                    </w:rPr>
                    <w:t>该项目位于云南东川产业园区天生桥片区天三路，不在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1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0"/>
                    <w:spacing w:line="360" w:lineRule="exact"/>
                    <w:rPr>
                      <w:rFonts w:hAnsiTheme="minorEastAsia" w:eastAsiaTheme="minorEastAsia"/>
                      <w:color w:val="000000" w:themeColor="text1"/>
                      <w:szCs w:val="21"/>
                    </w:rPr>
                  </w:pPr>
                </w:p>
              </w:tc>
              <w:tc>
                <w:tcPr>
                  <w:tcW w:w="733" w:type="dxa"/>
                  <w:vAlign w:val="center"/>
                </w:tcPr>
                <w:p>
                  <w:pPr>
                    <w:pStyle w:val="30"/>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399" w:type="dxa"/>
                  <w:vAlign w:val="center"/>
                </w:tcPr>
                <w:p>
                  <w:pPr>
                    <w:pStyle w:val="30"/>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042" w:type="dxa"/>
                  <w:vAlign w:val="center"/>
                </w:tcPr>
                <w:p>
                  <w:pPr>
                    <w:pStyle w:val="30"/>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15"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w:t>
            </w: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6</w:t>
            </w:r>
            <w:r>
              <w:rPr>
                <w:rFonts w:ascii="Times New Roman" w:hAnsi="Times New Roman" w:cs="Times New Roman"/>
                <w:b/>
                <w:color w:val="000000" w:themeColor="text1"/>
              </w:rPr>
              <w:t xml:space="preserve"> 与《中华人民共和国长江保护法》符合性分析一览表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9"/>
              <w:gridCol w:w="2456"/>
              <w:gridCol w:w="4925"/>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0"/>
                    <w:spacing w:line="360" w:lineRule="exact"/>
                    <w:rPr>
                      <w:color w:val="000000" w:themeColor="text1"/>
                      <w:kern w:val="0"/>
                      <w:szCs w:val="21"/>
                    </w:rPr>
                  </w:pPr>
                  <w:r>
                    <w:rPr>
                      <w:color w:val="000000" w:themeColor="text1"/>
                      <w:kern w:val="0"/>
                      <w:szCs w:val="21"/>
                    </w:rPr>
                    <w:t>序号</w:t>
                  </w:r>
                </w:p>
              </w:tc>
              <w:tc>
                <w:tcPr>
                  <w:tcW w:w="2456" w:type="dxa"/>
                  <w:vAlign w:val="center"/>
                </w:tcPr>
                <w:p>
                  <w:pPr>
                    <w:pStyle w:val="30"/>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4925" w:type="dxa"/>
                  <w:vAlign w:val="center"/>
                </w:tcPr>
                <w:p>
                  <w:pPr>
                    <w:pStyle w:val="30"/>
                    <w:spacing w:line="360" w:lineRule="exact"/>
                    <w:rPr>
                      <w:color w:val="000000" w:themeColor="text1"/>
                      <w:kern w:val="0"/>
                      <w:szCs w:val="21"/>
                    </w:rPr>
                  </w:pPr>
                  <w:r>
                    <w:rPr>
                      <w:color w:val="000000" w:themeColor="text1"/>
                      <w:kern w:val="0"/>
                      <w:szCs w:val="21"/>
                    </w:rPr>
                    <w:t>该项目实际情况</w:t>
                  </w:r>
                </w:p>
              </w:tc>
              <w:tc>
                <w:tcPr>
                  <w:tcW w:w="748" w:type="dxa"/>
                  <w:vAlign w:val="center"/>
                </w:tcPr>
                <w:p>
                  <w:pPr>
                    <w:pStyle w:val="30"/>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0"/>
                    <w:spacing w:line="360" w:lineRule="exact"/>
                    <w:rPr>
                      <w:color w:val="000000" w:themeColor="text1"/>
                      <w:kern w:val="0"/>
                      <w:szCs w:val="21"/>
                    </w:rPr>
                  </w:pPr>
                  <w:r>
                    <w:rPr>
                      <w:rFonts w:hint="eastAsia"/>
                      <w:color w:val="000000" w:themeColor="text1"/>
                      <w:kern w:val="0"/>
                      <w:szCs w:val="21"/>
                    </w:rPr>
                    <w:t>1</w:t>
                  </w:r>
                </w:p>
              </w:tc>
              <w:tc>
                <w:tcPr>
                  <w:tcW w:w="2456"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4925"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该项目位于云南东川产业园区天生桥片区天三路，距离小江约10km，项目所在区域不属于禁建范围。</w:t>
                  </w:r>
                </w:p>
              </w:tc>
              <w:tc>
                <w:tcPr>
                  <w:tcW w:w="748"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0"/>
                    <w:spacing w:line="360" w:lineRule="exact"/>
                    <w:rPr>
                      <w:color w:val="000000" w:themeColor="text1"/>
                      <w:kern w:val="0"/>
                      <w:szCs w:val="21"/>
                    </w:rPr>
                  </w:pPr>
                  <w:r>
                    <w:rPr>
                      <w:rFonts w:hint="eastAsia"/>
                      <w:color w:val="000000" w:themeColor="text1"/>
                      <w:kern w:val="0"/>
                      <w:szCs w:val="21"/>
                    </w:rPr>
                    <w:t>2</w:t>
                  </w:r>
                </w:p>
              </w:tc>
              <w:tc>
                <w:tcPr>
                  <w:tcW w:w="2456"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4925" w:type="dxa"/>
                  <w:vAlign w:val="center"/>
                </w:tcPr>
                <w:p>
                  <w:pPr>
                    <w:pStyle w:val="30"/>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0"/>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该项目不使用生产用水，不属于高耗水项目。</w:t>
                  </w:r>
                </w:p>
              </w:tc>
              <w:tc>
                <w:tcPr>
                  <w:tcW w:w="748"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9" w:type="dxa"/>
                  <w:vAlign w:val="center"/>
                </w:tcPr>
                <w:p>
                  <w:pPr>
                    <w:pStyle w:val="30"/>
                    <w:spacing w:line="360" w:lineRule="exact"/>
                    <w:rPr>
                      <w:color w:val="000000" w:themeColor="text1"/>
                      <w:kern w:val="0"/>
                      <w:szCs w:val="21"/>
                    </w:rPr>
                  </w:pPr>
                  <w:r>
                    <w:rPr>
                      <w:rFonts w:hint="eastAsia"/>
                      <w:color w:val="000000" w:themeColor="text1"/>
                      <w:kern w:val="0"/>
                      <w:szCs w:val="21"/>
                    </w:rPr>
                    <w:t>3</w:t>
                  </w:r>
                </w:p>
              </w:tc>
              <w:tc>
                <w:tcPr>
                  <w:tcW w:w="2456"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4925"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该项目位于</w:t>
                  </w:r>
                  <w:r>
                    <w:rPr>
                      <w:color w:val="000000" w:themeColor="text1"/>
                      <w:kern w:val="0"/>
                      <w:szCs w:val="21"/>
                    </w:rPr>
                    <w:t>云南东川产业园区天生桥片区天三路，</w:t>
                  </w:r>
                  <w:r>
                    <w:rPr>
                      <w:rFonts w:hint="eastAsia"/>
                      <w:color w:val="000000" w:themeColor="text1"/>
                      <w:kern w:val="0"/>
                      <w:szCs w:val="21"/>
                    </w:rPr>
                    <w:t>该区域不属于长江流域河湖管理范围。</w:t>
                  </w:r>
                </w:p>
              </w:tc>
              <w:tc>
                <w:tcPr>
                  <w:tcW w:w="748" w:type="dxa"/>
                  <w:vAlign w:val="center"/>
                </w:tcPr>
                <w:p>
                  <w:pPr>
                    <w:pStyle w:val="30"/>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由上表可知，项目的建设符合</w:t>
            </w:r>
            <w:r>
              <w:rPr>
                <w:rFonts w:ascii="Times New Roman" w:hAnsi="Times New Roman" w:cs="Times New Roman"/>
                <w:color w:val="000000" w:themeColor="text1"/>
                <w:sz w:val="24"/>
              </w:rPr>
              <w:t>《中华人民共和国长江保护法》</w:t>
            </w:r>
            <w:r>
              <w:rPr>
                <w:rFonts w:hint="eastAsia" w:ascii="Times New Roman" w:hAnsi="Times New Roman" w:cs="Times New Roman"/>
                <w:color w:val="000000" w:themeColor="text1"/>
                <w:sz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）与《长江经济带发展负面清单指南（试行，2022年版）》（长江办【2022】7号）》的符合性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2022年1月19日，推动长江经济带发展领导小组办公室关于印发《长江经济带发展负面清单指南（试行，2022年版）的通知》（长江办【2022】7号），该项目位于云南东川产业园区天生桥片区天三路，项目所在区域属于黑泥沟的汇水范围，该沟渠位于项目北侧7</w:t>
            </w:r>
            <w:r>
              <w:rPr>
                <w:rFonts w:hint="eastAsia" w:ascii="Times New Roman" w:hAnsi="Times New Roman" w:cs="Times New Roman"/>
                <w:color w:val="000000" w:themeColor="text1"/>
                <w:sz w:val="24"/>
              </w:rPr>
              <w:t>96</w:t>
            </w:r>
            <w:r>
              <w:rPr>
                <w:rFonts w:ascii="Times New Roman" w:hAnsi="Times New Roman" w:cs="Times New Roman"/>
                <w:color w:val="000000" w:themeColor="text1"/>
                <w:sz w:val="24"/>
              </w:rPr>
              <w:t>m处，黑泥沟地表水通过摩洛河（甸头河）最终汇入小江（清水海-入金沙江口段），小江属于长江的上游主要支流。该项目与《长江经济带发展负面清单指南（试行，2022年版）》的符合性如下表所示。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rPr>
              <w:t xml:space="preserve">1-7 </w:t>
            </w:r>
            <w:r>
              <w:rPr>
                <w:rFonts w:ascii="Times New Roman" w:hAnsi="Times New Roman" w:cs="Times New Roman"/>
                <w:b/>
                <w:color w:val="000000" w:themeColor="text1"/>
              </w:rPr>
              <w:t>与《长江经济带发展负面清单指南（试行，2022年版）》符合性分析一览表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4"/>
              <w:gridCol w:w="4193"/>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序号</w:t>
                  </w:r>
                </w:p>
              </w:tc>
              <w:tc>
                <w:tcPr>
                  <w:tcW w:w="4193" w:type="dxa"/>
                  <w:vAlign w:val="center"/>
                </w:tcPr>
                <w:p>
                  <w:pPr>
                    <w:pStyle w:val="30"/>
                    <w:spacing w:line="360" w:lineRule="exact"/>
                    <w:rPr>
                      <w:color w:val="000000" w:themeColor="text1"/>
                      <w:kern w:val="0"/>
                      <w:szCs w:val="21"/>
                    </w:rPr>
                  </w:pPr>
                  <w:r>
                    <w:rPr>
                      <w:color w:val="000000" w:themeColor="text1"/>
                      <w:kern w:val="0"/>
                      <w:szCs w:val="21"/>
                    </w:rPr>
                    <w:t>《长江经济带发展负面清单指南（试行，2022年版）》要求</w:t>
                  </w:r>
                </w:p>
              </w:tc>
              <w:tc>
                <w:tcPr>
                  <w:tcW w:w="3445" w:type="dxa"/>
                  <w:vAlign w:val="center"/>
                </w:tcPr>
                <w:p>
                  <w:pPr>
                    <w:pStyle w:val="30"/>
                    <w:spacing w:line="360" w:lineRule="exact"/>
                    <w:rPr>
                      <w:color w:val="000000" w:themeColor="text1"/>
                      <w:kern w:val="0"/>
                      <w:szCs w:val="21"/>
                    </w:rPr>
                  </w:pPr>
                  <w:r>
                    <w:rPr>
                      <w:color w:val="000000" w:themeColor="text1"/>
                      <w:kern w:val="0"/>
                      <w:szCs w:val="21"/>
                    </w:rPr>
                    <w:t>该项目实际情况</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1</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禁止建设不符合全国和省级港口布局规划以及港口总体规划的码头项目，禁止建设不符合 《长江于线过江通道布局规划》的过长江通道项目。</w:t>
                  </w:r>
                </w:p>
              </w:tc>
              <w:tc>
                <w:tcPr>
                  <w:tcW w:w="3445"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该项目位于云南东川产业园区天生桥片区天三路，不涉及码头及过江通道。</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2</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445"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该项目位于云南东川产业园区天生桥片区天三路，不涉及自然保护区核心区、风景名胜区等特殊敏感区。</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3</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445"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该项目位于云南东川产业园区天生桥片区天三路，不涉及到饮用水水源地的一级保护区或二级保护区。</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4</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445"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项目建设符合主体功能定位，项目所在地的纳污水体为</w:t>
                  </w:r>
                  <w:r>
                    <w:rPr>
                      <w:rFonts w:hint="eastAsia"/>
                      <w:color w:val="000000" w:themeColor="text1"/>
                      <w:kern w:val="0"/>
                      <w:szCs w:val="21"/>
                    </w:rPr>
                    <w:t>黑泥沟河</w:t>
                  </w:r>
                  <w:r>
                    <w:rPr>
                      <w:color w:val="000000" w:themeColor="text1"/>
                      <w:kern w:val="0"/>
                      <w:szCs w:val="21"/>
                    </w:rPr>
                    <w:t>，不属于水产种植资源保护区的岸线和河段范围。</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5</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445"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该项目位于云南东川产业园区天生桥片区天三路，项目所在地的纳污水体为</w:t>
                  </w:r>
                  <w:r>
                    <w:rPr>
                      <w:rFonts w:hint="eastAsia"/>
                      <w:color w:val="000000" w:themeColor="text1"/>
                      <w:kern w:val="0"/>
                      <w:szCs w:val="21"/>
                    </w:rPr>
                    <w:t>黑泥沟河</w:t>
                  </w:r>
                  <w:r>
                    <w:rPr>
                      <w:color w:val="000000" w:themeColor="text1"/>
                      <w:kern w:val="0"/>
                      <w:szCs w:val="21"/>
                    </w:rPr>
                    <w:t>，该河段不属于《长江岸线保护和开发利用总体规划》划定的岸线保护区，也不属于全国重要江河湖泊水功能区划》划定的河段保护区、保留区。</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6</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禁止未经许可在长江千支流及湖泊新设、改设或扩大排污口。</w:t>
                  </w:r>
                </w:p>
              </w:tc>
              <w:tc>
                <w:tcPr>
                  <w:tcW w:w="3445"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项目不在</w:t>
                  </w:r>
                  <w:r>
                    <w:rPr>
                      <w:color w:val="000000" w:themeColor="text1"/>
                      <w:kern w:val="0"/>
                      <w:szCs w:val="21"/>
                    </w:rPr>
                    <w:t>长江千支流及湖泊新设、改设或扩大排污口。</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7</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禁止在“一江一口两湖七河”和332个水生生物保护区开展生产性捕捞。</w:t>
                  </w:r>
                </w:p>
              </w:tc>
              <w:tc>
                <w:tcPr>
                  <w:tcW w:w="3445"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该项目不涉及生产性捕捞。</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8</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445"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9</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禁止在合规园区外新建、扩建钢铁、石化、化工、焦化、建材、有色、制浆造纸等高污染项目。</w:t>
                  </w:r>
                </w:p>
              </w:tc>
              <w:tc>
                <w:tcPr>
                  <w:tcW w:w="3445"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10</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禁止新建、扩建不符合国家石化、现代煤化工等产业布局规划的项目。</w:t>
                  </w:r>
                </w:p>
              </w:tc>
              <w:tc>
                <w:tcPr>
                  <w:tcW w:w="3445"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，不属于不符合国家石化、现代煤化工等产业布局规划的项目。</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11</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禁止新建、扩建法律法规和相关政策明令禁止的落后产能项目。禁止新建、扩建不符合国家产能置换要求的严重过剩产能行业的项目。禁上新建、扩建不符合要求的高耗能高排放项目。</w:t>
                  </w:r>
                </w:p>
              </w:tc>
              <w:tc>
                <w:tcPr>
                  <w:tcW w:w="3445"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w:t>
                  </w:r>
                  <w:r>
                    <w:rPr>
                      <w:rFonts w:hint="eastAsia"/>
                      <w:color w:val="000000" w:themeColor="text1"/>
                      <w:kern w:val="0"/>
                      <w:szCs w:val="21"/>
                    </w:rPr>
                    <w:t>该项目不属于《云南省发展和改革委员会关于进一步开展“两高”项目梳理排查的函》（云发改产业函【2021】295号）中“两高”项目行业范围；</w:t>
                  </w:r>
                  <w:r>
                    <w:rPr>
                      <w:color w:val="000000" w:themeColor="text1"/>
                      <w:kern w:val="0"/>
                      <w:szCs w:val="21"/>
                    </w:rPr>
                    <w:t>根据《产业结构调整指导目录》（2019年本），该项目</w:t>
                  </w:r>
                  <w:r>
                    <w:rPr>
                      <w:rFonts w:hint="eastAsia"/>
                      <w:color w:val="000000" w:themeColor="text1"/>
                      <w:kern w:val="0"/>
                      <w:szCs w:val="21"/>
                    </w:rPr>
                    <w:t>不</w:t>
                  </w:r>
                  <w:r>
                    <w:rPr>
                      <w:color w:val="000000" w:themeColor="text1"/>
                      <w:kern w:val="0"/>
                      <w:szCs w:val="21"/>
                    </w:rPr>
                    <w:t>属于鼓励类</w:t>
                  </w:r>
                  <w:r>
                    <w:rPr>
                      <w:rFonts w:hint="eastAsia"/>
                      <w:color w:val="000000" w:themeColor="text1"/>
                      <w:kern w:val="0"/>
                      <w:szCs w:val="21"/>
                    </w:rPr>
                    <w:t>、限制类和淘汰类，属于允许类</w:t>
                  </w:r>
                  <w:r>
                    <w:rPr>
                      <w:color w:val="000000" w:themeColor="text1"/>
                      <w:kern w:val="0"/>
                      <w:szCs w:val="21"/>
                    </w:rPr>
                    <w:t>项目。</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12</w:t>
                  </w:r>
                </w:p>
              </w:tc>
              <w:tc>
                <w:tcPr>
                  <w:tcW w:w="4193"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法律法规及相关政策文件有更加严格规定的从其规定。</w:t>
                  </w:r>
                </w:p>
              </w:tc>
              <w:tc>
                <w:tcPr>
                  <w:tcW w:w="3445"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项目将严格执行国家相关法律法规。</w:t>
                  </w:r>
                </w:p>
              </w:tc>
              <w:tc>
                <w:tcPr>
                  <w:tcW w:w="516" w:type="dxa"/>
                  <w:vAlign w:val="center"/>
                </w:tcPr>
                <w:p>
                  <w:pPr>
                    <w:pStyle w:val="30"/>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由上表可知，该项目符合《长江经济带发展负面清单指南（试行，2022年版）》的要求。</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（5）与《云南省长江经济带发展负面清单指南实施细则（试行，</w:t>
            </w:r>
            <w:r>
              <w:rPr>
                <w:rFonts w:ascii="Times New Roman" w:hAnsi="Times New Roman" w:cs="Times New Roman"/>
                <w:b/>
                <w:color w:val="000000" w:themeColor="text1"/>
                <w:sz w:val="24"/>
                <w:szCs w:val="24"/>
              </w:rPr>
              <w:t>2022</w:t>
            </w:r>
            <w:r>
              <w:rPr>
                <w:rFonts w:hint="eastAsia" w:ascii="Times New Roman" w:hAnsi="Times New Roman" w:cs="Times New Roman"/>
                <w:b/>
                <w:color w:val="000000" w:themeColor="text1"/>
                <w:sz w:val="24"/>
                <w:szCs w:val="24"/>
              </w:rPr>
              <w:t>年版）》符合性分析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云南省推动长江经济带发展领导小组办公室于</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8</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19</w:t>
            </w:r>
            <w:r>
              <w:rPr>
                <w:rFonts w:hint="eastAsia" w:ascii="Times New Roman" w:hAnsi="Times New Roman" w:cs="Times New Roman"/>
                <w:color w:val="000000" w:themeColor="text1"/>
                <w:sz w:val="24"/>
                <w:szCs w:val="24"/>
              </w:rPr>
              <w:t>日印发了《云南省长江经济带发展负面清单指南实施细则（试行，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年版）》，本项目与其符合性见下表。</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表1-8与《云南省长江经济带发展负面清单指南实施细则（试行，</w:t>
            </w:r>
            <w:r>
              <w:rPr>
                <w:rFonts w:ascii="Times New Roman" w:hAnsi="Times New Roman" w:cs="Times New Roman"/>
                <w:b/>
                <w:color w:val="000000" w:themeColor="text1"/>
              </w:rPr>
              <w:t>2022</w:t>
            </w:r>
            <w:r>
              <w:rPr>
                <w:rFonts w:hint="eastAsia" w:ascii="Times New Roman" w:hAnsi="Times New Roman" w:cs="Times New Roman"/>
                <w:b/>
                <w:color w:val="000000" w:themeColor="text1"/>
              </w:rPr>
              <w:t>年版）》符合性</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4178"/>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color w:val="000000" w:themeColor="text1"/>
                      <w:kern w:val="0"/>
                      <w:szCs w:val="21"/>
                    </w:rPr>
                    <w:t>序号</w:t>
                  </w:r>
                </w:p>
              </w:tc>
              <w:tc>
                <w:tcPr>
                  <w:tcW w:w="4040" w:type="dxa"/>
                  <w:vAlign w:val="center"/>
                </w:tcPr>
                <w:p>
                  <w:pPr>
                    <w:pStyle w:val="30"/>
                    <w:spacing w:line="360" w:lineRule="exact"/>
                    <w:rPr>
                      <w:color w:val="000000" w:themeColor="text1"/>
                      <w:kern w:val="0"/>
                      <w:szCs w:val="21"/>
                    </w:rPr>
                  </w:pPr>
                  <w:r>
                    <w:rPr>
                      <w:color w:val="000000" w:themeColor="text1"/>
                      <w:kern w:val="0"/>
                      <w:szCs w:val="21"/>
                    </w:rPr>
                    <w:t>《</w:t>
                  </w:r>
                  <w:r>
                    <w:rPr>
                      <w:rFonts w:hint="eastAsia"/>
                      <w:color w:val="000000" w:themeColor="text1"/>
                      <w:kern w:val="0"/>
                      <w:szCs w:val="21"/>
                    </w:rPr>
                    <w:t>云南省长江经济带发展负面清单指南实施细则（试行，</w:t>
                  </w:r>
                  <w:r>
                    <w:rPr>
                      <w:color w:val="000000" w:themeColor="text1"/>
                      <w:kern w:val="0"/>
                      <w:szCs w:val="21"/>
                    </w:rPr>
                    <w:t>2022</w:t>
                  </w:r>
                  <w:r>
                    <w:rPr>
                      <w:rFonts w:hint="eastAsia"/>
                      <w:color w:val="000000" w:themeColor="text1"/>
                      <w:kern w:val="0"/>
                      <w:szCs w:val="21"/>
                    </w:rPr>
                    <w:t>年版）</w:t>
                  </w:r>
                  <w:r>
                    <w:rPr>
                      <w:color w:val="000000" w:themeColor="text1"/>
                      <w:kern w:val="0"/>
                      <w:szCs w:val="21"/>
                    </w:rPr>
                    <w:t>》要求</w:t>
                  </w:r>
                </w:p>
              </w:tc>
              <w:tc>
                <w:tcPr>
                  <w:tcW w:w="3331" w:type="dxa"/>
                  <w:vAlign w:val="center"/>
                </w:tcPr>
                <w:p>
                  <w:pPr>
                    <w:pStyle w:val="30"/>
                    <w:spacing w:line="360" w:lineRule="exact"/>
                    <w:rPr>
                      <w:color w:val="000000" w:themeColor="text1"/>
                      <w:kern w:val="0"/>
                      <w:szCs w:val="21"/>
                    </w:rPr>
                  </w:pPr>
                  <w:r>
                    <w:rPr>
                      <w:color w:val="000000" w:themeColor="text1"/>
                      <w:kern w:val="0"/>
                      <w:szCs w:val="21"/>
                    </w:rPr>
                    <w:t>该项目实际情况</w:t>
                  </w:r>
                </w:p>
              </w:tc>
              <w:tc>
                <w:tcPr>
                  <w:tcW w:w="499" w:type="dxa"/>
                  <w:vAlign w:val="center"/>
                </w:tcPr>
                <w:p>
                  <w:pPr>
                    <w:pStyle w:val="30"/>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1</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（一）禁止新建、改建和扩建不符合《全国内河航道与港口布局规划》等全国港口规划和《昭通市港口码头岸线规划（金沙江段</w:t>
                  </w:r>
                  <w:r>
                    <w:rPr>
                      <w:color w:val="000000" w:themeColor="text1"/>
                      <w:kern w:val="0"/>
                      <w:szCs w:val="21"/>
                    </w:rPr>
                    <w:t>2019</w:t>
                  </w:r>
                  <w:r>
                    <w:rPr>
                      <w:rFonts w:hint="eastAsia"/>
                      <w:color w:val="000000" w:themeColor="text1"/>
                      <w:kern w:val="0"/>
                      <w:szCs w:val="21"/>
                    </w:rPr>
                    <w:t>年</w:t>
                  </w:r>
                  <w:r>
                    <w:rPr>
                      <w:color w:val="000000" w:themeColor="text1"/>
                      <w:kern w:val="0"/>
                      <w:szCs w:val="21"/>
                    </w:rPr>
                    <w:t>-2035</w:t>
                  </w:r>
                  <w:r>
                    <w:rPr>
                      <w:rFonts w:hint="eastAsia"/>
                      <w:color w:val="000000" w:themeColor="text1"/>
                      <w:kern w:val="0"/>
                      <w:szCs w:val="21"/>
                    </w:rPr>
                    <w:t>年）》、《景洪港总体规划（</w:t>
                  </w:r>
                  <w:r>
                    <w:rPr>
                      <w:color w:val="000000" w:themeColor="text1"/>
                      <w:kern w:val="0"/>
                      <w:szCs w:val="21"/>
                    </w:rPr>
                    <w:t>2019-2035</w:t>
                  </w:r>
                  <w:r>
                    <w:rPr>
                      <w:rFonts w:hint="eastAsia"/>
                      <w:color w:val="000000" w:themeColor="text1"/>
                      <w:kern w:val="0"/>
                      <w:szCs w:val="21"/>
                    </w:rPr>
                    <w:t>年）》等州（市）级以上港口布局规划以及港口总体规划的码头项目。</w:t>
                  </w:r>
                </w:p>
              </w:tc>
              <w:tc>
                <w:tcPr>
                  <w:tcW w:w="333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该项目位于云南东川产业园区天生桥片区天三路，不涉及码头及过江通道。</w:t>
                  </w:r>
                </w:p>
              </w:tc>
              <w:tc>
                <w:tcPr>
                  <w:tcW w:w="499" w:type="dxa"/>
                  <w:vAlign w:val="center"/>
                </w:tcPr>
                <w:p>
                  <w:pPr>
                    <w:pStyle w:val="30"/>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2</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该项目位于云南东川产业园区天生桥片区天三路，不涉及自然保护区核心区、风景名胜区等特殊敏感区。</w:t>
                  </w:r>
                </w:p>
              </w:tc>
              <w:tc>
                <w:tcPr>
                  <w:tcW w:w="499" w:type="dxa"/>
                  <w:vAlign w:val="center"/>
                </w:tcPr>
                <w:p>
                  <w:pPr>
                    <w:pStyle w:val="30"/>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3</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w:t>
                  </w:r>
                  <w:r>
                    <w:rPr>
                      <w:rFonts w:hint="eastAsia"/>
                      <w:color w:val="000000" w:themeColor="text1"/>
                      <w:kern w:val="0"/>
                      <w:szCs w:val="21"/>
                    </w:rPr>
                    <w:t>风景名胜区。</w:t>
                  </w:r>
                </w:p>
              </w:tc>
              <w:tc>
                <w:tcPr>
                  <w:tcW w:w="499" w:type="dxa"/>
                  <w:vAlign w:val="center"/>
                </w:tcPr>
                <w:p>
                  <w:pPr>
                    <w:pStyle w:val="30"/>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4</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该项目位于云南东川产业园区天生桥片区天三路，不涉及到饮用水水源地的一级保护区或二级保护区。</w:t>
                  </w:r>
                </w:p>
              </w:tc>
              <w:tc>
                <w:tcPr>
                  <w:tcW w:w="499" w:type="dxa"/>
                  <w:vAlign w:val="center"/>
                </w:tcPr>
                <w:p>
                  <w:pPr>
                    <w:pStyle w:val="30"/>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5</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项目建设符合主体功能定位，项目所在地的纳污水体为</w:t>
                  </w:r>
                  <w:r>
                    <w:rPr>
                      <w:rFonts w:hint="eastAsia"/>
                      <w:color w:val="000000" w:themeColor="text1"/>
                      <w:kern w:val="0"/>
                      <w:szCs w:val="21"/>
                    </w:rPr>
                    <w:t>黑泥沟河</w:t>
                  </w:r>
                  <w:r>
                    <w:rPr>
                      <w:color w:val="000000" w:themeColor="text1"/>
                      <w:kern w:val="0"/>
                      <w:szCs w:val="21"/>
                    </w:rPr>
                    <w:t>，不属于水产种植资源保护区的岸线和河段范围。</w:t>
                  </w:r>
                </w:p>
              </w:tc>
              <w:tc>
                <w:tcPr>
                  <w:tcW w:w="499" w:type="dxa"/>
                  <w:vAlign w:val="center"/>
                </w:tcPr>
                <w:p>
                  <w:pPr>
                    <w:pStyle w:val="30"/>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6</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该项目位于云南东川产业园区天生桥片区天三路，项目所在地的纳污水体为</w:t>
                  </w:r>
                  <w:r>
                    <w:rPr>
                      <w:rFonts w:hint="eastAsia"/>
                      <w:color w:val="000000" w:themeColor="text1"/>
                      <w:kern w:val="0"/>
                      <w:szCs w:val="21"/>
                    </w:rPr>
                    <w:t>黑泥沟河</w:t>
                  </w:r>
                  <w:r>
                    <w:rPr>
                      <w:color w:val="000000" w:themeColor="text1"/>
                      <w:kern w:val="0"/>
                      <w:szCs w:val="21"/>
                    </w:rPr>
                    <w:t>，该河段不属于《长江岸线保护和开发利用总体规划》划定的岸线保护区，也不属于全国重要江河湖泊水功能区划》划定的河段保护区、保留区。</w:t>
                  </w:r>
                </w:p>
              </w:tc>
              <w:tc>
                <w:tcPr>
                  <w:tcW w:w="499" w:type="dxa"/>
                  <w:vAlign w:val="center"/>
                </w:tcPr>
                <w:p>
                  <w:pPr>
                    <w:pStyle w:val="30"/>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7</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该项目位于云南东川产业园区天生桥片区天三路，不涉及</w:t>
                  </w:r>
                  <w:r>
                    <w:rPr>
                      <w:rFonts w:hint="eastAsia"/>
                      <w:color w:val="000000" w:themeColor="text1"/>
                      <w:kern w:val="0"/>
                      <w:szCs w:val="21"/>
                    </w:rPr>
                    <w:t>过江基础设施项目；同时，项目不在</w:t>
                  </w:r>
                  <w:r>
                    <w:rPr>
                      <w:color w:val="000000" w:themeColor="text1"/>
                      <w:kern w:val="0"/>
                      <w:szCs w:val="21"/>
                    </w:rPr>
                    <w:t>长江千支流及湖泊新设、改设或扩大排污口。</w:t>
                  </w:r>
                </w:p>
              </w:tc>
              <w:tc>
                <w:tcPr>
                  <w:tcW w:w="499" w:type="dxa"/>
                  <w:vAlign w:val="center"/>
                </w:tcPr>
                <w:p>
                  <w:pPr>
                    <w:pStyle w:val="30"/>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8</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（八）禁止在金沙江干流、长江一级支流、水生生物保护区和长江流域禁捕水域开展天然渔业资源生产性捕捞。</w:t>
                  </w:r>
                </w:p>
              </w:tc>
              <w:tc>
                <w:tcPr>
                  <w:tcW w:w="333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该项目不涉及生产性捕捞。</w:t>
                  </w:r>
                </w:p>
              </w:tc>
              <w:tc>
                <w:tcPr>
                  <w:tcW w:w="499" w:type="dxa"/>
                  <w:vAlign w:val="center"/>
                </w:tcPr>
                <w:p>
                  <w:pPr>
                    <w:pStyle w:val="30"/>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9</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p>
              </w:tc>
              <w:tc>
                <w:tcPr>
                  <w:tcW w:w="499" w:type="dxa"/>
                  <w:vAlign w:val="center"/>
                </w:tcPr>
                <w:p>
                  <w:pPr>
                    <w:pStyle w:val="30"/>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10</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（十）禁止在合规园区外新建、扩建钢铁、石化、化工、焦化、建材、有色、制浆造纸行业中的高污染项目。</w:t>
                  </w:r>
                </w:p>
              </w:tc>
              <w:tc>
                <w:tcPr>
                  <w:tcW w:w="333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该项目位于云南东川产业园区天生桥片区天三路，</w:t>
                  </w:r>
                  <w:r>
                    <w:rPr>
                      <w:rFonts w:hint="eastAsia"/>
                      <w:color w:val="000000" w:themeColor="text1"/>
                      <w:kern w:val="0"/>
                      <w:szCs w:val="21"/>
                    </w:rPr>
                    <w:t>属于合规工业园区；该项目利用铝矾土、泡棉、机制砂和水泥搅拌混合生产轻集料混凝土，属于3024 轻质建筑材料制造和3039 其他建筑材料制造，不属于《云南省发展和改革委员会关于进一步开展“两高”项目梳理排查的函》（云发改产业函【2021】295号）中“两高”项目行业范围。</w:t>
                  </w:r>
                </w:p>
              </w:tc>
              <w:tc>
                <w:tcPr>
                  <w:tcW w:w="499" w:type="dxa"/>
                  <w:vAlign w:val="center"/>
                </w:tcPr>
                <w:p>
                  <w:pPr>
                    <w:pStyle w:val="30"/>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11</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，不属于不符合国家石化、现代煤化工等产业布局规划的项目。</w:t>
                  </w:r>
                  <w:r>
                    <w:rPr>
                      <w:rFonts w:hint="eastAsia"/>
                      <w:color w:val="000000" w:themeColor="text1"/>
                      <w:kern w:val="0"/>
                      <w:szCs w:val="21"/>
                    </w:rPr>
                    <w:t>项目不涉及危险化学品，不属于《云南省城镇人口密集区危险化学品生产企业搬迁改造名单》的搬迁改造企业。</w:t>
                  </w:r>
                </w:p>
              </w:tc>
              <w:tc>
                <w:tcPr>
                  <w:tcW w:w="499" w:type="dxa"/>
                  <w:vAlign w:val="center"/>
                </w:tcPr>
                <w:p>
                  <w:pPr>
                    <w:pStyle w:val="30"/>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000000" w:themeColor="text1"/>
                      <w:kern w:val="0"/>
                      <w:szCs w:val="21"/>
                    </w:rPr>
                  </w:pPr>
                  <w:r>
                    <w:rPr>
                      <w:rFonts w:hint="eastAsia"/>
                      <w:color w:val="000000" w:themeColor="text1"/>
                      <w:kern w:val="0"/>
                      <w:szCs w:val="21"/>
                    </w:rPr>
                    <w:t>12</w:t>
                  </w:r>
                </w:p>
              </w:tc>
              <w:tc>
                <w:tcPr>
                  <w:tcW w:w="4040"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该项目利用铝矾土、泡棉、机制砂和水泥搅拌混合生产轻集料混凝土</w:t>
                  </w:r>
                  <w:r>
                    <w:rPr>
                      <w:color w:val="000000" w:themeColor="text1"/>
                      <w:kern w:val="0"/>
                      <w:szCs w:val="21"/>
                    </w:rPr>
                    <w:t>，</w:t>
                  </w:r>
                  <w:r>
                    <w:rPr>
                      <w:rFonts w:hint="eastAsia"/>
                      <w:color w:val="000000" w:themeColor="text1"/>
                      <w:kern w:val="0"/>
                      <w:szCs w:val="21"/>
                    </w:rPr>
                    <w:t>该项目不属于《云南省发展和改革委员会关于进一步开展“两高”项目梳理排查的函》（云发改产业函【2021】295号）中“两高”项目行业范围；</w:t>
                  </w:r>
                  <w:r>
                    <w:rPr>
                      <w:color w:val="000000" w:themeColor="text1"/>
                      <w:kern w:val="0"/>
                      <w:szCs w:val="21"/>
                    </w:rPr>
                    <w:t>根据《产业结构调整指导目录》（2019年本），该项目</w:t>
                  </w:r>
                  <w:r>
                    <w:rPr>
                      <w:rFonts w:hint="eastAsia"/>
                      <w:color w:val="000000" w:themeColor="text1"/>
                      <w:kern w:val="0"/>
                      <w:szCs w:val="21"/>
                    </w:rPr>
                    <w:t>不</w:t>
                  </w:r>
                  <w:r>
                    <w:rPr>
                      <w:color w:val="000000" w:themeColor="text1"/>
                      <w:kern w:val="0"/>
                      <w:szCs w:val="21"/>
                    </w:rPr>
                    <w:t>属于鼓励类</w:t>
                  </w:r>
                  <w:r>
                    <w:rPr>
                      <w:rFonts w:hint="eastAsia"/>
                      <w:color w:val="000000" w:themeColor="text1"/>
                      <w:kern w:val="0"/>
                      <w:szCs w:val="21"/>
                    </w:rPr>
                    <w:t>、限制类和淘汰类，属于允许类</w:t>
                  </w:r>
                  <w:r>
                    <w:rPr>
                      <w:color w:val="000000" w:themeColor="text1"/>
                      <w:kern w:val="0"/>
                      <w:szCs w:val="21"/>
                    </w:rPr>
                    <w:t>项目。</w:t>
                  </w:r>
                </w:p>
              </w:tc>
              <w:tc>
                <w:tcPr>
                  <w:tcW w:w="499" w:type="dxa"/>
                  <w:vAlign w:val="center"/>
                </w:tcPr>
                <w:p>
                  <w:pPr>
                    <w:pStyle w:val="30"/>
                    <w:spacing w:line="360" w:lineRule="exact"/>
                    <w:rPr>
                      <w:color w:val="000000" w:themeColor="text1"/>
                      <w:kern w:val="0"/>
                      <w:szCs w:val="21"/>
                      <w:lang w:val="en-US"/>
                    </w:rPr>
                  </w:pPr>
                  <w:r>
                    <w:rPr>
                      <w:rFonts w:hint="eastAsia"/>
                      <w:color w:val="000000" w:themeColor="text1"/>
                      <w:kern w:val="0"/>
                      <w:szCs w:val="21"/>
                      <w:lang w:val="en-US"/>
                    </w:rPr>
                    <w:t>符合</w:t>
                  </w:r>
                </w:p>
              </w:tc>
            </w:tr>
          </w:tbl>
          <w:p>
            <w:pPr>
              <w:spacing w:beforeLines="50" w:line="360" w:lineRule="auto"/>
              <w:ind w:firstLine="480" w:firstLineChars="200"/>
              <w:rPr>
                <w:rFonts w:hAnsiTheme="minorEastAsia"/>
                <w:color w:val="000000" w:themeColor="text1"/>
                <w:sz w:val="24"/>
              </w:rPr>
            </w:pPr>
            <w:r>
              <w:rPr>
                <w:rFonts w:ascii="Times New Roman" w:hAnsi="Times New Roman" w:cs="Times New Roman"/>
                <w:color w:val="000000" w:themeColor="text1"/>
                <w:sz w:val="24"/>
                <w:szCs w:val="24"/>
              </w:rPr>
              <w:t>由上表可知，该项目符合</w:t>
            </w:r>
            <w:r>
              <w:rPr>
                <w:rFonts w:hint="eastAsia" w:ascii="Times New Roman" w:hAnsi="Times New Roman" w:cs="Times New Roman"/>
                <w:color w:val="000000" w:themeColor="text1"/>
                <w:sz w:val="24"/>
                <w:szCs w:val="24"/>
              </w:rPr>
              <w:t>《云南省长江经济带发展负面清单指南实施细则（试行，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w:t>
            </w:r>
            <w:r>
              <w:rPr>
                <w:rFonts w:ascii="Times New Roman" w:hAnsi="Times New Roman" w:cs="Times New Roman"/>
                <w:color w:val="000000" w:themeColor="text1"/>
                <w:sz w:val="24"/>
                <w:szCs w:val="24"/>
              </w:rPr>
              <w:t>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根据项目建设由来可知，该项目利用铝矾土、泡棉、机制砂和水泥搅拌混合生产轻集料混凝土</w:t>
            </w:r>
            <w:r>
              <w:rPr>
                <w:rFonts w:ascii="Times New Roman" w:hAnsi="Times New Roman" w:cs="Times New Roman"/>
                <w:color w:val="000000" w:themeColor="text1"/>
                <w:sz w:val="24"/>
                <w:szCs w:val="24"/>
              </w:rPr>
              <w:t>，该项目的建设与《长江经济带生态环境保护规划》的相关要求不相冲突。</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云南祥闳环保科技有限公司</w:t>
            </w:r>
            <w:r>
              <w:rPr>
                <w:rFonts w:hint="eastAsia" w:ascii="Times New Roman" w:hAnsi="Times New Roman" w:cs="Times New Roman"/>
                <w:color w:val="000000" w:themeColor="text1"/>
                <w:sz w:val="24"/>
                <w:szCs w:val="24"/>
              </w:rPr>
              <w:t>的调研，</w:t>
            </w:r>
            <w:r>
              <w:rPr>
                <w:rFonts w:ascii="Times New Roman" w:hAnsi="Times New Roman" w:cs="Times New Roman"/>
                <w:color w:val="000000" w:themeColor="text1"/>
                <w:sz w:val="24"/>
                <w:szCs w:val="24"/>
              </w:rPr>
              <w:t>云南东川产业园区天生桥片区</w:t>
            </w:r>
            <w:r>
              <w:rPr>
                <w:rFonts w:hint="eastAsia" w:ascii="Times New Roman" w:hAnsi="Times New Roman" w:cs="Times New Roman"/>
                <w:color w:val="000000" w:themeColor="text1"/>
                <w:sz w:val="24"/>
                <w:szCs w:val="24"/>
              </w:rPr>
              <w:t>内的</w:t>
            </w:r>
            <w:r>
              <w:rPr>
                <w:rFonts w:ascii="Times New Roman" w:hAnsi="Times New Roman" w:cs="Times New Roman"/>
                <w:color w:val="000000" w:themeColor="text1"/>
                <w:sz w:val="24"/>
                <w:szCs w:val="24"/>
              </w:rPr>
              <w:t>云南华再新源环保产业发展有限公司</w:t>
            </w:r>
            <w:r>
              <w:rPr>
                <w:rFonts w:hint="eastAsia" w:ascii="Times New Roman" w:hAnsi="Times New Roman" w:cs="Times New Roman"/>
                <w:color w:val="000000" w:themeColor="text1"/>
                <w:sz w:val="24"/>
                <w:szCs w:val="24"/>
              </w:rPr>
              <w:t>专门从事废旧冰箱等废旧电器拆解工作，拆解过程最多可产生2625.92t/a的泡棉，</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主要从事铝灰处理回收利用工作，处理过程中将最多产生25991.8t/a的铝矾土产品，上述两种物质均属于</w:t>
            </w:r>
            <w:r>
              <w:rPr>
                <w:rFonts w:ascii="Times New Roman" w:hAnsi="Times New Roman" w:cs="Times New Roman"/>
                <w:color w:val="000000" w:themeColor="text1"/>
                <w:sz w:val="24"/>
                <w:szCs w:val="24"/>
              </w:rPr>
              <w:t>轻集料混凝土</w:t>
            </w:r>
            <w:r>
              <w:rPr>
                <w:rFonts w:hint="eastAsia" w:ascii="Times New Roman" w:hAnsi="Times New Roman" w:cs="Times New Roman"/>
                <w:color w:val="000000" w:themeColor="text1"/>
                <w:sz w:val="24"/>
                <w:szCs w:val="24"/>
              </w:rPr>
              <w:t>的主要原料，为降低原料运输的成本，项目拟在</w:t>
            </w:r>
            <w:r>
              <w:rPr>
                <w:rFonts w:ascii="Times New Roman" w:hAnsi="Times New Roman" w:cs="Times New Roman"/>
                <w:color w:val="000000" w:themeColor="text1"/>
                <w:sz w:val="24"/>
                <w:szCs w:val="24"/>
              </w:rPr>
              <w:t>云南东川产业园区天生桥片区</w:t>
            </w:r>
            <w:r>
              <w:rPr>
                <w:rFonts w:hint="eastAsia" w:ascii="Times New Roman" w:hAnsi="Times New Roman" w:cs="Times New Roman"/>
                <w:color w:val="000000" w:themeColor="text1"/>
                <w:sz w:val="24"/>
                <w:szCs w:val="24"/>
              </w:rPr>
              <w:t>租用</w:t>
            </w:r>
            <w:r>
              <w:rPr>
                <w:rFonts w:ascii="Times New Roman" w:hAnsi="Times New Roman" w:cs="Times New Roman"/>
                <w:color w:val="000000" w:themeColor="text1"/>
                <w:sz w:val="24"/>
                <w:szCs w:val="24"/>
              </w:rPr>
              <w:t>云南嘉佳烨新型材料科技有限责任公司的</w:t>
            </w:r>
            <w:r>
              <w:rPr>
                <w:rFonts w:hint="eastAsia" w:ascii="Times New Roman" w:hAnsi="Times New Roman" w:cs="Times New Roman"/>
                <w:color w:val="000000" w:themeColor="text1"/>
                <w:sz w:val="24"/>
                <w:szCs w:val="24"/>
              </w:rPr>
              <w:t>现有</w:t>
            </w:r>
            <w:r>
              <w:rPr>
                <w:rFonts w:ascii="Times New Roman" w:hAnsi="Times New Roman" w:cs="Times New Roman"/>
                <w:color w:val="000000" w:themeColor="text1"/>
                <w:sz w:val="24"/>
                <w:szCs w:val="24"/>
              </w:rPr>
              <w:t>标准厂房</w:t>
            </w:r>
            <w:r>
              <w:rPr>
                <w:rFonts w:hint="eastAsia" w:ascii="Times New Roman" w:hAnsi="Times New Roman" w:cs="Times New Roman"/>
                <w:color w:val="000000" w:themeColor="text1"/>
                <w:sz w:val="24"/>
                <w:szCs w:val="24"/>
              </w:rPr>
              <w:t>建设</w:t>
            </w:r>
            <w:r>
              <w:rPr>
                <w:rFonts w:ascii="Times New Roman" w:hAnsi="Times New Roman" w:cs="Times New Roman"/>
                <w:color w:val="000000" w:themeColor="text1"/>
                <w:sz w:val="24"/>
                <w:szCs w:val="24"/>
              </w:rPr>
              <w:t>云南祥闳环保科技有限公司生产轻集料混凝土建设项目</w:t>
            </w:r>
            <w:r>
              <w:rPr>
                <w:rFonts w:hint="eastAsia" w:ascii="Times New Roman" w:hAnsi="Times New Roman" w:cs="Times New Roman"/>
                <w:color w:val="000000" w:themeColor="text1"/>
                <w:sz w:val="24"/>
                <w:szCs w:val="24"/>
              </w:rPr>
              <w:t>。</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w:t>
            </w:r>
            <w:r>
              <w:rPr>
                <w:rFonts w:hint="eastAsia" w:ascii="Times New Roman" w:hAnsi="Times New Roman" w:cs="Times New Roman"/>
                <w:color w:val="000000" w:themeColor="text1"/>
                <w:sz w:val="24"/>
                <w:szCs w:val="24"/>
              </w:rPr>
              <w:t>该项目利用铝矾土、泡棉、机制砂和水泥搅拌混合生产轻集料混凝土，建后年产</w:t>
            </w:r>
            <w:r>
              <w:rPr>
                <w:rFonts w:ascii="Times New Roman" w:hAnsi="Times New Roman" w:cs="Times New Roman"/>
                <w:color w:val="000000" w:themeColor="text1"/>
                <w:sz w:val="24"/>
                <w:szCs w:val="24"/>
              </w:rPr>
              <w:t>轻集料混凝土</w:t>
            </w:r>
            <w:r>
              <w:rPr>
                <w:rFonts w:hint="eastAsia" w:ascii="Times New Roman" w:hAnsi="Times New Roman" w:cs="Times New Roman"/>
                <w:color w:val="000000" w:themeColor="text1"/>
                <w:sz w:val="24"/>
                <w:szCs w:val="24"/>
              </w:rPr>
              <w:t>11935t/a。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该项目占地2000m²，</w:t>
            </w:r>
            <w:r>
              <w:rPr>
                <w:rFonts w:hint="eastAsia" w:ascii="Times New Roman" w:hAnsi="Times New Roman" w:cs="Times New Roman"/>
                <w:color w:val="000000" w:themeColor="text1"/>
                <w:sz w:val="24"/>
                <w:szCs w:val="24"/>
              </w:rPr>
              <w:t>新建生产车间500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产品车间500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原料车间1000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，配套建设</w:t>
            </w:r>
            <w:r>
              <w:rPr>
                <w:rFonts w:ascii="Times New Roman" w:hAnsi="Times New Roman" w:cs="Times New Roman"/>
                <w:color w:val="000000" w:themeColor="text1"/>
                <w:sz w:val="24"/>
                <w:szCs w:val="24"/>
              </w:rPr>
              <w:t>环保等附属设施。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88"/>
              <w:gridCol w:w="1255"/>
              <w:gridCol w:w="497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30"/>
                    <w:spacing w:line="360" w:lineRule="exact"/>
                    <w:rPr>
                      <w:color w:val="000000" w:themeColor="text1"/>
                      <w:szCs w:val="21"/>
                    </w:rPr>
                  </w:pPr>
                  <w:r>
                    <w:rPr>
                      <w:color w:val="000000" w:themeColor="text1"/>
                      <w:szCs w:val="21"/>
                    </w:rPr>
                    <w:t>类别</w:t>
                  </w:r>
                </w:p>
              </w:tc>
              <w:tc>
                <w:tcPr>
                  <w:tcW w:w="1187" w:type="pct"/>
                  <w:gridSpan w:val="2"/>
                  <w:vAlign w:val="center"/>
                </w:tcPr>
                <w:p>
                  <w:pPr>
                    <w:pStyle w:val="30"/>
                    <w:spacing w:line="360" w:lineRule="exact"/>
                    <w:rPr>
                      <w:color w:val="000000" w:themeColor="text1"/>
                      <w:szCs w:val="21"/>
                    </w:rPr>
                  </w:pPr>
                  <w:r>
                    <w:rPr>
                      <w:color w:val="000000" w:themeColor="text1"/>
                      <w:szCs w:val="21"/>
                    </w:rPr>
                    <w:t>工程内容</w:t>
                  </w:r>
                </w:p>
              </w:tc>
              <w:tc>
                <w:tcPr>
                  <w:tcW w:w="2889" w:type="pct"/>
                  <w:vAlign w:val="center"/>
                </w:tcPr>
                <w:p>
                  <w:pPr>
                    <w:pStyle w:val="30"/>
                    <w:spacing w:line="360" w:lineRule="exact"/>
                    <w:rPr>
                      <w:color w:val="000000" w:themeColor="text1"/>
                      <w:szCs w:val="21"/>
                    </w:rPr>
                  </w:pPr>
                  <w:r>
                    <w:rPr>
                      <w:color w:val="000000" w:themeColor="text1"/>
                      <w:szCs w:val="21"/>
                    </w:rPr>
                    <w:t>建筑内容及规模</w:t>
                  </w:r>
                </w:p>
              </w:tc>
              <w:tc>
                <w:tcPr>
                  <w:tcW w:w="524" w:type="pct"/>
                  <w:vAlign w:val="center"/>
                </w:tcPr>
                <w:p>
                  <w:pPr>
                    <w:pStyle w:val="30"/>
                    <w:spacing w:line="360" w:lineRule="exact"/>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30"/>
                    <w:spacing w:line="360" w:lineRule="exact"/>
                    <w:rPr>
                      <w:color w:val="000000" w:themeColor="text1"/>
                    </w:rPr>
                  </w:pPr>
                  <w:r>
                    <w:rPr>
                      <w:color w:val="000000" w:themeColor="text1"/>
                    </w:rPr>
                    <w:t>主体工程</w:t>
                  </w:r>
                </w:p>
              </w:tc>
              <w:tc>
                <w:tcPr>
                  <w:tcW w:w="458" w:type="pct"/>
                  <w:vAlign w:val="center"/>
                </w:tcPr>
                <w:p>
                  <w:pPr>
                    <w:pStyle w:val="30"/>
                    <w:spacing w:line="360" w:lineRule="exact"/>
                    <w:rPr>
                      <w:color w:val="000000" w:themeColor="text1"/>
                    </w:rPr>
                  </w:pPr>
                  <w:r>
                    <w:rPr>
                      <w:rFonts w:hint="eastAsia"/>
                      <w:color w:val="000000" w:themeColor="text1"/>
                    </w:rPr>
                    <w:t>生产车间</w:t>
                  </w:r>
                </w:p>
              </w:tc>
              <w:tc>
                <w:tcPr>
                  <w:tcW w:w="729" w:type="pct"/>
                  <w:vAlign w:val="center"/>
                </w:tcPr>
                <w:p>
                  <w:pPr>
                    <w:pStyle w:val="30"/>
                    <w:spacing w:line="360" w:lineRule="exact"/>
                    <w:rPr>
                      <w:color w:val="000000" w:themeColor="text1"/>
                    </w:rPr>
                  </w:pPr>
                  <w:r>
                    <w:rPr>
                      <w:rFonts w:hint="eastAsia"/>
                      <w:color w:val="000000" w:themeColor="text1"/>
                    </w:rPr>
                    <w:t>轻集料混凝土生产线</w:t>
                  </w:r>
                </w:p>
              </w:tc>
              <w:tc>
                <w:tcPr>
                  <w:tcW w:w="2889" w:type="pct"/>
                  <w:vAlign w:val="center"/>
                </w:tcPr>
                <w:p>
                  <w:pPr>
                    <w:pStyle w:val="30"/>
                    <w:spacing w:line="360" w:lineRule="exact"/>
                    <w:ind w:firstLine="210" w:firstLineChars="100"/>
                    <w:jc w:val="both"/>
                    <w:rPr>
                      <w:color w:val="000000" w:themeColor="text1"/>
                    </w:rPr>
                  </w:pPr>
                  <w:r>
                    <w:rPr>
                      <w:color w:val="000000" w:themeColor="text1"/>
                    </w:rPr>
                    <w:t>根据设计，该项目拟设置1个生产车间，该生产车间建筑面积约为500m²，生产车间内配套设置1条轻集料混凝土生产线，该生产线配套设置3台型号为5m³/个的多功能给料斗和1套处理能力为5t/h的多功能混合搅拌机对铝矾土、泡棉、机制砂和水泥进行搅拌混合生产轻集料混凝土产品。</w:t>
                  </w:r>
                </w:p>
              </w:tc>
              <w:tc>
                <w:tcPr>
                  <w:tcW w:w="524" w:type="pct"/>
                  <w:vAlign w:val="center"/>
                </w:tcPr>
                <w:p>
                  <w:pPr>
                    <w:pStyle w:val="30"/>
                    <w:spacing w:line="360" w:lineRule="exact"/>
                    <w:rPr>
                      <w:color w:val="000000" w:themeColor="text1"/>
                    </w:rPr>
                  </w:pPr>
                  <w:r>
                    <w:rPr>
                      <w:color w:val="000000" w:themeColor="text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restart"/>
                  <w:shd w:val="clear" w:color="auto" w:fill="auto"/>
                  <w:vAlign w:val="center"/>
                </w:tcPr>
                <w:p>
                  <w:pPr>
                    <w:pStyle w:val="30"/>
                    <w:spacing w:line="360" w:lineRule="exact"/>
                    <w:rPr>
                      <w:color w:val="000000" w:themeColor="text1"/>
                    </w:rPr>
                  </w:pPr>
                  <w:r>
                    <w:rPr>
                      <w:color w:val="000000" w:themeColor="text1"/>
                    </w:rPr>
                    <w:t>储运工程</w:t>
                  </w:r>
                </w:p>
              </w:tc>
              <w:tc>
                <w:tcPr>
                  <w:tcW w:w="458" w:type="pct"/>
                  <w:vMerge w:val="restart"/>
                  <w:vAlign w:val="center"/>
                </w:tcPr>
                <w:p>
                  <w:pPr>
                    <w:pStyle w:val="30"/>
                    <w:spacing w:line="360" w:lineRule="exact"/>
                    <w:rPr>
                      <w:color w:val="000000" w:themeColor="text1"/>
                    </w:rPr>
                  </w:pPr>
                  <w:r>
                    <w:rPr>
                      <w:rFonts w:hint="eastAsia"/>
                      <w:color w:val="000000" w:themeColor="text1"/>
                    </w:rPr>
                    <w:t>原料车间</w:t>
                  </w:r>
                </w:p>
              </w:tc>
              <w:tc>
                <w:tcPr>
                  <w:tcW w:w="729" w:type="pct"/>
                  <w:vAlign w:val="center"/>
                </w:tcPr>
                <w:p>
                  <w:pPr>
                    <w:pStyle w:val="30"/>
                    <w:spacing w:line="360" w:lineRule="exact"/>
                    <w:rPr>
                      <w:color w:val="000000" w:themeColor="text1"/>
                    </w:rPr>
                  </w:pPr>
                  <w:r>
                    <w:rPr>
                      <w:rFonts w:hint="eastAsia"/>
                      <w:color w:val="000000" w:themeColor="text1"/>
                    </w:rPr>
                    <w:t>泡棉堆存区</w:t>
                  </w:r>
                </w:p>
              </w:tc>
              <w:tc>
                <w:tcPr>
                  <w:tcW w:w="2889" w:type="pct"/>
                  <w:shd w:val="clear" w:color="auto" w:fill="auto"/>
                  <w:vAlign w:val="center"/>
                </w:tcPr>
                <w:p>
                  <w:pPr>
                    <w:pStyle w:val="30"/>
                    <w:spacing w:line="360" w:lineRule="exact"/>
                    <w:ind w:firstLine="210" w:firstLineChars="100"/>
                    <w:jc w:val="both"/>
                    <w:rPr>
                      <w:color w:val="000000" w:themeColor="text1"/>
                    </w:rPr>
                  </w:pPr>
                  <w:r>
                    <w:rPr>
                      <w:color w:val="000000" w:themeColor="text1"/>
                    </w:rPr>
                    <w:t>根据设计，该项目拟设置1个原料车间，该原料车间建筑面积约为1000m²，该车间内分别划分了泡棉堆存区、铝矾土堆存区和机制砂堆存区，另外设置了1个水泥仓。其中泡棉堆存区建筑面积约为360m²，对项目原料泡棉进行袋装贮存。</w:t>
                  </w:r>
                </w:p>
              </w:tc>
              <w:tc>
                <w:tcPr>
                  <w:tcW w:w="524" w:type="pct"/>
                  <w:vAlign w:val="center"/>
                </w:tcPr>
                <w:p>
                  <w:pPr>
                    <w:pStyle w:val="30"/>
                    <w:spacing w:line="360" w:lineRule="exact"/>
                    <w:rPr>
                      <w:color w:val="000000" w:themeColor="text1"/>
                    </w:rPr>
                  </w:pPr>
                  <w:r>
                    <w:rPr>
                      <w:color w:val="000000" w:themeColor="text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shd w:val="clear" w:color="auto" w:fill="auto"/>
                  <w:vAlign w:val="center"/>
                </w:tcPr>
                <w:p>
                  <w:pPr>
                    <w:pStyle w:val="30"/>
                    <w:spacing w:line="360" w:lineRule="exact"/>
                    <w:rPr>
                      <w:color w:val="000000" w:themeColor="text1"/>
                    </w:rPr>
                  </w:pPr>
                </w:p>
              </w:tc>
              <w:tc>
                <w:tcPr>
                  <w:tcW w:w="458" w:type="pct"/>
                  <w:vMerge w:val="continue"/>
                  <w:vAlign w:val="center"/>
                </w:tcPr>
                <w:p>
                  <w:pPr>
                    <w:pStyle w:val="30"/>
                    <w:spacing w:line="360" w:lineRule="exact"/>
                    <w:rPr>
                      <w:color w:val="000000" w:themeColor="text1"/>
                    </w:rPr>
                  </w:pPr>
                </w:p>
              </w:tc>
              <w:tc>
                <w:tcPr>
                  <w:tcW w:w="729" w:type="pct"/>
                  <w:vAlign w:val="center"/>
                </w:tcPr>
                <w:p>
                  <w:pPr>
                    <w:pStyle w:val="30"/>
                    <w:spacing w:line="360" w:lineRule="exact"/>
                    <w:rPr>
                      <w:color w:val="000000" w:themeColor="text1"/>
                    </w:rPr>
                  </w:pPr>
                  <w:r>
                    <w:rPr>
                      <w:rFonts w:hint="eastAsia"/>
                      <w:color w:val="000000" w:themeColor="text1"/>
                    </w:rPr>
                    <w:t>铝矾土堆存区</w:t>
                  </w:r>
                </w:p>
              </w:tc>
              <w:tc>
                <w:tcPr>
                  <w:tcW w:w="2889" w:type="pct"/>
                  <w:shd w:val="clear" w:color="auto" w:fill="auto"/>
                  <w:vAlign w:val="center"/>
                </w:tcPr>
                <w:p>
                  <w:pPr>
                    <w:pStyle w:val="30"/>
                    <w:spacing w:line="360" w:lineRule="exact"/>
                    <w:ind w:firstLine="210" w:firstLineChars="100"/>
                    <w:jc w:val="both"/>
                    <w:rPr>
                      <w:color w:val="000000" w:themeColor="text1"/>
                    </w:rPr>
                  </w:pPr>
                  <w:r>
                    <w:rPr>
                      <w:color w:val="000000" w:themeColor="text1"/>
                    </w:rPr>
                    <w:t>根据设计，原料车间划分了1个铝矾土堆存区，该区域建筑面积约为350m²，对项目原料铝矾土进行袋装贮存。</w:t>
                  </w:r>
                </w:p>
              </w:tc>
              <w:tc>
                <w:tcPr>
                  <w:tcW w:w="524" w:type="pct"/>
                  <w:vAlign w:val="center"/>
                </w:tcPr>
                <w:p>
                  <w:pPr>
                    <w:pStyle w:val="30"/>
                    <w:spacing w:line="360" w:lineRule="exact"/>
                    <w:rPr>
                      <w:color w:val="000000" w:themeColor="text1"/>
                    </w:rPr>
                  </w:pPr>
                  <w:r>
                    <w:rPr>
                      <w:color w:val="000000" w:themeColor="text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shd w:val="clear" w:color="auto" w:fill="auto"/>
                  <w:vAlign w:val="center"/>
                </w:tcPr>
                <w:p>
                  <w:pPr>
                    <w:pStyle w:val="30"/>
                    <w:spacing w:line="360" w:lineRule="exact"/>
                    <w:rPr>
                      <w:color w:val="000000" w:themeColor="text1"/>
                    </w:rPr>
                  </w:pPr>
                </w:p>
              </w:tc>
              <w:tc>
                <w:tcPr>
                  <w:tcW w:w="458" w:type="pct"/>
                  <w:vMerge w:val="continue"/>
                  <w:vAlign w:val="center"/>
                </w:tcPr>
                <w:p>
                  <w:pPr>
                    <w:pStyle w:val="30"/>
                    <w:spacing w:line="360" w:lineRule="exact"/>
                    <w:rPr>
                      <w:color w:val="000000" w:themeColor="text1"/>
                    </w:rPr>
                  </w:pPr>
                </w:p>
              </w:tc>
              <w:tc>
                <w:tcPr>
                  <w:tcW w:w="729" w:type="pct"/>
                  <w:vAlign w:val="center"/>
                </w:tcPr>
                <w:p>
                  <w:pPr>
                    <w:pStyle w:val="30"/>
                    <w:spacing w:line="360" w:lineRule="exact"/>
                    <w:rPr>
                      <w:color w:val="000000" w:themeColor="text1"/>
                    </w:rPr>
                  </w:pPr>
                  <w:r>
                    <w:rPr>
                      <w:rFonts w:hint="eastAsia"/>
                      <w:color w:val="000000" w:themeColor="text1"/>
                    </w:rPr>
                    <w:t>机制砂堆存区</w:t>
                  </w:r>
                </w:p>
              </w:tc>
              <w:tc>
                <w:tcPr>
                  <w:tcW w:w="2889" w:type="pct"/>
                  <w:shd w:val="clear" w:color="auto" w:fill="auto"/>
                  <w:vAlign w:val="center"/>
                </w:tcPr>
                <w:p>
                  <w:pPr>
                    <w:pStyle w:val="30"/>
                    <w:spacing w:line="360" w:lineRule="exact"/>
                    <w:ind w:firstLine="210" w:firstLineChars="100"/>
                    <w:jc w:val="both"/>
                    <w:rPr>
                      <w:color w:val="000000" w:themeColor="text1"/>
                    </w:rPr>
                  </w:pPr>
                  <w:r>
                    <w:rPr>
                      <w:color w:val="000000" w:themeColor="text1"/>
                    </w:rPr>
                    <w:t>根据设计，原料车间划分了1个机制砂堆存区，该区域建筑面积约为280m²，对项目原料机制砂进行散装贮存。</w:t>
                  </w:r>
                </w:p>
              </w:tc>
              <w:tc>
                <w:tcPr>
                  <w:tcW w:w="524" w:type="pct"/>
                  <w:vAlign w:val="center"/>
                </w:tcPr>
                <w:p>
                  <w:pPr>
                    <w:pStyle w:val="30"/>
                    <w:spacing w:line="360" w:lineRule="exact"/>
                    <w:rPr>
                      <w:color w:val="000000" w:themeColor="text1"/>
                    </w:rPr>
                  </w:pPr>
                  <w:r>
                    <w:rPr>
                      <w:color w:val="000000" w:themeColor="text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shd w:val="clear" w:color="auto" w:fill="auto"/>
                  <w:vAlign w:val="center"/>
                </w:tcPr>
                <w:p>
                  <w:pPr>
                    <w:pStyle w:val="30"/>
                    <w:spacing w:line="360" w:lineRule="exact"/>
                    <w:rPr>
                      <w:color w:val="000000" w:themeColor="text1"/>
                    </w:rPr>
                  </w:pPr>
                </w:p>
              </w:tc>
              <w:tc>
                <w:tcPr>
                  <w:tcW w:w="458" w:type="pct"/>
                  <w:vMerge w:val="continue"/>
                  <w:vAlign w:val="center"/>
                </w:tcPr>
                <w:p>
                  <w:pPr>
                    <w:pStyle w:val="30"/>
                    <w:spacing w:line="360" w:lineRule="exact"/>
                    <w:rPr>
                      <w:color w:val="000000" w:themeColor="text1"/>
                    </w:rPr>
                  </w:pPr>
                </w:p>
              </w:tc>
              <w:tc>
                <w:tcPr>
                  <w:tcW w:w="729" w:type="pct"/>
                  <w:vAlign w:val="center"/>
                </w:tcPr>
                <w:p>
                  <w:pPr>
                    <w:pStyle w:val="30"/>
                    <w:spacing w:line="360" w:lineRule="exact"/>
                    <w:rPr>
                      <w:color w:val="000000" w:themeColor="text1"/>
                    </w:rPr>
                  </w:pPr>
                  <w:r>
                    <w:rPr>
                      <w:rFonts w:hint="eastAsia"/>
                      <w:color w:val="000000" w:themeColor="text1"/>
                    </w:rPr>
                    <w:t>水泥仓</w:t>
                  </w:r>
                </w:p>
              </w:tc>
              <w:tc>
                <w:tcPr>
                  <w:tcW w:w="2889" w:type="pct"/>
                  <w:shd w:val="clear" w:color="auto" w:fill="auto"/>
                  <w:vAlign w:val="center"/>
                </w:tcPr>
                <w:p>
                  <w:pPr>
                    <w:pStyle w:val="30"/>
                    <w:spacing w:line="360" w:lineRule="exact"/>
                    <w:ind w:firstLine="210" w:firstLineChars="100"/>
                    <w:jc w:val="both"/>
                    <w:rPr>
                      <w:color w:val="000000" w:themeColor="text1"/>
                    </w:rPr>
                  </w:pPr>
                  <w:r>
                    <w:rPr>
                      <w:color w:val="000000" w:themeColor="text1"/>
                    </w:rPr>
                    <w:t>根据设计，原料车间内设置了1个贮存能力为60t的水泥仓。</w:t>
                  </w:r>
                </w:p>
              </w:tc>
              <w:tc>
                <w:tcPr>
                  <w:tcW w:w="524" w:type="pct"/>
                  <w:vAlign w:val="center"/>
                </w:tcPr>
                <w:p>
                  <w:pPr>
                    <w:pStyle w:val="30"/>
                    <w:spacing w:line="360" w:lineRule="exact"/>
                    <w:rPr>
                      <w:color w:val="000000" w:themeColor="text1"/>
                    </w:rPr>
                  </w:pPr>
                  <w:r>
                    <w:rPr>
                      <w:color w:val="000000" w:themeColor="text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0" w:type="pct"/>
                  <w:vMerge w:val="continue"/>
                  <w:shd w:val="clear" w:color="auto" w:fill="auto"/>
                  <w:vAlign w:val="center"/>
                </w:tcPr>
                <w:p>
                  <w:pPr>
                    <w:pStyle w:val="30"/>
                    <w:spacing w:line="360" w:lineRule="exact"/>
                    <w:rPr>
                      <w:color w:val="000000" w:themeColor="text1"/>
                    </w:rPr>
                  </w:pPr>
                </w:p>
              </w:tc>
              <w:tc>
                <w:tcPr>
                  <w:tcW w:w="1187" w:type="pct"/>
                  <w:gridSpan w:val="2"/>
                  <w:vAlign w:val="center"/>
                </w:tcPr>
                <w:p>
                  <w:pPr>
                    <w:pStyle w:val="30"/>
                    <w:spacing w:line="360" w:lineRule="exact"/>
                    <w:rPr>
                      <w:color w:val="000000" w:themeColor="text1"/>
                    </w:rPr>
                  </w:pPr>
                  <w:r>
                    <w:rPr>
                      <w:rFonts w:hint="eastAsia"/>
                      <w:color w:val="000000" w:themeColor="text1"/>
                    </w:rPr>
                    <w:t>产品车间</w:t>
                  </w:r>
                </w:p>
              </w:tc>
              <w:tc>
                <w:tcPr>
                  <w:tcW w:w="2889" w:type="pct"/>
                  <w:shd w:val="clear" w:color="auto" w:fill="auto"/>
                  <w:vAlign w:val="center"/>
                </w:tcPr>
                <w:p>
                  <w:pPr>
                    <w:pStyle w:val="30"/>
                    <w:spacing w:line="360" w:lineRule="exact"/>
                    <w:ind w:firstLine="210" w:firstLineChars="100"/>
                    <w:jc w:val="both"/>
                    <w:rPr>
                      <w:color w:val="000000" w:themeColor="text1"/>
                    </w:rPr>
                  </w:pPr>
                  <w:r>
                    <w:rPr>
                      <w:color w:val="000000" w:themeColor="text1"/>
                    </w:rPr>
                    <w:t>根据设计，该项目拟设置1个产品车间，该原料车间建筑面积约为500m²，该车间对项目生产的轻集料混凝土产品进行袋装贮存。</w:t>
                  </w:r>
                </w:p>
              </w:tc>
              <w:tc>
                <w:tcPr>
                  <w:tcW w:w="524" w:type="pct"/>
                  <w:vAlign w:val="center"/>
                </w:tcPr>
                <w:p>
                  <w:pPr>
                    <w:pStyle w:val="30"/>
                    <w:spacing w:line="360" w:lineRule="exact"/>
                    <w:rPr>
                      <w:color w:val="000000" w:themeColor="text1"/>
                    </w:rPr>
                  </w:pPr>
                  <w:r>
                    <w:rPr>
                      <w:color w:val="000000" w:themeColor="text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auto"/>
                  <w:vAlign w:val="center"/>
                </w:tcPr>
                <w:p>
                  <w:pPr>
                    <w:pStyle w:val="30"/>
                    <w:spacing w:line="360" w:lineRule="exact"/>
                    <w:rPr>
                      <w:color w:val="000000" w:themeColor="text1"/>
                    </w:rPr>
                  </w:pPr>
                  <w:r>
                    <w:rPr>
                      <w:rFonts w:hint="eastAsia"/>
                      <w:color w:val="000000" w:themeColor="text1"/>
                    </w:rPr>
                    <w:t>依托工程</w:t>
                  </w:r>
                </w:p>
              </w:tc>
              <w:tc>
                <w:tcPr>
                  <w:tcW w:w="1187" w:type="pct"/>
                  <w:gridSpan w:val="2"/>
                  <w:vAlign w:val="center"/>
                </w:tcPr>
                <w:p>
                  <w:pPr>
                    <w:pStyle w:val="30"/>
                    <w:spacing w:line="360" w:lineRule="exact"/>
                    <w:rPr>
                      <w:color w:val="000000" w:themeColor="text1"/>
                    </w:rPr>
                  </w:pPr>
                  <w:r>
                    <w:rPr>
                      <w:rFonts w:hint="eastAsia"/>
                      <w:color w:val="000000" w:themeColor="text1"/>
                    </w:rPr>
                    <w:t>办公生活设施</w:t>
                  </w:r>
                </w:p>
              </w:tc>
              <w:tc>
                <w:tcPr>
                  <w:tcW w:w="2889" w:type="pct"/>
                  <w:shd w:val="clear" w:color="auto" w:fill="auto"/>
                  <w:vAlign w:val="center"/>
                </w:tcPr>
                <w:p>
                  <w:pPr>
                    <w:pStyle w:val="30"/>
                    <w:spacing w:line="360" w:lineRule="exact"/>
                    <w:ind w:firstLine="210" w:firstLineChars="100"/>
                    <w:jc w:val="both"/>
                    <w:rPr>
                      <w:color w:val="000000" w:themeColor="text1"/>
                    </w:rPr>
                  </w:pPr>
                  <w:r>
                    <w:rPr>
                      <w:rFonts w:hint="eastAsia"/>
                      <w:color w:val="000000" w:themeColor="text1"/>
                    </w:rPr>
                    <w:t>该项目仅租用</w:t>
                  </w:r>
                  <w:r>
                    <w:rPr>
                      <w:color w:val="000000" w:themeColor="text1"/>
                    </w:rPr>
                    <w:t>云南嘉佳烨新型材料科技有限责任公司</w:t>
                  </w:r>
                  <w:r>
                    <w:rPr>
                      <w:rFonts w:hint="eastAsia"/>
                      <w:color w:val="000000" w:themeColor="text1"/>
                    </w:rPr>
                    <w:t>进行生产设施建设，未配套设置办公生活设施，因此该项目不配套设置办公室和生活区，员工食宿自行解决。</w:t>
                  </w:r>
                </w:p>
                <w:p>
                  <w:pPr>
                    <w:pStyle w:val="30"/>
                    <w:spacing w:line="360" w:lineRule="exact"/>
                    <w:ind w:firstLine="210" w:firstLineChars="100"/>
                    <w:jc w:val="both"/>
                    <w:rPr>
                      <w:color w:val="000000" w:themeColor="text1"/>
                    </w:rPr>
                  </w:pPr>
                  <w:r>
                    <w:rPr>
                      <w:rFonts w:hint="eastAsia"/>
                      <w:color w:val="000000" w:themeColor="text1"/>
                    </w:rPr>
                    <w:t>员工日常如厕可依托使用项目区旁云南叁景防水建材有限公司卫生间，本次项目建设单位和云南叁景防水建材有限公司属同一股东，该企业配套设置了办公生活区，且环保手续齐全，正常运行多年，本次建设项目员工人数较少（4人），依托可行。</w:t>
                  </w:r>
                </w:p>
              </w:tc>
              <w:tc>
                <w:tcPr>
                  <w:tcW w:w="524" w:type="pct"/>
                  <w:vAlign w:val="center"/>
                </w:tcPr>
                <w:p>
                  <w:pPr>
                    <w:pStyle w:val="30"/>
                    <w:spacing w:line="360" w:lineRule="exact"/>
                    <w:rPr>
                      <w:color w:val="000000" w:themeColor="text1"/>
                    </w:rPr>
                  </w:pPr>
                  <w:r>
                    <w:rPr>
                      <w:color w:val="000000" w:themeColor="text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restart"/>
                  <w:vAlign w:val="center"/>
                </w:tcPr>
                <w:p>
                  <w:pPr>
                    <w:pStyle w:val="30"/>
                    <w:spacing w:line="360" w:lineRule="exact"/>
                    <w:rPr>
                      <w:color w:val="000000" w:themeColor="text1"/>
                      <w:szCs w:val="21"/>
                    </w:rPr>
                  </w:pPr>
                  <w:r>
                    <w:rPr>
                      <w:color w:val="000000" w:themeColor="text1"/>
                      <w:szCs w:val="21"/>
                    </w:rPr>
                    <w:t>公用工程</w:t>
                  </w:r>
                </w:p>
              </w:tc>
              <w:tc>
                <w:tcPr>
                  <w:tcW w:w="1187" w:type="pct"/>
                  <w:gridSpan w:val="2"/>
                  <w:vAlign w:val="center"/>
                </w:tcPr>
                <w:p>
                  <w:pPr>
                    <w:pStyle w:val="30"/>
                    <w:spacing w:line="360" w:lineRule="exact"/>
                    <w:rPr>
                      <w:color w:val="000000" w:themeColor="text1"/>
                    </w:rPr>
                  </w:pPr>
                  <w:r>
                    <w:rPr>
                      <w:color w:val="000000" w:themeColor="text1"/>
                    </w:rPr>
                    <w:t>供电</w:t>
                  </w:r>
                </w:p>
              </w:tc>
              <w:tc>
                <w:tcPr>
                  <w:tcW w:w="2889" w:type="pct"/>
                  <w:vAlign w:val="center"/>
                </w:tcPr>
                <w:p>
                  <w:pPr>
                    <w:pStyle w:val="30"/>
                    <w:spacing w:line="360" w:lineRule="exact"/>
                    <w:ind w:firstLine="210" w:firstLineChars="100"/>
                    <w:jc w:val="both"/>
                    <w:rPr>
                      <w:color w:val="000000" w:themeColor="text1"/>
                    </w:rPr>
                  </w:pPr>
                  <w:r>
                    <w:rPr>
                      <w:color w:val="000000" w:themeColor="text1"/>
                    </w:rPr>
                    <w:t>供电由园区统一供给。</w:t>
                  </w:r>
                </w:p>
              </w:tc>
              <w:tc>
                <w:tcPr>
                  <w:tcW w:w="524" w:type="pct"/>
                  <w:vAlign w:val="center"/>
                </w:tcPr>
                <w:p>
                  <w:pPr>
                    <w:pStyle w:val="30"/>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szCs w:val="21"/>
                    </w:rPr>
                  </w:pPr>
                </w:p>
              </w:tc>
              <w:tc>
                <w:tcPr>
                  <w:tcW w:w="1187" w:type="pct"/>
                  <w:gridSpan w:val="2"/>
                  <w:vAlign w:val="center"/>
                </w:tcPr>
                <w:p>
                  <w:pPr>
                    <w:pStyle w:val="30"/>
                    <w:spacing w:line="360" w:lineRule="exact"/>
                    <w:rPr>
                      <w:color w:val="000000" w:themeColor="text1"/>
                    </w:rPr>
                  </w:pPr>
                  <w:r>
                    <w:rPr>
                      <w:color w:val="000000" w:themeColor="text1"/>
                    </w:rPr>
                    <w:t>给水</w:t>
                  </w:r>
                </w:p>
              </w:tc>
              <w:tc>
                <w:tcPr>
                  <w:tcW w:w="288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该项目无生产用水，无生活用水。</w:t>
                  </w:r>
                </w:p>
              </w:tc>
              <w:tc>
                <w:tcPr>
                  <w:tcW w:w="524" w:type="pct"/>
                  <w:vAlign w:val="center"/>
                </w:tcPr>
                <w:p>
                  <w:pPr>
                    <w:pStyle w:val="30"/>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szCs w:val="21"/>
                    </w:rPr>
                  </w:pPr>
                </w:p>
              </w:tc>
              <w:tc>
                <w:tcPr>
                  <w:tcW w:w="1187" w:type="pct"/>
                  <w:gridSpan w:val="2"/>
                  <w:vAlign w:val="center"/>
                </w:tcPr>
                <w:p>
                  <w:pPr>
                    <w:pStyle w:val="30"/>
                    <w:spacing w:line="360" w:lineRule="exact"/>
                    <w:rPr>
                      <w:color w:val="000000" w:themeColor="text1"/>
                    </w:rPr>
                  </w:pPr>
                  <w:r>
                    <w:rPr>
                      <w:color w:val="000000" w:themeColor="text1"/>
                    </w:rPr>
                    <w:t>排水</w:t>
                  </w:r>
                </w:p>
              </w:tc>
              <w:tc>
                <w:tcPr>
                  <w:tcW w:w="288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根据设计，该项目无生产废水、生活污水等产生，且项目租用区域全为标准厂房室内，因此无初期雨水等废水产生及外排。</w:t>
                  </w:r>
                </w:p>
              </w:tc>
              <w:tc>
                <w:tcPr>
                  <w:tcW w:w="524" w:type="pct"/>
                  <w:vAlign w:val="center"/>
                </w:tcPr>
                <w:p>
                  <w:pPr>
                    <w:pStyle w:val="30"/>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restart"/>
                  <w:vAlign w:val="center"/>
                </w:tcPr>
                <w:p>
                  <w:pPr>
                    <w:pStyle w:val="30"/>
                    <w:spacing w:line="360" w:lineRule="exact"/>
                    <w:rPr>
                      <w:color w:val="000000" w:themeColor="text1"/>
                    </w:rPr>
                  </w:pPr>
                  <w:r>
                    <w:rPr>
                      <w:color w:val="000000" w:themeColor="text1"/>
                    </w:rPr>
                    <w:t>环保工程</w:t>
                  </w:r>
                </w:p>
              </w:tc>
              <w:tc>
                <w:tcPr>
                  <w:tcW w:w="458" w:type="pct"/>
                  <w:vMerge w:val="restart"/>
                  <w:vAlign w:val="center"/>
                </w:tcPr>
                <w:p>
                  <w:pPr>
                    <w:pStyle w:val="30"/>
                    <w:spacing w:line="360" w:lineRule="exact"/>
                    <w:rPr>
                      <w:color w:val="000000" w:themeColor="text1"/>
                    </w:rPr>
                  </w:pPr>
                  <w:r>
                    <w:rPr>
                      <w:color w:val="000000" w:themeColor="text1"/>
                    </w:rPr>
                    <w:t>废气</w:t>
                  </w:r>
                </w:p>
              </w:tc>
              <w:tc>
                <w:tcPr>
                  <w:tcW w:w="729" w:type="pct"/>
                  <w:vAlign w:val="center"/>
                </w:tcPr>
                <w:p>
                  <w:pPr>
                    <w:pStyle w:val="30"/>
                    <w:spacing w:line="360" w:lineRule="exact"/>
                    <w:rPr>
                      <w:color w:val="000000" w:themeColor="text1"/>
                    </w:rPr>
                  </w:pPr>
                  <w:r>
                    <w:rPr>
                      <w:rFonts w:hint="eastAsia"/>
                      <w:color w:val="000000" w:themeColor="text1"/>
                    </w:rPr>
                    <w:t>封闭式厂房</w:t>
                  </w:r>
                </w:p>
              </w:tc>
              <w:tc>
                <w:tcPr>
                  <w:tcW w:w="288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根据设计，项目原料车间</w:t>
                  </w:r>
                  <w:r>
                    <w:rPr>
                      <w:color w:val="000000" w:themeColor="text1"/>
                      <w:szCs w:val="21"/>
                    </w:rPr>
                    <w:t>原料车间划分了1个机制砂堆存区对项目原料机制砂进行散装贮存</w:t>
                  </w:r>
                  <w:r>
                    <w:rPr>
                      <w:rFonts w:hint="eastAsia"/>
                      <w:color w:val="000000" w:themeColor="text1"/>
                      <w:szCs w:val="21"/>
                    </w:rPr>
                    <w:t>，贮存过程中会有扬尘产生，项目原料车间位于全封闭厂房内，根据“固体物料堆存颗粒物产排污核算系数手册”，封闭厂房扬尘抑制率为99%。</w:t>
                  </w:r>
                </w:p>
              </w:tc>
              <w:tc>
                <w:tcPr>
                  <w:tcW w:w="524"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rPr>
                  </w:pPr>
                </w:p>
              </w:tc>
              <w:tc>
                <w:tcPr>
                  <w:tcW w:w="458" w:type="pct"/>
                  <w:vMerge w:val="continue"/>
                  <w:vAlign w:val="center"/>
                </w:tcPr>
                <w:p>
                  <w:pPr>
                    <w:pStyle w:val="30"/>
                    <w:spacing w:line="360" w:lineRule="exact"/>
                    <w:rPr>
                      <w:color w:val="000000" w:themeColor="text1"/>
                    </w:rPr>
                  </w:pPr>
                </w:p>
              </w:tc>
              <w:tc>
                <w:tcPr>
                  <w:tcW w:w="729" w:type="pct"/>
                  <w:vAlign w:val="center"/>
                </w:tcPr>
                <w:p>
                  <w:pPr>
                    <w:pStyle w:val="30"/>
                    <w:spacing w:line="360" w:lineRule="exact"/>
                    <w:rPr>
                      <w:color w:val="000000" w:themeColor="text1"/>
                    </w:rPr>
                  </w:pPr>
                  <w:r>
                    <w:rPr>
                      <w:rFonts w:hint="eastAsia"/>
                      <w:color w:val="000000" w:themeColor="text1"/>
                    </w:rPr>
                    <w:t>集气罩</w:t>
                  </w:r>
                </w:p>
              </w:tc>
              <w:tc>
                <w:tcPr>
                  <w:tcW w:w="2889" w:type="pct"/>
                  <w:vAlign w:val="center"/>
                </w:tcPr>
                <w:p>
                  <w:pPr>
                    <w:pStyle w:val="30"/>
                    <w:spacing w:line="360" w:lineRule="exact"/>
                    <w:ind w:firstLine="210" w:firstLineChars="100"/>
                    <w:jc w:val="both"/>
                    <w:rPr>
                      <w:color w:val="000000" w:themeColor="text1"/>
                      <w:szCs w:val="21"/>
                    </w:rPr>
                  </w:pPr>
                  <w:r>
                    <w:rPr>
                      <w:color w:val="000000" w:themeColor="text1"/>
                      <w:szCs w:val="21"/>
                    </w:rPr>
                    <w:t>根据设计，采用叉车将各物料分别倒入各料斗过程中会有粉尘产生，因此项目拟对3个给料料斗设置半封闭集气罩，将该过程产生的粉尘进行收集，共设置3个集气罩，各集气罩集气效率约为90%，集气罩的风机风量为3000m³/h·台，合计集气罩风量为9000m³/h</w:t>
                  </w:r>
                  <w:r>
                    <w:rPr>
                      <w:rFonts w:hint="eastAsia"/>
                      <w:color w:val="000000" w:themeColor="text1"/>
                      <w:szCs w:val="21"/>
                    </w:rPr>
                    <w:t>。</w:t>
                  </w:r>
                </w:p>
              </w:tc>
              <w:tc>
                <w:tcPr>
                  <w:tcW w:w="524"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rPr>
                  </w:pPr>
                </w:p>
              </w:tc>
              <w:tc>
                <w:tcPr>
                  <w:tcW w:w="458" w:type="pct"/>
                  <w:vMerge w:val="continue"/>
                  <w:vAlign w:val="center"/>
                </w:tcPr>
                <w:p>
                  <w:pPr>
                    <w:pStyle w:val="30"/>
                    <w:spacing w:line="360" w:lineRule="exact"/>
                    <w:rPr>
                      <w:color w:val="000000" w:themeColor="text1"/>
                    </w:rPr>
                  </w:pPr>
                </w:p>
              </w:tc>
              <w:tc>
                <w:tcPr>
                  <w:tcW w:w="729" w:type="pct"/>
                  <w:vAlign w:val="center"/>
                </w:tcPr>
                <w:p>
                  <w:pPr>
                    <w:pStyle w:val="30"/>
                    <w:spacing w:line="360" w:lineRule="exact"/>
                    <w:rPr>
                      <w:color w:val="000000" w:themeColor="text1"/>
                    </w:rPr>
                  </w:pPr>
                  <w:r>
                    <w:rPr>
                      <w:rFonts w:hint="eastAsia"/>
                      <w:color w:val="000000" w:themeColor="text1"/>
                    </w:rPr>
                    <w:t>1#袋式除尘器</w:t>
                  </w:r>
                </w:p>
              </w:tc>
              <w:tc>
                <w:tcPr>
                  <w:tcW w:w="288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根据设计，项目物料输送过程、搅拌混合工序均有粉尘产生，因此项目拟设置1#袋式除尘器对其进行处理，根据“轻质建筑材料制品制造行业系数手册”，袋式除尘器的除尘效率为99.7%。</w:t>
                  </w:r>
                </w:p>
              </w:tc>
              <w:tc>
                <w:tcPr>
                  <w:tcW w:w="524"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rPr>
                  </w:pPr>
                </w:p>
              </w:tc>
              <w:tc>
                <w:tcPr>
                  <w:tcW w:w="458" w:type="pct"/>
                  <w:vMerge w:val="continue"/>
                  <w:vAlign w:val="center"/>
                </w:tcPr>
                <w:p>
                  <w:pPr>
                    <w:pStyle w:val="30"/>
                    <w:spacing w:line="360" w:lineRule="exact"/>
                    <w:rPr>
                      <w:color w:val="000000" w:themeColor="text1"/>
                    </w:rPr>
                  </w:pPr>
                </w:p>
              </w:tc>
              <w:tc>
                <w:tcPr>
                  <w:tcW w:w="729" w:type="pct"/>
                  <w:vAlign w:val="center"/>
                </w:tcPr>
                <w:p>
                  <w:pPr>
                    <w:pStyle w:val="30"/>
                    <w:spacing w:line="360" w:lineRule="exact"/>
                    <w:rPr>
                      <w:color w:val="000000" w:themeColor="text1"/>
                    </w:rPr>
                  </w:pPr>
                  <w:r>
                    <w:rPr>
                      <w:rFonts w:hint="eastAsia"/>
                      <w:color w:val="000000" w:themeColor="text1"/>
                    </w:rPr>
                    <w:t>排气筒（DA001）</w:t>
                  </w:r>
                </w:p>
              </w:tc>
              <w:tc>
                <w:tcPr>
                  <w:tcW w:w="288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根据设计，项目拟设置1根高15m、Φ0.64m排气筒（DA001），经1#袋式除尘器处理后的粉尘通过该排气筒外排。</w:t>
                  </w:r>
                </w:p>
              </w:tc>
              <w:tc>
                <w:tcPr>
                  <w:tcW w:w="524"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rPr>
                  </w:pPr>
                </w:p>
              </w:tc>
              <w:tc>
                <w:tcPr>
                  <w:tcW w:w="458" w:type="pct"/>
                  <w:vMerge w:val="continue"/>
                  <w:vAlign w:val="center"/>
                </w:tcPr>
                <w:p>
                  <w:pPr>
                    <w:pStyle w:val="30"/>
                    <w:spacing w:line="360" w:lineRule="exact"/>
                    <w:rPr>
                      <w:color w:val="000000" w:themeColor="text1"/>
                    </w:rPr>
                  </w:pPr>
                </w:p>
              </w:tc>
              <w:tc>
                <w:tcPr>
                  <w:tcW w:w="729" w:type="pct"/>
                  <w:vAlign w:val="center"/>
                </w:tcPr>
                <w:p>
                  <w:pPr>
                    <w:pStyle w:val="30"/>
                    <w:spacing w:line="360" w:lineRule="exact"/>
                    <w:rPr>
                      <w:color w:val="000000" w:themeColor="text1"/>
                    </w:rPr>
                  </w:pPr>
                  <w:r>
                    <w:rPr>
                      <w:rFonts w:hint="eastAsia"/>
                      <w:color w:val="000000" w:themeColor="text1"/>
                    </w:rPr>
                    <w:t>2#</w:t>
                  </w:r>
                  <w:r>
                    <w:rPr>
                      <w:color w:val="000000" w:themeColor="text1"/>
                    </w:rPr>
                    <w:t>袋式</w:t>
                  </w:r>
                  <w:r>
                    <w:rPr>
                      <w:rFonts w:hint="eastAsia"/>
                      <w:color w:val="000000" w:themeColor="text1"/>
                    </w:rPr>
                    <w:t>除尘器</w:t>
                  </w:r>
                </w:p>
              </w:tc>
              <w:tc>
                <w:tcPr>
                  <w:tcW w:w="288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根据设计，针对水泥仓粉尘，拟在水泥仓顶端配套设置2#袋式除尘器处理后无组织排放，根据“轻质建筑材料制品制造行业系数手册”，袋式除尘器的除尘效率为99.7%。</w:t>
                  </w:r>
                </w:p>
              </w:tc>
              <w:tc>
                <w:tcPr>
                  <w:tcW w:w="524"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szCs w:val="21"/>
                    </w:rPr>
                  </w:pPr>
                </w:p>
              </w:tc>
              <w:tc>
                <w:tcPr>
                  <w:tcW w:w="458" w:type="pct"/>
                  <w:vMerge w:val="restart"/>
                  <w:vAlign w:val="center"/>
                </w:tcPr>
                <w:p>
                  <w:pPr>
                    <w:pStyle w:val="30"/>
                    <w:spacing w:line="360" w:lineRule="exact"/>
                    <w:rPr>
                      <w:color w:val="000000" w:themeColor="text1"/>
                    </w:rPr>
                  </w:pPr>
                  <w:r>
                    <w:rPr>
                      <w:color w:val="000000" w:themeColor="text1"/>
                    </w:rPr>
                    <w:t>地下水防渗</w:t>
                  </w:r>
                </w:p>
              </w:tc>
              <w:tc>
                <w:tcPr>
                  <w:tcW w:w="729" w:type="pct"/>
                  <w:vAlign w:val="center"/>
                </w:tcPr>
                <w:p>
                  <w:pPr>
                    <w:pStyle w:val="30"/>
                    <w:spacing w:line="360" w:lineRule="exact"/>
                    <w:rPr>
                      <w:color w:val="000000" w:themeColor="text1"/>
                    </w:rPr>
                  </w:pPr>
                  <w:r>
                    <w:rPr>
                      <w:color w:val="000000" w:themeColor="text1"/>
                    </w:rPr>
                    <w:t>重点防渗区</w:t>
                  </w:r>
                </w:p>
              </w:tc>
              <w:tc>
                <w:tcPr>
                  <w:tcW w:w="2889" w:type="pct"/>
                  <w:vAlign w:val="center"/>
                </w:tcPr>
                <w:p>
                  <w:pPr>
                    <w:pStyle w:val="30"/>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w:t>
                  </w:r>
                  <w:r>
                    <w:rPr>
                      <w:rFonts w:hint="eastAsia"/>
                      <w:color w:val="000000" w:themeColor="text1"/>
                      <w:szCs w:val="21"/>
                    </w:rPr>
                    <w:t>采用2mm厚的HDPE膜进行了防渗，而</w:t>
                  </w:r>
                  <w:r>
                    <w:rPr>
                      <w:color w:val="000000" w:themeColor="text1"/>
                      <w:szCs w:val="21"/>
                    </w:rPr>
                    <w:t>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524" w:type="pc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szCs w:val="21"/>
                    </w:rPr>
                  </w:pPr>
                </w:p>
              </w:tc>
              <w:tc>
                <w:tcPr>
                  <w:tcW w:w="458" w:type="pct"/>
                  <w:vMerge w:val="continue"/>
                  <w:vAlign w:val="center"/>
                </w:tcPr>
                <w:p>
                  <w:pPr>
                    <w:pStyle w:val="30"/>
                    <w:spacing w:line="360" w:lineRule="exact"/>
                    <w:rPr>
                      <w:color w:val="000000" w:themeColor="text1"/>
                    </w:rPr>
                  </w:pPr>
                </w:p>
              </w:tc>
              <w:tc>
                <w:tcPr>
                  <w:tcW w:w="729" w:type="pct"/>
                  <w:vAlign w:val="center"/>
                </w:tcPr>
                <w:p>
                  <w:pPr>
                    <w:pStyle w:val="30"/>
                    <w:spacing w:line="360" w:lineRule="exact"/>
                    <w:rPr>
                      <w:color w:val="000000" w:themeColor="text1"/>
                    </w:rPr>
                  </w:pPr>
                  <w:r>
                    <w:rPr>
                      <w:color w:val="000000" w:themeColor="text1"/>
                    </w:rPr>
                    <w:t>一般防渗区</w:t>
                  </w:r>
                </w:p>
              </w:tc>
              <w:tc>
                <w:tcPr>
                  <w:tcW w:w="288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根据分区防渗规范要求，项目原料车间、生产车间和产品车间均为一般防渗区，根据调查，项目拟租用厂房地面基础已采用2mm厚的HDPE膜进行了防渗</w:t>
                  </w:r>
                  <w:r>
                    <w:rPr>
                      <w:color w:val="000000" w:themeColor="text1"/>
                      <w:szCs w:val="21"/>
                    </w:rPr>
                    <w:t>；其渗透系数≤1.0×10</w:t>
                  </w:r>
                  <w:r>
                    <w:rPr>
                      <w:color w:val="000000" w:themeColor="text1"/>
                      <w:szCs w:val="21"/>
                      <w:vertAlign w:val="superscript"/>
                    </w:rPr>
                    <w:t>-7</w:t>
                  </w:r>
                  <w:r>
                    <w:rPr>
                      <w:color w:val="000000" w:themeColor="text1"/>
                      <w:szCs w:val="21"/>
                    </w:rPr>
                    <w:t>cm/s。</w:t>
                  </w:r>
                </w:p>
              </w:tc>
              <w:tc>
                <w:tcPr>
                  <w:tcW w:w="524" w:type="pc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szCs w:val="21"/>
                    </w:rPr>
                  </w:pPr>
                </w:p>
              </w:tc>
              <w:tc>
                <w:tcPr>
                  <w:tcW w:w="458" w:type="pct"/>
                  <w:vAlign w:val="center"/>
                </w:tcPr>
                <w:p>
                  <w:pPr>
                    <w:pStyle w:val="30"/>
                    <w:spacing w:line="360" w:lineRule="exact"/>
                    <w:rPr>
                      <w:color w:val="000000" w:themeColor="text1"/>
                      <w:szCs w:val="21"/>
                    </w:rPr>
                  </w:pPr>
                  <w:r>
                    <w:rPr>
                      <w:color w:val="000000" w:themeColor="text1"/>
                      <w:szCs w:val="21"/>
                    </w:rPr>
                    <w:t>噪声</w:t>
                  </w:r>
                </w:p>
              </w:tc>
              <w:tc>
                <w:tcPr>
                  <w:tcW w:w="729" w:type="pct"/>
                  <w:vAlign w:val="center"/>
                </w:tcPr>
                <w:p>
                  <w:pPr>
                    <w:pStyle w:val="30"/>
                    <w:spacing w:line="360" w:lineRule="exact"/>
                    <w:rPr>
                      <w:color w:val="000000" w:themeColor="text1"/>
                      <w:szCs w:val="21"/>
                    </w:rPr>
                  </w:pPr>
                  <w:r>
                    <w:rPr>
                      <w:color w:val="000000" w:themeColor="text1"/>
                      <w:szCs w:val="21"/>
                    </w:rPr>
                    <w:t>设备噪声</w:t>
                  </w:r>
                </w:p>
              </w:tc>
              <w:tc>
                <w:tcPr>
                  <w:tcW w:w="2889" w:type="pct"/>
                  <w:vAlign w:val="center"/>
                </w:tcPr>
                <w:p>
                  <w:pPr>
                    <w:pStyle w:val="30"/>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524" w:type="pct"/>
                  <w:vAlign w:val="center"/>
                </w:tcPr>
                <w:p>
                  <w:pPr>
                    <w:pStyle w:val="30"/>
                    <w:spacing w:line="360" w:lineRule="exact"/>
                    <w:rPr>
                      <w:rFonts w:eastAsiaTheme="minorEastAsia"/>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szCs w:val="21"/>
                    </w:rPr>
                  </w:pPr>
                </w:p>
              </w:tc>
              <w:tc>
                <w:tcPr>
                  <w:tcW w:w="458" w:type="pct"/>
                  <w:vMerge w:val="restart"/>
                  <w:vAlign w:val="center"/>
                </w:tcPr>
                <w:p>
                  <w:pPr>
                    <w:pStyle w:val="30"/>
                    <w:spacing w:line="360" w:lineRule="exact"/>
                    <w:rPr>
                      <w:color w:val="000000" w:themeColor="text1"/>
                      <w:szCs w:val="21"/>
                    </w:rPr>
                  </w:pPr>
                  <w:r>
                    <w:rPr>
                      <w:color w:val="000000" w:themeColor="text1"/>
                      <w:szCs w:val="21"/>
                    </w:rPr>
                    <w:t>固废</w:t>
                  </w:r>
                </w:p>
              </w:tc>
              <w:tc>
                <w:tcPr>
                  <w:tcW w:w="729" w:type="pct"/>
                  <w:vAlign w:val="center"/>
                </w:tcPr>
                <w:p>
                  <w:pPr>
                    <w:pStyle w:val="30"/>
                    <w:spacing w:line="360" w:lineRule="exact"/>
                    <w:rPr>
                      <w:color w:val="000000" w:themeColor="text1"/>
                      <w:szCs w:val="21"/>
                    </w:rPr>
                  </w:pPr>
                  <w:r>
                    <w:rPr>
                      <w:color w:val="000000" w:themeColor="text1"/>
                      <w:szCs w:val="21"/>
                    </w:rPr>
                    <w:t>危险废物贮存间</w:t>
                  </w:r>
                </w:p>
              </w:tc>
              <w:tc>
                <w:tcPr>
                  <w:tcW w:w="2889" w:type="pct"/>
                  <w:vAlign w:val="center"/>
                </w:tcPr>
                <w:p>
                  <w:pPr>
                    <w:pStyle w:val="30"/>
                    <w:spacing w:line="360" w:lineRule="exact"/>
                    <w:ind w:firstLine="210" w:firstLineChars="100"/>
                    <w:jc w:val="both"/>
                    <w:rPr>
                      <w:color w:val="000000" w:themeColor="text1"/>
                      <w:szCs w:val="21"/>
                    </w:rPr>
                  </w:pPr>
                  <w:r>
                    <w:rPr>
                      <w:color w:val="000000" w:themeColor="text1"/>
                      <w:szCs w:val="21"/>
                    </w:rPr>
                    <w:t>针对项目产生的废机油，厂区拟建设1个6m²的危险废物贮存间对</w:t>
                  </w:r>
                  <w:r>
                    <w:rPr>
                      <w:rFonts w:hint="eastAsia"/>
                      <w:color w:val="000000" w:themeColor="text1"/>
                      <w:szCs w:val="21"/>
                    </w:rPr>
                    <w:t>其</w:t>
                  </w:r>
                  <w:r>
                    <w:rPr>
                      <w:color w:val="000000" w:themeColor="text1"/>
                      <w:szCs w:val="21"/>
                    </w:rPr>
                    <w:t>进行暂存。部分用于生产设备润滑使用，无法使用部分委托有资质的单位处置。</w:t>
                  </w:r>
                </w:p>
              </w:tc>
              <w:tc>
                <w:tcPr>
                  <w:tcW w:w="524" w:type="pc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szCs w:val="21"/>
                    </w:rPr>
                  </w:pPr>
                </w:p>
              </w:tc>
              <w:tc>
                <w:tcPr>
                  <w:tcW w:w="458" w:type="pct"/>
                  <w:vMerge w:val="continue"/>
                  <w:vAlign w:val="center"/>
                </w:tcPr>
                <w:p>
                  <w:pPr>
                    <w:pStyle w:val="30"/>
                    <w:spacing w:line="360" w:lineRule="exact"/>
                    <w:rPr>
                      <w:color w:val="000000" w:themeColor="text1"/>
                      <w:szCs w:val="21"/>
                    </w:rPr>
                  </w:pPr>
                </w:p>
              </w:tc>
              <w:tc>
                <w:tcPr>
                  <w:tcW w:w="729" w:type="pct"/>
                  <w:vAlign w:val="center"/>
                </w:tcPr>
                <w:p>
                  <w:pPr>
                    <w:pStyle w:val="30"/>
                    <w:spacing w:line="360" w:lineRule="exact"/>
                    <w:rPr>
                      <w:color w:val="000000" w:themeColor="text1"/>
                      <w:szCs w:val="21"/>
                    </w:rPr>
                  </w:pPr>
                  <w:r>
                    <w:rPr>
                      <w:rFonts w:hint="eastAsia"/>
                      <w:color w:val="000000" w:themeColor="text1"/>
                      <w:szCs w:val="21"/>
                    </w:rPr>
                    <w:t>废包装袋贮存区</w:t>
                  </w:r>
                </w:p>
              </w:tc>
              <w:tc>
                <w:tcPr>
                  <w:tcW w:w="2889" w:type="pct"/>
                  <w:vAlign w:val="center"/>
                </w:tcPr>
                <w:p>
                  <w:pPr>
                    <w:pStyle w:val="30"/>
                    <w:spacing w:line="360" w:lineRule="exact"/>
                    <w:ind w:firstLine="210" w:firstLineChars="100"/>
                    <w:jc w:val="both"/>
                    <w:rPr>
                      <w:color w:val="000000" w:themeColor="text1"/>
                      <w:szCs w:val="21"/>
                    </w:rPr>
                  </w:pPr>
                  <w:r>
                    <w:rPr>
                      <w:color w:val="000000" w:themeColor="text1"/>
                      <w:szCs w:val="21"/>
                    </w:rPr>
                    <w:t>针对项目产生的</w:t>
                  </w:r>
                  <w:r>
                    <w:rPr>
                      <w:rFonts w:hint="eastAsia"/>
                      <w:color w:val="000000" w:themeColor="text1"/>
                      <w:szCs w:val="21"/>
                    </w:rPr>
                    <w:t>废包装袋</w:t>
                  </w:r>
                  <w:r>
                    <w:rPr>
                      <w:color w:val="000000" w:themeColor="text1"/>
                      <w:szCs w:val="21"/>
                    </w:rPr>
                    <w:t>，厂区拟建设1个</w:t>
                  </w:r>
                  <w:r>
                    <w:rPr>
                      <w:rFonts w:hint="eastAsia"/>
                      <w:color w:val="000000" w:themeColor="text1"/>
                      <w:szCs w:val="21"/>
                    </w:rPr>
                    <w:t>10</w:t>
                  </w:r>
                  <w:r>
                    <w:rPr>
                      <w:color w:val="000000" w:themeColor="text1"/>
                      <w:szCs w:val="21"/>
                    </w:rPr>
                    <w:t>m²的</w:t>
                  </w:r>
                  <w:r>
                    <w:rPr>
                      <w:rFonts w:hint="eastAsia"/>
                      <w:color w:val="000000" w:themeColor="text1"/>
                      <w:szCs w:val="21"/>
                    </w:rPr>
                    <w:t>废包装袋贮存区</w:t>
                  </w:r>
                  <w:r>
                    <w:rPr>
                      <w:color w:val="000000" w:themeColor="text1"/>
                      <w:szCs w:val="21"/>
                    </w:rPr>
                    <w:t>对</w:t>
                  </w:r>
                  <w:r>
                    <w:rPr>
                      <w:rFonts w:hint="eastAsia"/>
                      <w:color w:val="000000" w:themeColor="text1"/>
                      <w:szCs w:val="21"/>
                    </w:rPr>
                    <w:t>其</w:t>
                  </w:r>
                  <w:r>
                    <w:rPr>
                      <w:color w:val="000000" w:themeColor="text1"/>
                      <w:szCs w:val="21"/>
                    </w:rPr>
                    <w:t>进行暂存</w:t>
                  </w:r>
                  <w:r>
                    <w:rPr>
                      <w:rFonts w:hint="eastAsia"/>
                      <w:color w:val="000000" w:themeColor="text1"/>
                      <w:szCs w:val="21"/>
                    </w:rPr>
                    <w:t>，贮存后可回收利用（未破损）部分交原料供应单位回收利用，破损部分委托环卫部门处置。</w:t>
                  </w:r>
                </w:p>
              </w:tc>
              <w:tc>
                <w:tcPr>
                  <w:tcW w:w="524" w:type="pct"/>
                  <w:vAlign w:val="center"/>
                </w:tcPr>
                <w:p>
                  <w:pPr>
                    <w:pStyle w:val="30"/>
                    <w:spacing w:line="360" w:lineRule="exact"/>
                    <w:rPr>
                      <w:rFonts w:hint="eastAsia"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Merge w:val="continue"/>
                  <w:vAlign w:val="center"/>
                </w:tcPr>
                <w:p>
                  <w:pPr>
                    <w:pStyle w:val="30"/>
                    <w:spacing w:line="360" w:lineRule="exact"/>
                    <w:rPr>
                      <w:color w:val="000000" w:themeColor="text1"/>
                      <w:szCs w:val="21"/>
                    </w:rPr>
                  </w:pPr>
                </w:p>
              </w:tc>
              <w:tc>
                <w:tcPr>
                  <w:tcW w:w="458" w:type="pct"/>
                  <w:vAlign w:val="center"/>
                </w:tcPr>
                <w:p>
                  <w:pPr>
                    <w:pStyle w:val="30"/>
                    <w:spacing w:line="360" w:lineRule="exact"/>
                    <w:rPr>
                      <w:color w:val="000000" w:themeColor="text1"/>
                      <w:szCs w:val="21"/>
                    </w:rPr>
                  </w:pPr>
                  <w:r>
                    <w:rPr>
                      <w:color w:val="000000" w:themeColor="text1"/>
                      <w:szCs w:val="21"/>
                    </w:rPr>
                    <w:t>其他</w:t>
                  </w:r>
                </w:p>
              </w:tc>
              <w:tc>
                <w:tcPr>
                  <w:tcW w:w="729" w:type="pct"/>
                  <w:vAlign w:val="center"/>
                </w:tcPr>
                <w:p>
                  <w:pPr>
                    <w:pStyle w:val="30"/>
                    <w:spacing w:line="360" w:lineRule="exact"/>
                    <w:rPr>
                      <w:color w:val="000000" w:themeColor="text1"/>
                      <w:szCs w:val="21"/>
                    </w:rPr>
                  </w:pPr>
                  <w:r>
                    <w:rPr>
                      <w:color w:val="000000" w:themeColor="text1"/>
                      <w:szCs w:val="21"/>
                    </w:rPr>
                    <w:t>标识牌</w:t>
                  </w:r>
                </w:p>
              </w:tc>
              <w:tc>
                <w:tcPr>
                  <w:tcW w:w="2889" w:type="pct"/>
                  <w:vAlign w:val="center"/>
                </w:tcPr>
                <w:p>
                  <w:pPr>
                    <w:pStyle w:val="30"/>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524" w:type="pct"/>
                  <w:vAlign w:val="center"/>
                </w:tcPr>
                <w:p>
                  <w:pPr>
                    <w:pStyle w:val="30"/>
                    <w:spacing w:line="360" w:lineRule="exact"/>
                    <w:rPr>
                      <w:color w:val="000000" w:themeColor="text1"/>
                      <w:szCs w:val="21"/>
                    </w:rPr>
                  </w:pPr>
                  <w:r>
                    <w:rPr>
                      <w:rFonts w:hint="eastAsia" w:eastAsiaTheme="minorEastAsia"/>
                      <w:color w:val="000000" w:themeColor="text1"/>
                      <w:szCs w:val="21"/>
                    </w:rPr>
                    <w:t>环评提出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1" w:name="_Toc493693536"/>
            <w:bookmarkStart w:id="2" w:name="_Toc433544969"/>
            <w:r>
              <w:rPr>
                <w:rFonts w:ascii="Times New Roman" w:hAnsi="Times New Roman" w:cs="Times New Roman"/>
                <w:b/>
                <w:color w:val="000000" w:themeColor="text1"/>
                <w:sz w:val="24"/>
                <w:szCs w:val="24"/>
              </w:rPr>
              <w:t>2.2 总平面布置</w:t>
            </w:r>
            <w:bookmarkEnd w:id="1"/>
            <w:bookmarkEnd w:id="2"/>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根据设计，项目占地面积约为2000m²，</w:t>
            </w:r>
            <w:r>
              <w:rPr>
                <w:rFonts w:hint="eastAsia" w:ascii="Times New Roman" w:hAnsi="Times New Roman" w:cs="Times New Roman"/>
                <w:color w:val="000000" w:themeColor="text1"/>
                <w:sz w:val="24"/>
                <w:szCs w:val="24"/>
              </w:rPr>
              <w:t>项目可分为原料车间、生产车间和产品车间，其中原料车间位项目区东南侧，生产车间位于项目区中不，产品车间位于项目区西北侧。集气罩位于各给料料斗侧上方，1#袋式除尘器和排气筒位于多功能搅拌机旁，2#袋式除尘器位于水泥仓</w:t>
            </w:r>
            <w:r>
              <w:rPr>
                <w:rFonts w:ascii="Times New Roman" w:hAnsi="Times New Roman" w:cs="Times New Roman"/>
                <w:color w:val="000000" w:themeColor="text1"/>
                <w:sz w:val="24"/>
                <w:szCs w:val="24"/>
              </w:rPr>
              <w:t>顶端</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根据项目特点可知，该项目生产工艺的平面布置对环境影响不大，因此项目平面布置合理。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项目生产车间平面布置详见附图2-2  项目生产</w:t>
            </w:r>
            <w:r>
              <w:rPr>
                <w:rFonts w:hint="eastAsia" w:ascii="Times New Roman" w:hAnsi="Times New Roman" w:cs="Times New Roman"/>
                <w:color w:val="000000" w:themeColor="text1"/>
                <w:sz w:val="24"/>
                <w:szCs w:val="24"/>
              </w:rPr>
              <w:t>线</w:t>
            </w:r>
            <w:r>
              <w:rPr>
                <w:rFonts w:ascii="Times New Roman" w:hAnsi="Times New Roman" w:cs="Times New Roman"/>
                <w:color w:val="000000" w:themeColor="text1"/>
                <w:sz w:val="24"/>
                <w:szCs w:val="24"/>
              </w:rPr>
              <w:t>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w:t>
            </w:r>
            <w:r>
              <w:rPr>
                <w:rFonts w:hint="eastAsia" w:ascii="Times New Roman" w:hAnsi="Times New Roman" w:cs="Times New Roman"/>
                <w:color w:val="000000" w:themeColor="text1"/>
                <w:sz w:val="24"/>
                <w:szCs w:val="24"/>
              </w:rPr>
              <w:t>该项目利用铝矾土、泡棉、机制砂和水泥搅拌混合生产轻集料混凝土，建后年产</w:t>
            </w:r>
            <w:r>
              <w:rPr>
                <w:rFonts w:ascii="Times New Roman" w:hAnsi="Times New Roman" w:cs="Times New Roman"/>
                <w:color w:val="000000" w:themeColor="text1"/>
                <w:sz w:val="24"/>
                <w:szCs w:val="24"/>
              </w:rPr>
              <w:t>轻集料混凝土</w:t>
            </w:r>
            <w:r>
              <w:rPr>
                <w:rFonts w:hint="eastAsia" w:ascii="Times New Roman" w:hAnsi="Times New Roman" w:cs="Times New Roman"/>
                <w:color w:val="000000" w:themeColor="text1"/>
                <w:sz w:val="24"/>
                <w:szCs w:val="24"/>
              </w:rPr>
              <w:t>11935t/a，该产品为固体混合物，袋装运输至施工场地，直接加水使用。</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根据设计，项目主要生产单元、主要工艺、生产设施及设施参数如下表所示。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12"/>
              <w:gridCol w:w="715"/>
              <w:gridCol w:w="1432"/>
              <w:gridCol w:w="2291"/>
              <w:gridCol w:w="1850"/>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主要生产单元</w:t>
                  </w:r>
                </w:p>
              </w:tc>
              <w:tc>
                <w:tcPr>
                  <w:tcW w:w="2126"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主要工艺</w:t>
                  </w: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生产设施</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设施参数</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Merge w:val="restart"/>
                  <w:tcBorders>
                    <w:top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主体工程</w:t>
                  </w:r>
                </w:p>
              </w:tc>
              <w:tc>
                <w:tcPr>
                  <w:tcW w:w="708" w:type="dxa"/>
                  <w:vMerge w:val="restart"/>
                  <w:tcBorders>
                    <w:top w:val="single" w:color="auto" w:sz="4" w:space="0"/>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生产车间</w:t>
                  </w:r>
                </w:p>
              </w:tc>
              <w:tc>
                <w:tcPr>
                  <w:tcW w:w="1418" w:type="dxa"/>
                  <w:vMerge w:val="restart"/>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cs="Times New Roman"/>
                      <w:color w:val="000000" w:themeColor="text1"/>
                      <w:szCs w:val="20"/>
                    </w:rPr>
                    <w:t>轻集料混凝土</w:t>
                  </w:r>
                  <w:r>
                    <w:rPr>
                      <w:rFonts w:hint="eastAsia"/>
                      <w:color w:val="000000" w:themeColor="text1"/>
                      <w:szCs w:val="20"/>
                    </w:rPr>
                    <w:t>生产线</w:t>
                  </w: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多功能给料</w:t>
                  </w:r>
                  <w:r>
                    <w:rPr>
                      <w:rFonts w:hint="eastAsia" w:ascii="Times New Roman" w:hAnsi="Times New Roman" w:eastAsia="宋体" w:cs="Times New Roman"/>
                      <w:color w:val="000000" w:themeColor="text1"/>
                      <w:kern w:val="32"/>
                    </w:rPr>
                    <w:t>斗</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5m³/个</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3</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Merge w:val="continue"/>
                  <w:tcBorders>
                    <w:bottom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418"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多功能混合搅拌机</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5t/h</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Merge w:val="restart"/>
                  <w:tcBorders>
                    <w:top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储运工程</w:t>
                  </w:r>
                </w:p>
              </w:tc>
              <w:tc>
                <w:tcPr>
                  <w:tcW w:w="708" w:type="dxa"/>
                  <w:vMerge w:val="restart"/>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原料车间</w:t>
                  </w:r>
                </w:p>
              </w:tc>
              <w:tc>
                <w:tcPr>
                  <w:tcW w:w="1418" w:type="dxa"/>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原料贮存</w:t>
                  </w: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水泥仓</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60t/个</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0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418" w:type="dxa"/>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运输</w:t>
                  </w:r>
                </w:p>
              </w:tc>
              <w:tc>
                <w:tcPr>
                  <w:tcW w:w="2268"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叉车</w:t>
                  </w:r>
                </w:p>
              </w:tc>
              <w:tc>
                <w:tcPr>
                  <w:tcW w:w="1832"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5t</w:t>
                  </w:r>
                </w:p>
              </w:tc>
              <w:tc>
                <w:tcPr>
                  <w:tcW w:w="1195"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2辆</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2.5.1 </w:t>
            </w:r>
            <w:r>
              <w:rPr>
                <w:rFonts w:hint="eastAsia" w:ascii="Times New Roman" w:hAnsi="Times New Roman" w:cs="Times New Roman"/>
                <w:b/>
                <w:color w:val="000000" w:themeColor="text1"/>
                <w:sz w:val="24"/>
                <w:szCs w:val="24"/>
              </w:rPr>
              <w:t>原辅料用量</w:t>
            </w:r>
            <w:r>
              <w:rPr>
                <w:rFonts w:ascii="Times New Roman" w:hAnsi="Times New Roman" w:cs="Times New Roman"/>
                <w:b/>
                <w:color w:val="000000" w:themeColor="text1"/>
                <w:sz w:val="24"/>
                <w:szCs w:val="24"/>
              </w:rPr>
              <w:t>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该项目利用铝矾土、泡棉、机制砂和水泥搅拌混合生产轻集料混凝土，</w:t>
            </w:r>
            <w:r>
              <w:rPr>
                <w:rFonts w:ascii="Times New Roman" w:hAnsi="Times New Roman" w:cs="Times New Roman"/>
                <w:color w:val="000000" w:themeColor="text1"/>
                <w:sz w:val="24"/>
                <w:szCs w:val="24"/>
              </w:rPr>
              <w:t>主要原辅料用量如下表所示。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表2.5.1-1  项目原辅</w:t>
            </w:r>
            <w:r>
              <w:rPr>
                <w:rFonts w:hint="eastAsia" w:ascii="Times New Roman" w:hAnsi="Times New Roman" w:cs="Times New Roman"/>
                <w:b/>
                <w:color w:val="000000" w:themeColor="text1"/>
                <w:szCs w:val="24"/>
              </w:rPr>
              <w:t>料用</w:t>
            </w:r>
            <w:r>
              <w:rPr>
                <w:rFonts w:ascii="Times New Roman" w:hAnsi="Times New Roman" w:cs="Times New Roman"/>
                <w:b/>
                <w:color w:val="000000" w:themeColor="text1"/>
                <w:szCs w:val="24"/>
              </w:rPr>
              <w:t>量消耗表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58"/>
              <w:gridCol w:w="943"/>
              <w:gridCol w:w="992"/>
              <w:gridCol w:w="1276"/>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序号</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名称</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用量</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最大贮存量</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形态及贮存方式</w:t>
                  </w:r>
                </w:p>
              </w:tc>
              <w:tc>
                <w:tcPr>
                  <w:tcW w:w="3901"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铝矾土</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4178t/a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348t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颗粒状、袋装贮存</w:t>
                  </w:r>
                </w:p>
              </w:tc>
              <w:tc>
                <w:tcPr>
                  <w:tcW w:w="3901"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云南凯凌环保工程有限公司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泡棉</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2625t/a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218t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颗粒状、袋装贮存</w:t>
                  </w:r>
                </w:p>
              </w:tc>
              <w:tc>
                <w:tcPr>
                  <w:tcW w:w="3901"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云南华再新源环保产业发展有限公司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3</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机制砂</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2148t/a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800t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规格为0-3cm，散装贮存</w:t>
                  </w:r>
                </w:p>
              </w:tc>
              <w:tc>
                <w:tcPr>
                  <w:tcW w:w="3901"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4</w:t>
                  </w:r>
                </w:p>
              </w:tc>
              <w:tc>
                <w:tcPr>
                  <w:tcW w:w="95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水泥</w:t>
                  </w:r>
                </w:p>
              </w:tc>
              <w:tc>
                <w:tcPr>
                  <w:tcW w:w="94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2984t/a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60t</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罐装贮存</w:t>
                  </w:r>
                </w:p>
              </w:tc>
              <w:tc>
                <w:tcPr>
                  <w:tcW w:w="3901"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市场购买</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2.5.2 原辅料性质</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（1）铝矾土性质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该项目拟使用的铝矾土来源于</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处理铝灰（撇渣）得到的产品，其性质与自然界中的铝土矿相似，是一种含铝的原料，其氧化铝含量高达</w:t>
            </w:r>
            <w:r>
              <w:rPr>
                <w:rFonts w:ascii="Times New Roman" w:hAnsi="Times New Roman" w:cs="Times New Roman"/>
                <w:color w:val="000000" w:themeColor="text1"/>
                <w:sz w:val="24"/>
                <w:szCs w:val="24"/>
              </w:rPr>
              <w:t>70%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为了解该产品的危险特性，委托云南天倪检测有限公司于2023年3月3日对其进行了属性鉴别。</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根据监测报告，铝矾土通过酸浸后，其</w:t>
            </w:r>
            <w:r>
              <w:rPr>
                <w:rFonts w:ascii="Times New Roman" w:hAnsi="Times New Roman" w:cs="Times New Roman"/>
                <w:color w:val="000000" w:themeColor="text1"/>
                <w:sz w:val="24"/>
                <w:szCs w:val="24"/>
              </w:rPr>
              <w:t>腐蚀性及浸出毒性鉴别结果见下表。</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2.5.2-1</w:t>
            </w:r>
            <w:r>
              <w:rPr>
                <w:rFonts w:ascii="Times New Roman" w:hAnsi="Times New Roman" w:eastAsia="宋体" w:cs="Times New Roman"/>
                <w:b/>
                <w:color w:val="000000" w:themeColor="text1"/>
              </w:rPr>
              <w:t xml:space="preserve"> </w:t>
            </w:r>
            <w:r>
              <w:rPr>
                <w:rFonts w:hint="eastAsia" w:ascii="Times New Roman" w:hAnsi="Times New Roman" w:eastAsia="宋体" w:cs="Times New Roman"/>
                <w:b/>
                <w:color w:val="000000" w:themeColor="text1"/>
              </w:rPr>
              <w:t>铝矾土</w:t>
            </w:r>
            <w:r>
              <w:rPr>
                <w:rFonts w:ascii="Times New Roman" w:hAnsi="Times New Roman" w:eastAsia="宋体" w:cs="Times New Roman"/>
                <w:b/>
                <w:color w:val="000000" w:themeColor="text1"/>
              </w:rPr>
              <w:t>腐蚀性、浸出毒性检测结果一览表</w:t>
            </w:r>
            <w:r>
              <w:rPr>
                <w:rFonts w:hint="eastAsia" w:ascii="Times New Roman" w:hAnsi="Times New Roman" w:eastAsia="宋体" w:cs="Times New Roman"/>
                <w:b/>
                <w:color w:val="000000" w:themeColor="text1"/>
              </w:rPr>
              <w:t xml:space="preserve"> mg/L</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8"/>
              <w:gridCol w:w="1134"/>
              <w:gridCol w:w="1276"/>
              <w:gridCol w:w="1417"/>
              <w:gridCol w:w="1394"/>
              <w:gridCol w:w="26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738" w:type="dxa"/>
                  <w:vAlign w:val="center"/>
                </w:tcPr>
                <w:p>
                  <w:pPr>
                    <w:pStyle w:val="30"/>
                    <w:spacing w:line="360" w:lineRule="exact"/>
                    <w:rPr>
                      <w:color w:val="000000" w:themeColor="text1"/>
                      <w:szCs w:val="21"/>
                    </w:rPr>
                  </w:pPr>
                  <w:r>
                    <w:rPr>
                      <w:color w:val="000000" w:themeColor="text1"/>
                      <w:szCs w:val="21"/>
                    </w:rPr>
                    <w:t>序号</w:t>
                  </w:r>
                </w:p>
              </w:tc>
              <w:tc>
                <w:tcPr>
                  <w:tcW w:w="2410" w:type="dxa"/>
                  <w:gridSpan w:val="2"/>
                  <w:vAlign w:val="center"/>
                </w:tcPr>
                <w:p>
                  <w:pPr>
                    <w:pStyle w:val="30"/>
                    <w:spacing w:line="360" w:lineRule="exact"/>
                    <w:rPr>
                      <w:color w:val="000000" w:themeColor="text1"/>
                      <w:szCs w:val="21"/>
                    </w:rPr>
                  </w:pPr>
                  <w:r>
                    <w:rPr>
                      <w:color w:val="000000" w:themeColor="text1"/>
                      <w:szCs w:val="21"/>
                    </w:rPr>
                    <w:t>污染因子</w:t>
                  </w:r>
                </w:p>
              </w:tc>
              <w:tc>
                <w:tcPr>
                  <w:tcW w:w="1417" w:type="dxa"/>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1#样</w:t>
                  </w:r>
                  <w:r>
                    <w:rPr>
                      <w:color w:val="000000" w:themeColor="text1"/>
                      <w:szCs w:val="21"/>
                    </w:rPr>
                    <w:t>检出值</w:t>
                  </w:r>
                </w:p>
              </w:tc>
              <w:tc>
                <w:tcPr>
                  <w:tcW w:w="1394" w:type="dxa"/>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2#样</w:t>
                  </w:r>
                  <w:r>
                    <w:rPr>
                      <w:color w:val="000000" w:themeColor="text1"/>
                      <w:szCs w:val="21"/>
                    </w:rPr>
                    <w:t>检出值</w:t>
                  </w:r>
                </w:p>
              </w:tc>
              <w:tc>
                <w:tcPr>
                  <w:tcW w:w="2649" w:type="dxa"/>
                  <w:vAlign w:val="center"/>
                </w:tcPr>
                <w:p>
                  <w:pPr>
                    <w:pStyle w:val="30"/>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w:t>
                  </w:r>
                </w:p>
              </w:tc>
              <w:tc>
                <w:tcPr>
                  <w:tcW w:w="2410" w:type="dxa"/>
                  <w:gridSpan w:val="2"/>
                  <w:vAlign w:val="center"/>
                </w:tcPr>
                <w:p>
                  <w:pPr>
                    <w:pStyle w:val="30"/>
                    <w:spacing w:line="360" w:lineRule="exact"/>
                    <w:rPr>
                      <w:color w:val="000000" w:themeColor="text1"/>
                      <w:szCs w:val="21"/>
                    </w:rPr>
                  </w:pPr>
                  <w:r>
                    <w:rPr>
                      <w:color w:val="000000" w:themeColor="text1"/>
                      <w:szCs w:val="21"/>
                    </w:rPr>
                    <w:t>pH值</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9.14</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8.90</w:t>
                  </w:r>
                </w:p>
              </w:tc>
              <w:tc>
                <w:tcPr>
                  <w:tcW w:w="2649" w:type="dxa"/>
                  <w:vAlign w:val="center"/>
                </w:tcPr>
                <w:p>
                  <w:pPr>
                    <w:pStyle w:val="30"/>
                    <w:spacing w:line="360" w:lineRule="exact"/>
                    <w:rPr>
                      <w:color w:val="000000" w:themeColor="text1"/>
                      <w:szCs w:val="21"/>
                    </w:rPr>
                  </w:pPr>
                  <w:r>
                    <w:rPr>
                      <w:color w:val="000000" w:themeColor="text1"/>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rFonts w:hint="eastAsia"/>
                      <w:color w:val="000000" w:themeColor="text1"/>
                      <w:szCs w:val="21"/>
                    </w:rPr>
                    <w:t>2</w:t>
                  </w:r>
                </w:p>
              </w:tc>
              <w:tc>
                <w:tcPr>
                  <w:tcW w:w="2410" w:type="dxa"/>
                  <w:gridSpan w:val="2"/>
                  <w:vAlign w:val="center"/>
                </w:tcPr>
                <w:p>
                  <w:pPr>
                    <w:pStyle w:val="30"/>
                    <w:spacing w:line="360" w:lineRule="exact"/>
                    <w:rPr>
                      <w:color w:val="000000" w:themeColor="text1"/>
                      <w:szCs w:val="21"/>
                    </w:rPr>
                  </w:pPr>
                  <w:r>
                    <w:rPr>
                      <w:color w:val="000000" w:themeColor="text1"/>
                      <w:szCs w:val="21"/>
                    </w:rPr>
                    <w:t>铜</w:t>
                  </w:r>
                </w:p>
              </w:tc>
              <w:tc>
                <w:tcPr>
                  <w:tcW w:w="1417" w:type="dxa"/>
                  <w:tcBorders>
                    <w:right w:val="single" w:color="auto" w:sz="4" w:space="0"/>
                  </w:tcBorders>
                </w:tcPr>
                <w:p>
                  <w:pPr>
                    <w:pStyle w:val="30"/>
                    <w:spacing w:line="360" w:lineRule="exact"/>
                    <w:rPr>
                      <w:color w:val="000000" w:themeColor="text1"/>
                      <w:szCs w:val="21"/>
                    </w:rPr>
                  </w:pPr>
                  <w:r>
                    <w:rPr>
                      <w:color w:val="000000" w:themeColor="text1"/>
                      <w:szCs w:val="21"/>
                    </w:rPr>
                    <w:t>0.0</w:t>
                  </w:r>
                  <w:r>
                    <w:rPr>
                      <w:rFonts w:hint="eastAsia"/>
                      <w:color w:val="000000" w:themeColor="text1"/>
                      <w:szCs w:val="21"/>
                    </w:rPr>
                    <w:t>5</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0.06</w:t>
                  </w:r>
                </w:p>
              </w:tc>
              <w:tc>
                <w:tcPr>
                  <w:tcW w:w="2649" w:type="dxa"/>
                  <w:vAlign w:val="center"/>
                </w:tcPr>
                <w:p>
                  <w:pPr>
                    <w:pStyle w:val="30"/>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rFonts w:hint="eastAsia"/>
                      <w:color w:val="000000" w:themeColor="text1"/>
                      <w:szCs w:val="21"/>
                    </w:rPr>
                    <w:t>3</w:t>
                  </w:r>
                </w:p>
              </w:tc>
              <w:tc>
                <w:tcPr>
                  <w:tcW w:w="2410" w:type="dxa"/>
                  <w:gridSpan w:val="2"/>
                  <w:vAlign w:val="center"/>
                </w:tcPr>
                <w:p>
                  <w:pPr>
                    <w:pStyle w:val="30"/>
                    <w:spacing w:line="360" w:lineRule="exact"/>
                    <w:rPr>
                      <w:color w:val="000000" w:themeColor="text1"/>
                      <w:szCs w:val="21"/>
                    </w:rPr>
                  </w:pPr>
                  <w:r>
                    <w:rPr>
                      <w:color w:val="000000" w:themeColor="text1"/>
                      <w:szCs w:val="21"/>
                    </w:rPr>
                    <w:t>锌</w:t>
                  </w:r>
                </w:p>
              </w:tc>
              <w:tc>
                <w:tcPr>
                  <w:tcW w:w="1417" w:type="dxa"/>
                  <w:tcBorders>
                    <w:right w:val="single" w:color="auto" w:sz="4" w:space="0"/>
                  </w:tcBorders>
                </w:tcPr>
                <w:p>
                  <w:pPr>
                    <w:pStyle w:val="30"/>
                    <w:spacing w:line="360" w:lineRule="exact"/>
                    <w:rPr>
                      <w:color w:val="000000" w:themeColor="text1"/>
                      <w:szCs w:val="21"/>
                    </w:rPr>
                  </w:pPr>
                  <w:r>
                    <w:rPr>
                      <w:color w:val="000000" w:themeColor="text1"/>
                      <w:szCs w:val="21"/>
                    </w:rPr>
                    <w:t>0.0</w:t>
                  </w:r>
                  <w:r>
                    <w:rPr>
                      <w:rFonts w:hint="eastAsia"/>
                      <w:color w:val="000000" w:themeColor="text1"/>
                      <w:szCs w:val="21"/>
                    </w:rPr>
                    <w:t>33</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0.034</w:t>
                  </w:r>
                </w:p>
              </w:tc>
              <w:tc>
                <w:tcPr>
                  <w:tcW w:w="2649" w:type="dxa"/>
                  <w:vAlign w:val="center"/>
                </w:tcPr>
                <w:p>
                  <w:pPr>
                    <w:pStyle w:val="30"/>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rFonts w:hint="eastAsia"/>
                      <w:color w:val="000000" w:themeColor="text1"/>
                      <w:szCs w:val="21"/>
                    </w:rPr>
                    <w:t>4</w:t>
                  </w:r>
                </w:p>
              </w:tc>
              <w:tc>
                <w:tcPr>
                  <w:tcW w:w="2410" w:type="dxa"/>
                  <w:gridSpan w:val="2"/>
                  <w:vAlign w:val="center"/>
                </w:tcPr>
                <w:p>
                  <w:pPr>
                    <w:pStyle w:val="30"/>
                    <w:spacing w:line="360" w:lineRule="exact"/>
                    <w:rPr>
                      <w:color w:val="000000" w:themeColor="text1"/>
                      <w:szCs w:val="21"/>
                    </w:rPr>
                  </w:pPr>
                  <w:r>
                    <w:rPr>
                      <w:color w:val="000000" w:themeColor="text1"/>
                      <w:szCs w:val="21"/>
                    </w:rPr>
                    <w:t>镉</w:t>
                  </w:r>
                </w:p>
              </w:tc>
              <w:tc>
                <w:tcPr>
                  <w:tcW w:w="1417" w:type="dxa"/>
                  <w:tcBorders>
                    <w:right w:val="single" w:color="auto" w:sz="4" w:space="0"/>
                  </w:tcBorders>
                </w:tcPr>
                <w:p>
                  <w:pPr>
                    <w:pStyle w:val="30"/>
                    <w:spacing w:line="360" w:lineRule="exact"/>
                    <w:rPr>
                      <w:color w:val="000000" w:themeColor="text1"/>
                      <w:szCs w:val="21"/>
                    </w:rPr>
                  </w:pPr>
                  <w:r>
                    <w:rPr>
                      <w:color w:val="000000" w:themeColor="text1"/>
                      <w:szCs w:val="21"/>
                    </w:rPr>
                    <w:t>0.0</w:t>
                  </w:r>
                  <w:r>
                    <w:rPr>
                      <w:rFonts w:hint="eastAsia"/>
                      <w:color w:val="000000" w:themeColor="text1"/>
                      <w:szCs w:val="21"/>
                    </w:rPr>
                    <w:t>9</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0.08</w:t>
                  </w:r>
                </w:p>
              </w:tc>
              <w:tc>
                <w:tcPr>
                  <w:tcW w:w="2649" w:type="dxa"/>
                  <w:vAlign w:val="center"/>
                </w:tcPr>
                <w:p>
                  <w:pPr>
                    <w:pStyle w:val="30"/>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rFonts w:hint="eastAsia"/>
                      <w:color w:val="000000" w:themeColor="text1"/>
                      <w:szCs w:val="21"/>
                    </w:rPr>
                    <w:t>5</w:t>
                  </w:r>
                </w:p>
              </w:tc>
              <w:tc>
                <w:tcPr>
                  <w:tcW w:w="2410" w:type="dxa"/>
                  <w:gridSpan w:val="2"/>
                  <w:vAlign w:val="center"/>
                </w:tcPr>
                <w:p>
                  <w:pPr>
                    <w:pStyle w:val="30"/>
                    <w:spacing w:line="360" w:lineRule="exact"/>
                    <w:rPr>
                      <w:color w:val="000000" w:themeColor="text1"/>
                      <w:szCs w:val="21"/>
                    </w:rPr>
                  </w:pPr>
                  <w:r>
                    <w:rPr>
                      <w:color w:val="000000" w:themeColor="text1"/>
                      <w:szCs w:val="21"/>
                    </w:rPr>
                    <w:t>铅</w:t>
                  </w:r>
                </w:p>
              </w:tc>
              <w:tc>
                <w:tcPr>
                  <w:tcW w:w="1417" w:type="dxa"/>
                  <w:tcBorders>
                    <w:right w:val="single" w:color="auto" w:sz="4" w:space="0"/>
                  </w:tcBorders>
                </w:tcPr>
                <w:p>
                  <w:pPr>
                    <w:pStyle w:val="30"/>
                    <w:spacing w:line="360" w:lineRule="exact"/>
                    <w:rPr>
                      <w:color w:val="000000" w:themeColor="text1"/>
                      <w:szCs w:val="21"/>
                    </w:rPr>
                  </w:pPr>
                  <w:r>
                    <w:rPr>
                      <w:color w:val="000000" w:themeColor="text1"/>
                      <w:szCs w:val="21"/>
                    </w:rPr>
                    <w:t>0.1L</w:t>
                  </w:r>
                </w:p>
              </w:tc>
              <w:tc>
                <w:tcPr>
                  <w:tcW w:w="1394" w:type="dxa"/>
                  <w:tcBorders>
                    <w:right w:val="single" w:color="auto" w:sz="4" w:space="0"/>
                  </w:tcBorders>
                </w:tcPr>
                <w:p>
                  <w:pPr>
                    <w:pStyle w:val="30"/>
                    <w:spacing w:line="360" w:lineRule="exact"/>
                    <w:rPr>
                      <w:color w:val="000000" w:themeColor="text1"/>
                      <w:szCs w:val="21"/>
                    </w:rPr>
                  </w:pPr>
                  <w:r>
                    <w:rPr>
                      <w:color w:val="000000" w:themeColor="text1"/>
                      <w:szCs w:val="21"/>
                    </w:rPr>
                    <w:t>0.1L</w:t>
                  </w:r>
                </w:p>
              </w:tc>
              <w:tc>
                <w:tcPr>
                  <w:tcW w:w="2649" w:type="dxa"/>
                  <w:vAlign w:val="center"/>
                </w:tcPr>
                <w:p>
                  <w:pPr>
                    <w:pStyle w:val="30"/>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rFonts w:hint="eastAsia"/>
                      <w:color w:val="000000" w:themeColor="text1"/>
                      <w:szCs w:val="21"/>
                    </w:rPr>
                    <w:t>6</w:t>
                  </w:r>
                </w:p>
              </w:tc>
              <w:tc>
                <w:tcPr>
                  <w:tcW w:w="2410" w:type="dxa"/>
                  <w:gridSpan w:val="2"/>
                  <w:vAlign w:val="center"/>
                </w:tcPr>
                <w:p>
                  <w:pPr>
                    <w:pStyle w:val="30"/>
                    <w:spacing w:line="360" w:lineRule="exact"/>
                    <w:rPr>
                      <w:color w:val="000000" w:themeColor="text1"/>
                      <w:szCs w:val="21"/>
                    </w:rPr>
                  </w:pPr>
                  <w:r>
                    <w:rPr>
                      <w:color w:val="000000" w:themeColor="text1"/>
                      <w:szCs w:val="21"/>
                    </w:rPr>
                    <w:t>总铬</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0.027</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0.026</w:t>
                  </w:r>
                </w:p>
              </w:tc>
              <w:tc>
                <w:tcPr>
                  <w:tcW w:w="2649" w:type="dxa"/>
                  <w:vAlign w:val="center"/>
                </w:tcPr>
                <w:p>
                  <w:pPr>
                    <w:pStyle w:val="30"/>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738" w:type="dxa"/>
                  <w:vMerge w:val="restart"/>
                  <w:vAlign w:val="center"/>
                </w:tcPr>
                <w:p>
                  <w:pPr>
                    <w:pStyle w:val="30"/>
                    <w:spacing w:line="360" w:lineRule="exact"/>
                    <w:rPr>
                      <w:color w:val="000000" w:themeColor="text1"/>
                      <w:szCs w:val="21"/>
                    </w:rPr>
                  </w:pPr>
                  <w:r>
                    <w:rPr>
                      <w:rFonts w:hint="eastAsia"/>
                      <w:color w:val="000000" w:themeColor="text1"/>
                      <w:szCs w:val="21"/>
                    </w:rPr>
                    <w:t>7</w:t>
                  </w:r>
                </w:p>
              </w:tc>
              <w:tc>
                <w:tcPr>
                  <w:tcW w:w="1134" w:type="dxa"/>
                  <w:vMerge w:val="restart"/>
                  <w:vAlign w:val="center"/>
                </w:tcPr>
                <w:p>
                  <w:pPr>
                    <w:pStyle w:val="30"/>
                    <w:spacing w:line="360" w:lineRule="exact"/>
                    <w:rPr>
                      <w:color w:val="000000" w:themeColor="text1"/>
                      <w:szCs w:val="21"/>
                    </w:rPr>
                  </w:pPr>
                  <w:r>
                    <w:rPr>
                      <w:rFonts w:hint="eastAsia"/>
                      <w:color w:val="000000" w:themeColor="text1"/>
                      <w:szCs w:val="21"/>
                    </w:rPr>
                    <w:t>烷基汞</w:t>
                  </w:r>
                </w:p>
              </w:tc>
              <w:tc>
                <w:tcPr>
                  <w:tcW w:w="1276" w:type="dxa"/>
                  <w:vAlign w:val="center"/>
                </w:tcPr>
                <w:p>
                  <w:pPr>
                    <w:pStyle w:val="30"/>
                    <w:spacing w:line="360" w:lineRule="exact"/>
                    <w:rPr>
                      <w:color w:val="000000" w:themeColor="text1"/>
                      <w:szCs w:val="21"/>
                    </w:rPr>
                  </w:pPr>
                  <w:r>
                    <w:rPr>
                      <w:rFonts w:hint="eastAsia"/>
                      <w:color w:val="000000" w:themeColor="text1"/>
                      <w:szCs w:val="21"/>
                    </w:rPr>
                    <w:t>甲基汞</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10L</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10L</w:t>
                  </w:r>
                </w:p>
              </w:tc>
              <w:tc>
                <w:tcPr>
                  <w:tcW w:w="2649" w:type="dxa"/>
                  <w:vMerge w:val="restart"/>
                  <w:vAlign w:val="center"/>
                </w:tcPr>
                <w:p>
                  <w:pPr>
                    <w:pStyle w:val="30"/>
                    <w:spacing w:line="360" w:lineRule="exact"/>
                    <w:rPr>
                      <w:color w:val="000000" w:themeColor="text1"/>
                      <w:szCs w:val="21"/>
                    </w:rPr>
                  </w:pPr>
                  <w:r>
                    <w:rPr>
                      <w:rFonts w:hint="eastAsia"/>
                      <w:color w:val="000000" w:themeColor="text1"/>
                      <w:szCs w:val="21"/>
                    </w:rPr>
                    <w:t>不得检出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738" w:type="dxa"/>
                  <w:vMerge w:val="continue"/>
                  <w:vAlign w:val="center"/>
                </w:tcPr>
                <w:p>
                  <w:pPr>
                    <w:pStyle w:val="30"/>
                    <w:spacing w:line="360" w:lineRule="exact"/>
                    <w:rPr>
                      <w:color w:val="000000" w:themeColor="text1"/>
                      <w:szCs w:val="21"/>
                    </w:rPr>
                  </w:pPr>
                </w:p>
              </w:tc>
              <w:tc>
                <w:tcPr>
                  <w:tcW w:w="1134" w:type="dxa"/>
                  <w:vMerge w:val="continue"/>
                  <w:vAlign w:val="center"/>
                </w:tcPr>
                <w:p>
                  <w:pPr>
                    <w:pStyle w:val="30"/>
                    <w:spacing w:line="360" w:lineRule="exact"/>
                    <w:rPr>
                      <w:color w:val="000000" w:themeColor="text1"/>
                      <w:szCs w:val="21"/>
                    </w:rPr>
                  </w:pPr>
                </w:p>
              </w:tc>
              <w:tc>
                <w:tcPr>
                  <w:tcW w:w="1276" w:type="dxa"/>
                  <w:vAlign w:val="center"/>
                </w:tcPr>
                <w:p>
                  <w:pPr>
                    <w:pStyle w:val="30"/>
                    <w:spacing w:line="360" w:lineRule="exact"/>
                    <w:rPr>
                      <w:color w:val="000000" w:themeColor="text1"/>
                      <w:szCs w:val="21"/>
                    </w:rPr>
                  </w:pPr>
                  <w:r>
                    <w:rPr>
                      <w:rFonts w:hint="eastAsia"/>
                      <w:color w:val="000000" w:themeColor="text1"/>
                      <w:szCs w:val="21"/>
                    </w:rPr>
                    <w:t>乙基汞</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20L</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20L</w:t>
                  </w:r>
                </w:p>
              </w:tc>
              <w:tc>
                <w:tcPr>
                  <w:tcW w:w="2649" w:type="dxa"/>
                  <w:vMerge w:val="continue"/>
                  <w:vAlign w:val="center"/>
                </w:tcPr>
                <w:p>
                  <w:pPr>
                    <w:pStyle w:val="30"/>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8</w:t>
                  </w:r>
                </w:p>
              </w:tc>
              <w:tc>
                <w:tcPr>
                  <w:tcW w:w="2410" w:type="dxa"/>
                  <w:gridSpan w:val="2"/>
                  <w:vAlign w:val="center"/>
                </w:tcPr>
                <w:p>
                  <w:pPr>
                    <w:pStyle w:val="30"/>
                    <w:spacing w:line="360" w:lineRule="exact"/>
                    <w:rPr>
                      <w:color w:val="000000" w:themeColor="text1"/>
                      <w:szCs w:val="21"/>
                    </w:rPr>
                  </w:pPr>
                  <w:r>
                    <w:rPr>
                      <w:color w:val="000000" w:themeColor="text1"/>
                      <w:szCs w:val="21"/>
                    </w:rPr>
                    <w:t>六价铬</w:t>
                  </w:r>
                </w:p>
              </w:tc>
              <w:tc>
                <w:tcPr>
                  <w:tcW w:w="1417" w:type="dxa"/>
                  <w:tcBorders>
                    <w:right w:val="single" w:color="auto" w:sz="4" w:space="0"/>
                  </w:tcBorders>
                </w:tcPr>
                <w:p>
                  <w:pPr>
                    <w:pStyle w:val="30"/>
                    <w:spacing w:line="360" w:lineRule="exact"/>
                    <w:rPr>
                      <w:color w:val="000000" w:themeColor="text1"/>
                      <w:szCs w:val="21"/>
                    </w:rPr>
                  </w:pPr>
                  <w:r>
                    <w:rPr>
                      <w:color w:val="000000" w:themeColor="text1"/>
                      <w:szCs w:val="21"/>
                    </w:rPr>
                    <w:t>0.00</w:t>
                  </w:r>
                  <w:r>
                    <w:rPr>
                      <w:rFonts w:hint="eastAsia"/>
                      <w:color w:val="000000" w:themeColor="text1"/>
                      <w:szCs w:val="21"/>
                    </w:rPr>
                    <w:t>4L</w:t>
                  </w:r>
                </w:p>
              </w:tc>
              <w:tc>
                <w:tcPr>
                  <w:tcW w:w="1394" w:type="dxa"/>
                  <w:tcBorders>
                    <w:right w:val="single" w:color="auto" w:sz="4" w:space="0"/>
                  </w:tcBorders>
                </w:tcPr>
                <w:p>
                  <w:pPr>
                    <w:pStyle w:val="30"/>
                    <w:spacing w:line="360" w:lineRule="exact"/>
                    <w:rPr>
                      <w:color w:val="000000" w:themeColor="text1"/>
                      <w:szCs w:val="21"/>
                    </w:rPr>
                  </w:pPr>
                  <w:r>
                    <w:rPr>
                      <w:color w:val="000000" w:themeColor="text1"/>
                      <w:szCs w:val="21"/>
                    </w:rPr>
                    <w:t>0.00</w:t>
                  </w:r>
                  <w:r>
                    <w:rPr>
                      <w:rFonts w:hint="eastAsia"/>
                      <w:color w:val="000000" w:themeColor="text1"/>
                      <w:szCs w:val="21"/>
                    </w:rPr>
                    <w:t>4L</w:t>
                  </w:r>
                </w:p>
              </w:tc>
              <w:tc>
                <w:tcPr>
                  <w:tcW w:w="2649" w:type="dxa"/>
                  <w:vAlign w:val="center"/>
                </w:tcPr>
                <w:p>
                  <w:pPr>
                    <w:pStyle w:val="30"/>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9</w:t>
                  </w:r>
                </w:p>
              </w:tc>
              <w:tc>
                <w:tcPr>
                  <w:tcW w:w="2410" w:type="dxa"/>
                  <w:gridSpan w:val="2"/>
                  <w:vAlign w:val="center"/>
                </w:tcPr>
                <w:p>
                  <w:pPr>
                    <w:pStyle w:val="30"/>
                    <w:spacing w:line="360" w:lineRule="exact"/>
                    <w:rPr>
                      <w:color w:val="000000" w:themeColor="text1"/>
                      <w:szCs w:val="21"/>
                    </w:rPr>
                  </w:pPr>
                  <w:r>
                    <w:rPr>
                      <w:rFonts w:hint="eastAsia"/>
                      <w:color w:val="000000" w:themeColor="text1"/>
                      <w:szCs w:val="21"/>
                    </w:rPr>
                    <w:t>汞</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0.0000325</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0.0000327</w:t>
                  </w:r>
                </w:p>
              </w:tc>
              <w:tc>
                <w:tcPr>
                  <w:tcW w:w="2649" w:type="dxa"/>
                  <w:vAlign w:val="center"/>
                </w:tcPr>
                <w:p>
                  <w:pPr>
                    <w:pStyle w:val="30"/>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10</w:t>
                  </w:r>
                </w:p>
              </w:tc>
              <w:tc>
                <w:tcPr>
                  <w:tcW w:w="2410" w:type="dxa"/>
                  <w:gridSpan w:val="2"/>
                  <w:vAlign w:val="center"/>
                </w:tcPr>
                <w:p>
                  <w:pPr>
                    <w:pStyle w:val="30"/>
                    <w:spacing w:line="360" w:lineRule="exact"/>
                    <w:rPr>
                      <w:color w:val="000000" w:themeColor="text1"/>
                      <w:szCs w:val="21"/>
                    </w:rPr>
                  </w:pPr>
                  <w:r>
                    <w:rPr>
                      <w:color w:val="000000" w:themeColor="text1"/>
                      <w:szCs w:val="21"/>
                    </w:rPr>
                    <w:t>铍</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0.0012</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0.0013</w:t>
                  </w:r>
                </w:p>
              </w:tc>
              <w:tc>
                <w:tcPr>
                  <w:tcW w:w="2649" w:type="dxa"/>
                  <w:vAlign w:val="center"/>
                </w:tcPr>
                <w:p>
                  <w:pPr>
                    <w:pStyle w:val="30"/>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11</w:t>
                  </w:r>
                </w:p>
              </w:tc>
              <w:tc>
                <w:tcPr>
                  <w:tcW w:w="2410" w:type="dxa"/>
                  <w:gridSpan w:val="2"/>
                  <w:vAlign w:val="center"/>
                </w:tcPr>
                <w:p>
                  <w:pPr>
                    <w:pStyle w:val="30"/>
                    <w:spacing w:line="360" w:lineRule="exact"/>
                    <w:rPr>
                      <w:color w:val="000000" w:themeColor="text1"/>
                      <w:szCs w:val="21"/>
                    </w:rPr>
                  </w:pPr>
                  <w:r>
                    <w:rPr>
                      <w:color w:val="000000" w:themeColor="text1"/>
                      <w:szCs w:val="21"/>
                    </w:rPr>
                    <w:t>钡</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0.00826</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0.00928</w:t>
                  </w:r>
                </w:p>
              </w:tc>
              <w:tc>
                <w:tcPr>
                  <w:tcW w:w="2649" w:type="dxa"/>
                  <w:vAlign w:val="center"/>
                </w:tcPr>
                <w:p>
                  <w:pPr>
                    <w:pStyle w:val="30"/>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12</w:t>
                  </w:r>
                </w:p>
              </w:tc>
              <w:tc>
                <w:tcPr>
                  <w:tcW w:w="2410" w:type="dxa"/>
                  <w:gridSpan w:val="2"/>
                  <w:vAlign w:val="center"/>
                </w:tcPr>
                <w:p>
                  <w:pPr>
                    <w:pStyle w:val="30"/>
                    <w:spacing w:line="360" w:lineRule="exact"/>
                    <w:rPr>
                      <w:color w:val="000000" w:themeColor="text1"/>
                      <w:szCs w:val="21"/>
                    </w:rPr>
                  </w:pPr>
                  <w:r>
                    <w:rPr>
                      <w:color w:val="000000" w:themeColor="text1"/>
                      <w:szCs w:val="21"/>
                    </w:rPr>
                    <w:t>镍</w:t>
                  </w:r>
                </w:p>
              </w:tc>
              <w:tc>
                <w:tcPr>
                  <w:tcW w:w="1417" w:type="dxa"/>
                  <w:tcBorders>
                    <w:right w:val="single" w:color="auto" w:sz="4" w:space="0"/>
                  </w:tcBorders>
                </w:tcPr>
                <w:p>
                  <w:pPr>
                    <w:pStyle w:val="30"/>
                    <w:spacing w:line="360" w:lineRule="exact"/>
                    <w:rPr>
                      <w:color w:val="000000" w:themeColor="text1"/>
                      <w:szCs w:val="21"/>
                    </w:rPr>
                  </w:pPr>
                  <w:r>
                    <w:rPr>
                      <w:color w:val="000000" w:themeColor="text1"/>
                      <w:szCs w:val="21"/>
                    </w:rPr>
                    <w:t>0.0</w:t>
                  </w:r>
                  <w:r>
                    <w:rPr>
                      <w:rFonts w:hint="eastAsia"/>
                      <w:color w:val="000000" w:themeColor="text1"/>
                      <w:szCs w:val="21"/>
                    </w:rPr>
                    <w:t>6</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0.06</w:t>
                  </w:r>
                </w:p>
              </w:tc>
              <w:tc>
                <w:tcPr>
                  <w:tcW w:w="2649" w:type="dxa"/>
                  <w:vAlign w:val="center"/>
                </w:tcPr>
                <w:p>
                  <w:pPr>
                    <w:pStyle w:val="30"/>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13</w:t>
                  </w:r>
                </w:p>
              </w:tc>
              <w:tc>
                <w:tcPr>
                  <w:tcW w:w="2410" w:type="dxa"/>
                  <w:gridSpan w:val="2"/>
                  <w:vAlign w:val="center"/>
                </w:tcPr>
                <w:p>
                  <w:pPr>
                    <w:pStyle w:val="30"/>
                    <w:spacing w:line="360" w:lineRule="exact"/>
                    <w:rPr>
                      <w:color w:val="000000" w:themeColor="text1"/>
                      <w:szCs w:val="21"/>
                    </w:rPr>
                  </w:pPr>
                  <w:r>
                    <w:rPr>
                      <w:rFonts w:hint="eastAsia"/>
                      <w:color w:val="000000" w:themeColor="text1"/>
                      <w:szCs w:val="21"/>
                    </w:rPr>
                    <w:t>总</w:t>
                  </w:r>
                  <w:r>
                    <w:rPr>
                      <w:color w:val="000000" w:themeColor="text1"/>
                      <w:szCs w:val="21"/>
                    </w:rPr>
                    <w:t>银</w:t>
                  </w:r>
                </w:p>
              </w:tc>
              <w:tc>
                <w:tcPr>
                  <w:tcW w:w="1417"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0.01</w:t>
                  </w:r>
                </w:p>
              </w:tc>
              <w:tc>
                <w:tcPr>
                  <w:tcW w:w="1394" w:type="dxa"/>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0.01</w:t>
                  </w:r>
                </w:p>
              </w:tc>
              <w:tc>
                <w:tcPr>
                  <w:tcW w:w="2649" w:type="dxa"/>
                  <w:vAlign w:val="center"/>
                </w:tcPr>
                <w:p>
                  <w:pPr>
                    <w:pStyle w:val="30"/>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14</w:t>
                  </w:r>
                </w:p>
              </w:tc>
              <w:tc>
                <w:tcPr>
                  <w:tcW w:w="2410" w:type="dxa"/>
                  <w:gridSpan w:val="2"/>
                  <w:vAlign w:val="center"/>
                </w:tcPr>
                <w:p>
                  <w:pPr>
                    <w:pStyle w:val="30"/>
                    <w:spacing w:line="360" w:lineRule="exact"/>
                    <w:rPr>
                      <w:color w:val="000000" w:themeColor="text1"/>
                      <w:szCs w:val="21"/>
                    </w:rPr>
                  </w:pPr>
                  <w:r>
                    <w:rPr>
                      <w:color w:val="000000" w:themeColor="text1"/>
                      <w:szCs w:val="21"/>
                    </w:rPr>
                    <w:t>砷</w:t>
                  </w:r>
                </w:p>
              </w:tc>
              <w:tc>
                <w:tcPr>
                  <w:tcW w:w="1417" w:type="dxa"/>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0.0023</w:t>
                  </w:r>
                </w:p>
              </w:tc>
              <w:tc>
                <w:tcPr>
                  <w:tcW w:w="1394" w:type="dxa"/>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0.0022</w:t>
                  </w:r>
                </w:p>
              </w:tc>
              <w:tc>
                <w:tcPr>
                  <w:tcW w:w="2649" w:type="dxa"/>
                  <w:vAlign w:val="center"/>
                </w:tcPr>
                <w:p>
                  <w:pPr>
                    <w:pStyle w:val="30"/>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15</w:t>
                  </w:r>
                </w:p>
              </w:tc>
              <w:tc>
                <w:tcPr>
                  <w:tcW w:w="2410" w:type="dxa"/>
                  <w:gridSpan w:val="2"/>
                  <w:vAlign w:val="center"/>
                </w:tcPr>
                <w:p>
                  <w:pPr>
                    <w:pStyle w:val="30"/>
                    <w:spacing w:line="360" w:lineRule="exact"/>
                    <w:rPr>
                      <w:color w:val="000000" w:themeColor="text1"/>
                      <w:szCs w:val="21"/>
                    </w:rPr>
                  </w:pPr>
                  <w:r>
                    <w:rPr>
                      <w:color w:val="000000" w:themeColor="text1"/>
                      <w:szCs w:val="21"/>
                    </w:rPr>
                    <w:t>硒</w:t>
                  </w:r>
                  <w:r>
                    <w:rPr>
                      <w:rFonts w:hint="eastAsia"/>
                      <w:color w:val="000000" w:themeColor="text1"/>
                      <w:szCs w:val="21"/>
                    </w:rPr>
                    <w:t>ug/L</w:t>
                  </w:r>
                </w:p>
              </w:tc>
              <w:tc>
                <w:tcPr>
                  <w:tcW w:w="1417" w:type="dxa"/>
                  <w:tcBorders>
                    <w:right w:val="single" w:color="auto" w:sz="4" w:space="0"/>
                  </w:tcBorders>
                </w:tcPr>
                <w:p>
                  <w:pPr>
                    <w:pStyle w:val="30"/>
                    <w:spacing w:line="360" w:lineRule="exact"/>
                    <w:rPr>
                      <w:color w:val="000000" w:themeColor="text1"/>
                      <w:szCs w:val="21"/>
                    </w:rPr>
                  </w:pPr>
                  <w:r>
                    <w:rPr>
                      <w:color w:val="000000" w:themeColor="text1"/>
                      <w:szCs w:val="21"/>
                    </w:rPr>
                    <w:t>0.</w:t>
                  </w:r>
                  <w:r>
                    <w:rPr>
                      <w:rFonts w:hint="eastAsia"/>
                      <w:color w:val="000000" w:themeColor="text1"/>
                      <w:szCs w:val="21"/>
                    </w:rPr>
                    <w:t>2</w:t>
                  </w:r>
                  <w:r>
                    <w:rPr>
                      <w:color w:val="000000" w:themeColor="text1"/>
                      <w:szCs w:val="21"/>
                    </w:rPr>
                    <w:t>L</w:t>
                  </w:r>
                </w:p>
              </w:tc>
              <w:tc>
                <w:tcPr>
                  <w:tcW w:w="1394" w:type="dxa"/>
                  <w:tcBorders>
                    <w:right w:val="single" w:color="auto" w:sz="4" w:space="0"/>
                  </w:tcBorders>
                </w:tcPr>
                <w:p>
                  <w:pPr>
                    <w:pStyle w:val="30"/>
                    <w:spacing w:line="360" w:lineRule="exact"/>
                    <w:rPr>
                      <w:color w:val="000000" w:themeColor="text1"/>
                      <w:szCs w:val="21"/>
                    </w:rPr>
                  </w:pPr>
                  <w:r>
                    <w:rPr>
                      <w:color w:val="000000" w:themeColor="text1"/>
                      <w:szCs w:val="21"/>
                    </w:rPr>
                    <w:t>0.</w:t>
                  </w:r>
                  <w:r>
                    <w:rPr>
                      <w:rFonts w:hint="eastAsia"/>
                      <w:color w:val="000000" w:themeColor="text1"/>
                      <w:szCs w:val="21"/>
                    </w:rPr>
                    <w:t>2</w:t>
                  </w:r>
                  <w:r>
                    <w:rPr>
                      <w:color w:val="000000" w:themeColor="text1"/>
                      <w:szCs w:val="21"/>
                    </w:rPr>
                    <w:t>L</w:t>
                  </w:r>
                </w:p>
              </w:tc>
              <w:tc>
                <w:tcPr>
                  <w:tcW w:w="2649" w:type="dxa"/>
                  <w:vAlign w:val="center"/>
                </w:tcPr>
                <w:p>
                  <w:pPr>
                    <w:pStyle w:val="30"/>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16</w:t>
                  </w:r>
                </w:p>
              </w:tc>
              <w:tc>
                <w:tcPr>
                  <w:tcW w:w="2410" w:type="dxa"/>
                  <w:gridSpan w:val="2"/>
                  <w:vAlign w:val="center"/>
                </w:tcPr>
                <w:p>
                  <w:pPr>
                    <w:pStyle w:val="30"/>
                    <w:spacing w:line="360" w:lineRule="exact"/>
                    <w:rPr>
                      <w:color w:val="000000" w:themeColor="text1"/>
                      <w:szCs w:val="21"/>
                    </w:rPr>
                  </w:pPr>
                  <w:r>
                    <w:rPr>
                      <w:color w:val="000000" w:themeColor="text1"/>
                      <w:szCs w:val="21"/>
                    </w:rPr>
                    <w:t>氟化物</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10.2</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13.4</w:t>
                  </w:r>
                </w:p>
              </w:tc>
              <w:tc>
                <w:tcPr>
                  <w:tcW w:w="2649" w:type="dxa"/>
                  <w:vAlign w:val="center"/>
                </w:tcPr>
                <w:p>
                  <w:pPr>
                    <w:pStyle w:val="30"/>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rFonts w:hint="eastAsia"/>
                      <w:color w:val="000000" w:themeColor="text1"/>
                      <w:szCs w:val="21"/>
                    </w:rPr>
                    <w:t>17</w:t>
                  </w:r>
                </w:p>
              </w:tc>
              <w:tc>
                <w:tcPr>
                  <w:tcW w:w="2410" w:type="dxa"/>
                  <w:gridSpan w:val="2"/>
                  <w:vAlign w:val="center"/>
                </w:tcPr>
                <w:p>
                  <w:pPr>
                    <w:pStyle w:val="30"/>
                    <w:spacing w:line="360" w:lineRule="exact"/>
                    <w:rPr>
                      <w:color w:val="000000" w:themeColor="text1"/>
                      <w:szCs w:val="21"/>
                    </w:rPr>
                  </w:pPr>
                  <w:r>
                    <w:rPr>
                      <w:color w:val="000000" w:themeColor="text1"/>
                      <w:szCs w:val="21"/>
                    </w:rPr>
                    <w:t>氰化物</w:t>
                  </w:r>
                </w:p>
              </w:tc>
              <w:tc>
                <w:tcPr>
                  <w:tcW w:w="1417"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0.0221</w:t>
                  </w:r>
                </w:p>
              </w:tc>
              <w:tc>
                <w:tcPr>
                  <w:tcW w:w="1394" w:type="dxa"/>
                  <w:tcBorders>
                    <w:right w:val="single" w:color="auto" w:sz="4" w:space="0"/>
                  </w:tcBorders>
                </w:tcPr>
                <w:p>
                  <w:pPr>
                    <w:pStyle w:val="30"/>
                    <w:spacing w:line="360" w:lineRule="exact"/>
                    <w:rPr>
                      <w:color w:val="000000" w:themeColor="text1"/>
                      <w:szCs w:val="21"/>
                    </w:rPr>
                  </w:pPr>
                  <w:r>
                    <w:rPr>
                      <w:rFonts w:hint="eastAsia"/>
                      <w:color w:val="000000" w:themeColor="text1"/>
                      <w:szCs w:val="21"/>
                    </w:rPr>
                    <w:t>0.022</w:t>
                  </w:r>
                </w:p>
              </w:tc>
              <w:tc>
                <w:tcPr>
                  <w:tcW w:w="2649" w:type="dxa"/>
                  <w:vAlign w:val="center"/>
                </w:tcPr>
                <w:p>
                  <w:pPr>
                    <w:pStyle w:val="30"/>
                    <w:spacing w:line="360" w:lineRule="exact"/>
                    <w:rPr>
                      <w:color w:val="000000" w:themeColor="text1"/>
                      <w:szCs w:val="21"/>
                    </w:rPr>
                  </w:pPr>
                  <w:r>
                    <w:rPr>
                      <w:color w:val="000000" w:themeColor="text1"/>
                      <w:szCs w:val="21"/>
                    </w:rPr>
                    <w:t>5</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由上表可知，</w:t>
            </w:r>
            <w:r>
              <w:rPr>
                <w:rFonts w:hint="eastAsia" w:ascii="Times New Roman" w:hAnsi="Times New Roman" w:eastAsia="宋体" w:cs="Times New Roman"/>
                <w:color w:val="000000" w:themeColor="text1"/>
                <w:sz w:val="24"/>
                <w:szCs w:val="24"/>
              </w:rPr>
              <w:t>铝矾土</w:t>
            </w:r>
            <w:r>
              <w:rPr>
                <w:rFonts w:ascii="Times New Roman" w:hAnsi="Times New Roman" w:eastAsia="宋体" w:cs="Times New Roman"/>
                <w:color w:val="000000" w:themeColor="text1"/>
                <w:sz w:val="24"/>
                <w:szCs w:val="24"/>
              </w:rPr>
              <w:t>的腐蚀性和浸出毒性不超过《危险废物鉴别标准 腐蚀性鉴别》（GB</w:t>
            </w:r>
            <w:r>
              <w:rPr>
                <w:rFonts w:hint="eastAsia" w:ascii="Times New Roman" w:hAnsi="Times New Roman" w:eastAsia="宋体" w:cs="Times New Roman"/>
                <w:color w:val="000000" w:themeColor="text1"/>
                <w:sz w:val="24"/>
                <w:szCs w:val="24"/>
                <w:lang w:eastAsia="zh-CN"/>
              </w:rPr>
              <w:t>****</w:t>
            </w:r>
            <w:r>
              <w:rPr>
                <w:rFonts w:ascii="Times New Roman" w:hAnsi="Times New Roman" w:eastAsia="宋体" w:cs="Times New Roman"/>
                <w:color w:val="000000" w:themeColor="text1"/>
                <w:sz w:val="24"/>
                <w:szCs w:val="24"/>
              </w:rPr>
              <w:t>.1-2007）和《危险废物鉴别标准 浸出毒性鉴别》（GB</w:t>
            </w:r>
            <w:r>
              <w:rPr>
                <w:rFonts w:hint="eastAsia" w:ascii="Times New Roman" w:hAnsi="Times New Roman" w:eastAsia="宋体" w:cs="Times New Roman"/>
                <w:color w:val="000000" w:themeColor="text1"/>
                <w:sz w:val="24"/>
                <w:szCs w:val="24"/>
                <w:lang w:eastAsia="zh-CN"/>
              </w:rPr>
              <w:t>****</w:t>
            </w:r>
            <w:r>
              <w:rPr>
                <w:rFonts w:ascii="Times New Roman" w:hAnsi="Times New Roman" w:eastAsia="宋体" w:cs="Times New Roman"/>
                <w:color w:val="000000" w:themeColor="text1"/>
                <w:sz w:val="24"/>
                <w:szCs w:val="24"/>
              </w:rPr>
              <w:t>.3-2007），该</w:t>
            </w:r>
            <w:r>
              <w:rPr>
                <w:rFonts w:hint="eastAsia" w:ascii="Times New Roman" w:hAnsi="Times New Roman" w:eastAsia="宋体" w:cs="Times New Roman"/>
                <w:color w:val="000000" w:themeColor="text1"/>
                <w:sz w:val="24"/>
                <w:szCs w:val="24"/>
              </w:rPr>
              <w:t>铝矾土不属于危险废物</w:t>
            </w:r>
            <w:r>
              <w:rPr>
                <w:rFonts w:ascii="Times New Roman" w:hAnsi="Times New Roman" w:eastAsia="宋体"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（2）泡棉性质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该项目拟使用的泡棉来源于</w:t>
            </w:r>
            <w:r>
              <w:rPr>
                <w:rFonts w:ascii="Times New Roman" w:hAnsi="Times New Roman" w:cs="Times New Roman"/>
                <w:color w:val="000000" w:themeColor="text1"/>
                <w:sz w:val="24"/>
                <w:szCs w:val="24"/>
              </w:rPr>
              <w:t>云南华再新源环保产业发展有限公司</w:t>
            </w:r>
            <w:r>
              <w:rPr>
                <w:rFonts w:hint="eastAsia" w:ascii="Times New Roman" w:hAnsi="Times New Roman" w:cs="Times New Roman"/>
                <w:color w:val="000000" w:themeColor="text1"/>
                <w:sz w:val="24"/>
                <w:szCs w:val="24"/>
              </w:rPr>
              <w:t>对废旧冰箱拆解破碎后产生的一般工业固体废物，在其拆解过程中已破碎为颗粒状，其主要物质为发泡聚苯乙烯，其特性为相对密度小、热导率低、耐冲击振动、隔热、隔音等特点。</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 物料平衡</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根据项目生产工艺分析，该项目物料平衡如下</w:t>
            </w:r>
            <w:r>
              <w:rPr>
                <w:rFonts w:hint="eastAsia" w:ascii="Times New Roman" w:hAnsi="Times New Roman" w:cs="Times New Roman"/>
                <w:color w:val="000000" w:themeColor="text1"/>
                <w:sz w:val="24"/>
                <w:szCs w:val="24"/>
              </w:rPr>
              <w:t>图</w:t>
            </w:r>
            <w:r>
              <w:rPr>
                <w:rFonts w:ascii="Times New Roman" w:hAnsi="Times New Roman" w:cs="Times New Roman"/>
                <w:color w:val="000000" w:themeColor="text1"/>
                <w:sz w:val="24"/>
                <w:szCs w:val="24"/>
              </w:rPr>
              <w:t>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2"/>
              <w:widowControl/>
              <w:tabs>
                <w:tab w:val="left" w:pos="540"/>
                <w:tab w:val="left" w:pos="851"/>
                <w:tab w:val="left" w:pos="994"/>
                <w:tab w:val="left" w:pos="1260"/>
                <w:tab w:val="left" w:pos="3108"/>
                <w:tab w:val="left" w:pos="3150"/>
              </w:tabs>
              <w:snapToGrid/>
              <w:spacing w:beforeLines="0"/>
              <w:textAlignment w:val="auto"/>
              <w:rPr>
                <w:rFonts w:hint="eastAsia" w:hAnsi="Times New Roman" w:eastAsiaTheme="minorEastAsia"/>
                <w:bCs/>
                <w:snapToGrid w:val="0"/>
                <w:color w:val="000000" w:themeColor="text1"/>
                <w:sz w:val="21"/>
                <w:szCs w:val="21"/>
              </w:rPr>
            </w:pPr>
            <w:r>
              <w:rPr>
                <w:rFonts w:hint="eastAsia" w:hAnsi="Times New Roman" w:eastAsiaTheme="minorEastAsia"/>
                <w:bCs/>
                <w:color w:val="000000" w:themeColor="text1"/>
                <w:sz w:val="21"/>
                <w:szCs w:val="21"/>
              </w:rPr>
              <w:drawing>
                <wp:inline distT="0" distB="0" distL="0" distR="0">
                  <wp:extent cx="5271135" cy="286004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a:srcRect/>
                          <a:stretch>
                            <a:fillRect/>
                          </a:stretch>
                        </pic:blipFill>
                        <pic:spPr>
                          <a:xfrm>
                            <a:off x="0" y="0"/>
                            <a:ext cx="5271135" cy="2860040"/>
                          </a:xfrm>
                          <a:prstGeom prst="rect">
                            <a:avLst/>
                          </a:prstGeom>
                          <a:noFill/>
                          <a:ln w="9525">
                            <a:noFill/>
                            <a:miter lim="800000"/>
                            <a:headEnd/>
                            <a:tailEnd/>
                          </a:ln>
                        </pic:spPr>
                      </pic:pic>
                    </a:graphicData>
                  </a:graphic>
                </wp:inline>
              </w:drawing>
            </w:r>
          </w:p>
          <w:p>
            <w:pPr>
              <w:pStyle w:val="32"/>
              <w:widowControl/>
              <w:tabs>
                <w:tab w:val="left" w:pos="540"/>
                <w:tab w:val="left" w:pos="851"/>
                <w:tab w:val="left" w:pos="994"/>
                <w:tab w:val="left" w:pos="1260"/>
                <w:tab w:val="left" w:pos="3108"/>
                <w:tab w:val="left" w:pos="3150"/>
              </w:tabs>
              <w:snapToGrid/>
              <w:spacing w:beforeLines="0"/>
              <w:textAlignment w:val="auto"/>
              <w:rPr>
                <w:rFonts w:hint="eastAsia"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图2.6-1 该项目物料平衡图</w:t>
            </w:r>
            <w:r>
              <w:rPr>
                <w:rFonts w:hint="eastAsia" w:hAnsi="Times New Roman" w:eastAsiaTheme="minorEastAsia"/>
                <w:bCs/>
                <w:snapToGrid w:val="0"/>
                <w:color w:val="000000" w:themeColor="text1"/>
                <w:sz w:val="21"/>
                <w:szCs w:val="21"/>
              </w:rPr>
              <w:t xml:space="preserve"> t/a</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劳动定员及工作制度</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w:t>
            </w:r>
            <w:r>
              <w:rPr>
                <w:rFonts w:hint="eastAsia" w:ascii="Times New Roman" w:hAnsi="Times New Roman" w:cs="Times New Roman"/>
                <w:bCs/>
                <w:color w:val="000000" w:themeColor="text1"/>
                <w:sz w:val="24"/>
                <w:szCs w:val="24"/>
              </w:rPr>
              <w:t>该项目拟设置员工4人，不在厂区食宿，员工日常如厕可依托使用项目区旁云南叁景防水建材有限公司卫生间</w:t>
            </w:r>
            <w:r>
              <w:rPr>
                <w:rFonts w:ascii="Times New Roman" w:hAnsi="Times New Roman" w:cs="Times New Roman"/>
                <w:bCs/>
                <w:color w:val="000000" w:themeColor="text1"/>
                <w:sz w:val="24"/>
                <w:szCs w:val="24"/>
              </w:rPr>
              <w:t>。</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年工作300d，实行每天1班制，每班8h。</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2.8 </w:t>
            </w:r>
            <w:r>
              <w:rPr>
                <w:rFonts w:ascii="Times New Roman" w:hAnsi="Times New Roman" w:cs="Times New Roman"/>
                <w:b/>
                <w:color w:val="000000" w:themeColor="text1"/>
                <w:sz w:val="24"/>
                <w:szCs w:val="24"/>
              </w:rPr>
              <w:t>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建设单位根据项目手续办理的实际情况，拟定建设时间为202</w:t>
            </w:r>
            <w:r>
              <w:rPr>
                <w:rFonts w:hint="eastAsia"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月-202</w:t>
            </w:r>
            <w:r>
              <w:rPr>
                <w:rFonts w:hint="eastAsia"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11</w:t>
            </w:r>
            <w:r>
              <w:rPr>
                <w:rFonts w:ascii="Times New Roman" w:hAnsi="Times New Roman" w:cs="Times New Roman"/>
                <w:bCs/>
                <w:color w:val="000000" w:themeColor="text1"/>
                <w:sz w:val="24"/>
                <w:szCs w:val="24"/>
              </w:rPr>
              <w:t>月，建设期为</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个月。</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施工期主要为生产设施及其配套的环保设施建设。施工期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 xml:space="preserve">2.9.2 </w:t>
            </w:r>
            <w:r>
              <w:rPr>
                <w:rFonts w:ascii="Times New Roman" w:hAnsi="宋体" w:eastAsia="宋体" w:cs="Times New Roman"/>
                <w:b/>
                <w:color w:val="000000" w:themeColor="text1"/>
                <w:sz w:val="24"/>
                <w:szCs w:val="24"/>
              </w:rPr>
              <w:t>运营期生产工艺</w:t>
            </w:r>
          </w:p>
          <w:p>
            <w:pPr>
              <w:spacing w:line="360" w:lineRule="auto"/>
              <w:ind w:firstLine="480" w:firstLineChars="200"/>
              <w:rPr>
                <w:rFonts w:ascii="Times New Roman" w:hAnsi="Times New Roman" w:eastAsia="宋体" w:cs="Times New Roman"/>
                <w:bCs/>
                <w:color w:val="000000" w:themeColor="text1"/>
                <w:sz w:val="24"/>
                <w:szCs w:val="24"/>
              </w:rPr>
            </w:pPr>
            <w:r>
              <w:rPr>
                <w:rFonts w:ascii="Times New Roman" w:hAnsi="宋体" w:eastAsia="宋体" w:cs="Times New Roman"/>
                <w:bCs/>
                <w:color w:val="000000" w:themeColor="text1"/>
                <w:sz w:val="24"/>
                <w:szCs w:val="24"/>
              </w:rPr>
              <w:t>该项目利用铝矾土、泡棉、机制砂和水泥搅拌混合生产轻集料混凝土，该</w:t>
            </w:r>
            <w:r>
              <w:fldChar w:fldCharType="begin"/>
            </w:r>
            <w:r>
              <w:instrText xml:space="preserve"> HYPERLINK "https://baike.sogou.com/lemma/ShowInnerLink.htm?lemmaId=173285394&amp;ss_c=ssc.citiao.link" \t "_blank" </w:instrText>
            </w:r>
            <w:r>
              <w:fldChar w:fldCharType="separate"/>
            </w:r>
            <w:r>
              <w:rPr>
                <w:rFonts w:ascii="Times New Roman" w:hAnsi="宋体" w:eastAsia="宋体" w:cs="Times New Roman"/>
                <w:bCs/>
                <w:color w:val="000000" w:themeColor="text1"/>
                <w:sz w:val="24"/>
                <w:szCs w:val="24"/>
              </w:rPr>
              <w:t>轻骨料混凝土</w:t>
            </w:r>
            <w:r>
              <w:rPr>
                <w:rFonts w:ascii="Times New Roman" w:hAnsi="宋体" w:eastAsia="宋体" w:cs="Times New Roman"/>
                <w:bCs/>
                <w:color w:val="000000" w:themeColor="text1"/>
                <w:sz w:val="24"/>
                <w:szCs w:val="24"/>
              </w:rPr>
              <w:fldChar w:fldCharType="end"/>
            </w:r>
            <w:r>
              <w:rPr>
                <w:rFonts w:ascii="Times New Roman" w:hAnsi="宋体" w:eastAsia="宋体" w:cs="Times New Roman"/>
                <w:bCs/>
                <w:color w:val="000000" w:themeColor="text1"/>
                <w:sz w:val="24"/>
                <w:szCs w:val="24"/>
              </w:rPr>
              <w:t>具有轻质、保温、隔热和较高的抗冲击性能等功能特点，可用于</w:t>
            </w:r>
            <w:r>
              <w:fldChar w:fldCharType="begin"/>
            </w:r>
            <w:r>
              <w:instrText xml:space="preserve"> HYPERLINK "https://baike.sogou.com/lemma/ShowInnerLink.htm?lemmaId=8422502&amp;ss_c=ssc.citiao.link" \t "_blank" </w:instrText>
            </w:r>
            <w:r>
              <w:fldChar w:fldCharType="separate"/>
            </w:r>
            <w:r>
              <w:rPr>
                <w:rFonts w:ascii="Times New Roman" w:hAnsi="宋体" w:eastAsia="宋体" w:cs="Times New Roman"/>
                <w:bCs/>
                <w:color w:val="000000" w:themeColor="text1"/>
                <w:sz w:val="24"/>
                <w:szCs w:val="24"/>
              </w:rPr>
              <w:t>保温隔热材料</w:t>
            </w:r>
            <w:r>
              <w:rPr>
                <w:rFonts w:ascii="Times New Roman" w:hAnsi="宋体" w:eastAsia="宋体" w:cs="Times New Roman"/>
                <w:bCs/>
                <w:color w:val="000000" w:themeColor="text1"/>
                <w:sz w:val="24"/>
                <w:szCs w:val="24"/>
              </w:rPr>
              <w:fldChar w:fldCharType="end"/>
            </w:r>
            <w:r>
              <w:rPr>
                <w:rFonts w:ascii="Times New Roman" w:hAnsi="宋体" w:eastAsia="宋体" w:cs="Times New Roman"/>
                <w:bCs/>
                <w:color w:val="000000" w:themeColor="text1"/>
                <w:sz w:val="24"/>
                <w:szCs w:val="24"/>
              </w:rPr>
              <w:t>、各种轻质屋面、装饰材料以及房屋中各种围护结构及</w:t>
            </w:r>
            <w:r>
              <w:fldChar w:fldCharType="begin"/>
            </w:r>
            <w:r>
              <w:instrText xml:space="preserve"> HYPERLINK "https://baike.sogou.com/lemma/ShowInnerLink.htm?lemmaId=66272166&amp;ss_c=ssc.citiao.link" \t "_blank" </w:instrText>
            </w:r>
            <w:r>
              <w:fldChar w:fldCharType="separate"/>
            </w:r>
            <w:r>
              <w:rPr>
                <w:rFonts w:ascii="Times New Roman" w:hAnsi="宋体" w:eastAsia="宋体" w:cs="Times New Roman"/>
                <w:bCs/>
                <w:color w:val="000000" w:themeColor="text1"/>
                <w:sz w:val="24"/>
                <w:szCs w:val="24"/>
              </w:rPr>
              <w:t>非承重墙</w:t>
            </w:r>
            <w:r>
              <w:rPr>
                <w:rFonts w:ascii="Times New Roman" w:hAnsi="宋体" w:eastAsia="宋体" w:cs="Times New Roman"/>
                <w:bCs/>
                <w:color w:val="000000" w:themeColor="text1"/>
                <w:sz w:val="24"/>
                <w:szCs w:val="24"/>
              </w:rPr>
              <w:fldChar w:fldCharType="end"/>
            </w:r>
            <w:r>
              <w:rPr>
                <w:rFonts w:ascii="Times New Roman" w:hAnsi="宋体" w:eastAsia="宋体" w:cs="Times New Roman"/>
                <w:bCs/>
                <w:color w:val="000000" w:themeColor="text1"/>
                <w:sz w:val="24"/>
                <w:szCs w:val="24"/>
              </w:rPr>
              <w:t>等。</w:t>
            </w:r>
          </w:p>
          <w:p>
            <w:pPr>
              <w:spacing w:line="360" w:lineRule="auto"/>
              <w:ind w:firstLine="361" w:firstLineChars="150"/>
              <w:rPr>
                <w:rFonts w:ascii="Times New Roman" w:hAnsi="Times New Roman" w:eastAsia="宋体" w:cs="Times New Roman"/>
                <w:b/>
                <w:bCs/>
                <w:color w:val="000000" w:themeColor="text1"/>
                <w:sz w:val="24"/>
                <w:szCs w:val="24"/>
              </w:rPr>
            </w:pPr>
            <w:r>
              <w:rPr>
                <w:rFonts w:ascii="Times New Roman" w:hAnsi="宋体" w:eastAsia="宋体" w:cs="Times New Roman"/>
                <w:b/>
                <w:bCs/>
                <w:color w:val="000000" w:themeColor="text1"/>
                <w:sz w:val="24"/>
                <w:szCs w:val="24"/>
              </w:rPr>
              <w:t>（</w:t>
            </w:r>
            <w:r>
              <w:rPr>
                <w:rFonts w:ascii="Times New Roman" w:hAnsi="Times New Roman" w:eastAsia="宋体" w:cs="Times New Roman"/>
                <w:b/>
                <w:bCs/>
                <w:color w:val="000000" w:themeColor="text1"/>
                <w:sz w:val="24"/>
                <w:szCs w:val="24"/>
              </w:rPr>
              <w:t>1</w:t>
            </w:r>
            <w:r>
              <w:rPr>
                <w:rFonts w:ascii="Times New Roman" w:hAnsi="宋体" w:eastAsia="宋体" w:cs="Times New Roman"/>
                <w:b/>
                <w:bCs/>
                <w:color w:val="000000" w:themeColor="text1"/>
                <w:sz w:val="24"/>
                <w:szCs w:val="24"/>
              </w:rPr>
              <w:t>）生产工艺流程图</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宋体" w:eastAsia="宋体" w:cs="Times New Roman"/>
                <w:bCs/>
                <w:color w:val="000000" w:themeColor="text1"/>
                <w:sz w:val="24"/>
                <w:szCs w:val="24"/>
              </w:rPr>
              <w:t>根据设计，项目工艺流程如下图所示。</w:t>
            </w:r>
          </w:p>
          <w:p>
            <w:pPr>
              <w:spacing w:line="360" w:lineRule="auto"/>
              <w:jc w:val="center"/>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drawing>
                <wp:inline distT="0" distB="0" distL="0" distR="0">
                  <wp:extent cx="5369560" cy="3603625"/>
                  <wp:effectExtent l="19050" t="0" r="2241"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6"/>
                          <a:srcRect/>
                          <a:stretch>
                            <a:fillRect/>
                          </a:stretch>
                        </pic:blipFill>
                        <pic:spPr>
                          <a:xfrm>
                            <a:off x="0" y="0"/>
                            <a:ext cx="5369091" cy="3603296"/>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color w:val="000000" w:themeColor="text1"/>
                <w:szCs w:val="24"/>
              </w:rPr>
            </w:pPr>
            <w:r>
              <w:rPr>
                <w:rFonts w:ascii="Times New Roman" w:hAnsi="宋体" w:eastAsia="宋体" w:cs="Times New Roman"/>
                <w:b/>
                <w:color w:val="000000" w:themeColor="text1"/>
                <w:szCs w:val="24"/>
              </w:rPr>
              <w:t>图</w:t>
            </w:r>
            <w:r>
              <w:rPr>
                <w:rFonts w:ascii="Times New Roman" w:hAnsi="Times New Roman" w:eastAsia="宋体" w:cs="Times New Roman"/>
                <w:b/>
                <w:color w:val="000000" w:themeColor="text1"/>
                <w:szCs w:val="24"/>
              </w:rPr>
              <w:t xml:space="preserve">2.9.2-1  </w:t>
            </w:r>
            <w:r>
              <w:rPr>
                <w:rFonts w:ascii="Times New Roman" w:hAnsi="宋体" w:eastAsia="宋体" w:cs="Times New Roman"/>
                <w:b/>
                <w:color w:val="000000" w:themeColor="text1"/>
                <w:szCs w:val="24"/>
              </w:rPr>
              <w:t>项目生产工艺及产污流程示意图</w:t>
            </w:r>
          </w:p>
          <w:p>
            <w:pPr>
              <w:spacing w:beforeLines="50" w:line="360" w:lineRule="auto"/>
              <w:ind w:firstLine="361" w:firstLineChars="150"/>
              <w:rPr>
                <w:rFonts w:ascii="Times New Roman" w:hAnsi="Times New Roman" w:eastAsia="宋体" w:cs="Times New Roman"/>
                <w:b/>
                <w:bCs/>
                <w:color w:val="000000" w:themeColor="text1"/>
                <w:sz w:val="24"/>
                <w:szCs w:val="24"/>
              </w:rPr>
            </w:pPr>
            <w:r>
              <w:rPr>
                <w:rFonts w:ascii="Times New Roman" w:hAnsi="宋体" w:eastAsia="宋体" w:cs="Times New Roman"/>
                <w:b/>
                <w:bCs/>
                <w:color w:val="000000" w:themeColor="text1"/>
                <w:sz w:val="24"/>
                <w:szCs w:val="24"/>
              </w:rPr>
              <w:t>（</w:t>
            </w:r>
            <w:r>
              <w:rPr>
                <w:rFonts w:ascii="Times New Roman" w:hAnsi="Times New Roman" w:eastAsia="宋体" w:cs="Times New Roman"/>
                <w:b/>
                <w:bCs/>
                <w:color w:val="000000" w:themeColor="text1"/>
                <w:sz w:val="24"/>
                <w:szCs w:val="24"/>
              </w:rPr>
              <w:t>2</w:t>
            </w:r>
            <w:r>
              <w:rPr>
                <w:rFonts w:ascii="Times New Roman" w:hAnsi="宋体" w:eastAsia="宋体" w:cs="Times New Roman"/>
                <w:b/>
                <w:bCs/>
                <w:color w:val="000000" w:themeColor="text1"/>
                <w:sz w:val="24"/>
                <w:szCs w:val="24"/>
              </w:rPr>
              <w:t>）生产工艺简述</w:t>
            </w:r>
          </w:p>
          <w:p>
            <w:pPr>
              <w:spacing w:line="360" w:lineRule="auto"/>
              <w:ind w:firstLine="482" w:firstLineChars="200"/>
              <w:rPr>
                <w:rFonts w:ascii="Times New Roman" w:hAnsi="Times New Roman" w:eastAsia="宋体" w:cs="Times New Roman"/>
                <w:b/>
                <w:bCs/>
                <w:color w:val="000000" w:themeColor="text1"/>
                <w:sz w:val="24"/>
              </w:rPr>
            </w:pPr>
            <w:r>
              <w:rPr>
                <w:rFonts w:ascii="宋体" w:hAnsi="宋体" w:eastAsia="宋体" w:cs="Times New Roman"/>
                <w:b/>
                <w:bCs/>
                <w:color w:val="000000" w:themeColor="text1"/>
                <w:sz w:val="24"/>
              </w:rPr>
              <w:t>①</w:t>
            </w:r>
            <w:r>
              <w:rPr>
                <w:rFonts w:ascii="Times New Roman" w:hAnsi="宋体" w:eastAsia="宋体" w:cs="Times New Roman"/>
                <w:b/>
                <w:bCs/>
                <w:color w:val="000000" w:themeColor="text1"/>
                <w:sz w:val="24"/>
              </w:rPr>
              <w:t>原料堆存</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根据设计，项目设置了1个建筑面积约为1000m²的原料车间，该车间划分了三个区域和设置了1个60t的水泥仓分别对铝矾土、泡棉、机制砂和水泥进行贮存。</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铝矾土、泡棉均采用袋式贮存，基本无扬尘产生，机制砂散装贮存，贮存过程中会有扬尘产生，水泥仓在水泥装卸、输送过程会有粉尘产生，水泥仓顶部水泥仓顶端设置2#袋式除尘器对其进行收集后无组织排放。</w:t>
            </w:r>
          </w:p>
          <w:p>
            <w:pPr>
              <w:spacing w:line="360" w:lineRule="auto"/>
              <w:ind w:firstLine="482" w:firstLineChars="200"/>
              <w:rPr>
                <w:rFonts w:ascii="Times New Roman" w:hAnsi="Times New Roman" w:eastAsia="宋体" w:cs="Times New Roman"/>
                <w:bCs/>
                <w:color w:val="000000" w:themeColor="text1"/>
                <w:sz w:val="24"/>
                <w:szCs w:val="24"/>
              </w:rPr>
            </w:pPr>
            <w:r>
              <w:rPr>
                <w:rFonts w:ascii="宋体" w:hAnsi="宋体" w:eastAsia="宋体" w:cs="Times New Roman"/>
                <w:b/>
                <w:bCs/>
                <w:color w:val="000000" w:themeColor="text1"/>
                <w:sz w:val="24"/>
              </w:rPr>
              <w:t>②</w:t>
            </w:r>
            <w:r>
              <w:rPr>
                <w:rFonts w:ascii="Times New Roman" w:hAnsi="宋体" w:eastAsia="宋体" w:cs="Times New Roman"/>
                <w:b/>
                <w:bCs/>
                <w:color w:val="000000" w:themeColor="text1"/>
                <w:sz w:val="24"/>
              </w:rPr>
              <w:t>料斗</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根据设计，项目设置了3台5m³/个的多功能给料斗，采用叉车将机制砂、铝矾土和泡棉分别运输至给料料斗中，在料斗中通过密闭管道和自动控制系统将各物料输送至搅拌混合工序。</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叉车将各物料分别倒入各料斗过程中会有粉尘产生，因此项目拟对各料斗设置半封闭集气罩（集气效率约为90%）将该过程产生的粉尘收集后进入1#袋式除尘器处理后通过DA001外排。</w:t>
            </w:r>
          </w:p>
          <w:p>
            <w:pPr>
              <w:spacing w:line="360" w:lineRule="auto"/>
              <w:ind w:firstLine="482" w:firstLineChars="200"/>
              <w:rPr>
                <w:rFonts w:ascii="Times New Roman" w:hAnsi="Times New Roman" w:eastAsia="宋体" w:cs="Times New Roman"/>
                <w:b/>
                <w:bCs/>
                <w:color w:val="000000" w:themeColor="text1"/>
                <w:sz w:val="24"/>
              </w:rPr>
            </w:pPr>
            <w:r>
              <w:rPr>
                <w:rFonts w:ascii="宋体" w:hAnsi="宋体" w:eastAsia="宋体" w:cs="Times New Roman"/>
                <w:b/>
                <w:bCs/>
                <w:color w:val="000000" w:themeColor="text1"/>
                <w:sz w:val="24"/>
              </w:rPr>
              <w:t>③</w:t>
            </w:r>
            <w:r>
              <w:rPr>
                <w:rFonts w:ascii="Times New Roman" w:hAnsi="宋体" w:eastAsia="宋体" w:cs="Times New Roman"/>
                <w:b/>
                <w:bCs/>
                <w:color w:val="000000" w:themeColor="text1"/>
                <w:sz w:val="24"/>
              </w:rPr>
              <w:t>搅拌混合</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根据设计，铝矾土、泡棉、机制砂和水泥按照35%：22%：18%：25%的比例分别通过密闭管道输送至多功能混合搅拌机进行搅拌混合。</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Times New Roman" w:eastAsia="宋体" w:cs="Times New Roman"/>
                <w:bCs/>
                <w:color w:val="000000" w:themeColor="text1"/>
                <w:sz w:val="24"/>
              </w:rPr>
              <w:t>搅拌混合工序有粉尘产生，该搅拌机属于密闭式搅拌机，搅拌混合粉尘通过密闭管道收集至1#袋式除尘器处理后通过DA001外排。</w:t>
            </w:r>
          </w:p>
          <w:p>
            <w:pPr>
              <w:spacing w:line="360" w:lineRule="auto"/>
              <w:ind w:firstLine="482" w:firstLineChars="200"/>
              <w:rPr>
                <w:rFonts w:ascii="Times New Roman" w:hAnsi="Times New Roman" w:eastAsia="宋体" w:cs="Times New Roman"/>
                <w:b/>
                <w:bCs/>
                <w:color w:val="000000" w:themeColor="text1"/>
                <w:sz w:val="24"/>
              </w:rPr>
            </w:pPr>
            <w:r>
              <w:rPr>
                <w:rFonts w:ascii="宋体" w:hAnsi="宋体" w:eastAsia="宋体" w:cs="Times New Roman"/>
                <w:b/>
                <w:bCs/>
                <w:color w:val="000000" w:themeColor="text1"/>
                <w:sz w:val="24"/>
              </w:rPr>
              <w:t>④</w:t>
            </w:r>
            <w:r>
              <w:rPr>
                <w:rFonts w:ascii="Times New Roman" w:hAnsi="宋体" w:eastAsia="宋体" w:cs="Times New Roman"/>
                <w:b/>
                <w:bCs/>
                <w:color w:val="000000" w:themeColor="text1"/>
                <w:sz w:val="24"/>
              </w:rPr>
              <w:t>袋装</w:t>
            </w:r>
          </w:p>
          <w:p>
            <w:pPr>
              <w:spacing w:line="360" w:lineRule="auto"/>
              <w:ind w:firstLine="480" w:firstLineChars="200"/>
              <w:rPr>
                <w:rFonts w:ascii="Times New Roman" w:hAnsi="Times New Roman" w:eastAsia="宋体" w:cs="Times New Roman"/>
                <w:bCs/>
                <w:color w:val="000000" w:themeColor="text1"/>
                <w:sz w:val="24"/>
              </w:rPr>
            </w:pPr>
            <w:r>
              <w:rPr>
                <w:rFonts w:ascii="Times New Roman" w:hAnsi="宋体" w:eastAsia="宋体" w:cs="Times New Roman"/>
                <w:bCs/>
                <w:color w:val="000000" w:themeColor="text1"/>
                <w:sz w:val="24"/>
              </w:rPr>
              <w:t>经搅拌混合后的物料即为轻集料混凝土产品，直接通过吨包袋装后外卖。</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xml:space="preserve">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根据项目建设内容，施工期主要为生产设施及其配套的环保设施建设。施工期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根据项目工艺流程可知，该项目运营期产污环节具体如下。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360" w:firstLineChars="150"/>
              <w:rPr>
                <w:rFonts w:ascii="Times New Roman" w:hAnsi="Times New Roman" w:cs="Times New Roman"/>
                <w:color w:val="000000" w:themeColor="text1"/>
                <w:sz w:val="24"/>
                <w:szCs w:val="24"/>
              </w:rPr>
            </w:pPr>
            <w:r>
              <w:rPr>
                <w:bCs/>
                <w:color w:val="000000" w:themeColor="text1"/>
                <w:sz w:val="24"/>
              </w:rPr>
              <w:t>根据项目建设内容及生产工艺，</w:t>
            </w:r>
            <w:r>
              <w:rPr>
                <w:rFonts w:hint="eastAsia"/>
                <w:bCs/>
                <w:color w:val="000000" w:themeColor="text1"/>
                <w:sz w:val="24"/>
              </w:rPr>
              <w:t>该项目废气主要包括原料车间扬尘、水泥仓粉尘、投料粉尘和搅拌混合粉尘。</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bCs/>
                <w:color w:val="000000" w:themeColor="text1"/>
                <w:sz w:val="24"/>
              </w:rPr>
              <w:t>根据项目建设内容及生产工艺，</w:t>
            </w:r>
            <w:r>
              <w:rPr>
                <w:rFonts w:hint="eastAsia" w:ascii="Times New Roman" w:hAnsi="Times New Roman" w:cs="Times New Roman"/>
                <w:bCs/>
                <w:color w:val="000000" w:themeColor="text1"/>
                <w:sz w:val="24"/>
              </w:rPr>
              <w:t>该项目无生产废水产生，项目区建设内容只有生产设施，不配套设置办公室和生活区，员工食宿自行解决，而员工日常如厕可依托使用项目区旁云南叁景防水建材有限公司卫生间，本项目无生活污水产生。且项目租用区域全为标准厂房室内，因此无初期雨水等废水产生及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bCs/>
                <w:color w:val="000000" w:themeColor="text1"/>
                <w:sz w:val="24"/>
              </w:rPr>
            </w:pPr>
            <w:r>
              <w:rPr>
                <w:rFonts w:ascii="Times New Roman" w:hAnsi="Times New Roman" w:cs="Times New Roman"/>
                <w:bCs/>
                <w:color w:val="000000" w:themeColor="text1"/>
                <w:sz w:val="24"/>
              </w:rPr>
              <w:t>根据项目工程内容及生产工艺，该项目产生的固体废物包括：</w:t>
            </w:r>
            <w:r>
              <w:rPr>
                <w:rFonts w:hint="eastAsia" w:ascii="Times New Roman" w:hAnsi="Times New Roman" w:cs="Times New Roman"/>
                <w:bCs/>
                <w:color w:val="000000" w:themeColor="text1"/>
                <w:sz w:val="24"/>
              </w:rPr>
              <w:t>废包装袋、</w:t>
            </w:r>
            <w:r>
              <w:rPr>
                <w:rFonts w:ascii="Times New Roman" w:hAnsi="Times New Roman" w:cs="Times New Roman"/>
                <w:bCs/>
                <w:color w:val="000000" w:themeColor="text1"/>
                <w:sz w:val="24"/>
              </w:rPr>
              <w:t>袋式除尘器收集粉尘</w:t>
            </w:r>
            <w:r>
              <w:rPr>
                <w:rFonts w:hint="eastAsia" w:ascii="Times New Roman" w:hAnsi="Times New Roman" w:cs="Times New Roman"/>
                <w:bCs/>
                <w:color w:val="000000" w:themeColor="text1"/>
                <w:sz w:val="24"/>
              </w:rPr>
              <w:t>、</w:t>
            </w:r>
            <w:r>
              <w:rPr>
                <w:rFonts w:ascii="Times New Roman" w:hAnsi="Times New Roman" w:cs="Times New Roman"/>
                <w:bCs/>
                <w:color w:val="000000" w:themeColor="text1"/>
                <w:sz w:val="24"/>
              </w:rPr>
              <w:t>设备维修产生的废机油及废弃沾油抹布。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建设单位拟租用</w:t>
            </w:r>
            <w:r>
              <w:rPr>
                <w:rFonts w:ascii="Times New Roman" w:hAnsi="Times New Roman" w:cs="Times New Roman"/>
                <w:color w:val="000000" w:themeColor="text1"/>
                <w:sz w:val="24"/>
                <w:szCs w:val="24"/>
              </w:rPr>
              <w:t>云南嘉佳烨新型材料科技有限责任公司</w:t>
            </w:r>
            <w:r>
              <w:rPr>
                <w:rFonts w:hint="eastAsia" w:ascii="Times New Roman" w:hAnsi="Times New Roman" w:cs="Times New Roman"/>
                <w:color w:val="000000" w:themeColor="text1"/>
                <w:sz w:val="24"/>
                <w:szCs w:val="24"/>
              </w:rPr>
              <w:t>现有</w:t>
            </w:r>
            <w:r>
              <w:rPr>
                <w:rFonts w:ascii="Times New Roman" w:hAnsi="Times New Roman" w:cs="Times New Roman"/>
                <w:color w:val="000000" w:themeColor="text1"/>
                <w:sz w:val="24"/>
                <w:szCs w:val="24"/>
              </w:rPr>
              <w:t>标准厂房</w:t>
            </w:r>
            <w:r>
              <w:rPr>
                <w:rFonts w:hint="eastAsia" w:ascii="Times New Roman" w:hAnsi="Times New Roman" w:cs="Times New Roman"/>
                <w:color w:val="000000" w:themeColor="text1"/>
                <w:sz w:val="24"/>
                <w:szCs w:val="24"/>
              </w:rPr>
              <w:t>进行本项目建设，拟租用</w:t>
            </w:r>
            <w:r>
              <w:rPr>
                <w:rFonts w:ascii="Times New Roman" w:hAnsi="Times New Roman" w:cs="Times New Roman"/>
                <w:color w:val="000000" w:themeColor="text1"/>
                <w:sz w:val="24"/>
                <w:szCs w:val="24"/>
              </w:rPr>
              <w:t>厂房为钢架结构封闭式标准厂房，</w:t>
            </w:r>
            <w:r>
              <w:rPr>
                <w:rFonts w:hint="eastAsia" w:ascii="Times New Roman" w:hAnsi="Times New Roman" w:cs="Times New Roman"/>
                <w:color w:val="000000" w:themeColor="text1"/>
                <w:sz w:val="24"/>
                <w:szCs w:val="24"/>
              </w:rPr>
              <w:t>层</w:t>
            </w:r>
            <w:r>
              <w:rPr>
                <w:rFonts w:ascii="Times New Roman" w:hAnsi="Times New Roman" w:cs="Times New Roman"/>
                <w:color w:val="000000" w:themeColor="text1"/>
                <w:sz w:val="24"/>
                <w:szCs w:val="24"/>
              </w:rPr>
              <w:t>高10m，</w:t>
            </w:r>
            <w:r>
              <w:rPr>
                <w:rFonts w:hint="eastAsia" w:ascii="Times New Roman" w:hAnsi="Times New Roman" w:cs="Times New Roman"/>
                <w:color w:val="000000" w:themeColor="text1"/>
                <w:sz w:val="24"/>
                <w:szCs w:val="24"/>
              </w:rPr>
              <w:t>拟租用厂房地面基础已采用2mm厚的HDPE膜进行了防渗</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该厂房原整体（面积约8000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）被</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租用后拟建设原料库（堆存该公司的铝灰原料），并已办理了环评审批手续，但在该原料库建设过程中，由于多方因素的影响，</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不再需要8000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面积的原料库，仅需5000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即可满足使用需要，因此将该厂房的未使用部分（3000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）退还给</w:t>
            </w:r>
            <w:r>
              <w:rPr>
                <w:rFonts w:ascii="Times New Roman" w:hAnsi="Times New Roman" w:cs="Times New Roman"/>
                <w:color w:val="000000" w:themeColor="text1"/>
                <w:sz w:val="24"/>
                <w:szCs w:val="24"/>
              </w:rPr>
              <w:t>云南嘉佳烨新型材料科技有限责任公司</w:t>
            </w:r>
            <w:r>
              <w:rPr>
                <w:rFonts w:hint="eastAsia" w:ascii="Times New Roman" w:hAnsi="Times New Roman" w:cs="Times New Roman"/>
                <w:color w:val="000000" w:themeColor="text1"/>
                <w:sz w:val="24"/>
                <w:szCs w:val="24"/>
              </w:rPr>
              <w:t>。为此建设单位拟租用已退还的标准厂房中的2000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进行本次项目建设。根据调查，本次项目租用区域与</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在建的原料库位于同一厂房内，且该区域原本属于原料库的建设区域，但该区域未建设过原料库，也未堆存过原料，因此</w:t>
            </w:r>
            <w:r>
              <w:rPr>
                <w:rFonts w:ascii="Times New Roman" w:hAnsi="Times New Roman" w:cs="Times New Roman"/>
                <w:color w:val="000000" w:themeColor="text1"/>
                <w:sz w:val="24"/>
                <w:szCs w:val="24"/>
              </w:rPr>
              <w:t>基本无与该项目有关的环境问题。</w:t>
            </w:r>
            <w:r>
              <w:rPr>
                <w:rFonts w:hint="eastAsia" w:ascii="Times New Roman" w:hAnsi="Times New Roman" w:cs="Times New Roman"/>
                <w:color w:val="000000" w:themeColor="text1"/>
                <w:sz w:val="24"/>
                <w:szCs w:val="24"/>
              </w:rPr>
              <w:t>但由于本次项目建设区域与</w:t>
            </w:r>
            <w:r>
              <w:rPr>
                <w:rFonts w:ascii="Times New Roman" w:hAnsi="Times New Roman" w:cs="Times New Roman"/>
                <w:color w:val="000000" w:themeColor="text1"/>
                <w:sz w:val="24"/>
                <w:szCs w:val="24"/>
              </w:rPr>
              <w:t>云南凯凌环保工程有限公司</w:t>
            </w:r>
            <w:r>
              <w:rPr>
                <w:rFonts w:hint="eastAsia" w:ascii="Times New Roman" w:hAnsi="Times New Roman" w:cs="Times New Roman"/>
                <w:color w:val="000000" w:themeColor="text1"/>
                <w:sz w:val="24"/>
                <w:szCs w:val="24"/>
              </w:rPr>
              <w:t>拟建设原料库区域位于同一厂房，且无隔离措施，存在相互影响的风险，因此环评建议，建设单位应设置隔离墙将两项目空间完全隔离。</w:t>
            </w: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8"/>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38"/>
              <w:ind w:firstLine="480"/>
              <w:rPr>
                <w:color w:val="000000" w:themeColor="text1"/>
                <w:szCs w:val="24"/>
              </w:rPr>
            </w:pPr>
            <w:r>
              <w:rPr>
                <w:rFonts w:hint="eastAsia"/>
                <w:color w:val="000000" w:themeColor="text1"/>
                <w:szCs w:val="24"/>
              </w:rPr>
              <w:t>该项目位于</w:t>
            </w:r>
            <w:r>
              <w:rPr>
                <w:color w:val="000000" w:themeColor="text1"/>
                <w:szCs w:val="24"/>
              </w:rPr>
              <w:t>云南东川产业园区天生桥片区天三路</w:t>
            </w:r>
            <w:r>
              <w:rPr>
                <w:rFonts w:hint="eastAsia"/>
                <w:color w:val="000000" w:themeColor="text1"/>
                <w:szCs w:val="24"/>
              </w:rPr>
              <w:t>，</w:t>
            </w:r>
            <w:r>
              <w:rPr>
                <w:color w:val="000000" w:themeColor="text1"/>
                <w:szCs w:val="24"/>
              </w:rPr>
              <w:t>属于环境空气二类区，执行《环境空气质量标准》（GB</w:t>
            </w:r>
            <w:r>
              <w:rPr>
                <w:rFonts w:hint="eastAsia"/>
                <w:color w:val="000000" w:themeColor="text1"/>
                <w:szCs w:val="24"/>
                <w:lang w:eastAsia="zh-CN"/>
              </w:rPr>
              <w:t>****</w:t>
            </w:r>
            <w:r>
              <w:rPr>
                <w:color w:val="000000" w:themeColor="text1"/>
                <w:szCs w:val="24"/>
              </w:rPr>
              <w:t>-2012）二级标准</w:t>
            </w:r>
            <w:r>
              <w:rPr>
                <w:rFonts w:hint="eastAsia"/>
                <w:color w:val="000000" w:themeColor="text1"/>
                <w:szCs w:val="24"/>
              </w:rPr>
              <w:t>；</w:t>
            </w:r>
            <w:r>
              <w:rPr>
                <w:color w:val="000000" w:themeColor="text1"/>
                <w:szCs w:val="24"/>
              </w:rPr>
              <w:t>根据《202</w:t>
            </w:r>
            <w:r>
              <w:rPr>
                <w:rFonts w:hint="eastAsia"/>
                <w:color w:val="000000" w:themeColor="text1"/>
                <w:szCs w:val="24"/>
              </w:rPr>
              <w:t>1</w:t>
            </w:r>
            <w:r>
              <w:rPr>
                <w:color w:val="000000" w:themeColor="text1"/>
                <w:szCs w:val="24"/>
              </w:rPr>
              <w:t>年度昆明市生态环境状况公报》，各县（市）区环境空气质量总体保持良好</w:t>
            </w:r>
            <w:r>
              <w:rPr>
                <w:rFonts w:hint="eastAsia"/>
                <w:color w:val="000000" w:themeColor="text1"/>
                <w:szCs w:val="24"/>
              </w:rPr>
              <w:t>。</w:t>
            </w:r>
            <w:r>
              <w:rPr>
                <w:color w:val="000000" w:themeColor="text1"/>
                <w:szCs w:val="24"/>
              </w:rPr>
              <w:t>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38"/>
              <w:ind w:firstLine="480"/>
              <w:rPr>
                <w:color w:val="000000" w:themeColor="text1"/>
                <w:szCs w:val="24"/>
              </w:rPr>
            </w:pPr>
            <w:r>
              <w:rPr>
                <w:color w:val="000000" w:themeColor="text1"/>
                <w:szCs w:val="24"/>
              </w:rPr>
              <w:t>根据项目特点，该项目排放的特征污染物为</w:t>
            </w:r>
            <w:r>
              <w:rPr>
                <w:rFonts w:hint="eastAsia"/>
                <w:color w:val="000000" w:themeColor="text1"/>
                <w:szCs w:val="24"/>
              </w:rPr>
              <w:t>颗粒物</w:t>
            </w:r>
            <w:r>
              <w:rPr>
                <w:color w:val="000000" w:themeColor="text1"/>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年的现有监测数据”进行现状评价，根据调查，云南昊利环保科技有限公司拟建年处理10万吨电解铝撇渣（铝灰）处置项目环评期间已对项目</w:t>
            </w:r>
            <w:r>
              <w:rPr>
                <w:rFonts w:hint="eastAsia"/>
                <w:color w:val="000000" w:themeColor="text1"/>
                <w:szCs w:val="24"/>
              </w:rPr>
              <w:t>区域环境空气</w:t>
            </w:r>
            <w:r>
              <w:rPr>
                <w:color w:val="000000" w:themeColor="text1"/>
                <w:szCs w:val="24"/>
              </w:rPr>
              <w:t>进行了监测，</w:t>
            </w:r>
            <w:r>
              <w:rPr>
                <w:rFonts w:hint="eastAsia"/>
                <w:color w:val="000000" w:themeColor="text1"/>
                <w:szCs w:val="24"/>
              </w:rPr>
              <w:t>本环评引用其监测数据进行环境空气现状评价，</w:t>
            </w:r>
            <w:r>
              <w:rPr>
                <w:color w:val="000000" w:themeColor="text1"/>
                <w:szCs w:val="24"/>
              </w:rPr>
              <w:t>监测时间为202</w:t>
            </w:r>
            <w:r>
              <w:rPr>
                <w:rFonts w:hint="eastAsia"/>
                <w:color w:val="000000" w:themeColor="text1"/>
                <w:szCs w:val="24"/>
              </w:rPr>
              <w:t>2</w:t>
            </w:r>
            <w:r>
              <w:rPr>
                <w:color w:val="000000" w:themeColor="text1"/>
                <w:szCs w:val="24"/>
              </w:rPr>
              <w:t>年</w:t>
            </w:r>
            <w:r>
              <w:rPr>
                <w:rFonts w:hint="eastAsia"/>
                <w:color w:val="000000" w:themeColor="text1"/>
                <w:szCs w:val="24"/>
              </w:rPr>
              <w:t>7</w:t>
            </w:r>
            <w:r>
              <w:rPr>
                <w:color w:val="000000" w:themeColor="text1"/>
                <w:szCs w:val="24"/>
              </w:rPr>
              <w:t>月2</w:t>
            </w:r>
            <w:r>
              <w:rPr>
                <w:rFonts w:hint="eastAsia"/>
                <w:color w:val="000000" w:themeColor="text1"/>
                <w:szCs w:val="24"/>
              </w:rPr>
              <w:t>7</w:t>
            </w:r>
            <w:r>
              <w:rPr>
                <w:color w:val="000000" w:themeColor="text1"/>
                <w:szCs w:val="24"/>
              </w:rPr>
              <w:t>日至</w:t>
            </w:r>
            <w:r>
              <w:rPr>
                <w:rFonts w:hint="eastAsia"/>
                <w:color w:val="000000" w:themeColor="text1"/>
                <w:szCs w:val="24"/>
              </w:rPr>
              <w:t>8</w:t>
            </w:r>
            <w:r>
              <w:rPr>
                <w:color w:val="000000" w:themeColor="text1"/>
                <w:szCs w:val="24"/>
              </w:rPr>
              <w:t>月</w:t>
            </w:r>
            <w:r>
              <w:rPr>
                <w:rFonts w:hint="eastAsia"/>
                <w:color w:val="000000" w:themeColor="text1"/>
                <w:szCs w:val="24"/>
              </w:rPr>
              <w:t>3</w:t>
            </w:r>
            <w:r>
              <w:rPr>
                <w:color w:val="000000" w:themeColor="text1"/>
                <w:szCs w:val="24"/>
              </w:rPr>
              <w:t>日，满足引用条件</w:t>
            </w:r>
            <w:r>
              <w:rPr>
                <w:rFonts w:hint="eastAsia"/>
                <w:color w:val="000000" w:themeColor="text1"/>
                <w:szCs w:val="24"/>
              </w:rPr>
              <w:t>，</w:t>
            </w:r>
            <w:r>
              <w:rPr>
                <w:color w:val="000000" w:themeColor="text1"/>
                <w:szCs w:val="24"/>
              </w:rPr>
              <w:t>因此本环评引用其对环境质量现状进行评价。</w:t>
            </w:r>
          </w:p>
          <w:p>
            <w:pPr>
              <w:pStyle w:val="38"/>
              <w:ind w:firstLine="482"/>
              <w:rPr>
                <w:rFonts w:eastAsiaTheme="minorEastAsia"/>
                <w:b/>
                <w:color w:val="000000" w:themeColor="text1"/>
                <w:szCs w:val="24"/>
              </w:rPr>
            </w:pPr>
            <w:r>
              <w:rPr>
                <w:rFonts w:hint="eastAsia" w:ascii="宋体" w:hAnsi="宋体" w:cs="宋体"/>
                <w:b/>
                <w:color w:val="000000" w:themeColor="text1"/>
                <w:szCs w:val="24"/>
              </w:rPr>
              <w:t>①</w:t>
            </w:r>
            <w:r>
              <w:rPr>
                <w:rFonts w:eastAsiaTheme="minorEastAsia"/>
                <w:b/>
                <w:color w:val="000000" w:themeColor="text1"/>
                <w:szCs w:val="24"/>
              </w:rPr>
              <w:t>引用环境空气现状监测参数设置</w:t>
            </w:r>
          </w:p>
          <w:p>
            <w:pPr>
              <w:pStyle w:val="38"/>
              <w:ind w:firstLine="480"/>
              <w:rPr>
                <w:rFonts w:eastAsiaTheme="minorEastAsia"/>
                <w:color w:val="000000" w:themeColor="text1"/>
                <w:szCs w:val="24"/>
              </w:rPr>
            </w:pPr>
            <w:r>
              <w:rPr>
                <w:rFonts w:eastAsiaTheme="minorEastAsia"/>
                <w:color w:val="000000" w:themeColor="text1"/>
                <w:szCs w:val="24"/>
              </w:rPr>
              <w:t>引用监测参数如下表所示。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表3.1.1-1  引用监测参数一览表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1"/>
              <w:gridCol w:w="1355"/>
              <w:gridCol w:w="6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rPr>
                  </w:pPr>
                  <w:r>
                    <w:rPr>
                      <w:color w:val="000000" w:themeColor="text1"/>
                    </w:rPr>
                    <w:t>序号</w:t>
                  </w:r>
                </w:p>
              </w:tc>
              <w:tc>
                <w:tcPr>
                  <w:tcW w:w="1417" w:type="dxa"/>
                  <w:vAlign w:val="center"/>
                </w:tcPr>
                <w:p>
                  <w:pPr>
                    <w:pStyle w:val="30"/>
                    <w:spacing w:line="360" w:lineRule="exact"/>
                    <w:rPr>
                      <w:color w:val="000000" w:themeColor="text1"/>
                    </w:rPr>
                  </w:pPr>
                  <w:r>
                    <w:rPr>
                      <w:color w:val="000000" w:themeColor="text1"/>
                    </w:rPr>
                    <w:t>项目</w:t>
                  </w:r>
                </w:p>
              </w:tc>
              <w:tc>
                <w:tcPr>
                  <w:tcW w:w="6988" w:type="dxa"/>
                  <w:vAlign w:val="center"/>
                </w:tcPr>
                <w:p>
                  <w:pPr>
                    <w:pStyle w:val="30"/>
                    <w:spacing w:line="360" w:lineRule="exact"/>
                    <w:rPr>
                      <w:color w:val="000000" w:themeColor="text1"/>
                    </w:rPr>
                  </w:pPr>
                  <w:r>
                    <w:rPr>
                      <w:color w:val="000000" w:themeColor="text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rPr>
                  </w:pPr>
                  <w:r>
                    <w:rPr>
                      <w:color w:val="000000" w:themeColor="text1"/>
                    </w:rPr>
                    <w:t>1</w:t>
                  </w:r>
                </w:p>
              </w:tc>
              <w:tc>
                <w:tcPr>
                  <w:tcW w:w="1417" w:type="dxa"/>
                  <w:vAlign w:val="center"/>
                </w:tcPr>
                <w:p>
                  <w:pPr>
                    <w:pStyle w:val="30"/>
                    <w:spacing w:line="360" w:lineRule="exact"/>
                    <w:rPr>
                      <w:color w:val="000000" w:themeColor="text1"/>
                    </w:rPr>
                  </w:pPr>
                  <w:r>
                    <w:rPr>
                      <w:color w:val="000000" w:themeColor="text1"/>
                    </w:rPr>
                    <w:t>监测点位</w:t>
                  </w:r>
                </w:p>
              </w:tc>
              <w:tc>
                <w:tcPr>
                  <w:tcW w:w="6988" w:type="dxa"/>
                  <w:vAlign w:val="center"/>
                </w:tcPr>
                <w:p>
                  <w:pPr>
                    <w:pStyle w:val="30"/>
                    <w:spacing w:line="360" w:lineRule="exact"/>
                    <w:ind w:firstLine="210" w:firstLineChars="100"/>
                    <w:jc w:val="both"/>
                    <w:rPr>
                      <w:color w:val="000000" w:themeColor="text1"/>
                    </w:rPr>
                  </w:pPr>
                  <w:r>
                    <w:rPr>
                      <w:color w:val="000000" w:themeColor="text1"/>
                    </w:rPr>
                    <w:t>共设置了2个点位具体如下：</w:t>
                  </w:r>
                </w:p>
                <w:p>
                  <w:pPr>
                    <w:pStyle w:val="30"/>
                    <w:spacing w:line="360" w:lineRule="exact"/>
                    <w:ind w:firstLine="210" w:firstLineChars="100"/>
                    <w:jc w:val="both"/>
                    <w:rPr>
                      <w:color w:val="000000" w:themeColor="text1"/>
                    </w:rPr>
                  </w:pPr>
                  <w:r>
                    <w:rPr>
                      <w:color w:val="000000" w:themeColor="text1"/>
                    </w:rPr>
                    <w:t>1#监测点位：</w:t>
                  </w:r>
                  <w:r>
                    <w:rPr>
                      <w:rFonts w:eastAsiaTheme="minorEastAsia"/>
                      <w:color w:val="000000" w:themeColor="text1"/>
                      <w:szCs w:val="24"/>
                    </w:rPr>
                    <w:t>云南昊利环保科技有限公司拟建年处理10万吨电解铝撇渣（铝灰）处置项目</w:t>
                  </w:r>
                  <w:r>
                    <w:rPr>
                      <w:rFonts w:hint="eastAsia" w:eastAsiaTheme="minorEastAsia"/>
                      <w:color w:val="000000" w:themeColor="text1"/>
                      <w:szCs w:val="24"/>
                    </w:rPr>
                    <w:t>项目区中心，</w:t>
                  </w:r>
                  <w:r>
                    <w:rPr>
                      <w:color w:val="000000" w:themeColor="text1"/>
                    </w:rPr>
                    <w:t>该点位位于项目区</w:t>
                  </w:r>
                  <w:r>
                    <w:rPr>
                      <w:rFonts w:hint="eastAsia"/>
                      <w:color w:val="000000" w:themeColor="text1"/>
                    </w:rPr>
                    <w:t>东南</w:t>
                  </w:r>
                  <w:r>
                    <w:rPr>
                      <w:color w:val="000000" w:themeColor="text1"/>
                    </w:rPr>
                    <w:t>侧</w:t>
                  </w:r>
                  <w:r>
                    <w:rPr>
                      <w:rFonts w:hint="eastAsia"/>
                      <w:color w:val="000000" w:themeColor="text1"/>
                    </w:rPr>
                    <w:t>216</w:t>
                  </w:r>
                  <w:r>
                    <w:rPr>
                      <w:color w:val="000000" w:themeColor="text1"/>
                    </w:rPr>
                    <w:t>m处。</w:t>
                  </w:r>
                </w:p>
                <w:p>
                  <w:pPr>
                    <w:pStyle w:val="30"/>
                    <w:spacing w:line="360" w:lineRule="exact"/>
                    <w:ind w:firstLine="210" w:firstLineChars="100"/>
                    <w:jc w:val="both"/>
                    <w:rPr>
                      <w:color w:val="000000" w:themeColor="text1"/>
                    </w:rPr>
                  </w:pPr>
                  <w:r>
                    <w:rPr>
                      <w:color w:val="000000" w:themeColor="text1"/>
                    </w:rPr>
                    <w:t>2#监测点位：黑泥沟村，该点位位于项目区东北侧</w:t>
                  </w:r>
                  <w:r>
                    <w:rPr>
                      <w:rFonts w:hint="eastAsia"/>
                      <w:color w:val="000000" w:themeColor="text1"/>
                    </w:rPr>
                    <w:t>642</w:t>
                  </w:r>
                  <w:r>
                    <w:rPr>
                      <w:color w:val="000000" w:themeColor="text1"/>
                    </w:rPr>
                    <w:t>m处（下风向）。</w:t>
                  </w:r>
                </w:p>
                <w:p>
                  <w:pPr>
                    <w:pStyle w:val="30"/>
                    <w:spacing w:line="360" w:lineRule="exact"/>
                    <w:ind w:firstLine="210" w:firstLineChars="100"/>
                    <w:jc w:val="both"/>
                    <w:rPr>
                      <w:color w:val="000000" w:themeColor="text1"/>
                    </w:rPr>
                  </w:pPr>
                  <w:r>
                    <w:rPr>
                      <w:rFonts w:hint="eastAsia"/>
                      <w:color w:val="000000" w:themeColor="text1"/>
                    </w:rPr>
                    <w:t>监测位置详见附图10 环境质量现状引用数据监测点位示意图。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rPr>
                  </w:pPr>
                  <w:r>
                    <w:rPr>
                      <w:color w:val="000000" w:themeColor="text1"/>
                    </w:rPr>
                    <w:t>2</w:t>
                  </w:r>
                </w:p>
              </w:tc>
              <w:tc>
                <w:tcPr>
                  <w:tcW w:w="1417" w:type="dxa"/>
                  <w:vAlign w:val="center"/>
                </w:tcPr>
                <w:p>
                  <w:pPr>
                    <w:pStyle w:val="30"/>
                    <w:spacing w:line="360" w:lineRule="exact"/>
                    <w:rPr>
                      <w:color w:val="000000" w:themeColor="text1"/>
                    </w:rPr>
                  </w:pPr>
                  <w:r>
                    <w:rPr>
                      <w:color w:val="000000" w:themeColor="text1"/>
                    </w:rPr>
                    <w:t>监测项目</w:t>
                  </w:r>
                </w:p>
              </w:tc>
              <w:tc>
                <w:tcPr>
                  <w:tcW w:w="6988" w:type="dxa"/>
                  <w:vAlign w:val="center"/>
                </w:tcPr>
                <w:p>
                  <w:pPr>
                    <w:pStyle w:val="30"/>
                    <w:spacing w:line="360" w:lineRule="exact"/>
                    <w:ind w:firstLine="210" w:firstLineChars="100"/>
                    <w:jc w:val="both"/>
                    <w:rPr>
                      <w:color w:val="000000" w:themeColor="text1"/>
                    </w:rPr>
                  </w:pPr>
                  <w:r>
                    <w:rPr>
                      <w:color w:val="000000" w:themeColor="text1"/>
                    </w:rPr>
                    <w:t>TSP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rPr>
                  </w:pPr>
                  <w:r>
                    <w:rPr>
                      <w:color w:val="000000" w:themeColor="text1"/>
                    </w:rPr>
                    <w:t>3</w:t>
                  </w:r>
                </w:p>
              </w:tc>
              <w:tc>
                <w:tcPr>
                  <w:tcW w:w="1417" w:type="dxa"/>
                  <w:vAlign w:val="center"/>
                </w:tcPr>
                <w:p>
                  <w:pPr>
                    <w:pStyle w:val="30"/>
                    <w:spacing w:line="360" w:lineRule="exact"/>
                    <w:rPr>
                      <w:color w:val="000000" w:themeColor="text1"/>
                    </w:rPr>
                  </w:pPr>
                  <w:r>
                    <w:rPr>
                      <w:color w:val="000000" w:themeColor="text1"/>
                    </w:rPr>
                    <w:t>监测频次</w:t>
                  </w:r>
                </w:p>
              </w:tc>
              <w:tc>
                <w:tcPr>
                  <w:tcW w:w="6988" w:type="dxa"/>
                  <w:vAlign w:val="center"/>
                </w:tcPr>
                <w:p>
                  <w:pPr>
                    <w:pStyle w:val="30"/>
                    <w:spacing w:line="360" w:lineRule="exact"/>
                    <w:ind w:firstLine="210" w:firstLineChars="100"/>
                    <w:jc w:val="both"/>
                    <w:rPr>
                      <w:color w:val="000000" w:themeColor="text1"/>
                    </w:rPr>
                  </w:pPr>
                  <w:r>
                    <w:rPr>
                      <w:color w:val="000000" w:themeColor="text1"/>
                    </w:rPr>
                    <w:t>连续检测7天，TSP检测日均浓度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rPr>
                  </w:pPr>
                  <w:r>
                    <w:rPr>
                      <w:color w:val="000000" w:themeColor="text1"/>
                    </w:rPr>
                    <w:t>4</w:t>
                  </w:r>
                </w:p>
              </w:tc>
              <w:tc>
                <w:tcPr>
                  <w:tcW w:w="1417" w:type="dxa"/>
                  <w:vAlign w:val="center"/>
                </w:tcPr>
                <w:p>
                  <w:pPr>
                    <w:pStyle w:val="30"/>
                    <w:spacing w:line="360" w:lineRule="exact"/>
                    <w:rPr>
                      <w:color w:val="000000" w:themeColor="text1"/>
                    </w:rPr>
                  </w:pPr>
                  <w:r>
                    <w:rPr>
                      <w:color w:val="000000" w:themeColor="text1"/>
                    </w:rPr>
                    <w:t>采样时间</w:t>
                  </w:r>
                </w:p>
              </w:tc>
              <w:tc>
                <w:tcPr>
                  <w:tcW w:w="6988" w:type="dxa"/>
                  <w:vAlign w:val="center"/>
                </w:tcPr>
                <w:p>
                  <w:pPr>
                    <w:pStyle w:val="30"/>
                    <w:spacing w:line="360" w:lineRule="exact"/>
                    <w:ind w:firstLine="210" w:firstLineChars="100"/>
                    <w:jc w:val="both"/>
                    <w:rPr>
                      <w:color w:val="000000" w:themeColor="text1"/>
                    </w:rPr>
                  </w:pPr>
                  <w:r>
                    <w:rPr>
                      <w:rFonts w:eastAsiaTheme="minorEastAsia"/>
                      <w:color w:val="000000" w:themeColor="text1"/>
                      <w:szCs w:val="24"/>
                    </w:rPr>
                    <w:t>202</w:t>
                  </w:r>
                  <w:r>
                    <w:rPr>
                      <w:rFonts w:hint="eastAsia" w:eastAsiaTheme="minorEastAsia"/>
                      <w:color w:val="000000" w:themeColor="text1"/>
                      <w:szCs w:val="24"/>
                    </w:rPr>
                    <w:t>2</w:t>
                  </w:r>
                  <w:r>
                    <w:rPr>
                      <w:rFonts w:eastAsiaTheme="minorEastAsia"/>
                      <w:color w:val="000000" w:themeColor="text1"/>
                      <w:szCs w:val="24"/>
                    </w:rPr>
                    <w:t>年</w:t>
                  </w:r>
                  <w:r>
                    <w:rPr>
                      <w:rFonts w:hint="eastAsia" w:eastAsiaTheme="minorEastAsia"/>
                      <w:color w:val="000000" w:themeColor="text1"/>
                      <w:szCs w:val="24"/>
                    </w:rPr>
                    <w:t>7</w:t>
                  </w:r>
                  <w:r>
                    <w:rPr>
                      <w:rFonts w:eastAsiaTheme="minorEastAsia"/>
                      <w:color w:val="000000" w:themeColor="text1"/>
                      <w:szCs w:val="24"/>
                    </w:rPr>
                    <w:t>月2</w:t>
                  </w:r>
                  <w:r>
                    <w:rPr>
                      <w:rFonts w:hint="eastAsia" w:eastAsiaTheme="minorEastAsia"/>
                      <w:color w:val="000000" w:themeColor="text1"/>
                      <w:szCs w:val="24"/>
                    </w:rPr>
                    <w:t>7</w:t>
                  </w:r>
                  <w:r>
                    <w:rPr>
                      <w:rFonts w:eastAsiaTheme="minorEastAsia"/>
                      <w:color w:val="000000" w:themeColor="text1"/>
                      <w:szCs w:val="24"/>
                    </w:rPr>
                    <w:t>日至</w:t>
                  </w:r>
                  <w:r>
                    <w:rPr>
                      <w:rFonts w:hint="eastAsia" w:eastAsiaTheme="minorEastAsia"/>
                      <w:color w:val="000000" w:themeColor="text1"/>
                      <w:szCs w:val="24"/>
                    </w:rPr>
                    <w:t>8</w:t>
                  </w:r>
                  <w:r>
                    <w:rPr>
                      <w:rFonts w:eastAsiaTheme="minorEastAsia"/>
                      <w:color w:val="000000" w:themeColor="text1"/>
                      <w:szCs w:val="24"/>
                    </w:rPr>
                    <w:t>月</w:t>
                  </w:r>
                  <w:r>
                    <w:rPr>
                      <w:rFonts w:hint="eastAsia" w:eastAsiaTheme="minorEastAsia"/>
                      <w:color w:val="000000" w:themeColor="text1"/>
                      <w:szCs w:val="24"/>
                    </w:rPr>
                    <w:t>3</w:t>
                  </w:r>
                  <w:r>
                    <w:rPr>
                      <w:rFonts w:eastAsiaTheme="minorEastAsia"/>
                      <w:color w:val="000000" w:themeColor="text1"/>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rPr>
                  </w:pPr>
                  <w:r>
                    <w:rPr>
                      <w:color w:val="000000" w:themeColor="text1"/>
                    </w:rPr>
                    <w:t>5</w:t>
                  </w:r>
                </w:p>
              </w:tc>
              <w:tc>
                <w:tcPr>
                  <w:tcW w:w="1417" w:type="dxa"/>
                  <w:vAlign w:val="center"/>
                </w:tcPr>
                <w:p>
                  <w:pPr>
                    <w:pStyle w:val="30"/>
                    <w:spacing w:line="360" w:lineRule="exact"/>
                    <w:rPr>
                      <w:color w:val="000000" w:themeColor="text1"/>
                    </w:rPr>
                  </w:pPr>
                  <w:r>
                    <w:rPr>
                      <w:color w:val="000000" w:themeColor="text1"/>
                    </w:rPr>
                    <w:t>监测方法</w:t>
                  </w:r>
                </w:p>
              </w:tc>
              <w:tc>
                <w:tcPr>
                  <w:tcW w:w="6988" w:type="dxa"/>
                  <w:vAlign w:val="center"/>
                </w:tcPr>
                <w:p>
                  <w:pPr>
                    <w:pStyle w:val="30"/>
                    <w:spacing w:line="360" w:lineRule="exact"/>
                    <w:ind w:firstLine="210" w:firstLineChars="100"/>
                    <w:jc w:val="both"/>
                    <w:rPr>
                      <w:color w:val="000000" w:themeColor="text1"/>
                    </w:rPr>
                  </w:pPr>
                  <w:r>
                    <w:rPr>
                      <w:color w:val="000000" w:themeColor="text1"/>
                    </w:rPr>
                    <w:t>按照国家相关要求进行</w:t>
                  </w:r>
                </w:p>
              </w:tc>
            </w:tr>
          </w:tbl>
          <w:p>
            <w:pPr>
              <w:pStyle w:val="38"/>
              <w:spacing w:beforeLines="50"/>
              <w:ind w:firstLine="482"/>
              <w:rPr>
                <w:rFonts w:eastAsiaTheme="minorEastAsia"/>
                <w:b/>
                <w:color w:val="000000" w:themeColor="text1"/>
                <w:szCs w:val="24"/>
              </w:rPr>
            </w:pPr>
            <w:r>
              <w:rPr>
                <w:rFonts w:hint="eastAsia" w:ascii="宋体" w:hAnsi="宋体" w:cs="宋体"/>
                <w:b/>
                <w:color w:val="000000" w:themeColor="text1"/>
                <w:szCs w:val="24"/>
              </w:rPr>
              <w:t>②</w:t>
            </w:r>
            <w:r>
              <w:rPr>
                <w:rFonts w:eastAsiaTheme="minorEastAsia"/>
                <w:b/>
                <w:color w:val="000000" w:themeColor="text1"/>
                <w:szCs w:val="24"/>
              </w:rPr>
              <w:t>引用环境空气监测结果</w:t>
            </w:r>
          </w:p>
          <w:p>
            <w:pPr>
              <w:pStyle w:val="38"/>
              <w:ind w:firstLine="480"/>
              <w:rPr>
                <w:rFonts w:eastAsiaTheme="minorEastAsia"/>
                <w:color w:val="000000" w:themeColor="text1"/>
                <w:szCs w:val="24"/>
              </w:rPr>
            </w:pPr>
            <w:r>
              <w:rPr>
                <w:rFonts w:eastAsiaTheme="minorEastAsia"/>
                <w:color w:val="000000" w:themeColor="text1"/>
                <w:szCs w:val="24"/>
              </w:rPr>
              <w:t>引用</w:t>
            </w:r>
            <w:r>
              <w:rPr>
                <w:rFonts w:hint="eastAsia" w:eastAsiaTheme="minorEastAsia"/>
                <w:color w:val="000000" w:themeColor="text1"/>
                <w:szCs w:val="24"/>
              </w:rPr>
              <w:t>TSP</w:t>
            </w:r>
            <w:r>
              <w:rPr>
                <w:rFonts w:eastAsiaTheme="minorEastAsia"/>
                <w:color w:val="000000" w:themeColor="text1"/>
                <w:szCs w:val="24"/>
              </w:rPr>
              <w:t>监测结果见下表。</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表3.1.1-2 引用项目区域</w:t>
            </w:r>
            <w:r>
              <w:rPr>
                <w:rFonts w:hint="eastAsia" w:ascii="Times New Roman" w:hAnsi="Times New Roman" w:eastAsia="宋体" w:cs="Times New Roman"/>
                <w:b/>
                <w:color w:val="000000" w:themeColor="text1"/>
                <w:szCs w:val="24"/>
              </w:rPr>
              <w:t>TSP</w:t>
            </w:r>
            <w:r>
              <w:rPr>
                <w:rFonts w:ascii="Times New Roman" w:hAnsi="Times New Roman" w:eastAsia="宋体" w:cs="Times New Roman"/>
                <w:b/>
                <w:color w:val="000000" w:themeColor="text1"/>
                <w:szCs w:val="24"/>
              </w:rPr>
              <w:t>检测结果一览表   单位：</w:t>
            </w:r>
            <w:r>
              <w:rPr>
                <w:rFonts w:hint="eastAsia" w:ascii="Times New Roman" w:hAnsi="Times New Roman" w:eastAsia="宋体" w:cs="Times New Roman"/>
                <w:b/>
                <w:color w:val="000000" w:themeColor="text1"/>
                <w:szCs w:val="24"/>
              </w:rPr>
              <w:t>u</w:t>
            </w:r>
            <w:r>
              <w:rPr>
                <w:rFonts w:ascii="Times New Roman" w:hAnsi="Times New Roman" w:eastAsia="宋体" w:cs="Times New Roman"/>
                <w:b/>
                <w:color w:val="000000" w:themeColor="text1"/>
                <w:szCs w:val="24"/>
              </w:rPr>
              <w:t>g/m³</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1"/>
              <w:gridCol w:w="2445"/>
              <w:gridCol w:w="2928"/>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tcMar>
                    <w:top w:w="15" w:type="dxa"/>
                    <w:left w:w="15" w:type="dxa"/>
                    <w:bottom w:w="15" w:type="dxa"/>
                    <w:right w:w="15" w:type="dxa"/>
                  </w:tcMar>
                  <w:vAlign w:val="center"/>
                </w:tcPr>
                <w:p>
                  <w:pPr>
                    <w:pStyle w:val="30"/>
                    <w:spacing w:line="360" w:lineRule="exact"/>
                    <w:rPr>
                      <w:color w:val="000000" w:themeColor="text1"/>
                    </w:rPr>
                  </w:pPr>
                  <w:r>
                    <w:rPr>
                      <w:color w:val="000000" w:themeColor="text1"/>
                    </w:rPr>
                    <w:t>检测点位</w:t>
                  </w:r>
                </w:p>
              </w:tc>
              <w:tc>
                <w:tcPr>
                  <w:tcW w:w="1420" w:type="pct"/>
                  <w:tcMar>
                    <w:top w:w="15" w:type="dxa"/>
                    <w:left w:w="15" w:type="dxa"/>
                    <w:bottom w:w="15" w:type="dxa"/>
                    <w:right w:w="15" w:type="dxa"/>
                  </w:tcMar>
                  <w:vAlign w:val="center"/>
                </w:tcPr>
                <w:p>
                  <w:pPr>
                    <w:pStyle w:val="30"/>
                    <w:spacing w:line="360" w:lineRule="exact"/>
                    <w:rPr>
                      <w:color w:val="000000" w:themeColor="text1"/>
                    </w:rPr>
                  </w:pPr>
                  <w:r>
                    <w:rPr>
                      <w:color w:val="000000" w:themeColor="text1"/>
                    </w:rPr>
                    <w:t>采样时间</w:t>
                  </w:r>
                </w:p>
              </w:tc>
              <w:tc>
                <w:tcPr>
                  <w:tcW w:w="1701" w:type="pct"/>
                  <w:tcMar>
                    <w:top w:w="15" w:type="dxa"/>
                    <w:left w:w="15" w:type="dxa"/>
                    <w:bottom w:w="15" w:type="dxa"/>
                    <w:right w:w="15" w:type="dxa"/>
                  </w:tcMar>
                  <w:vAlign w:val="center"/>
                </w:tcPr>
                <w:p>
                  <w:pPr>
                    <w:pStyle w:val="30"/>
                    <w:spacing w:line="360" w:lineRule="exact"/>
                    <w:rPr>
                      <w:color w:val="000000" w:themeColor="text1"/>
                    </w:rPr>
                  </w:pPr>
                  <w:r>
                    <w:rPr>
                      <w:color w:val="000000" w:themeColor="text1"/>
                    </w:rPr>
                    <w:t>采样</w:t>
                  </w:r>
                  <w:r>
                    <w:rPr>
                      <w:rFonts w:hint="eastAsia"/>
                      <w:color w:val="000000" w:themeColor="text1"/>
                    </w:rPr>
                    <w:t>时段</w:t>
                  </w:r>
                </w:p>
              </w:tc>
              <w:tc>
                <w:tcPr>
                  <w:tcW w:w="1019" w:type="pct"/>
                  <w:tcBorders>
                    <w:right w:val="single" w:color="auto" w:sz="4" w:space="0"/>
                  </w:tcBorders>
                  <w:tcMar>
                    <w:top w:w="15" w:type="dxa"/>
                    <w:left w:w="15" w:type="dxa"/>
                    <w:bottom w:w="15" w:type="dxa"/>
                    <w:right w:w="15" w:type="dxa"/>
                  </w:tcMar>
                  <w:vAlign w:val="center"/>
                </w:tcPr>
                <w:p>
                  <w:pPr>
                    <w:pStyle w:val="30"/>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1#监测点位项目区</w:t>
                  </w:r>
                  <w:r>
                    <w:rPr>
                      <w:rFonts w:hint="eastAsia"/>
                      <w:color w:val="000000" w:themeColor="text1"/>
                    </w:rPr>
                    <w:t>东南</w:t>
                  </w:r>
                  <w:r>
                    <w:rPr>
                      <w:color w:val="000000" w:themeColor="text1"/>
                    </w:rPr>
                    <w:t>侧</w:t>
                  </w:r>
                  <w:r>
                    <w:rPr>
                      <w:rFonts w:hint="eastAsia"/>
                      <w:color w:val="000000" w:themeColor="text1"/>
                    </w:rPr>
                    <w:t>216</w:t>
                  </w:r>
                  <w:r>
                    <w:rPr>
                      <w:color w:val="000000" w:themeColor="text1"/>
                    </w:rPr>
                    <w:t>m处</w:t>
                  </w: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2022/07/27-07/28</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19:00-19:00（次日）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2022/07/28-07/29</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19:20-19:20（次日）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2022/07/29-07/30</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19:40-19:40（次日）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2022/07/30-07/31</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20:00-20:00（次日）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2022/07/31-08/01</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20:20-20:20（次日）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2022/08/01-08/02</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20:40-20:40（次日）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2022/08/02-08/03</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21:00-21:00（次日）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2#监测点位项目区东北侧</w:t>
                  </w:r>
                  <w:r>
                    <w:rPr>
                      <w:rFonts w:hint="eastAsia"/>
                      <w:color w:val="000000" w:themeColor="text1"/>
                    </w:rPr>
                    <w:t>642</w:t>
                  </w:r>
                  <w:r>
                    <w:rPr>
                      <w:color w:val="000000" w:themeColor="text1"/>
                    </w:rPr>
                    <w:t>m处</w:t>
                  </w: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2022/07/27-07/28</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19:00-19:00（次日）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2022/07/28-07/29</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19:20-19:20（次日）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2022/07/29-07/30</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19:40-19:40（次日）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2022/07/30-07/31</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20:00-20:00（次日）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2022/07/31-08/01</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20:20-20:20（次日）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2022/08/01-08/02</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20:40-20:40（次日）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pct"/>
                  <w:vMerge w:val="continue"/>
                  <w:tcMar>
                    <w:top w:w="15" w:type="dxa"/>
                    <w:left w:w="15" w:type="dxa"/>
                    <w:bottom w:w="15" w:type="dxa"/>
                    <w:right w:w="15" w:type="dxa"/>
                  </w:tcMar>
                  <w:vAlign w:val="center"/>
                </w:tcPr>
                <w:p>
                  <w:pPr>
                    <w:pStyle w:val="30"/>
                    <w:spacing w:line="360" w:lineRule="exact"/>
                    <w:rPr>
                      <w:color w:val="000000" w:themeColor="text1"/>
                    </w:rPr>
                  </w:pPr>
                </w:p>
              </w:tc>
              <w:tc>
                <w:tcPr>
                  <w:tcW w:w="1420" w:type="pct"/>
                  <w:tcMar>
                    <w:top w:w="15" w:type="dxa"/>
                    <w:left w:w="15" w:type="dxa"/>
                    <w:bottom w:w="15" w:type="dxa"/>
                    <w:right w:w="15" w:type="dxa"/>
                  </w:tcMar>
                </w:tcPr>
                <w:p>
                  <w:pPr>
                    <w:pStyle w:val="30"/>
                    <w:spacing w:line="360" w:lineRule="exact"/>
                    <w:rPr>
                      <w:color w:val="000000" w:themeColor="text1"/>
                    </w:rPr>
                  </w:pPr>
                  <w:r>
                    <w:rPr>
                      <w:color w:val="000000" w:themeColor="text1"/>
                    </w:rPr>
                    <w:t>2022/08/02-08/03</w:t>
                  </w:r>
                </w:p>
              </w:tc>
              <w:tc>
                <w:tcPr>
                  <w:tcW w:w="1701" w:type="pct"/>
                  <w:tcMar>
                    <w:top w:w="15" w:type="dxa"/>
                    <w:left w:w="15" w:type="dxa"/>
                    <w:bottom w:w="15" w:type="dxa"/>
                    <w:right w:w="15" w:type="dxa"/>
                  </w:tcMar>
                </w:tcPr>
                <w:p>
                  <w:pPr>
                    <w:pStyle w:val="30"/>
                    <w:spacing w:line="360" w:lineRule="exact"/>
                    <w:rPr>
                      <w:color w:val="000000" w:themeColor="text1"/>
                    </w:rPr>
                  </w:pPr>
                  <w:r>
                    <w:rPr>
                      <w:color w:val="000000" w:themeColor="text1"/>
                    </w:rPr>
                    <w:t>21:00-21:00（次日）</w:t>
                  </w:r>
                </w:p>
              </w:tc>
              <w:tc>
                <w:tcPr>
                  <w:tcW w:w="1019" w:type="pct"/>
                  <w:tcBorders>
                    <w:right w:val="single" w:color="auto" w:sz="4" w:space="0"/>
                  </w:tcBorders>
                  <w:tcMar>
                    <w:top w:w="15" w:type="dxa"/>
                    <w:left w:w="15" w:type="dxa"/>
                    <w:bottom w:w="15" w:type="dxa"/>
                    <w:right w:w="15" w:type="dxa"/>
                  </w:tcMar>
                </w:tcPr>
                <w:p>
                  <w:pPr>
                    <w:pStyle w:val="53"/>
                    <w:spacing w:line="360" w:lineRule="exact"/>
                    <w:jc w:val="center"/>
                    <w:rPr>
                      <w:rFonts w:eastAsia="宋体"/>
                      <w:bCs/>
                      <w:snapToGrid w:val="0"/>
                      <w:color w:val="000000" w:themeColor="text1"/>
                      <w:kern w:val="32"/>
                      <w:sz w:val="21"/>
                      <w:szCs w:val="20"/>
                      <w:lang w:val="zh-CN"/>
                    </w:rPr>
                  </w:pPr>
                  <w:r>
                    <w:rPr>
                      <w:rFonts w:eastAsia="宋体"/>
                      <w:bCs/>
                      <w:snapToGrid w:val="0"/>
                      <w:color w:val="000000" w:themeColor="text1"/>
                      <w:kern w:val="32"/>
                      <w:sz w:val="21"/>
                      <w:szCs w:val="20"/>
                      <w:lang w:val="zh-CN"/>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81" w:type="pct"/>
                  <w:gridSpan w:val="3"/>
                  <w:tcMar>
                    <w:top w:w="15" w:type="dxa"/>
                    <w:left w:w="15" w:type="dxa"/>
                    <w:bottom w:w="15" w:type="dxa"/>
                    <w:right w:w="15" w:type="dxa"/>
                  </w:tcMar>
                  <w:vAlign w:val="center"/>
                </w:tcPr>
                <w:p>
                  <w:pPr>
                    <w:pStyle w:val="30"/>
                    <w:spacing w:line="360" w:lineRule="exact"/>
                    <w:rPr>
                      <w:color w:val="000000" w:themeColor="text1"/>
                    </w:rPr>
                  </w:pPr>
                  <w:r>
                    <w:rPr>
                      <w:color w:val="000000" w:themeColor="text1"/>
                    </w:rPr>
                    <w:t>标准值</w:t>
                  </w:r>
                </w:p>
              </w:tc>
              <w:tc>
                <w:tcPr>
                  <w:tcW w:w="1019" w:type="pct"/>
                  <w:tcBorders>
                    <w:right w:val="single" w:color="auto" w:sz="4" w:space="0"/>
                  </w:tcBorders>
                  <w:tcMar>
                    <w:top w:w="15" w:type="dxa"/>
                    <w:left w:w="15" w:type="dxa"/>
                    <w:bottom w:w="15" w:type="dxa"/>
                    <w:right w:w="15" w:type="dxa"/>
                  </w:tcMar>
                  <w:vAlign w:val="center"/>
                </w:tcPr>
                <w:p>
                  <w:pPr>
                    <w:pStyle w:val="30"/>
                    <w:spacing w:line="360" w:lineRule="exact"/>
                    <w:rPr>
                      <w:color w:val="000000" w:themeColor="text1"/>
                    </w:rPr>
                  </w:pPr>
                  <w:r>
                    <w:rPr>
                      <w:rFonts w:hint="eastAsia"/>
                      <w:color w:val="000000" w:themeColor="text1"/>
                    </w:rPr>
                    <w:t>300</w:t>
                  </w:r>
                </w:p>
              </w:tc>
            </w:tr>
          </w:tbl>
          <w:p>
            <w:pPr>
              <w:pStyle w:val="38"/>
              <w:spacing w:beforeLines="50"/>
              <w:ind w:firstLine="480"/>
              <w:rPr>
                <w:rFonts w:eastAsiaTheme="minorEastAsia"/>
                <w:color w:val="000000" w:themeColor="text1"/>
                <w:szCs w:val="24"/>
              </w:rPr>
            </w:pPr>
            <w:r>
              <w:rPr>
                <w:rFonts w:eastAsiaTheme="minorEastAsia"/>
                <w:color w:val="000000" w:themeColor="text1"/>
                <w:szCs w:val="24"/>
              </w:rPr>
              <w:t>根据以上引用监测结果可知，项目评价范围内TSP可达到《环境空气质量标准》（GB</w:t>
            </w:r>
            <w:r>
              <w:rPr>
                <w:rFonts w:hint="eastAsia" w:eastAsiaTheme="minorEastAsia"/>
                <w:color w:val="000000" w:themeColor="text1"/>
                <w:szCs w:val="24"/>
                <w:lang w:eastAsia="zh-CN"/>
              </w:rPr>
              <w:t>****</w:t>
            </w:r>
            <w:r>
              <w:rPr>
                <w:rFonts w:eastAsiaTheme="minorEastAsia"/>
                <w:color w:val="000000" w:themeColor="text1"/>
                <w:szCs w:val="24"/>
              </w:rPr>
              <w:t>-2012）二级标准限值要求</w:t>
            </w:r>
            <w:r>
              <w:rPr>
                <w:rFonts w:hint="eastAsia" w:eastAsiaTheme="minorEastAsia"/>
                <w:color w:val="000000" w:themeColor="text1"/>
                <w:szCs w:val="24"/>
              </w:rPr>
              <w:t>。</w:t>
            </w:r>
          </w:p>
          <w:p>
            <w:pPr>
              <w:pStyle w:val="38"/>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8"/>
              <w:ind w:firstLine="480"/>
              <w:rPr>
                <w:color w:val="000000" w:themeColor="text1"/>
                <w:szCs w:val="24"/>
              </w:rPr>
            </w:pPr>
            <w:r>
              <w:rPr>
                <w:color w:val="000000" w:themeColor="text1"/>
                <w:szCs w:val="24"/>
              </w:rPr>
              <w:t>项目所在区域属于黑泥沟的汇水范围，该沟渠位于项目北侧7</w:t>
            </w:r>
            <w:r>
              <w:rPr>
                <w:rFonts w:hint="eastAsia"/>
                <w:color w:val="000000" w:themeColor="text1"/>
                <w:szCs w:val="24"/>
              </w:rPr>
              <w:t>96</w:t>
            </w:r>
            <w:r>
              <w:rPr>
                <w:color w:val="000000" w:themeColor="text1"/>
                <w:szCs w:val="24"/>
              </w:rPr>
              <w:t>m处，黑泥沟地表水通过摩洛河（甸头河）最终汇入小江（清水海-入金沙江口段）；根据云南省水利厅发布的《云南省地表水功能区划》（2014版），小江（清水海-入金沙江口段）到2030年的水质目标为III类水体，黑泥沟、摩洛河（甸头河）均无环境功能区划，根据水功能区划原则，参照执行小江河段的功能区划，亦执行《地表水环境质量标准》（GB</w:t>
            </w:r>
            <w:r>
              <w:rPr>
                <w:rFonts w:hint="eastAsia"/>
                <w:color w:val="000000" w:themeColor="text1"/>
                <w:szCs w:val="24"/>
                <w:lang w:eastAsia="zh-CN"/>
              </w:rPr>
              <w:t>****</w:t>
            </w:r>
            <w:r>
              <w:rPr>
                <w:color w:val="000000" w:themeColor="text1"/>
                <w:szCs w:val="24"/>
              </w:rPr>
              <w:t>-2002）III类水标准。</w:t>
            </w:r>
          </w:p>
          <w:p>
            <w:pPr>
              <w:pStyle w:val="38"/>
              <w:ind w:firstLine="480"/>
              <w:rPr>
                <w:color w:val="000000" w:themeColor="text1"/>
                <w:szCs w:val="24"/>
              </w:rPr>
            </w:pPr>
            <w:r>
              <w:rPr>
                <w:rFonts w:hint="eastAsia"/>
                <w:color w:val="000000" w:themeColor="text1"/>
                <w:szCs w:val="24"/>
              </w:rPr>
              <w:t>环评按照《建设项目环境影响报告表编制技术指南》（污染影响类）的要求，引用</w:t>
            </w:r>
            <w:r>
              <w:rPr>
                <w:color w:val="000000" w:themeColor="text1"/>
                <w:szCs w:val="24"/>
              </w:rPr>
              <w:t>《天生桥园区污水处理厂建设项目入河排污口设置论证报告》中的现状监测数据</w:t>
            </w:r>
            <w:r>
              <w:rPr>
                <w:rFonts w:hint="eastAsia"/>
                <w:color w:val="000000" w:themeColor="text1"/>
                <w:szCs w:val="24"/>
              </w:rPr>
              <w:t>对区域地表水进行评价。该论证报告委托云南厚望环保科技有限公司于2021年8月21日-23日对黑泥沟河汇入</w:t>
            </w:r>
            <w:r>
              <w:rPr>
                <w:color w:val="000000" w:themeColor="text1"/>
                <w:szCs w:val="24"/>
              </w:rPr>
              <w:t>摩洛河（甸头河）</w:t>
            </w:r>
            <w:r>
              <w:rPr>
                <w:rFonts w:hint="eastAsia"/>
                <w:color w:val="000000" w:themeColor="text1"/>
                <w:szCs w:val="24"/>
              </w:rPr>
              <w:t>口下游2km断面进行了现状监测，具体如下表所示。</w:t>
            </w:r>
          </w:p>
          <w:p>
            <w:pPr>
              <w:pStyle w:val="38"/>
              <w:ind w:firstLine="480"/>
              <w:rPr>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3.1.2-1 </w:t>
            </w:r>
            <w:r>
              <w:rPr>
                <w:rFonts w:ascii="Times New Roman" w:hAnsi="Times New Roman" w:cs="Times New Roman"/>
                <w:b/>
                <w:color w:val="000000" w:themeColor="text1"/>
                <w:szCs w:val="24"/>
              </w:rPr>
              <w:t>监测断面水质监测结果统计及评价表</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（mg/L）</w:t>
            </w:r>
          </w:p>
          <w:tbl>
            <w:tblPr>
              <w:tblStyle w:val="4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5"/>
              <w:gridCol w:w="1820"/>
              <w:gridCol w:w="1204"/>
              <w:gridCol w:w="1321"/>
              <w:gridCol w:w="1271"/>
              <w:gridCol w:w="1271"/>
              <w:gridCol w:w="1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Merge w:val="restart"/>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序号</w:t>
                  </w:r>
                </w:p>
              </w:tc>
              <w:tc>
                <w:tcPr>
                  <w:tcW w:w="1820" w:type="dxa"/>
                  <w:vMerge w:val="restart"/>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监测项目</w:t>
                  </w:r>
                </w:p>
              </w:tc>
              <w:tc>
                <w:tcPr>
                  <w:tcW w:w="3796" w:type="dxa"/>
                  <w:gridSpan w:val="3"/>
                  <w:tcBorders>
                    <w:right w:val="single" w:color="auto" w:sz="4" w:space="0"/>
                  </w:tcBorders>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监测值</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标准限值</w:t>
                  </w:r>
                </w:p>
              </w:tc>
              <w:tc>
                <w:tcPr>
                  <w:tcW w:w="1076" w:type="dxa"/>
                  <w:vMerge w:val="restart"/>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Merge w:val="continue"/>
                  <w:tcBorders>
                    <w:top w:val="nil"/>
                  </w:tcBorders>
                  <w:vAlign w:val="center"/>
                </w:tcPr>
                <w:p>
                  <w:pPr>
                    <w:pStyle w:val="30"/>
                    <w:spacing w:line="360" w:lineRule="exact"/>
                    <w:ind w:left="11"/>
                    <w:rPr>
                      <w:rFonts w:hAnsiTheme="minorEastAsia" w:eastAsiaTheme="minorEastAsia"/>
                      <w:color w:val="000000" w:themeColor="text1"/>
                      <w:sz w:val="20"/>
                      <w:szCs w:val="21"/>
                      <w:lang w:eastAsia="zh-CN"/>
                    </w:rPr>
                  </w:pPr>
                </w:p>
              </w:tc>
              <w:tc>
                <w:tcPr>
                  <w:tcW w:w="1820" w:type="dxa"/>
                  <w:vMerge w:val="continue"/>
                  <w:tcBorders>
                    <w:top w:val="nil"/>
                  </w:tcBorders>
                  <w:vAlign w:val="center"/>
                </w:tcPr>
                <w:p>
                  <w:pPr>
                    <w:pStyle w:val="30"/>
                    <w:spacing w:line="360" w:lineRule="exact"/>
                    <w:ind w:left="11"/>
                    <w:rPr>
                      <w:rFonts w:hAnsiTheme="minorEastAsia" w:eastAsiaTheme="minorEastAsia"/>
                      <w:color w:val="000000" w:themeColor="text1"/>
                      <w:sz w:val="20"/>
                      <w:szCs w:val="21"/>
                      <w:lang w:eastAsia="zh-CN"/>
                    </w:rPr>
                  </w:pP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2021.8.21</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2021.8.22</w:t>
                  </w:r>
                </w:p>
              </w:tc>
              <w:tc>
                <w:tcPr>
                  <w:tcW w:w="1271" w:type="dxa"/>
                  <w:tcBorders>
                    <w:right w:val="single" w:color="auto" w:sz="4" w:space="0"/>
                  </w:tcBorders>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2021.8.23</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Ⅲ类</w:t>
                  </w:r>
                </w:p>
              </w:tc>
              <w:tc>
                <w:tcPr>
                  <w:tcW w:w="1076" w:type="dxa"/>
                  <w:vMerge w:val="continue"/>
                  <w:tcBorders>
                    <w:top w:val="nil"/>
                  </w:tcBorders>
                  <w:vAlign w:val="center"/>
                </w:tcPr>
                <w:p>
                  <w:pPr>
                    <w:pStyle w:val="30"/>
                    <w:spacing w:line="360" w:lineRule="exact"/>
                    <w:ind w:left="11"/>
                    <w:rPr>
                      <w:rFonts w:hAnsiTheme="minorEastAsia" w:eastAsiaTheme="minorEastAsia"/>
                      <w:color w:val="000000" w:themeColor="text1"/>
                      <w:sz w:val="2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pH（无量纲）</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8.1</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8.1</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8.1</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6~9</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3</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CODcr</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15</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15</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16</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4</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BOD5</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3.8</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3.9</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3.8</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4</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5</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氨氮</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0.053</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0.053</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0.069</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6</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总磷</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0.2</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7</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色度（度）</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5</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5</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8</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动植物油</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1.01</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0.99</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0.98</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9</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石油类</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阴离子表面活性剂</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0.05L</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0.2</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11</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粪大肠菌群</w:t>
                  </w:r>
                </w:p>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（MPN/L)</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20</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10000</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12</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总镉（ug/L）</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0.10L</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0.10L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0.10L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0.005mg/L</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13</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总铬（mg/L）</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0.03L</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0.03L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0.03L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14</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总汞（ug/L）</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0.04L</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0.04L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0.04L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0.0001mg/L</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15</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总铅（ug/L）</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1.0L</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1.0L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0.05mg/L</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16</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总砷（ug/L）</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0.3L</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0.3L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0.3L</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0.05mg/L</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45"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17</w:t>
                  </w:r>
                </w:p>
              </w:tc>
              <w:tc>
                <w:tcPr>
                  <w:tcW w:w="1820"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六价铬（mg/L）</w:t>
                  </w:r>
                </w:p>
              </w:tc>
              <w:tc>
                <w:tcPr>
                  <w:tcW w:w="1204"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0.027</w:t>
                  </w:r>
                </w:p>
              </w:tc>
              <w:tc>
                <w:tcPr>
                  <w:tcW w:w="132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0.031</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0.029</w:t>
                  </w:r>
                </w:p>
              </w:tc>
              <w:tc>
                <w:tcPr>
                  <w:tcW w:w="1271"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0.05</w:t>
                  </w:r>
                </w:p>
              </w:tc>
              <w:tc>
                <w:tcPr>
                  <w:tcW w:w="1076" w:type="dxa"/>
                  <w:vAlign w:val="center"/>
                </w:tcPr>
                <w:p>
                  <w:pPr>
                    <w:pStyle w:val="30"/>
                    <w:spacing w:line="360" w:lineRule="exact"/>
                    <w:ind w:left="11"/>
                    <w:rPr>
                      <w:rFonts w:hAnsiTheme="minorEastAsia" w:eastAsiaTheme="minorEastAsia"/>
                      <w:color w:val="000000" w:themeColor="text1"/>
                      <w:sz w:val="20"/>
                      <w:szCs w:val="21"/>
                      <w:lang w:eastAsia="zh-CN"/>
                    </w:rPr>
                  </w:pPr>
                  <w:r>
                    <w:rPr>
                      <w:rFonts w:hAnsiTheme="minorEastAsia" w:eastAsiaTheme="minorEastAsia"/>
                      <w:color w:val="000000" w:themeColor="text1"/>
                      <w:sz w:val="20"/>
                      <w:szCs w:val="21"/>
                      <w:lang w:eastAsia="zh-CN"/>
                    </w:rPr>
                    <w:t>达标</w:t>
                  </w:r>
                </w:p>
              </w:tc>
            </w:tr>
          </w:tbl>
          <w:p>
            <w:pPr>
              <w:pStyle w:val="38"/>
              <w:spacing w:beforeLines="50"/>
              <w:ind w:firstLine="480"/>
              <w:rPr>
                <w:color w:val="000000" w:themeColor="text1"/>
                <w:szCs w:val="24"/>
              </w:rPr>
            </w:pPr>
            <w:r>
              <w:rPr>
                <w:color w:val="000000" w:themeColor="text1"/>
                <w:szCs w:val="24"/>
              </w:rPr>
              <w:t>由上述监测结果可知，</w:t>
            </w:r>
            <w:r>
              <w:rPr>
                <w:rFonts w:hint="eastAsia"/>
                <w:color w:val="000000" w:themeColor="text1"/>
                <w:szCs w:val="24"/>
              </w:rPr>
              <w:t>黑泥沟河汇入</w:t>
            </w:r>
            <w:r>
              <w:rPr>
                <w:color w:val="000000" w:themeColor="text1"/>
                <w:szCs w:val="24"/>
              </w:rPr>
              <w:t>摩洛河（甸头河）</w:t>
            </w:r>
            <w:r>
              <w:rPr>
                <w:rFonts w:hint="eastAsia"/>
                <w:color w:val="000000" w:themeColor="text1"/>
                <w:szCs w:val="24"/>
              </w:rPr>
              <w:t>口下游2km断面</w:t>
            </w:r>
            <w:r>
              <w:rPr>
                <w:color w:val="000000" w:themeColor="text1"/>
                <w:szCs w:val="24"/>
              </w:rPr>
              <w:t>水质</w:t>
            </w:r>
            <w:r>
              <w:rPr>
                <w:rFonts w:hint="eastAsia"/>
                <w:color w:val="000000" w:themeColor="text1"/>
                <w:szCs w:val="24"/>
              </w:rPr>
              <w:t>可达到</w:t>
            </w:r>
            <w:r>
              <w:rPr>
                <w:color w:val="000000" w:themeColor="text1"/>
                <w:szCs w:val="24"/>
              </w:rPr>
              <w:t>《地表水环境质量标准》（GB</w:t>
            </w:r>
            <w:r>
              <w:rPr>
                <w:rFonts w:hint="eastAsia"/>
                <w:color w:val="000000" w:themeColor="text1"/>
                <w:szCs w:val="24"/>
                <w:lang w:eastAsia="zh-CN"/>
              </w:rPr>
              <w:t>****</w:t>
            </w:r>
            <w:r>
              <w:rPr>
                <w:color w:val="000000" w:themeColor="text1"/>
                <w:szCs w:val="24"/>
              </w:rPr>
              <w:t>-2002）中的Ⅲ类水质标准。</w:t>
            </w:r>
          </w:p>
          <w:p>
            <w:pPr>
              <w:pStyle w:val="38"/>
              <w:ind w:firstLine="482"/>
              <w:rPr>
                <w:rFonts w:eastAsiaTheme="minorEastAsia"/>
                <w:b/>
                <w:color w:val="000000" w:themeColor="text1"/>
                <w:szCs w:val="24"/>
              </w:rPr>
            </w:pPr>
            <w:r>
              <w:rPr>
                <w:rFonts w:eastAsiaTheme="minorEastAsia"/>
                <w:b/>
                <w:color w:val="000000" w:themeColor="text1"/>
                <w:szCs w:val="24"/>
              </w:rPr>
              <w:t>3.1.3 声环境质量现状</w:t>
            </w:r>
          </w:p>
          <w:p>
            <w:pPr>
              <w:pStyle w:val="38"/>
              <w:ind w:firstLine="480"/>
              <w:rPr>
                <w:rFonts w:eastAsiaTheme="minorEastAsia"/>
                <w:color w:val="000000" w:themeColor="text1"/>
                <w:szCs w:val="24"/>
              </w:rPr>
            </w:pPr>
            <w:r>
              <w:rPr>
                <w:rFonts w:eastAsiaTheme="minorEastAsia"/>
                <w:color w:val="000000" w:themeColor="text1"/>
                <w:szCs w:val="24"/>
              </w:rPr>
              <w:t>该项目位于云南东川产业园区天生桥片区天三路，按照《声环境功能区划分技术规范》（GB/T</w:t>
            </w:r>
            <w:r>
              <w:rPr>
                <w:rFonts w:hint="eastAsia" w:eastAsiaTheme="minorEastAsia"/>
                <w:color w:val="000000" w:themeColor="text1"/>
                <w:szCs w:val="24"/>
                <w:lang w:eastAsia="zh-CN"/>
              </w:rPr>
              <w:t>*****</w:t>
            </w:r>
            <w:r>
              <w:rPr>
                <w:rFonts w:eastAsiaTheme="minorEastAsia"/>
                <w:color w:val="000000" w:themeColor="text1"/>
                <w:szCs w:val="24"/>
              </w:rPr>
              <w:t>-2014）的划分要求，项目区域为3类区。在项目区50m范围内无声环境保护目标；根据《建设项目环境影响报告表编制技术指南》（污染影响类）（试行）的要求，可不进行声环境质量现状调查。</w:t>
            </w:r>
          </w:p>
          <w:p>
            <w:pPr>
              <w:pStyle w:val="38"/>
              <w:ind w:firstLine="482"/>
              <w:rPr>
                <w:rFonts w:eastAsiaTheme="minorEastAsia"/>
                <w:b/>
                <w:color w:val="000000" w:themeColor="text1"/>
                <w:szCs w:val="24"/>
              </w:rPr>
            </w:pPr>
            <w:bookmarkStart w:id="3" w:name="_Toc248077256"/>
            <w:r>
              <w:rPr>
                <w:rFonts w:eastAsiaTheme="minorEastAsia"/>
                <w:b/>
                <w:color w:val="000000" w:themeColor="text1"/>
                <w:szCs w:val="24"/>
              </w:rPr>
              <w:t>3.1.4 生态环境质量现状</w:t>
            </w:r>
            <w:bookmarkEnd w:id="3"/>
          </w:p>
          <w:p>
            <w:pPr>
              <w:pStyle w:val="38"/>
              <w:ind w:firstLine="480"/>
              <w:rPr>
                <w:rFonts w:eastAsiaTheme="minorEastAsia"/>
                <w:color w:val="000000" w:themeColor="text1"/>
                <w:szCs w:val="24"/>
              </w:rPr>
            </w:pPr>
            <w:r>
              <w:rPr>
                <w:rFonts w:eastAsiaTheme="minorEastAsia"/>
                <w:color w:val="000000" w:themeColor="text1"/>
                <w:szCs w:val="24"/>
              </w:rPr>
              <w:t>该项目位于云南东川产业园区天生桥片区天三路，根据现场调查，厂区范围主要为人工生态系统，该区域的天然植被已较少，总体来说该区域地表植被种类较少，生物多样性较差，生态环境自身调控能力较低。</w:t>
            </w:r>
            <w:r>
              <w:rPr>
                <w:rFonts w:hint="eastAsia" w:eastAsiaTheme="minorEastAsia"/>
                <w:color w:val="000000" w:themeColor="text1"/>
                <w:szCs w:val="24"/>
              </w:rPr>
              <w:t>项目区无国家级和省级保护物种分布，无珍稀濒危物种，无当地特有物种，无古树名木分布。</w:t>
            </w:r>
          </w:p>
          <w:p>
            <w:pPr>
              <w:pStyle w:val="38"/>
              <w:ind w:firstLine="482"/>
              <w:rPr>
                <w:rFonts w:eastAsiaTheme="minorEastAsia"/>
                <w:b/>
                <w:color w:val="000000" w:themeColor="text1"/>
                <w:szCs w:val="24"/>
              </w:rPr>
            </w:pPr>
            <w:r>
              <w:rPr>
                <w:rFonts w:eastAsiaTheme="minorEastAsia"/>
                <w:b/>
                <w:color w:val="000000" w:themeColor="text1"/>
                <w:szCs w:val="24"/>
              </w:rPr>
              <w:t>3.1.5 地下水、土壤环境</w:t>
            </w:r>
          </w:p>
          <w:p>
            <w:pPr>
              <w:pStyle w:val="38"/>
              <w:ind w:firstLine="480"/>
              <w:rPr>
                <w:color w:val="000000" w:themeColor="text1"/>
                <w:szCs w:val="21"/>
              </w:rPr>
            </w:pPr>
            <w:r>
              <w:rPr>
                <w:rFonts w:hint="eastAsia"/>
                <w:color w:val="000000" w:themeColor="text1"/>
                <w:szCs w:val="21"/>
              </w:rPr>
              <w:t>该项目利用铝矾土、泡棉、机制砂和水泥搅拌混合生产轻集料混凝土，</w:t>
            </w:r>
            <w:r>
              <w:rPr>
                <w:color w:val="000000" w:themeColor="text1"/>
                <w:szCs w:val="21"/>
              </w:rPr>
              <w:t>基本上不存在地下水、土壤环境污染途径，且厂界外500m范围内不涉及集中式饮用水水源和热水、矿泉水、温泉等特殊地下水资源，项目不开展地下水和土壤环境质量现状调查。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38"/>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8"/>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8"/>
              <w:ind w:firstLine="480"/>
              <w:rPr>
                <w:rFonts w:eastAsiaTheme="minorEastAsia"/>
                <w:color w:val="000000" w:themeColor="text1"/>
                <w:szCs w:val="24"/>
              </w:rPr>
            </w:pPr>
            <w:r>
              <w:rPr>
                <w:rFonts w:eastAsiaTheme="minorEastAsia"/>
                <w:color w:val="000000" w:themeColor="text1"/>
                <w:szCs w:val="24"/>
              </w:rPr>
              <w:t>该项目位于云南东川产业园区天生桥片区天三路，根据调查，该项目主要大气环境保护目标如下表所示。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表3.2.1-1 环境空气保护目标</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0"/>
              <w:gridCol w:w="1560"/>
              <w:gridCol w:w="1418"/>
              <w:gridCol w:w="709"/>
              <w:gridCol w:w="992"/>
              <w:gridCol w:w="850"/>
              <w:gridCol w:w="852"/>
              <w:gridCol w:w="10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restart"/>
                  <w:vAlign w:val="center"/>
                </w:tcPr>
                <w:p>
                  <w:pPr>
                    <w:pStyle w:val="30"/>
                    <w:spacing w:line="360" w:lineRule="exact"/>
                    <w:rPr>
                      <w:color w:val="000000" w:themeColor="text1"/>
                      <w:kern w:val="0"/>
                      <w:szCs w:val="21"/>
                    </w:rPr>
                  </w:pPr>
                  <w:r>
                    <w:rPr>
                      <w:color w:val="000000" w:themeColor="text1"/>
                      <w:kern w:val="0"/>
                      <w:szCs w:val="21"/>
                    </w:rPr>
                    <w:t>名称</w:t>
                  </w:r>
                </w:p>
              </w:tc>
              <w:tc>
                <w:tcPr>
                  <w:tcW w:w="2977" w:type="dxa"/>
                  <w:gridSpan w:val="2"/>
                  <w:vAlign w:val="center"/>
                </w:tcPr>
                <w:p>
                  <w:pPr>
                    <w:pStyle w:val="30"/>
                    <w:spacing w:line="360" w:lineRule="exact"/>
                    <w:rPr>
                      <w:color w:val="000000" w:themeColor="text1"/>
                      <w:kern w:val="0"/>
                      <w:szCs w:val="21"/>
                    </w:rPr>
                  </w:pPr>
                  <w:r>
                    <w:rPr>
                      <w:color w:val="000000" w:themeColor="text1"/>
                      <w:kern w:val="0"/>
                      <w:szCs w:val="21"/>
                    </w:rPr>
                    <w:t>坐标/m</w:t>
                  </w:r>
                </w:p>
              </w:tc>
              <w:tc>
                <w:tcPr>
                  <w:tcW w:w="709" w:type="dxa"/>
                  <w:vMerge w:val="restart"/>
                  <w:vAlign w:val="center"/>
                </w:tcPr>
                <w:p>
                  <w:pPr>
                    <w:pStyle w:val="30"/>
                    <w:spacing w:line="360" w:lineRule="exact"/>
                    <w:rPr>
                      <w:color w:val="000000" w:themeColor="text1"/>
                      <w:kern w:val="0"/>
                      <w:szCs w:val="21"/>
                    </w:rPr>
                  </w:pPr>
                  <w:r>
                    <w:rPr>
                      <w:color w:val="000000" w:themeColor="text1"/>
                      <w:kern w:val="0"/>
                      <w:szCs w:val="21"/>
                    </w:rPr>
                    <w:t>保护对象</w:t>
                  </w:r>
                </w:p>
              </w:tc>
              <w:tc>
                <w:tcPr>
                  <w:tcW w:w="992" w:type="dxa"/>
                  <w:vMerge w:val="restart"/>
                  <w:vAlign w:val="center"/>
                </w:tcPr>
                <w:p>
                  <w:pPr>
                    <w:pStyle w:val="30"/>
                    <w:spacing w:line="360" w:lineRule="exact"/>
                    <w:rPr>
                      <w:color w:val="000000" w:themeColor="text1"/>
                      <w:kern w:val="0"/>
                      <w:szCs w:val="21"/>
                    </w:rPr>
                  </w:pPr>
                  <w:r>
                    <w:rPr>
                      <w:color w:val="000000" w:themeColor="text1"/>
                      <w:kern w:val="0"/>
                      <w:szCs w:val="21"/>
                    </w:rPr>
                    <w:t>保护内容</w:t>
                  </w:r>
                </w:p>
              </w:tc>
              <w:tc>
                <w:tcPr>
                  <w:tcW w:w="850" w:type="dxa"/>
                  <w:vMerge w:val="restart"/>
                  <w:vAlign w:val="center"/>
                </w:tcPr>
                <w:p>
                  <w:pPr>
                    <w:pStyle w:val="30"/>
                    <w:spacing w:line="360" w:lineRule="exact"/>
                    <w:rPr>
                      <w:color w:val="000000" w:themeColor="text1"/>
                      <w:kern w:val="0"/>
                      <w:szCs w:val="21"/>
                    </w:rPr>
                  </w:pPr>
                  <w:r>
                    <w:rPr>
                      <w:color w:val="000000" w:themeColor="text1"/>
                      <w:kern w:val="0"/>
                      <w:szCs w:val="21"/>
                    </w:rPr>
                    <w:t>环境功能区</w:t>
                  </w:r>
                </w:p>
              </w:tc>
              <w:tc>
                <w:tcPr>
                  <w:tcW w:w="851" w:type="dxa"/>
                  <w:vMerge w:val="restart"/>
                  <w:vAlign w:val="center"/>
                </w:tcPr>
                <w:p>
                  <w:pPr>
                    <w:pStyle w:val="30"/>
                    <w:spacing w:line="360" w:lineRule="exact"/>
                    <w:rPr>
                      <w:color w:val="000000" w:themeColor="text1"/>
                      <w:kern w:val="0"/>
                      <w:szCs w:val="21"/>
                    </w:rPr>
                  </w:pPr>
                  <w:r>
                    <w:rPr>
                      <w:color w:val="000000" w:themeColor="text1"/>
                      <w:kern w:val="0"/>
                      <w:szCs w:val="21"/>
                    </w:rPr>
                    <w:t>相对厂址方位</w:t>
                  </w:r>
                </w:p>
              </w:tc>
              <w:tc>
                <w:tcPr>
                  <w:tcW w:w="1066" w:type="dxa"/>
                  <w:vMerge w:val="restart"/>
                  <w:vAlign w:val="center"/>
                </w:tcPr>
                <w:p>
                  <w:pPr>
                    <w:pStyle w:val="30"/>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continue"/>
                  <w:vAlign w:val="center"/>
                </w:tcPr>
                <w:p>
                  <w:pPr>
                    <w:pStyle w:val="30"/>
                    <w:spacing w:line="360" w:lineRule="exact"/>
                    <w:rPr>
                      <w:color w:val="000000" w:themeColor="text1"/>
                      <w:kern w:val="0"/>
                      <w:szCs w:val="21"/>
                    </w:rPr>
                  </w:pPr>
                </w:p>
              </w:tc>
              <w:tc>
                <w:tcPr>
                  <w:tcW w:w="1559" w:type="dxa"/>
                  <w:vAlign w:val="center"/>
                </w:tcPr>
                <w:p>
                  <w:pPr>
                    <w:pStyle w:val="30"/>
                    <w:spacing w:line="360" w:lineRule="exact"/>
                    <w:rPr>
                      <w:color w:val="000000" w:themeColor="text1"/>
                      <w:kern w:val="0"/>
                      <w:szCs w:val="21"/>
                    </w:rPr>
                  </w:pPr>
                  <w:r>
                    <w:rPr>
                      <w:rFonts w:hint="eastAsia"/>
                      <w:color w:val="000000" w:themeColor="text1"/>
                      <w:kern w:val="0"/>
                      <w:szCs w:val="21"/>
                    </w:rPr>
                    <w:t>经度</w:t>
                  </w:r>
                </w:p>
              </w:tc>
              <w:tc>
                <w:tcPr>
                  <w:tcW w:w="1418" w:type="dxa"/>
                  <w:vAlign w:val="center"/>
                </w:tcPr>
                <w:p>
                  <w:pPr>
                    <w:pStyle w:val="30"/>
                    <w:spacing w:line="360" w:lineRule="exact"/>
                    <w:rPr>
                      <w:color w:val="000000" w:themeColor="text1"/>
                      <w:kern w:val="0"/>
                      <w:szCs w:val="21"/>
                    </w:rPr>
                  </w:pPr>
                  <w:r>
                    <w:rPr>
                      <w:rFonts w:hint="eastAsia"/>
                      <w:color w:val="000000" w:themeColor="text1"/>
                      <w:kern w:val="0"/>
                      <w:szCs w:val="21"/>
                    </w:rPr>
                    <w:t>纬度</w:t>
                  </w:r>
                </w:p>
              </w:tc>
              <w:tc>
                <w:tcPr>
                  <w:tcW w:w="709" w:type="dxa"/>
                  <w:vMerge w:val="continue"/>
                  <w:vAlign w:val="center"/>
                </w:tcPr>
                <w:p>
                  <w:pPr>
                    <w:pStyle w:val="30"/>
                    <w:spacing w:line="360" w:lineRule="exact"/>
                    <w:rPr>
                      <w:color w:val="000000" w:themeColor="text1"/>
                      <w:kern w:val="0"/>
                      <w:szCs w:val="21"/>
                    </w:rPr>
                  </w:pPr>
                </w:p>
              </w:tc>
              <w:tc>
                <w:tcPr>
                  <w:tcW w:w="992" w:type="dxa"/>
                  <w:vMerge w:val="continue"/>
                  <w:vAlign w:val="center"/>
                </w:tcPr>
                <w:p>
                  <w:pPr>
                    <w:pStyle w:val="30"/>
                    <w:spacing w:line="360" w:lineRule="exact"/>
                    <w:rPr>
                      <w:color w:val="000000" w:themeColor="text1"/>
                      <w:kern w:val="0"/>
                      <w:szCs w:val="21"/>
                    </w:rPr>
                  </w:pPr>
                </w:p>
              </w:tc>
              <w:tc>
                <w:tcPr>
                  <w:tcW w:w="850" w:type="dxa"/>
                  <w:vMerge w:val="continue"/>
                  <w:vAlign w:val="center"/>
                </w:tcPr>
                <w:p>
                  <w:pPr>
                    <w:pStyle w:val="30"/>
                    <w:spacing w:line="360" w:lineRule="exact"/>
                    <w:rPr>
                      <w:color w:val="000000" w:themeColor="text1"/>
                      <w:kern w:val="0"/>
                      <w:szCs w:val="21"/>
                    </w:rPr>
                  </w:pPr>
                </w:p>
              </w:tc>
              <w:tc>
                <w:tcPr>
                  <w:tcW w:w="851" w:type="dxa"/>
                  <w:vMerge w:val="continue"/>
                  <w:vAlign w:val="center"/>
                </w:tcPr>
                <w:p>
                  <w:pPr>
                    <w:pStyle w:val="30"/>
                    <w:spacing w:line="360" w:lineRule="exact"/>
                    <w:rPr>
                      <w:color w:val="000000" w:themeColor="text1"/>
                      <w:kern w:val="0"/>
                      <w:szCs w:val="21"/>
                    </w:rPr>
                  </w:pPr>
                </w:p>
              </w:tc>
              <w:tc>
                <w:tcPr>
                  <w:tcW w:w="1066" w:type="dxa"/>
                  <w:vMerge w:val="continue"/>
                  <w:vAlign w:val="center"/>
                </w:tcPr>
                <w:p>
                  <w:pPr>
                    <w:pStyle w:val="30"/>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Align w:val="center"/>
                </w:tcPr>
                <w:p>
                  <w:pPr>
                    <w:pStyle w:val="30"/>
                    <w:spacing w:line="360" w:lineRule="exact"/>
                    <w:rPr>
                      <w:color w:val="000000" w:themeColor="text1"/>
                      <w:kern w:val="0"/>
                      <w:szCs w:val="21"/>
                    </w:rPr>
                  </w:pPr>
                  <w:r>
                    <w:rPr>
                      <w:color w:val="000000" w:themeColor="text1"/>
                      <w:kern w:val="0"/>
                      <w:szCs w:val="21"/>
                    </w:rPr>
                    <w:t>大凹子农场</w:t>
                  </w:r>
                </w:p>
              </w:tc>
              <w:tc>
                <w:tcPr>
                  <w:tcW w:w="1559" w:type="dxa"/>
                  <w:vAlign w:val="center"/>
                </w:tcPr>
                <w:p>
                  <w:pPr>
                    <w:pStyle w:val="30"/>
                    <w:spacing w:line="360" w:lineRule="exact"/>
                    <w:rPr>
                      <w:color w:val="000000" w:themeColor="text1"/>
                      <w:kern w:val="0"/>
                      <w:szCs w:val="21"/>
                    </w:rPr>
                  </w:pPr>
                  <w:r>
                    <w:rPr>
                      <w:color w:val="000000" w:themeColor="text1"/>
                      <w:kern w:val="0"/>
                      <w:szCs w:val="21"/>
                    </w:rPr>
                    <w:t>103°15′02.39″</w:t>
                  </w:r>
                </w:p>
              </w:tc>
              <w:tc>
                <w:tcPr>
                  <w:tcW w:w="1418" w:type="dxa"/>
                  <w:vAlign w:val="center"/>
                </w:tcPr>
                <w:p>
                  <w:pPr>
                    <w:pStyle w:val="30"/>
                    <w:spacing w:line="360" w:lineRule="exact"/>
                    <w:rPr>
                      <w:color w:val="000000" w:themeColor="text1"/>
                      <w:kern w:val="0"/>
                      <w:szCs w:val="21"/>
                    </w:rPr>
                  </w:pPr>
                  <w:r>
                    <w:rPr>
                      <w:color w:val="000000" w:themeColor="text1"/>
                      <w:kern w:val="0"/>
                      <w:szCs w:val="21"/>
                    </w:rPr>
                    <w:t>25°38′09.65″</w:t>
                  </w:r>
                </w:p>
              </w:tc>
              <w:tc>
                <w:tcPr>
                  <w:tcW w:w="709" w:type="dxa"/>
                  <w:vAlign w:val="center"/>
                </w:tcPr>
                <w:p>
                  <w:pPr>
                    <w:pStyle w:val="30"/>
                    <w:spacing w:line="360" w:lineRule="exact"/>
                    <w:rPr>
                      <w:color w:val="000000" w:themeColor="text1"/>
                      <w:kern w:val="0"/>
                      <w:szCs w:val="21"/>
                    </w:rPr>
                  </w:pPr>
                  <w:r>
                    <w:rPr>
                      <w:color w:val="000000" w:themeColor="text1"/>
                      <w:kern w:val="0"/>
                      <w:szCs w:val="21"/>
                    </w:rPr>
                    <w:t>居民区</w:t>
                  </w:r>
                </w:p>
              </w:tc>
              <w:tc>
                <w:tcPr>
                  <w:tcW w:w="992" w:type="dxa"/>
                  <w:vAlign w:val="center"/>
                </w:tcPr>
                <w:p>
                  <w:pPr>
                    <w:pStyle w:val="30"/>
                    <w:spacing w:line="360" w:lineRule="exact"/>
                    <w:rPr>
                      <w:color w:val="000000" w:themeColor="text1"/>
                      <w:kern w:val="0"/>
                      <w:szCs w:val="21"/>
                    </w:rPr>
                  </w:pPr>
                  <w:r>
                    <w:rPr>
                      <w:color w:val="000000" w:themeColor="text1"/>
                      <w:kern w:val="0"/>
                      <w:szCs w:val="21"/>
                    </w:rPr>
                    <w:t>5户/18人</w:t>
                  </w:r>
                </w:p>
              </w:tc>
              <w:tc>
                <w:tcPr>
                  <w:tcW w:w="850" w:type="dxa"/>
                  <w:vAlign w:val="center"/>
                </w:tcPr>
                <w:p>
                  <w:pPr>
                    <w:pStyle w:val="30"/>
                    <w:spacing w:line="360" w:lineRule="exact"/>
                    <w:rPr>
                      <w:color w:val="000000" w:themeColor="text1"/>
                      <w:kern w:val="0"/>
                      <w:szCs w:val="21"/>
                    </w:rPr>
                  </w:pPr>
                  <w:r>
                    <w:rPr>
                      <w:color w:val="000000" w:themeColor="text1"/>
                      <w:kern w:val="0"/>
                      <w:szCs w:val="21"/>
                    </w:rPr>
                    <w:t>二类区</w:t>
                  </w:r>
                </w:p>
              </w:tc>
              <w:tc>
                <w:tcPr>
                  <w:tcW w:w="851" w:type="dxa"/>
                  <w:vAlign w:val="center"/>
                </w:tcPr>
                <w:p>
                  <w:pPr>
                    <w:pStyle w:val="30"/>
                    <w:spacing w:line="360" w:lineRule="exact"/>
                    <w:rPr>
                      <w:color w:val="000000" w:themeColor="text1"/>
                      <w:kern w:val="0"/>
                      <w:szCs w:val="21"/>
                    </w:rPr>
                  </w:pPr>
                  <w:r>
                    <w:rPr>
                      <w:color w:val="000000" w:themeColor="text1"/>
                      <w:kern w:val="0"/>
                      <w:szCs w:val="21"/>
                    </w:rPr>
                    <w:t>南侧</w:t>
                  </w:r>
                </w:p>
              </w:tc>
              <w:tc>
                <w:tcPr>
                  <w:tcW w:w="1066" w:type="dxa"/>
                  <w:vAlign w:val="center"/>
                </w:tcPr>
                <w:p>
                  <w:pPr>
                    <w:pStyle w:val="30"/>
                    <w:spacing w:line="360" w:lineRule="exact"/>
                    <w:rPr>
                      <w:color w:val="000000" w:themeColor="text1"/>
                      <w:kern w:val="0"/>
                      <w:szCs w:val="21"/>
                    </w:rPr>
                  </w:pPr>
                  <w:r>
                    <w:rPr>
                      <w:color w:val="000000" w:themeColor="text1"/>
                      <w:kern w:val="0"/>
                      <w:szCs w:val="21"/>
                    </w:rPr>
                    <w:t>138m</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项目所在区域属于黑泥沟的汇水范围，黑泥沟地表水通过摩洛河（甸头河）最终汇入小江（清水海-入金沙江口段）</w:t>
            </w:r>
            <w:r>
              <w:rPr>
                <w:rFonts w:hint="eastAsia" w:eastAsiaTheme="minorEastAsia"/>
                <w:color w:val="000000" w:themeColor="text1"/>
                <w:szCs w:val="24"/>
              </w:rPr>
              <w:t>，</w:t>
            </w:r>
            <w:r>
              <w:rPr>
                <w:rFonts w:eastAsiaTheme="minorEastAsia"/>
                <w:color w:val="000000" w:themeColor="text1"/>
                <w:szCs w:val="24"/>
              </w:rPr>
              <w:t>因此拟将黑泥沟列入该项目水环境保护目标。具体如下表所示。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851"/>
              <w:gridCol w:w="2836"/>
              <w:gridCol w:w="1461"/>
              <w:gridCol w:w="94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类别</w:t>
                  </w:r>
                </w:p>
              </w:tc>
              <w:tc>
                <w:tcPr>
                  <w:tcW w:w="851"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保护目标</w:t>
                  </w:r>
                </w:p>
              </w:tc>
              <w:tc>
                <w:tcPr>
                  <w:tcW w:w="2835"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坐标</w:t>
                  </w:r>
                </w:p>
              </w:tc>
              <w:tc>
                <w:tcPr>
                  <w:tcW w:w="146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与项目区的方位及距离</w:t>
                  </w:r>
                </w:p>
              </w:tc>
              <w:tc>
                <w:tcPr>
                  <w:tcW w:w="94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高差</w:t>
                  </w:r>
                </w:p>
              </w:tc>
              <w:tc>
                <w:tcPr>
                  <w:tcW w:w="1917"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restart"/>
                  <w:tcBorders>
                    <w:top w:val="single" w:color="auto" w:sz="4" w:space="0"/>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地表水</w:t>
                  </w:r>
                </w:p>
              </w:tc>
              <w:tc>
                <w:tcPr>
                  <w:tcW w:w="851"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4"/>
                    </w:rPr>
                    <w:t>黑泥沟</w:t>
                  </w:r>
                </w:p>
              </w:tc>
              <w:tc>
                <w:tcPr>
                  <w:tcW w:w="2835"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ind w:firstLine="210" w:firstLineChars="100"/>
                    <w:jc w:val="left"/>
                    <w:rPr>
                      <w:color w:val="000000" w:themeColor="text1"/>
                      <w:szCs w:val="21"/>
                    </w:rPr>
                  </w:pPr>
                  <w:r>
                    <w:rPr>
                      <w:color w:val="000000" w:themeColor="text1"/>
                      <w:szCs w:val="21"/>
                    </w:rPr>
                    <w:t>起点：东经103°15′10.21″，北纬25°38′46.98″</w:t>
                  </w:r>
                </w:p>
                <w:p>
                  <w:pPr>
                    <w:pStyle w:val="30"/>
                    <w:spacing w:line="360" w:lineRule="exact"/>
                    <w:ind w:firstLine="210" w:firstLineChars="100"/>
                    <w:jc w:val="left"/>
                    <w:rPr>
                      <w:color w:val="000000" w:themeColor="text1"/>
                      <w:szCs w:val="21"/>
                    </w:rPr>
                  </w:pPr>
                  <w:r>
                    <w:rPr>
                      <w:color w:val="000000" w:themeColor="text1"/>
                      <w:szCs w:val="21"/>
                    </w:rPr>
                    <w:t>终点：东经103°15′01.11″，北纬25°39′04.52″</w:t>
                  </w:r>
                </w:p>
              </w:tc>
              <w:tc>
                <w:tcPr>
                  <w:tcW w:w="146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北侧</w:t>
                  </w:r>
                  <w:r>
                    <w:rPr>
                      <w:color w:val="000000" w:themeColor="text1"/>
                      <w:szCs w:val="24"/>
                    </w:rPr>
                    <w:t>7</w:t>
                  </w:r>
                  <w:r>
                    <w:rPr>
                      <w:rFonts w:hint="eastAsia"/>
                      <w:color w:val="000000" w:themeColor="text1"/>
                      <w:szCs w:val="24"/>
                    </w:rPr>
                    <w:t>96</w:t>
                  </w:r>
                  <w:r>
                    <w:rPr>
                      <w:color w:val="000000" w:themeColor="text1"/>
                      <w:szCs w:val="24"/>
                    </w:rPr>
                    <w:t>m</w:t>
                  </w:r>
                </w:p>
              </w:tc>
              <w:tc>
                <w:tcPr>
                  <w:tcW w:w="94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33m</w:t>
                  </w:r>
                </w:p>
              </w:tc>
              <w:tc>
                <w:tcPr>
                  <w:tcW w:w="1917" w:type="dxa"/>
                  <w:vMerge w:val="restart"/>
                  <w:tcBorders>
                    <w:top w:val="single" w:color="auto" w:sz="4" w:space="0"/>
                    <w:left w:val="single" w:color="auto" w:sz="4" w:space="0"/>
                    <w:right w:val="single" w:color="auto" w:sz="4" w:space="0"/>
                  </w:tcBorders>
                  <w:vAlign w:val="center"/>
                </w:tcPr>
                <w:p>
                  <w:pPr>
                    <w:pStyle w:val="30"/>
                    <w:spacing w:line="360" w:lineRule="exact"/>
                    <w:ind w:firstLine="210" w:firstLineChars="100"/>
                    <w:jc w:val="left"/>
                    <w:rPr>
                      <w:color w:val="000000" w:themeColor="text1"/>
                      <w:szCs w:val="21"/>
                    </w:rPr>
                  </w:pPr>
                  <w:r>
                    <w:rPr>
                      <w:color w:val="000000" w:themeColor="text1"/>
                      <w:szCs w:val="21"/>
                    </w:rPr>
                    <w:t>《地表水环境质量标准》（GB</w:t>
                  </w:r>
                  <w:r>
                    <w:rPr>
                      <w:rFonts w:hint="eastAsia"/>
                      <w:color w:val="000000" w:themeColor="text1"/>
                      <w:szCs w:val="21"/>
                      <w:lang w:eastAsia="zh-CN"/>
                    </w:rPr>
                    <w:t>****</w:t>
                  </w:r>
                  <w:r>
                    <w:rPr>
                      <w:color w:val="000000" w:themeColor="text1"/>
                      <w:szCs w:val="21"/>
                    </w:rPr>
                    <w:t>-2002）III类标准</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4"/>
                    </w:rPr>
                  </w:pPr>
                  <w:r>
                    <w:rPr>
                      <w:color w:val="000000" w:themeColor="text1"/>
                      <w:szCs w:val="24"/>
                    </w:rPr>
                    <w:t>小江</w:t>
                  </w:r>
                </w:p>
              </w:tc>
              <w:tc>
                <w:tcPr>
                  <w:tcW w:w="2835" w:type="dxa"/>
                  <w:tcBorders>
                    <w:top w:val="single" w:color="auto" w:sz="4" w:space="0"/>
                    <w:left w:val="single" w:color="auto" w:sz="4" w:space="0"/>
                    <w:right w:val="single" w:color="auto" w:sz="4" w:space="0"/>
                  </w:tcBorders>
                  <w:vAlign w:val="center"/>
                </w:tcPr>
                <w:p>
                  <w:pPr>
                    <w:pStyle w:val="30"/>
                    <w:spacing w:line="360" w:lineRule="exact"/>
                    <w:ind w:firstLine="210" w:firstLineChars="100"/>
                    <w:jc w:val="left"/>
                    <w:rPr>
                      <w:color w:val="000000" w:themeColor="text1"/>
                      <w:szCs w:val="21"/>
                    </w:rPr>
                  </w:pPr>
                  <w:r>
                    <w:rPr>
                      <w:color w:val="000000" w:themeColor="text1"/>
                      <w:szCs w:val="21"/>
                    </w:rPr>
                    <w:t>--</w:t>
                  </w:r>
                </w:p>
              </w:tc>
              <w:tc>
                <w:tcPr>
                  <w:tcW w:w="146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 xml:space="preserve">北侧10km </w:t>
                  </w:r>
                </w:p>
              </w:tc>
              <w:tc>
                <w:tcPr>
                  <w:tcW w:w="94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1917" w:type="dxa"/>
                  <w:vMerge w:val="continue"/>
                  <w:tcBorders>
                    <w:left w:val="single" w:color="auto" w:sz="4" w:space="0"/>
                    <w:right w:val="single" w:color="auto" w:sz="4" w:space="0"/>
                  </w:tcBorders>
                  <w:vAlign w:val="center"/>
                </w:tcPr>
                <w:p>
                  <w:pPr>
                    <w:pStyle w:val="30"/>
                    <w:spacing w:line="360" w:lineRule="exact"/>
                    <w:ind w:firstLine="210" w:firstLineChars="100"/>
                    <w:jc w:val="left"/>
                    <w:rPr>
                      <w:color w:val="000000" w:themeColor="text1"/>
                      <w:szCs w:val="21"/>
                    </w:rPr>
                  </w:pP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该项目位于云南东川产业园区天生桥片区天三路，该项目选址不涉及到地下水集中式饮用水水源和热水、矿泉水、温泉等特殊地下水资源。</w:t>
            </w:r>
          </w:p>
          <w:p>
            <w:pPr>
              <w:pStyle w:val="38"/>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根据《建设项目环境影响报告表编制技术指南》（污染影响类）（试行）的要求，该项目声环境评价范围为50m，根据现场调查，该项目50m范围内无声环境保护目标。</w:t>
            </w:r>
          </w:p>
          <w:p>
            <w:pPr>
              <w:pStyle w:val="38"/>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该项目位于云南东川产业园区天生桥片区天三路，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38"/>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w:t>
            </w:r>
            <w:r>
              <w:rPr>
                <w:rFonts w:hint="eastAsia" w:eastAsiaTheme="minorEastAsia"/>
                <w:color w:val="000000" w:themeColor="text1"/>
                <w:szCs w:val="24"/>
              </w:rPr>
              <w:t>仅</w:t>
            </w:r>
            <w:r>
              <w:rPr>
                <w:rFonts w:eastAsiaTheme="minorEastAsia"/>
                <w:color w:val="000000" w:themeColor="text1"/>
                <w:szCs w:val="24"/>
              </w:rPr>
              <w:t>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污染物排放控制标准</w:t>
            </w:r>
          </w:p>
          <w:p>
            <w:pPr>
              <w:pStyle w:val="38"/>
              <w:ind w:firstLine="482"/>
              <w:rPr>
                <w:rFonts w:eastAsiaTheme="minorEastAsia"/>
                <w:b/>
                <w:color w:val="000000" w:themeColor="text1"/>
                <w:szCs w:val="24"/>
              </w:rPr>
            </w:pPr>
            <w:r>
              <w:rPr>
                <w:rFonts w:eastAsiaTheme="minorEastAsia"/>
                <w:b/>
                <w:color w:val="000000" w:themeColor="text1"/>
                <w:szCs w:val="24"/>
              </w:rPr>
              <w:t>3.3.1 废气排放标准</w:t>
            </w:r>
          </w:p>
          <w:p>
            <w:pPr>
              <w:pStyle w:val="38"/>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399"/>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176" w:type="dxa"/>
                </w:tcPr>
                <w:p>
                  <w:pPr>
                    <w:pStyle w:val="30"/>
                    <w:spacing w:line="360" w:lineRule="exact"/>
                    <w:rPr>
                      <w:color w:val="000000" w:themeColor="text1"/>
                      <w:szCs w:val="21"/>
                    </w:rPr>
                  </w:pPr>
                  <w:r>
                    <w:rPr>
                      <w:color w:val="000000" w:themeColor="text1"/>
                      <w:szCs w:val="21"/>
                    </w:rPr>
                    <w:t>污染物</w:t>
                  </w:r>
                </w:p>
              </w:tc>
              <w:tc>
                <w:tcPr>
                  <w:tcW w:w="3577" w:type="dxa"/>
                </w:tcPr>
                <w:p>
                  <w:pPr>
                    <w:pStyle w:val="30"/>
                    <w:spacing w:line="360" w:lineRule="exact"/>
                    <w:rPr>
                      <w:color w:val="000000" w:themeColor="text1"/>
                      <w:szCs w:val="21"/>
                    </w:rPr>
                  </w:pPr>
                  <w:r>
                    <w:rPr>
                      <w:color w:val="000000" w:themeColor="text1"/>
                      <w:szCs w:val="21"/>
                    </w:rPr>
                    <w:t>最高允许排放浓度</w:t>
                  </w:r>
                </w:p>
              </w:tc>
              <w:tc>
                <w:tcPr>
                  <w:tcW w:w="3291" w:type="dxa"/>
                </w:tcPr>
                <w:p>
                  <w:pPr>
                    <w:pStyle w:val="30"/>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pStyle w:val="30"/>
                    <w:spacing w:line="360" w:lineRule="exact"/>
                    <w:rPr>
                      <w:color w:val="000000" w:themeColor="text1"/>
                      <w:szCs w:val="21"/>
                    </w:rPr>
                  </w:pPr>
                  <w:r>
                    <w:rPr>
                      <w:color w:val="000000" w:themeColor="text1"/>
                      <w:szCs w:val="21"/>
                    </w:rPr>
                    <w:t>颗粒物</w:t>
                  </w:r>
                </w:p>
              </w:tc>
              <w:tc>
                <w:tcPr>
                  <w:tcW w:w="3577" w:type="dxa"/>
                </w:tcPr>
                <w:p>
                  <w:pPr>
                    <w:pStyle w:val="30"/>
                    <w:spacing w:line="360" w:lineRule="exact"/>
                    <w:rPr>
                      <w:color w:val="000000" w:themeColor="text1"/>
                      <w:szCs w:val="21"/>
                    </w:rPr>
                  </w:pPr>
                  <w:r>
                    <w:rPr>
                      <w:color w:val="000000" w:themeColor="text1"/>
                      <w:szCs w:val="21"/>
                    </w:rPr>
                    <w:t>--</w:t>
                  </w:r>
                </w:p>
              </w:tc>
              <w:tc>
                <w:tcPr>
                  <w:tcW w:w="3291" w:type="dxa"/>
                </w:tcPr>
                <w:p>
                  <w:pPr>
                    <w:pStyle w:val="30"/>
                    <w:spacing w:line="360" w:lineRule="exact"/>
                    <w:rPr>
                      <w:color w:val="000000" w:themeColor="text1"/>
                      <w:szCs w:val="21"/>
                    </w:rPr>
                  </w:pPr>
                  <w:r>
                    <w:rPr>
                      <w:color w:val="000000" w:themeColor="text1"/>
                      <w:szCs w:val="21"/>
                    </w:rPr>
                    <w:t>1.0</w:t>
                  </w:r>
                </w:p>
              </w:tc>
            </w:tr>
          </w:tbl>
          <w:p>
            <w:pPr>
              <w:pStyle w:val="38"/>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废气主要包括原料车间扬尘、水泥仓粉尘、投料粉尘和搅拌混合粉尘。其中原料车间扬尘无组织排放，水泥仓粉尘通过水泥仓顶端设置的2#袋式除尘器处理后无组织排放，投料粉尘经各集气罩（集气效率约为90%）收集后进入1#袋式除尘器对其进行处理，搅拌混合粉尘直接通过密闭管道输送至1#袋式除尘器对其进行处理，经1#袋式除尘器处理后的粉尘通过DA001排气筒外排。该项目生产的</w:t>
            </w:r>
            <w:r>
              <w:rPr>
                <w:rFonts w:ascii="Times New Roman" w:hAnsi="Times New Roman" w:cs="Times New Roman"/>
                <w:color w:val="000000" w:themeColor="text1"/>
                <w:sz w:val="24"/>
                <w:szCs w:val="24"/>
              </w:rPr>
              <w:t>轻集料混凝土</w:t>
            </w:r>
            <w:r>
              <w:rPr>
                <w:rFonts w:hint="eastAsia" w:ascii="Times New Roman" w:hAnsi="Times New Roman" w:cs="Times New Roman"/>
                <w:color w:val="000000" w:themeColor="text1"/>
                <w:sz w:val="24"/>
                <w:szCs w:val="24"/>
              </w:rPr>
              <w:t>产品属于3024 轻质建筑材料制造和3039 其他建筑材料制造，</w:t>
            </w:r>
            <w:r>
              <w:rPr>
                <w:rFonts w:ascii="Times New Roman" w:hAnsi="Times New Roman" w:cs="Times New Roman"/>
                <w:color w:val="000000" w:themeColor="text1"/>
                <w:sz w:val="24"/>
                <w:szCs w:val="24"/>
              </w:rPr>
              <w:t>无行业标准，</w:t>
            </w:r>
            <w:r>
              <w:rPr>
                <w:rFonts w:hint="eastAsia" w:ascii="Times New Roman" w:hAnsi="Times New Roman" w:cs="Times New Roman"/>
                <w:color w:val="000000" w:themeColor="text1"/>
                <w:sz w:val="24"/>
                <w:szCs w:val="24"/>
              </w:rPr>
              <w:t>因此执行</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中表2 新污染源大气污染物排放限值。</w:t>
            </w:r>
            <w:r>
              <w:rPr>
                <w:rFonts w:ascii="Times New Roman" w:hAnsi="Times New Roman" w:cs="Times New Roman"/>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3.3.1-3 </w:t>
            </w:r>
            <w:r>
              <w:rPr>
                <w:rFonts w:ascii="Times New Roman" w:hAnsi="Times New Roman" w:cs="Times New Roman"/>
                <w:b/>
                <w:color w:val="000000" w:themeColor="text1"/>
                <w:szCs w:val="24"/>
              </w:rPr>
              <w:t xml:space="preserve"> 《大气污染物综合排放标准》</w:t>
            </w:r>
            <w:r>
              <w:rPr>
                <w:rFonts w:hint="eastAsia"/>
                <w:b/>
                <w:color w:val="000000" w:themeColor="text1"/>
              </w:rPr>
              <w:t>表2</w:t>
            </w:r>
            <w:r>
              <w:rPr>
                <w:rFonts w:hint="eastAsia" w:ascii="Times New Roman" w:hAnsi="Times New Roman" w:cs="Times New Roman"/>
                <w:b/>
                <w:color w:val="000000" w:themeColor="text1"/>
                <w:szCs w:val="24"/>
              </w:rPr>
              <w:t>标准</w:t>
            </w:r>
            <w:r>
              <w:rPr>
                <w:rFonts w:ascii="Times New Roman" w:hAnsi="Times New Roman" w:cs="Times New Roman"/>
                <w:b/>
                <w:color w:val="000000" w:themeColor="text1"/>
                <w:szCs w:val="24"/>
              </w:rPr>
              <w:t>排放限值</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861"/>
              <w:gridCol w:w="1718"/>
              <w:gridCol w:w="1289"/>
              <w:gridCol w:w="128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pStyle w:val="30"/>
                    <w:spacing w:line="360" w:lineRule="exact"/>
                    <w:rPr>
                      <w:color w:val="000000" w:themeColor="text1"/>
                      <w:szCs w:val="21"/>
                    </w:rPr>
                  </w:pPr>
                  <w:r>
                    <w:rPr>
                      <w:color w:val="000000" w:themeColor="text1"/>
                      <w:szCs w:val="21"/>
                    </w:rPr>
                    <w:t>项目</w:t>
                  </w:r>
                </w:p>
              </w:tc>
              <w:tc>
                <w:tcPr>
                  <w:tcW w:w="1842" w:type="dxa"/>
                  <w:vMerge w:val="restart"/>
                  <w:vAlign w:val="center"/>
                </w:tcPr>
                <w:p>
                  <w:pPr>
                    <w:pStyle w:val="30"/>
                    <w:spacing w:line="360" w:lineRule="exact"/>
                    <w:rPr>
                      <w:color w:val="000000" w:themeColor="text1"/>
                      <w:szCs w:val="21"/>
                    </w:rPr>
                  </w:pPr>
                  <w:r>
                    <w:rPr>
                      <w:color w:val="000000" w:themeColor="text1"/>
                      <w:szCs w:val="21"/>
                    </w:rPr>
                    <w:t>最高允许排放浓度mg/m³</w:t>
                  </w:r>
                </w:p>
              </w:tc>
              <w:tc>
                <w:tcPr>
                  <w:tcW w:w="2977" w:type="dxa"/>
                  <w:gridSpan w:val="2"/>
                  <w:vAlign w:val="center"/>
                </w:tcPr>
                <w:p>
                  <w:pPr>
                    <w:pStyle w:val="30"/>
                    <w:spacing w:line="360" w:lineRule="exact"/>
                    <w:rPr>
                      <w:color w:val="000000" w:themeColor="text1"/>
                      <w:szCs w:val="21"/>
                    </w:rPr>
                  </w:pPr>
                  <w:r>
                    <w:rPr>
                      <w:rFonts w:hint="eastAsia"/>
                      <w:color w:val="000000" w:themeColor="text1"/>
                      <w:szCs w:val="21"/>
                    </w:rPr>
                    <w:t>最高允许排放速率，kg/h</w:t>
                  </w:r>
                </w:p>
              </w:tc>
              <w:tc>
                <w:tcPr>
                  <w:tcW w:w="2602" w:type="dxa"/>
                  <w:gridSpan w:val="2"/>
                  <w:vAlign w:val="center"/>
                </w:tcPr>
                <w:p>
                  <w:pPr>
                    <w:pStyle w:val="30"/>
                    <w:spacing w:line="360" w:lineRule="exact"/>
                    <w:rPr>
                      <w:color w:val="000000" w:themeColor="text1"/>
                      <w:szCs w:val="21"/>
                    </w:rPr>
                  </w:pPr>
                  <w:r>
                    <w:rPr>
                      <w:rFonts w:hint="eastAsia"/>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30"/>
                    <w:spacing w:line="360" w:lineRule="exact"/>
                    <w:rPr>
                      <w:color w:val="000000" w:themeColor="text1"/>
                      <w:szCs w:val="21"/>
                    </w:rPr>
                  </w:pPr>
                </w:p>
              </w:tc>
              <w:tc>
                <w:tcPr>
                  <w:tcW w:w="1842" w:type="dxa"/>
                  <w:vMerge w:val="continue"/>
                  <w:vAlign w:val="center"/>
                </w:tcPr>
                <w:p>
                  <w:pPr>
                    <w:pStyle w:val="30"/>
                    <w:spacing w:line="360" w:lineRule="exact"/>
                    <w:rPr>
                      <w:color w:val="000000" w:themeColor="text1"/>
                      <w:szCs w:val="21"/>
                    </w:rPr>
                  </w:pPr>
                </w:p>
              </w:tc>
              <w:tc>
                <w:tcPr>
                  <w:tcW w:w="1701" w:type="dxa"/>
                  <w:vAlign w:val="center"/>
                </w:tcPr>
                <w:p>
                  <w:pPr>
                    <w:pStyle w:val="30"/>
                    <w:spacing w:line="360" w:lineRule="exact"/>
                    <w:rPr>
                      <w:color w:val="000000" w:themeColor="text1"/>
                      <w:szCs w:val="21"/>
                    </w:rPr>
                  </w:pPr>
                  <w:r>
                    <w:rPr>
                      <w:rFonts w:hint="eastAsia"/>
                      <w:color w:val="000000" w:themeColor="text1"/>
                      <w:szCs w:val="21"/>
                    </w:rPr>
                    <w:t>排气筒高度m</w:t>
                  </w:r>
                </w:p>
              </w:tc>
              <w:tc>
                <w:tcPr>
                  <w:tcW w:w="1276" w:type="dxa"/>
                  <w:vAlign w:val="center"/>
                </w:tcPr>
                <w:p>
                  <w:pPr>
                    <w:pStyle w:val="30"/>
                    <w:spacing w:line="360" w:lineRule="exact"/>
                    <w:rPr>
                      <w:color w:val="000000" w:themeColor="text1"/>
                      <w:szCs w:val="21"/>
                    </w:rPr>
                  </w:pPr>
                  <w:r>
                    <w:rPr>
                      <w:rFonts w:hint="eastAsia"/>
                      <w:color w:val="000000" w:themeColor="text1"/>
                      <w:szCs w:val="21"/>
                    </w:rPr>
                    <w:t>二级</w:t>
                  </w:r>
                </w:p>
              </w:tc>
              <w:tc>
                <w:tcPr>
                  <w:tcW w:w="1276" w:type="dxa"/>
                  <w:vAlign w:val="center"/>
                </w:tcPr>
                <w:p>
                  <w:pPr>
                    <w:pStyle w:val="30"/>
                    <w:spacing w:line="360" w:lineRule="exact"/>
                    <w:rPr>
                      <w:color w:val="000000" w:themeColor="text1"/>
                      <w:szCs w:val="21"/>
                    </w:rPr>
                  </w:pPr>
                  <w:r>
                    <w:rPr>
                      <w:rFonts w:hint="eastAsia"/>
                      <w:color w:val="000000" w:themeColor="text1"/>
                      <w:szCs w:val="21"/>
                    </w:rPr>
                    <w:t>监控点</w:t>
                  </w:r>
                </w:p>
              </w:tc>
              <w:tc>
                <w:tcPr>
                  <w:tcW w:w="1326" w:type="dxa"/>
                  <w:vAlign w:val="center"/>
                </w:tcPr>
                <w:p>
                  <w:pPr>
                    <w:pStyle w:val="30"/>
                    <w:spacing w:line="360" w:lineRule="exact"/>
                    <w:rPr>
                      <w:color w:val="000000" w:themeColor="text1"/>
                      <w:szCs w:val="21"/>
                    </w:rPr>
                  </w:pPr>
                  <w:r>
                    <w:rPr>
                      <w:rFonts w:hint="eastAsia"/>
                      <w:color w:val="000000" w:themeColor="text1"/>
                      <w:szCs w:val="21"/>
                    </w:rPr>
                    <w:t>浓度</w:t>
                  </w:r>
                  <w:r>
                    <w:rPr>
                      <w:color w:val="000000" w:themeColor="text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0"/>
                    <w:spacing w:line="360" w:lineRule="exact"/>
                    <w:rPr>
                      <w:color w:val="000000" w:themeColor="text1"/>
                      <w:szCs w:val="21"/>
                    </w:rPr>
                  </w:pPr>
                  <w:r>
                    <w:rPr>
                      <w:rFonts w:hint="eastAsia"/>
                      <w:color w:val="000000" w:themeColor="text1"/>
                      <w:szCs w:val="21"/>
                    </w:rPr>
                    <w:t>颗粒物</w:t>
                  </w:r>
                </w:p>
              </w:tc>
              <w:tc>
                <w:tcPr>
                  <w:tcW w:w="1842"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120</w:t>
                  </w:r>
                </w:p>
              </w:tc>
              <w:tc>
                <w:tcPr>
                  <w:tcW w:w="1701" w:type="dxa"/>
                  <w:vAlign w:val="center"/>
                </w:tcPr>
                <w:p>
                  <w:pPr>
                    <w:pStyle w:val="30"/>
                    <w:spacing w:line="360" w:lineRule="exact"/>
                    <w:rPr>
                      <w:color w:val="000000" w:themeColor="text1"/>
                      <w:szCs w:val="21"/>
                    </w:rPr>
                  </w:pPr>
                  <w:r>
                    <w:rPr>
                      <w:rFonts w:hint="eastAsia"/>
                      <w:color w:val="000000" w:themeColor="text1"/>
                      <w:szCs w:val="21"/>
                    </w:rPr>
                    <w:t>15</w:t>
                  </w:r>
                </w:p>
              </w:tc>
              <w:tc>
                <w:tcPr>
                  <w:tcW w:w="1276" w:type="dxa"/>
                  <w:vAlign w:val="center"/>
                </w:tcPr>
                <w:p>
                  <w:pPr>
                    <w:pStyle w:val="30"/>
                    <w:spacing w:line="360" w:lineRule="exact"/>
                    <w:rPr>
                      <w:color w:val="000000" w:themeColor="text1"/>
                      <w:szCs w:val="21"/>
                    </w:rPr>
                  </w:pPr>
                  <w:r>
                    <w:rPr>
                      <w:rFonts w:hint="eastAsia"/>
                      <w:color w:val="000000" w:themeColor="text1"/>
                      <w:szCs w:val="21"/>
                    </w:rPr>
                    <w:t>3.5</w:t>
                  </w:r>
                </w:p>
              </w:tc>
              <w:tc>
                <w:tcPr>
                  <w:tcW w:w="1276" w:type="dxa"/>
                  <w:vAlign w:val="center"/>
                </w:tcPr>
                <w:p>
                  <w:pPr>
                    <w:pStyle w:val="30"/>
                    <w:spacing w:line="360" w:lineRule="exact"/>
                    <w:rPr>
                      <w:color w:val="000000" w:themeColor="text1"/>
                      <w:szCs w:val="21"/>
                    </w:rPr>
                  </w:pPr>
                  <w:r>
                    <w:rPr>
                      <w:color w:val="000000" w:themeColor="text1"/>
                      <w:szCs w:val="21"/>
                    </w:rPr>
                    <w:t>周外界浓度</w:t>
                  </w:r>
                </w:p>
              </w:tc>
              <w:tc>
                <w:tcPr>
                  <w:tcW w:w="1326"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该项目生产工序无生产废水和生活污水产生，不执行相关标准。</w:t>
            </w:r>
          </w:p>
          <w:p>
            <w:pPr>
              <w:pStyle w:val="38"/>
              <w:ind w:firstLine="482"/>
              <w:rPr>
                <w:rFonts w:eastAsiaTheme="minorEastAsia"/>
                <w:b/>
                <w:color w:val="000000" w:themeColor="text1"/>
                <w:szCs w:val="24"/>
              </w:rPr>
            </w:pPr>
            <w:r>
              <w:rPr>
                <w:rFonts w:eastAsiaTheme="minorEastAsia"/>
                <w:b/>
                <w:color w:val="000000" w:themeColor="text1"/>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-1 建筑施工场界噪声标准限值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0"/>
                    <w:spacing w:line="360" w:lineRule="exact"/>
                    <w:ind w:left="11"/>
                    <w:rPr>
                      <w:rFonts w:eastAsiaTheme="minorEastAsia"/>
                      <w:color w:val="000000" w:themeColor="text1"/>
                      <w:szCs w:val="21"/>
                    </w:rPr>
                  </w:pPr>
                </w:p>
              </w:tc>
              <w:tc>
                <w:tcPr>
                  <w:tcW w:w="2977"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项目位于云南东川产业园区天生桥片区天三路，该项目噪声执行《工业企业厂界环境噪声排放标准》（GB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《工业企业厂界环境噪声排放标准》  Leq[dB（A）</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2922"/>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0"/>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3类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pStyle w:val="38"/>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color w:val="000000" w:themeColor="text1"/>
                <w:szCs w:val="24"/>
              </w:rPr>
              <w:t>①</w:t>
            </w:r>
            <w:r>
              <w:rPr>
                <w:color w:val="000000" w:themeColor="text1"/>
                <w:szCs w:val="24"/>
              </w:rPr>
              <w:fldChar w:fldCharType="end"/>
            </w:r>
            <w:r>
              <w:rPr>
                <w:color w:val="000000" w:themeColor="text1"/>
                <w:szCs w:val="24"/>
              </w:rPr>
              <w:t>危险废物执行《危险废物贮存污染控制标准》（GB</w:t>
            </w:r>
            <w:r>
              <w:rPr>
                <w:rFonts w:hint="eastAsia"/>
                <w:color w:val="000000" w:themeColor="text1"/>
                <w:szCs w:val="24"/>
                <w:lang w:eastAsia="zh-CN"/>
              </w:rPr>
              <w:t>*****</w:t>
            </w:r>
            <w:r>
              <w:rPr>
                <w:color w:val="000000" w:themeColor="text1"/>
                <w:szCs w:val="24"/>
              </w:rPr>
              <w:t>-2023）。</w:t>
            </w:r>
          </w:p>
          <w:p>
            <w:pPr>
              <w:pStyle w:val="38"/>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w:t>
            </w:r>
            <w:r>
              <w:rPr>
                <w:rFonts w:hint="eastAsia"/>
                <w:color w:val="000000" w:themeColor="text1"/>
                <w:szCs w:val="24"/>
                <w:lang w:eastAsia="zh-CN"/>
              </w:rPr>
              <w:t>*****</w:t>
            </w:r>
            <w:r>
              <w:rPr>
                <w:color w:val="000000" w:themeColor="text1"/>
                <w:szCs w:val="24"/>
              </w:rPr>
              <w:t>-2020）。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有组织排放废气：废气量</w:t>
            </w:r>
            <w:r>
              <w:rPr>
                <w:rFonts w:hint="eastAsia" w:ascii="Times New Roman" w:hAnsi="Times New Roman" w:cs="Times New Roman"/>
                <w:color w:val="000000" w:themeColor="text1"/>
                <w:sz w:val="24"/>
                <w:szCs w:val="24"/>
              </w:rPr>
              <w:t>3360万m³</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颗粒物：0.015</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无组织排放废气：</w:t>
            </w:r>
            <w:r>
              <w:rPr>
                <w:rFonts w:hint="eastAsia" w:ascii="Times New Roman" w:hAnsi="Times New Roman" w:cs="Times New Roman"/>
                <w:color w:val="000000" w:themeColor="text1"/>
                <w:sz w:val="24"/>
                <w:szCs w:val="24"/>
              </w:rPr>
              <w:t>颗粒物：0.208</w:t>
            </w:r>
            <w:r>
              <w:rPr>
                <w:rFonts w:ascii="Times New Roman" w:hAnsi="Times New Roman" w:cs="Times New Roman"/>
                <w:color w:val="000000" w:themeColor="text1"/>
                <w:sz w:val="24"/>
                <w:szCs w:val="24"/>
              </w:rPr>
              <w:t>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项目无生产废水和生活污水产生。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hint="eastAsia"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20" w:firstLineChars="20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施工期主要为生产设施及其配套的环保设施建设。施工期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为施工废气、施工噪声、施工固废等，拟采取的环境保护措施具体如下。</w:t>
            </w:r>
          </w:p>
          <w:p>
            <w:pPr>
              <w:pStyle w:val="38"/>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项目施工期拟采取的扬尘防治措施</w:t>
            </w:r>
            <w:r>
              <w:rPr>
                <w:rFonts w:hint="eastAsia" w:ascii="Times New Roman" w:hAnsi="Times New Roman" w:cs="Times New Roman"/>
                <w:bCs/>
                <w:color w:val="000000" w:themeColor="text1"/>
                <w:sz w:val="24"/>
                <w:szCs w:val="24"/>
              </w:rPr>
              <w:t>为</w:t>
            </w:r>
            <w:r>
              <w:rPr>
                <w:rFonts w:ascii="Times New Roman" w:hAnsi="Times New Roman" w:cs="Times New Roman"/>
                <w:bCs/>
                <w:color w:val="000000" w:themeColor="text1"/>
                <w:sz w:val="24"/>
                <w:szCs w:val="24"/>
              </w:rPr>
              <w:t>：加强施工现场运输车辆管理。进出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pStyle w:val="38"/>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施工期施工人员不在项目区食宿，</w:t>
            </w:r>
            <w:r>
              <w:rPr>
                <w:rFonts w:hint="eastAsia" w:ascii="Times New Roman" w:hAnsi="Times New Roman" w:cs="Times New Roman"/>
                <w:color w:val="000000" w:themeColor="text1"/>
                <w:sz w:val="24"/>
                <w:szCs w:val="24"/>
              </w:rPr>
              <w:t>无生活污水产生。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w:t>
            </w:r>
            <w:r>
              <w:rPr>
                <w:rFonts w:hint="eastAsia" w:ascii="Times New Roman" w:hAnsi="Times New Roman" w:cs="Times New Roman"/>
                <w:color w:val="000000" w:themeColor="text1"/>
                <w:sz w:val="24"/>
                <w:szCs w:val="24"/>
              </w:rPr>
              <w:t>项目在室内进行设备安装，无生产废水产生。</w:t>
            </w:r>
          </w:p>
          <w:p>
            <w:pPr>
              <w:pStyle w:val="38"/>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③加强与周围居民的沟通，避免扰民事件发生。</w:t>
            </w:r>
          </w:p>
          <w:p>
            <w:pPr>
              <w:pStyle w:val="38"/>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项目施工期产生的固体废弃物主要包括建筑垃圾。主要采取的施工固废防治措施</w:t>
            </w:r>
            <w:r>
              <w:rPr>
                <w:rFonts w:hint="eastAsia" w:ascii="Times New Roman" w:hAnsi="Times New Roman" w:cs="Times New Roman"/>
                <w:color w:val="000000" w:themeColor="text1"/>
                <w:sz w:val="24"/>
                <w:szCs w:val="24"/>
              </w:rPr>
              <w:t>为</w:t>
            </w:r>
            <w:r>
              <w:rPr>
                <w:rFonts w:ascii="Times New Roman" w:hAnsi="Times New Roman" w:cs="Times New Roman"/>
                <w:color w:val="000000" w:themeColor="text1"/>
                <w:sz w:val="24"/>
                <w:szCs w:val="24"/>
              </w:rPr>
              <w:t>：建设垃圾包括混凝土块、废木材、废钢材等，严格按照相关部门的要求，对其进行分类收集，其中废钢材收集后外售废品收购站，其他不能回收部分运至相关部门指定地点进行合理处置。</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bCs/>
                <w:color w:val="000000" w:themeColor="text1"/>
                <w:sz w:val="24"/>
              </w:rPr>
            </w:pPr>
            <w:r>
              <w:rPr>
                <w:bCs/>
                <w:color w:val="000000" w:themeColor="text1"/>
                <w:sz w:val="24"/>
              </w:rPr>
              <w:t>根据项目建设内容及生产工艺，</w:t>
            </w:r>
            <w:r>
              <w:rPr>
                <w:rFonts w:hint="eastAsia"/>
                <w:bCs/>
                <w:color w:val="000000" w:themeColor="text1"/>
                <w:sz w:val="24"/>
              </w:rPr>
              <w:t>该项目废气主要包括原料车间扬尘、水泥仓粉尘、投料粉尘和搅拌混合粉尘。</w:t>
            </w:r>
            <w:r>
              <w:rPr>
                <w:bCs/>
                <w:color w:val="000000" w:themeColor="text1"/>
                <w:sz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①原料车间扬尘产排核算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ascii="Times New Roman" w:cs="Times New Roman"/>
                <w:color w:val="000000" w:themeColor="text1"/>
                <w:sz w:val="24"/>
              </w:rPr>
              <w:t>该项目拟设置</w:t>
            </w:r>
            <w:r>
              <w:rPr>
                <w:rFonts w:ascii="Times New Roman" w:hAnsi="Times New Roman" w:cs="Times New Roman"/>
                <w:color w:val="000000" w:themeColor="text1"/>
                <w:sz w:val="24"/>
              </w:rPr>
              <w:t>1</w:t>
            </w:r>
            <w:r>
              <w:rPr>
                <w:rFonts w:ascii="Times New Roman" w:cs="Times New Roman"/>
                <w:color w:val="000000" w:themeColor="text1"/>
                <w:sz w:val="24"/>
              </w:rPr>
              <w:t>个建筑面积约为</w:t>
            </w:r>
            <w:r>
              <w:rPr>
                <w:rFonts w:ascii="Times New Roman" w:hAnsi="Times New Roman" w:cs="Times New Roman"/>
                <w:color w:val="000000" w:themeColor="text1"/>
                <w:sz w:val="24"/>
              </w:rPr>
              <w:t>1000m²</w:t>
            </w:r>
            <w:r>
              <w:rPr>
                <w:rFonts w:ascii="Times New Roman" w:cs="Times New Roman"/>
                <w:color w:val="000000" w:themeColor="text1"/>
                <w:sz w:val="24"/>
              </w:rPr>
              <w:t>的原料车间分别对泡棉、铝矾土和机制砂进行暂存，其中泡棉、铝矾土为袋装贮存，基本无扬尘产生，而机制砂堆存区建筑面积约为</w:t>
            </w:r>
            <w:r>
              <w:rPr>
                <w:rFonts w:ascii="Times New Roman" w:hAnsi="Times New Roman" w:cs="Times New Roman"/>
                <w:color w:val="000000" w:themeColor="text1"/>
                <w:sz w:val="24"/>
              </w:rPr>
              <w:t>280m²</w:t>
            </w:r>
            <w:r>
              <w:rPr>
                <w:rFonts w:ascii="Times New Roman" w:cs="Times New Roman"/>
                <w:color w:val="000000" w:themeColor="text1"/>
                <w:sz w:val="24"/>
              </w:rPr>
              <w:t>，对机制砂进行散装贮存，</w:t>
            </w:r>
            <w:r>
              <w:rPr>
                <w:rFonts w:ascii="Times New Roman" w:cs="Times New Roman"/>
                <w:color w:val="000000" w:themeColor="text1"/>
                <w:sz w:val="24"/>
                <w:szCs w:val="24"/>
              </w:rPr>
              <w:t>贮存过程中会有扬尘产生，项目原料车间位于全封闭厂房内，</w:t>
            </w:r>
            <w:r>
              <w:rPr>
                <w:rFonts w:ascii="Times New Roman" w:hAnsi="Times New Roman" w:cs="Times New Roman"/>
                <w:color w:val="000000" w:themeColor="text1"/>
                <w:sz w:val="24"/>
                <w:szCs w:val="24"/>
              </w:rPr>
              <w:t>本环评根据《排放源统计调查产排污核算方法和系数手册》中“固体物料堆存颗粒物产排污核算系数手册”提供的数据进行核算。颗粒物产生量核算公式如下：</w:t>
            </w:r>
          </w:p>
          <w:p>
            <w:pPr>
              <w:autoSpaceDE w:val="0"/>
              <w:autoSpaceDN w:val="0"/>
              <w:adjustRightInd w:val="0"/>
              <w:spacing w:line="360" w:lineRule="auto"/>
              <w:jc w:val="center"/>
              <w:rPr>
                <w:rFonts w:ascii="Times New Roman" w:hAnsi="Times New Roman" w:cs="Times New Roman"/>
                <w:color w:val="000000" w:themeColor="text1"/>
                <w:kern w:val="0"/>
                <w:sz w:val="24"/>
                <w:szCs w:val="24"/>
                <w:vertAlign w:val="superscript"/>
              </w:rPr>
            </w:pPr>
            <w:r>
              <w:rPr>
                <w:rFonts w:ascii="Cambria Math" w:hAnsi="Cambria Math" w:cs="Cambria Math"/>
                <w:color w:val="000000" w:themeColor="text1"/>
                <w:kern w:val="0"/>
                <w:sz w:val="24"/>
                <w:szCs w:val="24"/>
              </w:rPr>
              <w:t>𝑃</w:t>
            </w:r>
            <w:r>
              <w:rPr>
                <w:rFonts w:ascii="Times New Roman" w:hAnsi="Times New Roman" w:cs="Times New Roman"/>
                <w:color w:val="000000" w:themeColor="text1"/>
                <w:kern w:val="0"/>
                <w:sz w:val="24"/>
                <w:szCs w:val="24"/>
              </w:rPr>
              <w:t>=ZCy+FCy={Nc×D×(a/b)+2×E</w:t>
            </w:r>
            <w:r>
              <w:rPr>
                <w:rFonts w:ascii="Times New Roman" w:hAnsi="Times New Roman" w:cs="Times New Roman"/>
                <w:color w:val="000000" w:themeColor="text1"/>
                <w:kern w:val="0"/>
                <w:sz w:val="24"/>
                <w:szCs w:val="24"/>
                <w:vertAlign w:val="subscript"/>
              </w:rPr>
              <w:t>f</w:t>
            </w:r>
            <w:r>
              <w:rPr>
                <w:rFonts w:ascii="Times New Roman" w:hAnsi="Times New Roman" w:cs="Times New Roman"/>
                <w:color w:val="000000" w:themeColor="text1"/>
                <w:kern w:val="0"/>
                <w:sz w:val="24"/>
                <w:szCs w:val="24"/>
              </w:rPr>
              <w:t>×</w:t>
            </w:r>
            <w:r>
              <w:rPr>
                <w:rFonts w:ascii="Cambria Math" w:hAnsi="Cambria Math" w:cs="Cambria Math"/>
                <w:color w:val="000000" w:themeColor="text1"/>
                <w:kern w:val="0"/>
                <w:sz w:val="24"/>
                <w:szCs w:val="24"/>
              </w:rPr>
              <w:t>𝑆</w:t>
            </w:r>
            <w:r>
              <w:rPr>
                <w:rFonts w:ascii="Times New Roman" w:hAnsi="Times New Roman" w:cs="Times New Roman"/>
                <w:color w:val="000000" w:themeColor="text1"/>
                <w:kern w:val="0"/>
                <w:sz w:val="24"/>
                <w:szCs w:val="24"/>
              </w:rPr>
              <w:t>}×10</w:t>
            </w:r>
            <w:r>
              <w:rPr>
                <w:rFonts w:ascii="Times New Roman" w:hAnsi="Times New Roman" w:cs="Times New Roman"/>
                <w:color w:val="000000" w:themeColor="text1"/>
                <w:kern w:val="0"/>
                <w:sz w:val="24"/>
                <w:szCs w:val="24"/>
                <w:vertAlign w:val="superscript"/>
              </w:rPr>
              <w:t>-3</w:t>
            </w:r>
          </w:p>
          <w:p>
            <w:pPr>
              <w:pStyle w:val="38"/>
              <w:ind w:firstLine="480"/>
              <w:rPr>
                <w:color w:val="000000" w:themeColor="text1"/>
              </w:rPr>
            </w:pPr>
            <w:r>
              <w:rPr>
                <w:color w:val="000000" w:themeColor="text1"/>
              </w:rPr>
              <w:t>式中：P：颗粒物产生量（吨）；</w:t>
            </w:r>
          </w:p>
          <w:p>
            <w:pPr>
              <w:pStyle w:val="38"/>
              <w:ind w:firstLine="480"/>
              <w:rPr>
                <w:color w:val="000000" w:themeColor="text1"/>
              </w:rPr>
            </w:pPr>
            <w:r>
              <w:rPr>
                <w:color w:val="000000" w:themeColor="text1"/>
              </w:rPr>
              <w:t xml:space="preserve"> ZCy：装卸扬尘产生量；</w:t>
            </w:r>
          </w:p>
          <w:p>
            <w:pPr>
              <w:pStyle w:val="38"/>
              <w:ind w:firstLine="480"/>
              <w:rPr>
                <w:color w:val="000000" w:themeColor="text1"/>
              </w:rPr>
            </w:pPr>
            <w:r>
              <w:rPr>
                <w:color w:val="000000" w:themeColor="text1"/>
              </w:rPr>
              <w:t xml:space="preserve"> FCy：风蚀扬尘产生量；</w:t>
            </w:r>
          </w:p>
          <w:p>
            <w:pPr>
              <w:pStyle w:val="38"/>
              <w:ind w:firstLine="480"/>
              <w:rPr>
                <w:color w:val="000000" w:themeColor="text1"/>
              </w:rPr>
            </w:pPr>
            <w:r>
              <w:rPr>
                <w:color w:val="000000" w:themeColor="text1"/>
              </w:rPr>
              <w:t xml:space="preserve"> Nc：年物料运载车次；</w:t>
            </w:r>
          </w:p>
          <w:p>
            <w:pPr>
              <w:pStyle w:val="38"/>
              <w:ind w:firstLine="480"/>
              <w:rPr>
                <w:color w:val="000000" w:themeColor="text1"/>
              </w:rPr>
            </w:pPr>
            <w:r>
              <w:rPr>
                <w:color w:val="000000" w:themeColor="text1"/>
              </w:rPr>
              <w:t xml:space="preserve"> D：单车平均运载量；</w:t>
            </w:r>
          </w:p>
          <w:p>
            <w:pPr>
              <w:pStyle w:val="38"/>
              <w:ind w:firstLine="480"/>
              <w:rPr>
                <w:color w:val="000000" w:themeColor="text1"/>
              </w:rPr>
            </w:pPr>
            <w:r>
              <w:rPr>
                <w:color w:val="000000" w:themeColor="text1"/>
              </w:rPr>
              <w:t xml:space="preserve"> a：各省风速概化系数；</w:t>
            </w:r>
          </w:p>
          <w:p>
            <w:pPr>
              <w:pStyle w:val="38"/>
              <w:ind w:firstLine="480"/>
              <w:rPr>
                <w:color w:val="000000" w:themeColor="text1"/>
              </w:rPr>
            </w:pPr>
            <w:r>
              <w:rPr>
                <w:color w:val="000000" w:themeColor="text1"/>
              </w:rPr>
              <w:t xml:space="preserve"> b：物料含水率概化系数；</w:t>
            </w:r>
          </w:p>
          <w:p>
            <w:pPr>
              <w:pStyle w:val="38"/>
              <w:ind w:firstLine="480"/>
              <w:rPr>
                <w:color w:val="000000" w:themeColor="text1"/>
              </w:rPr>
            </w:pPr>
            <w:r>
              <w:rPr>
                <w:color w:val="000000" w:themeColor="text1"/>
              </w:rPr>
              <w:t xml:space="preserve"> Ef：堆场风蚀扬尘概化系数；</w:t>
            </w:r>
          </w:p>
          <w:p>
            <w:pPr>
              <w:pStyle w:val="38"/>
              <w:ind w:firstLine="480"/>
              <w:rPr>
                <w:color w:val="000000" w:themeColor="text1"/>
              </w:rPr>
            </w:pPr>
            <w:r>
              <w:rPr>
                <w:color w:val="000000" w:themeColor="text1"/>
              </w:rPr>
              <w:t xml:space="preserve"> S：堆场占地面积。</w:t>
            </w:r>
          </w:p>
          <w:p>
            <w:pPr>
              <w:pStyle w:val="38"/>
              <w:ind w:firstLine="480"/>
              <w:rPr>
                <w:color w:val="000000" w:themeColor="text1"/>
              </w:rPr>
            </w:pPr>
            <w:r>
              <w:rPr>
                <w:color w:val="000000" w:themeColor="text1"/>
              </w:rPr>
              <w:t>工业企业固体物料堆场颗粒物排放量核算公式如下：</w:t>
            </w:r>
          </w:p>
          <w:p>
            <w:pPr>
              <w:autoSpaceDE w:val="0"/>
              <w:autoSpaceDN w:val="0"/>
              <w:adjustRightInd w:val="0"/>
              <w:spacing w:line="360" w:lineRule="auto"/>
              <w:jc w:val="center"/>
              <w:rPr>
                <w:rFonts w:ascii="Times New Roman" w:hAnsi="Times New Roman" w:cs="Times New Roman"/>
                <w:color w:val="000000" w:themeColor="text1"/>
                <w:kern w:val="0"/>
                <w:sz w:val="24"/>
                <w:szCs w:val="28"/>
              </w:rPr>
            </w:pPr>
            <w:r>
              <w:rPr>
                <w:rFonts w:ascii="Cambria Math" w:hAnsi="Cambria Math" w:cs="Cambria Math"/>
                <w:color w:val="000000" w:themeColor="text1"/>
                <w:kern w:val="0"/>
                <w:sz w:val="24"/>
                <w:szCs w:val="28"/>
              </w:rPr>
              <w:t>𝑈𝑐</w:t>
            </w:r>
            <w:r>
              <w:rPr>
                <w:rFonts w:ascii="Times New Roman" w:hAnsi="Times New Roman" w:cs="Times New Roman"/>
                <w:color w:val="000000" w:themeColor="text1"/>
                <w:kern w:val="0"/>
                <w:sz w:val="24"/>
                <w:szCs w:val="28"/>
              </w:rPr>
              <w:t>=</w:t>
            </w:r>
            <w:r>
              <w:rPr>
                <w:rFonts w:ascii="Cambria Math" w:hAnsi="Cambria Math" w:cs="Cambria Math"/>
                <w:color w:val="000000" w:themeColor="text1"/>
                <w:kern w:val="0"/>
                <w:sz w:val="24"/>
                <w:szCs w:val="28"/>
              </w:rPr>
              <w:t>𝑃</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𝐶𝑚</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𝑇𝑚</w:t>
            </w:r>
            <w:r>
              <w:rPr>
                <w:rFonts w:ascii="Times New Roman" w:hAnsi="Times New Roman" w:cs="Times New Roman"/>
                <w:color w:val="000000" w:themeColor="text1"/>
                <w:kern w:val="0"/>
                <w:sz w:val="24"/>
                <w:szCs w:val="28"/>
              </w:rPr>
              <w:t>)</w:t>
            </w:r>
          </w:p>
          <w:p>
            <w:pPr>
              <w:pStyle w:val="38"/>
              <w:ind w:firstLine="480"/>
              <w:rPr>
                <w:color w:val="000000" w:themeColor="text1"/>
              </w:rPr>
            </w:pPr>
            <w:r>
              <w:rPr>
                <w:color w:val="000000" w:themeColor="text1"/>
              </w:rPr>
              <w:t>式中：P：颗粒物产生量（单位：吨）；</w:t>
            </w:r>
          </w:p>
          <w:p>
            <w:pPr>
              <w:pStyle w:val="38"/>
              <w:ind w:firstLine="480"/>
              <w:rPr>
                <w:color w:val="000000" w:themeColor="text1"/>
              </w:rPr>
            </w:pPr>
            <w:r>
              <w:rPr>
                <w:color w:val="000000" w:themeColor="text1"/>
              </w:rPr>
              <w:t xml:space="preserve"> Uc：颗粒物排放量（单位：吨）；</w:t>
            </w:r>
          </w:p>
          <w:p>
            <w:pPr>
              <w:pStyle w:val="38"/>
              <w:ind w:firstLine="480"/>
              <w:rPr>
                <w:color w:val="000000" w:themeColor="text1"/>
              </w:rPr>
            </w:pPr>
            <w:r>
              <w:rPr>
                <w:color w:val="000000" w:themeColor="text1"/>
              </w:rPr>
              <w:t xml:space="preserve"> Cm：颗粒物控制措施控制效率；</w:t>
            </w:r>
          </w:p>
          <w:p>
            <w:pPr>
              <w:pStyle w:val="38"/>
              <w:ind w:firstLine="480"/>
              <w:rPr>
                <w:color w:val="000000" w:themeColor="text1"/>
              </w:rPr>
            </w:pPr>
            <w:r>
              <w:rPr>
                <w:color w:val="000000" w:themeColor="text1"/>
              </w:rPr>
              <w:t xml:space="preserve"> Tm：堆场类型控制效率。</w:t>
            </w:r>
          </w:p>
          <w:p>
            <w:pPr>
              <w:spacing w:line="360" w:lineRule="auto"/>
              <w:ind w:firstLine="480" w:firstLineChars="200"/>
              <w:rPr>
                <w:color w:val="000000" w:themeColor="text1"/>
                <w:sz w:val="24"/>
              </w:rPr>
            </w:pPr>
            <w:r>
              <w:rPr>
                <w:rFonts w:hint="eastAsia"/>
                <w:color w:val="000000" w:themeColor="text1"/>
                <w:sz w:val="24"/>
              </w:rPr>
              <w:t>原料车间扬尘</w:t>
            </w:r>
            <w:r>
              <w:rPr>
                <w:color w:val="000000" w:themeColor="text1"/>
                <w:sz w:val="24"/>
              </w:rPr>
              <w:t>计算参数如下表所示。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表4.</w:t>
            </w:r>
            <w:r>
              <w:rPr>
                <w:rFonts w:hint="eastAsia" w:ascii="Times New Roman" w:hAnsi="Times New Roman" w:eastAsia="宋体" w:cs="Times New Roman"/>
                <w:b/>
                <w:color w:val="000000" w:themeColor="text1"/>
              </w:rPr>
              <w:t>2.1-3</w:t>
            </w:r>
            <w:r>
              <w:rPr>
                <w:rFonts w:ascii="Times New Roman" w:hAnsi="Times New Roman" w:eastAsia="宋体" w:cs="Times New Roman"/>
                <w:b/>
                <w:color w:val="000000" w:themeColor="text1"/>
              </w:rPr>
              <w:t xml:space="preserve"> </w:t>
            </w:r>
            <w:r>
              <w:rPr>
                <w:rFonts w:hint="eastAsia"/>
                <w:b/>
                <w:color w:val="000000" w:themeColor="text1"/>
              </w:rPr>
              <w:t>原料车间扬尘</w:t>
            </w:r>
            <w:r>
              <w:rPr>
                <w:rFonts w:ascii="Times New Roman" w:hAnsi="Times New Roman" w:eastAsia="宋体" w:cs="Times New Roman"/>
                <w:b/>
                <w:color w:val="000000" w:themeColor="text1"/>
              </w:rPr>
              <w:t>装卸及风蚀扬尘计算参数一览表</w:t>
            </w:r>
          </w:p>
          <w:tbl>
            <w:tblPr>
              <w:tblStyle w:val="19"/>
              <w:tblW w:w="5000" w:type="pct"/>
              <w:jc w:val="center"/>
              <w:tblLayout w:type="fixed"/>
              <w:tblCellMar>
                <w:top w:w="0" w:type="dxa"/>
                <w:left w:w="108" w:type="dxa"/>
                <w:bottom w:w="0" w:type="dxa"/>
                <w:right w:w="108" w:type="dxa"/>
              </w:tblCellMar>
            </w:tblPr>
            <w:tblGrid>
              <w:gridCol w:w="1291"/>
              <w:gridCol w:w="861"/>
              <w:gridCol w:w="1033"/>
              <w:gridCol w:w="943"/>
              <w:gridCol w:w="944"/>
              <w:gridCol w:w="1075"/>
              <w:gridCol w:w="810"/>
              <w:gridCol w:w="811"/>
              <w:gridCol w:w="849"/>
            </w:tblGrid>
            <w:tr>
              <w:tblPrEx>
                <w:tblCellMar>
                  <w:top w:w="0" w:type="dxa"/>
                  <w:left w:w="108" w:type="dxa"/>
                  <w:bottom w:w="0" w:type="dxa"/>
                  <w:right w:w="108" w:type="dxa"/>
                </w:tblCellMar>
              </w:tblPrEx>
              <w:trPr>
                <w:trHeight w:val="382" w:hRule="atLeast"/>
                <w:jc w:val="center"/>
              </w:trPr>
              <w:tc>
                <w:tcPr>
                  <w:tcW w:w="127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物料种类</w:t>
                  </w:r>
                </w:p>
              </w:tc>
              <w:tc>
                <w:tcPr>
                  <w:tcW w:w="85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Nc（车）</w:t>
                  </w:r>
                </w:p>
              </w:tc>
              <w:tc>
                <w:tcPr>
                  <w:tcW w:w="102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D（吨/车）</w:t>
                  </w:r>
                </w:p>
              </w:tc>
              <w:tc>
                <w:tcPr>
                  <w:tcW w:w="93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a</w:t>
                  </w:r>
                </w:p>
              </w:tc>
              <w:tc>
                <w:tcPr>
                  <w:tcW w:w="93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w:t>
                  </w:r>
                </w:p>
              </w:tc>
              <w:tc>
                <w:tcPr>
                  <w:tcW w:w="106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Ef（kg/m²）</w:t>
                  </w:r>
                </w:p>
              </w:tc>
              <w:tc>
                <w:tcPr>
                  <w:tcW w:w="80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S（m²）</w:t>
                  </w:r>
                </w:p>
              </w:tc>
              <w:tc>
                <w:tcPr>
                  <w:tcW w:w="80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Cm（%）</w:t>
                  </w:r>
                </w:p>
              </w:tc>
              <w:tc>
                <w:tcPr>
                  <w:tcW w:w="84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Tm（%）</w:t>
                  </w:r>
                </w:p>
              </w:tc>
            </w:tr>
            <w:tr>
              <w:tblPrEx>
                <w:tblCellMar>
                  <w:top w:w="0" w:type="dxa"/>
                  <w:left w:w="108" w:type="dxa"/>
                  <w:bottom w:w="0" w:type="dxa"/>
                  <w:right w:w="108" w:type="dxa"/>
                </w:tblCellMar>
              </w:tblPrEx>
              <w:trPr>
                <w:jc w:val="center"/>
              </w:trPr>
              <w:tc>
                <w:tcPr>
                  <w:tcW w:w="1278" w:type="dxa"/>
                  <w:tcBorders>
                    <w:top w:val="nil"/>
                    <w:left w:val="single" w:color="auto" w:sz="4" w:space="0"/>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机制砂</w:t>
                  </w:r>
                </w:p>
              </w:tc>
              <w:tc>
                <w:tcPr>
                  <w:tcW w:w="85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108</w:t>
                  </w:r>
                </w:p>
              </w:tc>
              <w:tc>
                <w:tcPr>
                  <w:tcW w:w="1021"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w:t>
                  </w:r>
                </w:p>
              </w:tc>
              <w:tc>
                <w:tcPr>
                  <w:tcW w:w="93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0.0009</w:t>
                  </w:r>
                </w:p>
              </w:tc>
              <w:tc>
                <w:tcPr>
                  <w:tcW w:w="933" w:type="dxa"/>
                  <w:tcBorders>
                    <w:top w:val="nil"/>
                    <w:left w:val="nil"/>
                    <w:bottom w:val="single" w:color="auto" w:sz="4" w:space="0"/>
                    <w:right w:val="single" w:color="auto" w:sz="8" w:space="0"/>
                  </w:tcBorders>
                  <w:shd w:val="clear" w:color="auto" w:fill="auto"/>
                  <w:vAlign w:val="center"/>
                </w:tcPr>
                <w:p>
                  <w:pPr>
                    <w:widowControl/>
                    <w:spacing w:line="360" w:lineRule="exact"/>
                    <w:jc w:val="right"/>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w:t>
                  </w:r>
                  <w:r>
                    <w:rPr>
                      <w:rFonts w:hint="eastAsia" w:ascii="Times New Roman" w:hAnsi="Times New Roman" w:eastAsia="宋体" w:cs="Times New Roman"/>
                      <w:color w:val="000000" w:themeColor="text1"/>
                      <w:kern w:val="0"/>
                    </w:rPr>
                    <w:t>17</w:t>
                  </w:r>
                </w:p>
              </w:tc>
              <w:tc>
                <w:tcPr>
                  <w:tcW w:w="1063"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3.6062</w:t>
                  </w:r>
                </w:p>
              </w:tc>
              <w:tc>
                <w:tcPr>
                  <w:tcW w:w="801" w:type="dxa"/>
                  <w:tcBorders>
                    <w:top w:val="nil"/>
                    <w:left w:val="nil"/>
                    <w:bottom w:val="single" w:color="auto" w:sz="4" w:space="0"/>
                    <w:right w:val="single" w:color="auto" w:sz="8" w:space="0"/>
                  </w:tcBorders>
                  <w:shd w:val="clear" w:color="auto" w:fill="auto"/>
                  <w:vAlign w:val="center"/>
                </w:tcPr>
                <w:p>
                  <w:pPr>
                    <w:widowControl/>
                    <w:spacing w:line="360" w:lineRule="exact"/>
                    <w:jc w:val="right"/>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280</w:t>
                  </w:r>
                </w:p>
              </w:tc>
              <w:tc>
                <w:tcPr>
                  <w:tcW w:w="80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w:t>
                  </w:r>
                </w:p>
              </w:tc>
              <w:tc>
                <w:tcPr>
                  <w:tcW w:w="840"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99</w:t>
                  </w:r>
                </w:p>
              </w:tc>
            </w:tr>
          </w:tbl>
          <w:p>
            <w:pPr>
              <w:pStyle w:val="38"/>
              <w:spacing w:beforeLines="50"/>
              <w:ind w:firstLine="480"/>
              <w:rPr>
                <w:color w:val="000000" w:themeColor="text1"/>
              </w:rPr>
            </w:pPr>
            <w:r>
              <w:rPr>
                <w:color w:val="000000" w:themeColor="text1"/>
              </w:rPr>
              <w:t>由上述计算参数计算可知，项目</w:t>
            </w:r>
            <w:r>
              <w:rPr>
                <w:rFonts w:hint="eastAsia"/>
                <w:color w:val="000000" w:themeColor="text1"/>
              </w:rPr>
              <w:t>原料车间扬尘</w:t>
            </w:r>
            <w:r>
              <w:rPr>
                <w:color w:val="000000" w:themeColor="text1"/>
              </w:rPr>
              <w:t>装卸及风蚀扬尘</w:t>
            </w:r>
            <w:r>
              <w:rPr>
                <w:rFonts w:hint="eastAsia"/>
                <w:color w:val="000000" w:themeColor="text1"/>
              </w:rPr>
              <w:t>产生量约为3.16</w:t>
            </w:r>
            <w:r>
              <w:rPr>
                <w:color w:val="000000" w:themeColor="text1"/>
              </w:rPr>
              <w:t>t/a</w:t>
            </w:r>
            <w:r>
              <w:rPr>
                <w:rFonts w:hint="eastAsia"/>
                <w:color w:val="000000" w:themeColor="text1"/>
              </w:rPr>
              <w:t>，排放量为0.03</w:t>
            </w:r>
            <w:r>
              <w:rPr>
                <w:color w:val="000000" w:themeColor="text1"/>
              </w:rPr>
              <w:t>t/a</w:t>
            </w:r>
            <w:r>
              <w:rPr>
                <w:rFonts w:hint="eastAsia"/>
                <w:color w:val="000000" w:themeColor="text1"/>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②水泥仓粉尘产排核算</w:t>
            </w:r>
          </w:p>
          <w:p>
            <w:pPr>
              <w:spacing w:line="360" w:lineRule="auto"/>
              <w:ind w:firstLine="480" w:firstLineChars="200"/>
              <w:rPr>
                <w:rFonts w:ascii="Times New Roman" w:cs="Times New Roman"/>
                <w:bCs/>
                <w:color w:val="000000" w:themeColor="text1"/>
                <w:sz w:val="24"/>
              </w:rPr>
            </w:pPr>
            <w:r>
              <w:rPr>
                <w:rFonts w:ascii="Times New Roman" w:hAnsi="Times New Roman" w:cs="Times New Roman"/>
                <w:bCs/>
                <w:color w:val="000000" w:themeColor="text1"/>
                <w:sz w:val="24"/>
                <w:szCs w:val="24"/>
              </w:rPr>
              <w:t>根据项目建设内容及生产工艺，水泥仓在水泥装卸、输送过程会有粉尘产生，该项目生产的轻集料混凝土产品即属于3024 轻质建筑材料制造</w:t>
            </w:r>
            <w:r>
              <w:rPr>
                <w:rFonts w:ascii="Times New Roman" w:cs="Times New Roman"/>
                <w:bCs/>
                <w:color w:val="000000" w:themeColor="text1"/>
                <w:sz w:val="24"/>
              </w:rPr>
              <w:t>项目</w:t>
            </w:r>
            <w:r>
              <w:rPr>
                <w:rFonts w:hint="eastAsia" w:ascii="Times New Roman" w:cs="Times New Roman"/>
                <w:bCs/>
                <w:color w:val="000000" w:themeColor="text1"/>
                <w:sz w:val="24"/>
              </w:rPr>
              <w:t>，</w:t>
            </w:r>
            <w:r>
              <w:rPr>
                <w:rFonts w:ascii="Times New Roman" w:hAnsi="Times New Roman" w:cs="Times New Roman"/>
                <w:bCs/>
                <w:color w:val="000000" w:themeColor="text1"/>
                <w:sz w:val="24"/>
                <w:szCs w:val="24"/>
              </w:rPr>
              <w:t>根据《排放源统计调查产排污核算方法和系数手册》中“</w:t>
            </w:r>
            <w:r>
              <w:rPr>
                <w:rFonts w:ascii="Times New Roman" w:hAnsi="Times New Roman" w:cs="Times New Roman"/>
                <w:bCs/>
                <w:color w:val="000000" w:themeColor="text1"/>
                <w:sz w:val="24"/>
              </w:rPr>
              <w:t xml:space="preserve">3024 </w:t>
            </w:r>
            <w:r>
              <w:rPr>
                <w:rFonts w:ascii="Times New Roman" w:cs="Times New Roman"/>
                <w:bCs/>
                <w:color w:val="000000" w:themeColor="text1"/>
                <w:sz w:val="24"/>
              </w:rPr>
              <w:t>轻质建筑材料制品制造行业系数手册</w:t>
            </w:r>
            <w:r>
              <w:rPr>
                <w:rFonts w:ascii="Times New Roman" w:hAnsi="Times New Roman" w:cs="Times New Roman"/>
                <w:bCs/>
                <w:color w:val="000000" w:themeColor="text1"/>
                <w:sz w:val="24"/>
                <w:szCs w:val="24"/>
              </w:rPr>
              <w:t>”的产污系数</w:t>
            </w:r>
            <w:r>
              <w:rPr>
                <w:rFonts w:hint="eastAsia" w:ascii="Times New Roman" w:cs="Times New Roman"/>
                <w:bCs/>
                <w:color w:val="000000" w:themeColor="text1"/>
                <w:sz w:val="24"/>
              </w:rPr>
              <w:t>。</w:t>
            </w:r>
            <w:r>
              <w:rPr>
                <w:rFonts w:ascii="Times New Roman" w:cs="Times New Roman"/>
                <w:bCs/>
                <w:color w:val="000000" w:themeColor="text1"/>
                <w:sz w:val="24"/>
              </w:rPr>
              <w:t>具体</w:t>
            </w:r>
            <w:r>
              <w:rPr>
                <w:rFonts w:ascii="Times New Roman" w:hAnsi="Times New Roman" w:cs="Times New Roman"/>
                <w:bCs/>
                <w:color w:val="000000" w:themeColor="text1"/>
                <w:sz w:val="24"/>
                <w:szCs w:val="24"/>
              </w:rPr>
              <w:t>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ascii="Times New Roman" w:hAnsi="Times New Roman" w:cs="Times New Roman"/>
                <w:b/>
                <w:color w:val="000000" w:themeColor="text1"/>
              </w:rPr>
              <w:t xml:space="preserve">4.2.1-1  3024 </w:t>
            </w:r>
            <w:r>
              <w:rPr>
                <w:rFonts w:ascii="Times New Roman" w:cs="Times New Roman"/>
                <w:b/>
                <w:color w:val="000000" w:themeColor="text1"/>
              </w:rPr>
              <w:t>轻质建筑材料制品制造</w:t>
            </w:r>
            <w:r>
              <w:rPr>
                <w:rFonts w:ascii="Times New Roman" w:hAnsi="Times New Roman" w:eastAsia="宋体" w:cs="Times New Roman"/>
                <w:b/>
                <w:color w:val="000000" w:themeColor="text1"/>
                <w:szCs w:val="24"/>
              </w:rPr>
              <w:t>行业系数表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0"/>
              <w:gridCol w:w="623"/>
              <w:gridCol w:w="715"/>
              <w:gridCol w:w="747"/>
              <w:gridCol w:w="709"/>
              <w:gridCol w:w="548"/>
              <w:gridCol w:w="875"/>
              <w:gridCol w:w="1273"/>
              <w:gridCol w:w="716"/>
              <w:gridCol w:w="1008"/>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4" w:type="dxa"/>
                  <w:vAlign w:val="center"/>
                </w:tcPr>
                <w:p>
                  <w:pPr>
                    <w:pStyle w:val="30"/>
                    <w:spacing w:line="360" w:lineRule="exact"/>
                    <w:rPr>
                      <w:color w:val="000000" w:themeColor="text1"/>
                      <w:szCs w:val="21"/>
                    </w:rPr>
                  </w:pPr>
                  <w:r>
                    <w:rPr>
                      <w:color w:val="000000" w:themeColor="text1"/>
                      <w:szCs w:val="21"/>
                    </w:rPr>
                    <w:t>工段名称</w:t>
                  </w:r>
                </w:p>
              </w:tc>
              <w:tc>
                <w:tcPr>
                  <w:tcW w:w="617" w:type="dxa"/>
                  <w:vAlign w:val="center"/>
                </w:tcPr>
                <w:p>
                  <w:pPr>
                    <w:pStyle w:val="30"/>
                    <w:spacing w:line="360" w:lineRule="exact"/>
                    <w:rPr>
                      <w:color w:val="000000" w:themeColor="text1"/>
                      <w:szCs w:val="21"/>
                    </w:rPr>
                  </w:pPr>
                  <w:r>
                    <w:rPr>
                      <w:color w:val="000000" w:themeColor="text1"/>
                      <w:szCs w:val="21"/>
                    </w:rPr>
                    <w:t>产品名称</w:t>
                  </w:r>
                </w:p>
              </w:tc>
              <w:tc>
                <w:tcPr>
                  <w:tcW w:w="708" w:type="dxa"/>
                  <w:vAlign w:val="center"/>
                </w:tcPr>
                <w:p>
                  <w:pPr>
                    <w:pStyle w:val="30"/>
                    <w:spacing w:line="360" w:lineRule="exact"/>
                    <w:rPr>
                      <w:color w:val="000000" w:themeColor="text1"/>
                      <w:szCs w:val="21"/>
                    </w:rPr>
                  </w:pPr>
                  <w:r>
                    <w:rPr>
                      <w:color w:val="000000" w:themeColor="text1"/>
                      <w:szCs w:val="21"/>
                    </w:rPr>
                    <w:t>原料名称</w:t>
                  </w:r>
                </w:p>
              </w:tc>
              <w:tc>
                <w:tcPr>
                  <w:tcW w:w="740" w:type="dxa"/>
                  <w:vAlign w:val="center"/>
                </w:tcPr>
                <w:p>
                  <w:pPr>
                    <w:pStyle w:val="30"/>
                    <w:spacing w:line="360" w:lineRule="exact"/>
                    <w:rPr>
                      <w:color w:val="000000" w:themeColor="text1"/>
                      <w:szCs w:val="21"/>
                    </w:rPr>
                  </w:pPr>
                  <w:r>
                    <w:rPr>
                      <w:color w:val="000000" w:themeColor="text1"/>
                      <w:szCs w:val="21"/>
                    </w:rPr>
                    <w:t>工艺名称</w:t>
                  </w:r>
                </w:p>
              </w:tc>
              <w:tc>
                <w:tcPr>
                  <w:tcW w:w="702" w:type="dxa"/>
                  <w:vAlign w:val="center"/>
                </w:tcPr>
                <w:p>
                  <w:pPr>
                    <w:pStyle w:val="30"/>
                    <w:spacing w:line="360" w:lineRule="exact"/>
                    <w:rPr>
                      <w:color w:val="000000" w:themeColor="text1"/>
                      <w:szCs w:val="21"/>
                    </w:rPr>
                  </w:pPr>
                  <w:r>
                    <w:rPr>
                      <w:color w:val="000000" w:themeColor="text1"/>
                      <w:szCs w:val="21"/>
                    </w:rPr>
                    <w:t>规模等级</w:t>
                  </w:r>
                </w:p>
              </w:tc>
              <w:tc>
                <w:tcPr>
                  <w:tcW w:w="1409" w:type="dxa"/>
                  <w:gridSpan w:val="2"/>
                  <w:vAlign w:val="center"/>
                </w:tcPr>
                <w:p>
                  <w:pPr>
                    <w:pStyle w:val="30"/>
                    <w:spacing w:line="360" w:lineRule="exact"/>
                    <w:rPr>
                      <w:color w:val="000000" w:themeColor="text1"/>
                      <w:szCs w:val="21"/>
                    </w:rPr>
                  </w:pPr>
                  <w:r>
                    <w:rPr>
                      <w:color w:val="000000" w:themeColor="text1"/>
                      <w:szCs w:val="21"/>
                    </w:rPr>
                    <w:t>污染物指标</w:t>
                  </w:r>
                </w:p>
              </w:tc>
              <w:tc>
                <w:tcPr>
                  <w:tcW w:w="1260" w:type="dxa"/>
                  <w:vAlign w:val="center"/>
                </w:tcPr>
                <w:p>
                  <w:pPr>
                    <w:pStyle w:val="30"/>
                    <w:spacing w:line="360" w:lineRule="exact"/>
                    <w:rPr>
                      <w:color w:val="000000" w:themeColor="text1"/>
                      <w:szCs w:val="21"/>
                    </w:rPr>
                  </w:pPr>
                  <w:r>
                    <w:rPr>
                      <w:color w:val="000000" w:themeColor="text1"/>
                      <w:szCs w:val="21"/>
                    </w:rPr>
                    <w:t>系数单位</w:t>
                  </w:r>
                </w:p>
              </w:tc>
              <w:tc>
                <w:tcPr>
                  <w:tcW w:w="709" w:type="dxa"/>
                  <w:vAlign w:val="center"/>
                </w:tcPr>
                <w:p>
                  <w:pPr>
                    <w:pStyle w:val="30"/>
                    <w:spacing w:line="360" w:lineRule="exact"/>
                    <w:rPr>
                      <w:color w:val="000000" w:themeColor="text1"/>
                      <w:szCs w:val="21"/>
                    </w:rPr>
                  </w:pPr>
                  <w:r>
                    <w:rPr>
                      <w:color w:val="000000" w:themeColor="text1"/>
                      <w:szCs w:val="21"/>
                    </w:rPr>
                    <w:t>产污系数</w:t>
                  </w:r>
                </w:p>
              </w:tc>
              <w:tc>
                <w:tcPr>
                  <w:tcW w:w="998" w:type="dxa"/>
                  <w:vAlign w:val="center"/>
                </w:tcPr>
                <w:p>
                  <w:pPr>
                    <w:pStyle w:val="30"/>
                    <w:spacing w:line="360" w:lineRule="exact"/>
                    <w:rPr>
                      <w:color w:val="000000" w:themeColor="text1"/>
                      <w:szCs w:val="21"/>
                    </w:rPr>
                  </w:pPr>
                  <w:r>
                    <w:rPr>
                      <w:color w:val="000000" w:themeColor="text1"/>
                      <w:szCs w:val="21"/>
                    </w:rPr>
                    <w:t>末端治理技术</w:t>
                  </w:r>
                </w:p>
              </w:tc>
              <w:tc>
                <w:tcPr>
                  <w:tcW w:w="895" w:type="dxa"/>
                  <w:vAlign w:val="center"/>
                </w:tcPr>
                <w:p>
                  <w:pPr>
                    <w:pStyle w:val="30"/>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0" w:hRule="atLeast"/>
              </w:trPr>
              <w:tc>
                <w:tcPr>
                  <w:tcW w:w="484" w:type="dxa"/>
                  <w:vAlign w:val="center"/>
                </w:tcPr>
                <w:p>
                  <w:pPr>
                    <w:pStyle w:val="30"/>
                    <w:spacing w:line="360" w:lineRule="exact"/>
                    <w:rPr>
                      <w:color w:val="000000" w:themeColor="text1"/>
                      <w:szCs w:val="21"/>
                    </w:rPr>
                  </w:pPr>
                  <w:r>
                    <w:rPr>
                      <w:color w:val="000000" w:themeColor="text1"/>
                      <w:szCs w:val="21"/>
                    </w:rPr>
                    <w:t>物料输送</w:t>
                  </w:r>
                </w:p>
              </w:tc>
              <w:tc>
                <w:tcPr>
                  <w:tcW w:w="617" w:type="dxa"/>
                  <w:vAlign w:val="center"/>
                </w:tcPr>
                <w:p>
                  <w:pPr>
                    <w:pStyle w:val="30"/>
                    <w:spacing w:line="360" w:lineRule="exact"/>
                    <w:rPr>
                      <w:color w:val="000000" w:themeColor="text1"/>
                      <w:szCs w:val="21"/>
                    </w:rPr>
                  </w:pPr>
                  <w:r>
                    <w:rPr>
                      <w:color w:val="000000" w:themeColor="text1"/>
                      <w:szCs w:val="21"/>
                    </w:rPr>
                    <w:t>轻集料混凝土制品</w:t>
                  </w:r>
                </w:p>
              </w:tc>
              <w:tc>
                <w:tcPr>
                  <w:tcW w:w="708" w:type="dxa"/>
                  <w:vAlign w:val="center"/>
                </w:tcPr>
                <w:p>
                  <w:pPr>
                    <w:pStyle w:val="30"/>
                    <w:spacing w:line="360" w:lineRule="exact"/>
                    <w:rPr>
                      <w:color w:val="000000" w:themeColor="text1"/>
                      <w:szCs w:val="21"/>
                    </w:rPr>
                  </w:pPr>
                  <w:r>
                    <w:rPr>
                      <w:color w:val="000000" w:themeColor="text1"/>
                      <w:szCs w:val="21"/>
                    </w:rPr>
                    <w:t>水泥、轻集料、石灰、粉煤灰等</w:t>
                  </w:r>
                </w:p>
              </w:tc>
              <w:tc>
                <w:tcPr>
                  <w:tcW w:w="740" w:type="dxa"/>
                  <w:vAlign w:val="center"/>
                </w:tcPr>
                <w:p>
                  <w:pPr>
                    <w:pStyle w:val="30"/>
                    <w:spacing w:line="360" w:lineRule="exact"/>
                    <w:rPr>
                      <w:color w:val="000000" w:themeColor="text1"/>
                      <w:szCs w:val="21"/>
                    </w:rPr>
                  </w:pPr>
                  <w:r>
                    <w:rPr>
                      <w:color w:val="000000" w:themeColor="text1"/>
                      <w:szCs w:val="21"/>
                    </w:rPr>
                    <w:t>物料输送储存</w:t>
                  </w:r>
                </w:p>
              </w:tc>
              <w:tc>
                <w:tcPr>
                  <w:tcW w:w="702" w:type="dxa"/>
                  <w:vAlign w:val="center"/>
                </w:tcPr>
                <w:p>
                  <w:pPr>
                    <w:pStyle w:val="30"/>
                    <w:spacing w:line="360" w:lineRule="exact"/>
                    <w:rPr>
                      <w:color w:val="000000" w:themeColor="text1"/>
                      <w:szCs w:val="21"/>
                    </w:rPr>
                  </w:pPr>
                  <w:r>
                    <w:rPr>
                      <w:color w:val="000000" w:themeColor="text1"/>
                      <w:szCs w:val="21"/>
                    </w:rPr>
                    <w:t>所有规模</w:t>
                  </w:r>
                </w:p>
              </w:tc>
              <w:tc>
                <w:tcPr>
                  <w:tcW w:w="543" w:type="dxa"/>
                  <w:vAlign w:val="center"/>
                </w:tcPr>
                <w:p>
                  <w:pPr>
                    <w:pStyle w:val="30"/>
                    <w:spacing w:line="360" w:lineRule="exact"/>
                    <w:rPr>
                      <w:color w:val="000000" w:themeColor="text1"/>
                      <w:szCs w:val="21"/>
                    </w:rPr>
                  </w:pPr>
                  <w:r>
                    <w:rPr>
                      <w:color w:val="000000" w:themeColor="text1"/>
                      <w:szCs w:val="21"/>
                    </w:rPr>
                    <w:t>废气</w:t>
                  </w:r>
                </w:p>
              </w:tc>
              <w:tc>
                <w:tcPr>
                  <w:tcW w:w="866" w:type="dxa"/>
                  <w:vAlign w:val="center"/>
                </w:tcPr>
                <w:p>
                  <w:pPr>
                    <w:pStyle w:val="30"/>
                    <w:spacing w:line="360" w:lineRule="exact"/>
                    <w:rPr>
                      <w:color w:val="000000" w:themeColor="text1"/>
                      <w:szCs w:val="21"/>
                    </w:rPr>
                  </w:pPr>
                  <w:r>
                    <w:rPr>
                      <w:color w:val="000000" w:themeColor="text1"/>
                      <w:szCs w:val="21"/>
                    </w:rPr>
                    <w:t>颗粒物</w:t>
                  </w:r>
                </w:p>
              </w:tc>
              <w:tc>
                <w:tcPr>
                  <w:tcW w:w="1260" w:type="dxa"/>
                  <w:vAlign w:val="center"/>
                </w:tcPr>
                <w:p>
                  <w:pPr>
                    <w:pStyle w:val="30"/>
                    <w:spacing w:line="360" w:lineRule="exact"/>
                    <w:rPr>
                      <w:color w:val="000000" w:themeColor="text1"/>
                      <w:szCs w:val="21"/>
                    </w:rPr>
                  </w:pPr>
                  <w:r>
                    <w:rPr>
                      <w:color w:val="000000" w:themeColor="text1"/>
                      <w:szCs w:val="21"/>
                    </w:rPr>
                    <w:t>千克/吨-产品</w:t>
                  </w:r>
                </w:p>
              </w:tc>
              <w:tc>
                <w:tcPr>
                  <w:tcW w:w="709" w:type="dxa"/>
                  <w:vAlign w:val="center"/>
                </w:tcPr>
                <w:p>
                  <w:pPr>
                    <w:pStyle w:val="30"/>
                    <w:spacing w:line="360" w:lineRule="exact"/>
                    <w:rPr>
                      <w:color w:val="000000" w:themeColor="text1"/>
                      <w:szCs w:val="21"/>
                    </w:rPr>
                  </w:pPr>
                  <w:r>
                    <w:rPr>
                      <w:color w:val="000000" w:themeColor="text1"/>
                      <w:szCs w:val="21"/>
                    </w:rPr>
                    <w:t>0.197</w:t>
                  </w:r>
                </w:p>
              </w:tc>
              <w:tc>
                <w:tcPr>
                  <w:tcW w:w="998" w:type="dxa"/>
                  <w:vAlign w:val="center"/>
                </w:tcPr>
                <w:p>
                  <w:pPr>
                    <w:pStyle w:val="30"/>
                    <w:spacing w:line="360" w:lineRule="exact"/>
                    <w:rPr>
                      <w:color w:val="000000" w:themeColor="text1"/>
                      <w:szCs w:val="21"/>
                    </w:rPr>
                  </w:pPr>
                  <w:r>
                    <w:rPr>
                      <w:color w:val="000000" w:themeColor="text1"/>
                      <w:szCs w:val="21"/>
                    </w:rPr>
                    <w:t>袋式除尘</w:t>
                  </w:r>
                </w:p>
              </w:tc>
              <w:tc>
                <w:tcPr>
                  <w:tcW w:w="895" w:type="dxa"/>
                  <w:vAlign w:val="center"/>
                </w:tcPr>
                <w:p>
                  <w:pPr>
                    <w:pStyle w:val="30"/>
                    <w:spacing w:line="360" w:lineRule="exact"/>
                    <w:rPr>
                      <w:color w:val="000000" w:themeColor="text1"/>
                      <w:szCs w:val="21"/>
                    </w:rPr>
                  </w:pPr>
                  <w:r>
                    <w:rPr>
                      <w:color w:val="000000" w:themeColor="text1"/>
                      <w:szCs w:val="21"/>
                    </w:rPr>
                    <w:t>99.7</w:t>
                  </w:r>
                </w:p>
              </w:tc>
            </w:tr>
          </w:tbl>
          <w:p>
            <w:pPr>
              <w:pStyle w:val="38"/>
              <w:spacing w:beforeLines="50"/>
              <w:ind w:firstLine="480"/>
              <w:rPr>
                <w:bCs/>
                <w:color w:val="000000" w:themeColor="text1"/>
                <w:szCs w:val="24"/>
              </w:rPr>
            </w:pPr>
            <w:r>
              <w:rPr>
                <w:bCs/>
                <w:color w:val="000000" w:themeColor="text1"/>
                <w:szCs w:val="24"/>
              </w:rPr>
              <w:t>根据上表产污系数，项目水泥用量为2984t/a，则水泥仓粉尘产生量为0.59t/a，针对水泥仓粉尘，拟在水泥仓顶端配套设置2#袋式除尘器处理后无组织排放，</w:t>
            </w:r>
            <w:r>
              <w:rPr>
                <w:rFonts w:hint="eastAsia"/>
                <w:color w:val="000000" w:themeColor="text1"/>
                <w:szCs w:val="21"/>
              </w:rPr>
              <w:t>根据“轻质建筑材料制品制造行业系数手册”，袋式除尘器的除尘效率为99.7%，</w:t>
            </w:r>
            <w:r>
              <w:rPr>
                <w:bCs/>
                <w:color w:val="000000" w:themeColor="text1"/>
                <w:szCs w:val="24"/>
              </w:rPr>
              <w:t>则水泥仓粉尘排放量为0.002t/a。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投料粉尘产排核算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根据项目建设内容及生产工艺，原料输送粉尘中铝矾土、泡棉、机制砂三种物料倒入料斗过程会有粉尘产生，该项目生产的轻集料混凝土产品即属于3024 轻质建筑材料制造项目，根据《排放源统计调查产排污核算方法和系数手册》中“3024 轻质建筑材料制品制造行业系数手册”的产污系数</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具体如下表所示。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ascii="Times New Roman" w:hAnsi="Times New Roman" w:cs="Times New Roman"/>
                <w:b/>
                <w:color w:val="000000" w:themeColor="text1"/>
              </w:rPr>
              <w:t xml:space="preserve">4.2.1-1  3024 </w:t>
            </w:r>
            <w:r>
              <w:rPr>
                <w:rFonts w:ascii="Times New Roman" w:cs="Times New Roman"/>
                <w:b/>
                <w:color w:val="000000" w:themeColor="text1"/>
              </w:rPr>
              <w:t>轻质建筑材料制品制造</w:t>
            </w:r>
            <w:r>
              <w:rPr>
                <w:rFonts w:ascii="Times New Roman" w:hAnsi="Times New Roman" w:eastAsia="宋体" w:cs="Times New Roman"/>
                <w:b/>
                <w:color w:val="000000" w:themeColor="text1"/>
                <w:szCs w:val="24"/>
              </w:rPr>
              <w:t>行业系数表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0"/>
              <w:gridCol w:w="623"/>
              <w:gridCol w:w="715"/>
              <w:gridCol w:w="747"/>
              <w:gridCol w:w="709"/>
              <w:gridCol w:w="548"/>
              <w:gridCol w:w="875"/>
              <w:gridCol w:w="1273"/>
              <w:gridCol w:w="716"/>
              <w:gridCol w:w="1008"/>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4" w:type="dxa"/>
                  <w:vAlign w:val="center"/>
                </w:tcPr>
                <w:p>
                  <w:pPr>
                    <w:pStyle w:val="30"/>
                    <w:spacing w:line="360" w:lineRule="exact"/>
                    <w:rPr>
                      <w:color w:val="000000" w:themeColor="text1"/>
                      <w:szCs w:val="21"/>
                    </w:rPr>
                  </w:pPr>
                  <w:r>
                    <w:rPr>
                      <w:color w:val="000000" w:themeColor="text1"/>
                      <w:szCs w:val="21"/>
                    </w:rPr>
                    <w:t>工段名称</w:t>
                  </w:r>
                </w:p>
              </w:tc>
              <w:tc>
                <w:tcPr>
                  <w:tcW w:w="617" w:type="dxa"/>
                  <w:vAlign w:val="center"/>
                </w:tcPr>
                <w:p>
                  <w:pPr>
                    <w:pStyle w:val="30"/>
                    <w:spacing w:line="360" w:lineRule="exact"/>
                    <w:rPr>
                      <w:color w:val="000000" w:themeColor="text1"/>
                      <w:szCs w:val="21"/>
                    </w:rPr>
                  </w:pPr>
                  <w:r>
                    <w:rPr>
                      <w:color w:val="000000" w:themeColor="text1"/>
                      <w:szCs w:val="21"/>
                    </w:rPr>
                    <w:t>产品名称</w:t>
                  </w:r>
                </w:p>
              </w:tc>
              <w:tc>
                <w:tcPr>
                  <w:tcW w:w="708" w:type="dxa"/>
                  <w:vAlign w:val="center"/>
                </w:tcPr>
                <w:p>
                  <w:pPr>
                    <w:pStyle w:val="30"/>
                    <w:spacing w:line="360" w:lineRule="exact"/>
                    <w:rPr>
                      <w:color w:val="000000" w:themeColor="text1"/>
                      <w:szCs w:val="21"/>
                    </w:rPr>
                  </w:pPr>
                  <w:r>
                    <w:rPr>
                      <w:color w:val="000000" w:themeColor="text1"/>
                      <w:szCs w:val="21"/>
                    </w:rPr>
                    <w:t>原料名称</w:t>
                  </w:r>
                </w:p>
              </w:tc>
              <w:tc>
                <w:tcPr>
                  <w:tcW w:w="740" w:type="dxa"/>
                  <w:vAlign w:val="center"/>
                </w:tcPr>
                <w:p>
                  <w:pPr>
                    <w:pStyle w:val="30"/>
                    <w:spacing w:line="360" w:lineRule="exact"/>
                    <w:rPr>
                      <w:color w:val="000000" w:themeColor="text1"/>
                      <w:szCs w:val="21"/>
                    </w:rPr>
                  </w:pPr>
                  <w:r>
                    <w:rPr>
                      <w:color w:val="000000" w:themeColor="text1"/>
                      <w:szCs w:val="21"/>
                    </w:rPr>
                    <w:t>工艺名称</w:t>
                  </w:r>
                </w:p>
              </w:tc>
              <w:tc>
                <w:tcPr>
                  <w:tcW w:w="702" w:type="dxa"/>
                  <w:vAlign w:val="center"/>
                </w:tcPr>
                <w:p>
                  <w:pPr>
                    <w:pStyle w:val="30"/>
                    <w:spacing w:line="360" w:lineRule="exact"/>
                    <w:rPr>
                      <w:color w:val="000000" w:themeColor="text1"/>
                      <w:szCs w:val="21"/>
                    </w:rPr>
                  </w:pPr>
                  <w:r>
                    <w:rPr>
                      <w:color w:val="000000" w:themeColor="text1"/>
                      <w:szCs w:val="21"/>
                    </w:rPr>
                    <w:t>规模等级</w:t>
                  </w:r>
                </w:p>
              </w:tc>
              <w:tc>
                <w:tcPr>
                  <w:tcW w:w="1409" w:type="dxa"/>
                  <w:gridSpan w:val="2"/>
                  <w:vAlign w:val="center"/>
                </w:tcPr>
                <w:p>
                  <w:pPr>
                    <w:pStyle w:val="30"/>
                    <w:spacing w:line="360" w:lineRule="exact"/>
                    <w:rPr>
                      <w:color w:val="000000" w:themeColor="text1"/>
                      <w:szCs w:val="21"/>
                    </w:rPr>
                  </w:pPr>
                  <w:r>
                    <w:rPr>
                      <w:color w:val="000000" w:themeColor="text1"/>
                      <w:szCs w:val="21"/>
                    </w:rPr>
                    <w:t>污染物指标</w:t>
                  </w:r>
                </w:p>
              </w:tc>
              <w:tc>
                <w:tcPr>
                  <w:tcW w:w="1260" w:type="dxa"/>
                  <w:vAlign w:val="center"/>
                </w:tcPr>
                <w:p>
                  <w:pPr>
                    <w:pStyle w:val="30"/>
                    <w:spacing w:line="360" w:lineRule="exact"/>
                    <w:rPr>
                      <w:color w:val="000000" w:themeColor="text1"/>
                      <w:szCs w:val="21"/>
                    </w:rPr>
                  </w:pPr>
                  <w:r>
                    <w:rPr>
                      <w:color w:val="000000" w:themeColor="text1"/>
                      <w:szCs w:val="21"/>
                    </w:rPr>
                    <w:t>系数单位</w:t>
                  </w:r>
                </w:p>
              </w:tc>
              <w:tc>
                <w:tcPr>
                  <w:tcW w:w="709" w:type="dxa"/>
                  <w:vAlign w:val="center"/>
                </w:tcPr>
                <w:p>
                  <w:pPr>
                    <w:pStyle w:val="30"/>
                    <w:spacing w:line="360" w:lineRule="exact"/>
                    <w:rPr>
                      <w:color w:val="000000" w:themeColor="text1"/>
                      <w:szCs w:val="21"/>
                    </w:rPr>
                  </w:pPr>
                  <w:r>
                    <w:rPr>
                      <w:color w:val="000000" w:themeColor="text1"/>
                      <w:szCs w:val="21"/>
                    </w:rPr>
                    <w:t>产污系数</w:t>
                  </w:r>
                </w:p>
              </w:tc>
              <w:tc>
                <w:tcPr>
                  <w:tcW w:w="998" w:type="dxa"/>
                  <w:vAlign w:val="center"/>
                </w:tcPr>
                <w:p>
                  <w:pPr>
                    <w:pStyle w:val="30"/>
                    <w:spacing w:line="360" w:lineRule="exact"/>
                    <w:rPr>
                      <w:color w:val="000000" w:themeColor="text1"/>
                      <w:szCs w:val="21"/>
                    </w:rPr>
                  </w:pPr>
                  <w:r>
                    <w:rPr>
                      <w:color w:val="000000" w:themeColor="text1"/>
                      <w:szCs w:val="21"/>
                    </w:rPr>
                    <w:t>末端治理技术</w:t>
                  </w:r>
                </w:p>
              </w:tc>
              <w:tc>
                <w:tcPr>
                  <w:tcW w:w="895" w:type="dxa"/>
                  <w:vAlign w:val="center"/>
                </w:tcPr>
                <w:p>
                  <w:pPr>
                    <w:pStyle w:val="30"/>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0" w:hRule="atLeast"/>
              </w:trPr>
              <w:tc>
                <w:tcPr>
                  <w:tcW w:w="484" w:type="dxa"/>
                  <w:vAlign w:val="center"/>
                </w:tcPr>
                <w:p>
                  <w:pPr>
                    <w:pStyle w:val="30"/>
                    <w:spacing w:line="360" w:lineRule="exact"/>
                    <w:rPr>
                      <w:color w:val="000000" w:themeColor="text1"/>
                      <w:szCs w:val="21"/>
                    </w:rPr>
                  </w:pPr>
                  <w:r>
                    <w:rPr>
                      <w:color w:val="000000" w:themeColor="text1"/>
                      <w:szCs w:val="21"/>
                    </w:rPr>
                    <w:t>物料输送</w:t>
                  </w:r>
                </w:p>
              </w:tc>
              <w:tc>
                <w:tcPr>
                  <w:tcW w:w="617" w:type="dxa"/>
                  <w:vAlign w:val="center"/>
                </w:tcPr>
                <w:p>
                  <w:pPr>
                    <w:pStyle w:val="30"/>
                    <w:spacing w:line="360" w:lineRule="exact"/>
                    <w:rPr>
                      <w:color w:val="000000" w:themeColor="text1"/>
                      <w:szCs w:val="21"/>
                    </w:rPr>
                  </w:pPr>
                  <w:r>
                    <w:rPr>
                      <w:color w:val="000000" w:themeColor="text1"/>
                      <w:szCs w:val="21"/>
                    </w:rPr>
                    <w:t>轻集料混凝土制品</w:t>
                  </w:r>
                </w:p>
              </w:tc>
              <w:tc>
                <w:tcPr>
                  <w:tcW w:w="708" w:type="dxa"/>
                  <w:vAlign w:val="center"/>
                </w:tcPr>
                <w:p>
                  <w:pPr>
                    <w:pStyle w:val="30"/>
                    <w:spacing w:line="360" w:lineRule="exact"/>
                    <w:rPr>
                      <w:color w:val="000000" w:themeColor="text1"/>
                      <w:szCs w:val="21"/>
                    </w:rPr>
                  </w:pPr>
                  <w:r>
                    <w:rPr>
                      <w:color w:val="000000" w:themeColor="text1"/>
                      <w:szCs w:val="21"/>
                    </w:rPr>
                    <w:t>水泥、轻集料、石灰、粉煤灰等</w:t>
                  </w:r>
                </w:p>
              </w:tc>
              <w:tc>
                <w:tcPr>
                  <w:tcW w:w="740" w:type="dxa"/>
                  <w:vAlign w:val="center"/>
                </w:tcPr>
                <w:p>
                  <w:pPr>
                    <w:pStyle w:val="30"/>
                    <w:spacing w:line="360" w:lineRule="exact"/>
                    <w:rPr>
                      <w:color w:val="000000" w:themeColor="text1"/>
                      <w:szCs w:val="21"/>
                    </w:rPr>
                  </w:pPr>
                  <w:r>
                    <w:rPr>
                      <w:color w:val="000000" w:themeColor="text1"/>
                      <w:szCs w:val="21"/>
                    </w:rPr>
                    <w:t>物料输送储存</w:t>
                  </w:r>
                </w:p>
              </w:tc>
              <w:tc>
                <w:tcPr>
                  <w:tcW w:w="702" w:type="dxa"/>
                  <w:vAlign w:val="center"/>
                </w:tcPr>
                <w:p>
                  <w:pPr>
                    <w:pStyle w:val="30"/>
                    <w:spacing w:line="360" w:lineRule="exact"/>
                    <w:rPr>
                      <w:color w:val="000000" w:themeColor="text1"/>
                      <w:szCs w:val="21"/>
                    </w:rPr>
                  </w:pPr>
                  <w:r>
                    <w:rPr>
                      <w:color w:val="000000" w:themeColor="text1"/>
                      <w:szCs w:val="21"/>
                    </w:rPr>
                    <w:t>所有规模</w:t>
                  </w:r>
                </w:p>
              </w:tc>
              <w:tc>
                <w:tcPr>
                  <w:tcW w:w="543" w:type="dxa"/>
                  <w:vAlign w:val="center"/>
                </w:tcPr>
                <w:p>
                  <w:pPr>
                    <w:pStyle w:val="30"/>
                    <w:spacing w:line="360" w:lineRule="exact"/>
                    <w:rPr>
                      <w:color w:val="000000" w:themeColor="text1"/>
                      <w:szCs w:val="21"/>
                    </w:rPr>
                  </w:pPr>
                  <w:r>
                    <w:rPr>
                      <w:color w:val="000000" w:themeColor="text1"/>
                      <w:szCs w:val="21"/>
                    </w:rPr>
                    <w:t>废气</w:t>
                  </w:r>
                </w:p>
              </w:tc>
              <w:tc>
                <w:tcPr>
                  <w:tcW w:w="866" w:type="dxa"/>
                  <w:vAlign w:val="center"/>
                </w:tcPr>
                <w:p>
                  <w:pPr>
                    <w:pStyle w:val="30"/>
                    <w:spacing w:line="360" w:lineRule="exact"/>
                    <w:rPr>
                      <w:color w:val="000000" w:themeColor="text1"/>
                      <w:szCs w:val="21"/>
                    </w:rPr>
                  </w:pPr>
                  <w:r>
                    <w:rPr>
                      <w:color w:val="000000" w:themeColor="text1"/>
                      <w:szCs w:val="21"/>
                    </w:rPr>
                    <w:t>颗粒物</w:t>
                  </w:r>
                </w:p>
              </w:tc>
              <w:tc>
                <w:tcPr>
                  <w:tcW w:w="1260" w:type="dxa"/>
                  <w:vAlign w:val="center"/>
                </w:tcPr>
                <w:p>
                  <w:pPr>
                    <w:pStyle w:val="30"/>
                    <w:spacing w:line="360" w:lineRule="exact"/>
                    <w:rPr>
                      <w:color w:val="000000" w:themeColor="text1"/>
                      <w:szCs w:val="21"/>
                    </w:rPr>
                  </w:pPr>
                  <w:r>
                    <w:rPr>
                      <w:color w:val="000000" w:themeColor="text1"/>
                      <w:szCs w:val="21"/>
                    </w:rPr>
                    <w:t>千克/吨-产品</w:t>
                  </w:r>
                </w:p>
              </w:tc>
              <w:tc>
                <w:tcPr>
                  <w:tcW w:w="709" w:type="dxa"/>
                  <w:vAlign w:val="center"/>
                </w:tcPr>
                <w:p>
                  <w:pPr>
                    <w:pStyle w:val="30"/>
                    <w:spacing w:line="360" w:lineRule="exact"/>
                    <w:rPr>
                      <w:color w:val="000000" w:themeColor="text1"/>
                      <w:szCs w:val="21"/>
                    </w:rPr>
                  </w:pPr>
                  <w:r>
                    <w:rPr>
                      <w:color w:val="000000" w:themeColor="text1"/>
                      <w:szCs w:val="21"/>
                    </w:rPr>
                    <w:t>0.197</w:t>
                  </w:r>
                </w:p>
              </w:tc>
              <w:tc>
                <w:tcPr>
                  <w:tcW w:w="998" w:type="dxa"/>
                  <w:vAlign w:val="center"/>
                </w:tcPr>
                <w:p>
                  <w:pPr>
                    <w:pStyle w:val="30"/>
                    <w:spacing w:line="360" w:lineRule="exact"/>
                    <w:rPr>
                      <w:color w:val="000000" w:themeColor="text1"/>
                      <w:szCs w:val="21"/>
                    </w:rPr>
                  </w:pPr>
                  <w:r>
                    <w:rPr>
                      <w:color w:val="000000" w:themeColor="text1"/>
                      <w:szCs w:val="21"/>
                    </w:rPr>
                    <w:t>袋式除尘</w:t>
                  </w:r>
                </w:p>
              </w:tc>
              <w:tc>
                <w:tcPr>
                  <w:tcW w:w="895" w:type="dxa"/>
                  <w:vAlign w:val="center"/>
                </w:tcPr>
                <w:p>
                  <w:pPr>
                    <w:pStyle w:val="30"/>
                    <w:spacing w:line="360" w:lineRule="exact"/>
                    <w:rPr>
                      <w:color w:val="000000" w:themeColor="text1"/>
                      <w:szCs w:val="21"/>
                    </w:rPr>
                  </w:pPr>
                  <w:r>
                    <w:rPr>
                      <w:color w:val="000000" w:themeColor="text1"/>
                      <w:szCs w:val="21"/>
                    </w:rPr>
                    <w:t>99.7</w:t>
                  </w:r>
                </w:p>
              </w:tc>
            </w:tr>
          </w:tbl>
          <w:p>
            <w:pPr>
              <w:pStyle w:val="38"/>
              <w:spacing w:beforeLines="50"/>
              <w:ind w:firstLine="480"/>
              <w:rPr>
                <w:color w:val="000000" w:themeColor="text1"/>
              </w:rPr>
            </w:pPr>
            <w:r>
              <w:rPr>
                <w:color w:val="000000" w:themeColor="text1"/>
              </w:rPr>
              <w:t>根据上表产污系数，项目产品量为11935t/a，除去水泥使用量（2984t/a），铝矾土、泡棉、机制砂合计量为8951t/a，则投料粉尘废气产生量为1.76t/a，项目拟对3个给料料斗设置半封闭集气罩，将该过程产生的粉尘进行收集，各集气罩集气效率约为90%，集气罩的风机风量为3000m³/h·台，合计集气罩风量为9000m³/h。经各集气罩（集气效率约为90%）收集后进入1#袋式除尘器对其进行处理后的粉尘通过DA001排气筒外排，</w:t>
            </w:r>
            <w:r>
              <w:rPr>
                <w:rFonts w:hint="eastAsia"/>
                <w:color w:val="000000" w:themeColor="text1"/>
                <w:szCs w:val="21"/>
              </w:rPr>
              <w:t>根据“轻质建筑材料制品制造行业系数手册”，袋式除尘器的除尘效率为99.7%，</w:t>
            </w:r>
            <w:r>
              <w:rPr>
                <w:color w:val="000000" w:themeColor="text1"/>
              </w:rPr>
              <w:t>则投料粉尘</w:t>
            </w:r>
            <w:r>
              <w:rPr>
                <w:rFonts w:hint="eastAsia"/>
                <w:color w:val="000000" w:themeColor="text1"/>
              </w:rPr>
              <w:t>无组织排放量为0.176t/a，有组织</w:t>
            </w:r>
            <w:r>
              <w:rPr>
                <w:color w:val="000000" w:themeColor="text1"/>
              </w:rPr>
              <w:t>排放量为0.005t/a。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④搅拌混合粉尘</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建设内容及生产工艺，项目将铝矾土、泡棉、机制砂和水泥按照35%：22%：18%：25%的比例分别通过密闭管道输送至多功能混合搅拌机进行搅拌混合。搅拌混合工序有粉尘产生，该项目生产的轻集料混凝土产品即属于3024 轻质建筑材料制造项目，根据《排放源统计调查产排污核算方法和系数手册》中“3024 轻质建筑材料制品制造行业系数手册”的产污系数。具体如下表所示。</w:t>
            </w:r>
          </w:p>
          <w:p>
            <w:pPr>
              <w:jc w:val="center"/>
              <w:rPr>
                <w:b/>
                <w:color w:val="000000" w:themeColor="text1"/>
              </w:rPr>
            </w:pPr>
            <w:r>
              <w:rPr>
                <w:rFonts w:ascii="Times New Roman" w:hAnsi="Times New Roman" w:eastAsia="宋体" w:cs="Times New Roman"/>
                <w:b/>
                <w:color w:val="000000" w:themeColor="text1"/>
                <w:szCs w:val="24"/>
              </w:rPr>
              <w:t>表</w:t>
            </w:r>
            <w:r>
              <w:rPr>
                <w:rFonts w:ascii="Times New Roman" w:hAnsi="Times New Roman" w:cs="Times New Roman"/>
                <w:b/>
                <w:color w:val="000000" w:themeColor="text1"/>
              </w:rPr>
              <w:t xml:space="preserve">4.2.1-1  3024 </w:t>
            </w:r>
            <w:r>
              <w:rPr>
                <w:rFonts w:ascii="Times New Roman" w:cs="Times New Roman"/>
                <w:b/>
                <w:color w:val="000000" w:themeColor="text1"/>
              </w:rPr>
              <w:t>轻质建筑材料制品制造</w:t>
            </w:r>
            <w:r>
              <w:rPr>
                <w:rFonts w:ascii="Times New Roman" w:hAnsi="Times New Roman" w:eastAsia="宋体" w:cs="Times New Roman"/>
                <w:b/>
                <w:color w:val="000000" w:themeColor="text1"/>
                <w:szCs w:val="24"/>
              </w:rPr>
              <w:t>行业系数表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850"/>
              <w:gridCol w:w="1276"/>
              <w:gridCol w:w="709"/>
              <w:gridCol w:w="709"/>
              <w:gridCol w:w="567"/>
              <w:gridCol w:w="567"/>
              <w:gridCol w:w="850"/>
              <w:gridCol w:w="709"/>
              <w:gridCol w:w="729"/>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0"/>
                    <w:spacing w:line="360" w:lineRule="exact"/>
                    <w:rPr>
                      <w:color w:val="000000" w:themeColor="text1"/>
                      <w:szCs w:val="21"/>
                    </w:rPr>
                  </w:pPr>
                  <w:r>
                    <w:rPr>
                      <w:color w:val="000000" w:themeColor="text1"/>
                      <w:szCs w:val="21"/>
                    </w:rPr>
                    <w:t>工段名称</w:t>
                  </w:r>
                </w:p>
              </w:tc>
              <w:tc>
                <w:tcPr>
                  <w:tcW w:w="850" w:type="dxa"/>
                  <w:vAlign w:val="center"/>
                </w:tcPr>
                <w:p>
                  <w:pPr>
                    <w:pStyle w:val="30"/>
                    <w:spacing w:line="360" w:lineRule="exact"/>
                    <w:rPr>
                      <w:color w:val="000000" w:themeColor="text1"/>
                      <w:szCs w:val="21"/>
                    </w:rPr>
                  </w:pPr>
                  <w:r>
                    <w:rPr>
                      <w:color w:val="000000" w:themeColor="text1"/>
                      <w:szCs w:val="21"/>
                    </w:rPr>
                    <w:t>产品名称</w:t>
                  </w:r>
                </w:p>
              </w:tc>
              <w:tc>
                <w:tcPr>
                  <w:tcW w:w="1276" w:type="dxa"/>
                  <w:vAlign w:val="center"/>
                </w:tcPr>
                <w:p>
                  <w:pPr>
                    <w:pStyle w:val="30"/>
                    <w:spacing w:line="360" w:lineRule="exact"/>
                    <w:rPr>
                      <w:color w:val="000000" w:themeColor="text1"/>
                      <w:szCs w:val="21"/>
                    </w:rPr>
                  </w:pPr>
                  <w:r>
                    <w:rPr>
                      <w:rFonts w:hint="eastAsia"/>
                      <w:color w:val="000000" w:themeColor="text1"/>
                      <w:szCs w:val="21"/>
                    </w:rPr>
                    <w:t>原料名称</w:t>
                  </w:r>
                </w:p>
              </w:tc>
              <w:tc>
                <w:tcPr>
                  <w:tcW w:w="709" w:type="dxa"/>
                  <w:vAlign w:val="center"/>
                </w:tcPr>
                <w:p>
                  <w:pPr>
                    <w:pStyle w:val="30"/>
                    <w:spacing w:line="360" w:lineRule="exact"/>
                    <w:rPr>
                      <w:color w:val="000000" w:themeColor="text1"/>
                      <w:szCs w:val="21"/>
                    </w:rPr>
                  </w:pPr>
                  <w:r>
                    <w:rPr>
                      <w:color w:val="000000" w:themeColor="text1"/>
                      <w:szCs w:val="21"/>
                    </w:rPr>
                    <w:t>工艺名称</w:t>
                  </w:r>
                </w:p>
              </w:tc>
              <w:tc>
                <w:tcPr>
                  <w:tcW w:w="709" w:type="dxa"/>
                  <w:vAlign w:val="center"/>
                </w:tcPr>
                <w:p>
                  <w:pPr>
                    <w:pStyle w:val="30"/>
                    <w:spacing w:line="360" w:lineRule="exact"/>
                    <w:rPr>
                      <w:color w:val="000000" w:themeColor="text1"/>
                      <w:szCs w:val="21"/>
                    </w:rPr>
                  </w:pPr>
                  <w:r>
                    <w:rPr>
                      <w:color w:val="000000" w:themeColor="text1"/>
                      <w:szCs w:val="21"/>
                    </w:rPr>
                    <w:t>规模等级</w:t>
                  </w:r>
                </w:p>
              </w:tc>
              <w:tc>
                <w:tcPr>
                  <w:tcW w:w="1134" w:type="dxa"/>
                  <w:gridSpan w:val="2"/>
                  <w:vAlign w:val="center"/>
                </w:tcPr>
                <w:p>
                  <w:pPr>
                    <w:pStyle w:val="30"/>
                    <w:spacing w:line="360" w:lineRule="exact"/>
                    <w:rPr>
                      <w:color w:val="000000" w:themeColor="text1"/>
                      <w:szCs w:val="21"/>
                    </w:rPr>
                  </w:pPr>
                  <w:r>
                    <w:rPr>
                      <w:color w:val="000000" w:themeColor="text1"/>
                      <w:szCs w:val="21"/>
                    </w:rPr>
                    <w:t>污染物指标</w:t>
                  </w:r>
                </w:p>
              </w:tc>
              <w:tc>
                <w:tcPr>
                  <w:tcW w:w="850" w:type="dxa"/>
                  <w:vAlign w:val="center"/>
                </w:tcPr>
                <w:p>
                  <w:pPr>
                    <w:pStyle w:val="30"/>
                    <w:spacing w:line="360" w:lineRule="exact"/>
                    <w:rPr>
                      <w:color w:val="000000" w:themeColor="text1"/>
                      <w:szCs w:val="21"/>
                    </w:rPr>
                  </w:pPr>
                  <w:r>
                    <w:rPr>
                      <w:color w:val="000000" w:themeColor="text1"/>
                      <w:szCs w:val="21"/>
                    </w:rPr>
                    <w:t>系数单位</w:t>
                  </w:r>
                </w:p>
              </w:tc>
              <w:tc>
                <w:tcPr>
                  <w:tcW w:w="709" w:type="dxa"/>
                  <w:vAlign w:val="center"/>
                </w:tcPr>
                <w:p>
                  <w:pPr>
                    <w:pStyle w:val="30"/>
                    <w:spacing w:line="360" w:lineRule="exact"/>
                    <w:rPr>
                      <w:color w:val="000000" w:themeColor="text1"/>
                      <w:szCs w:val="21"/>
                    </w:rPr>
                  </w:pPr>
                  <w:r>
                    <w:rPr>
                      <w:color w:val="000000" w:themeColor="text1"/>
                      <w:szCs w:val="21"/>
                    </w:rPr>
                    <w:t>产污系数</w:t>
                  </w:r>
                </w:p>
              </w:tc>
              <w:tc>
                <w:tcPr>
                  <w:tcW w:w="729" w:type="dxa"/>
                  <w:vAlign w:val="center"/>
                </w:tcPr>
                <w:p>
                  <w:pPr>
                    <w:pStyle w:val="30"/>
                    <w:spacing w:line="360" w:lineRule="exact"/>
                    <w:rPr>
                      <w:color w:val="000000" w:themeColor="text1"/>
                      <w:szCs w:val="21"/>
                    </w:rPr>
                  </w:pPr>
                  <w:r>
                    <w:rPr>
                      <w:color w:val="000000" w:themeColor="text1"/>
                      <w:szCs w:val="21"/>
                    </w:rPr>
                    <w:t>末端治理技术</w:t>
                  </w:r>
                </w:p>
              </w:tc>
              <w:tc>
                <w:tcPr>
                  <w:tcW w:w="904" w:type="dxa"/>
                  <w:vAlign w:val="center"/>
                </w:tcPr>
                <w:p>
                  <w:pPr>
                    <w:pStyle w:val="30"/>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 w:hRule="atLeast"/>
              </w:trPr>
              <w:tc>
                <w:tcPr>
                  <w:tcW w:w="738" w:type="dxa"/>
                  <w:vAlign w:val="center"/>
                </w:tcPr>
                <w:p>
                  <w:pPr>
                    <w:pStyle w:val="30"/>
                    <w:spacing w:line="360" w:lineRule="exact"/>
                    <w:rPr>
                      <w:color w:val="000000" w:themeColor="text1"/>
                      <w:szCs w:val="21"/>
                    </w:rPr>
                  </w:pPr>
                  <w:r>
                    <w:rPr>
                      <w:rFonts w:hint="eastAsia"/>
                      <w:color w:val="000000" w:themeColor="text1"/>
                      <w:szCs w:val="21"/>
                    </w:rPr>
                    <w:t>物料搅拌</w:t>
                  </w:r>
                </w:p>
              </w:tc>
              <w:tc>
                <w:tcPr>
                  <w:tcW w:w="850" w:type="dxa"/>
                  <w:vAlign w:val="center"/>
                </w:tcPr>
                <w:p>
                  <w:pPr>
                    <w:pStyle w:val="30"/>
                    <w:spacing w:line="360" w:lineRule="exact"/>
                    <w:rPr>
                      <w:color w:val="000000" w:themeColor="text1"/>
                      <w:szCs w:val="21"/>
                    </w:rPr>
                  </w:pPr>
                  <w:r>
                    <w:rPr>
                      <w:rFonts w:hint="eastAsia"/>
                      <w:color w:val="000000" w:themeColor="text1"/>
                      <w:szCs w:val="21"/>
                    </w:rPr>
                    <w:t>轻集料混凝土制品</w:t>
                  </w:r>
                </w:p>
              </w:tc>
              <w:tc>
                <w:tcPr>
                  <w:tcW w:w="1276" w:type="dxa"/>
                  <w:vAlign w:val="center"/>
                </w:tcPr>
                <w:p>
                  <w:pPr>
                    <w:pStyle w:val="30"/>
                    <w:spacing w:line="360" w:lineRule="exact"/>
                    <w:rPr>
                      <w:color w:val="000000" w:themeColor="text1"/>
                      <w:szCs w:val="21"/>
                    </w:rPr>
                  </w:pPr>
                  <w:r>
                    <w:rPr>
                      <w:rFonts w:hint="eastAsia"/>
                      <w:color w:val="000000" w:themeColor="text1"/>
                      <w:szCs w:val="21"/>
                    </w:rPr>
                    <w:t>水泥、轻集料、石灰、粉煤灰等</w:t>
                  </w:r>
                </w:p>
              </w:tc>
              <w:tc>
                <w:tcPr>
                  <w:tcW w:w="709" w:type="dxa"/>
                  <w:vAlign w:val="center"/>
                </w:tcPr>
                <w:p>
                  <w:pPr>
                    <w:pStyle w:val="30"/>
                    <w:spacing w:line="360" w:lineRule="exact"/>
                    <w:rPr>
                      <w:color w:val="000000" w:themeColor="text1"/>
                      <w:szCs w:val="21"/>
                    </w:rPr>
                  </w:pPr>
                  <w:r>
                    <w:rPr>
                      <w:rFonts w:hint="eastAsia"/>
                      <w:color w:val="000000" w:themeColor="text1"/>
                      <w:szCs w:val="21"/>
                    </w:rPr>
                    <w:t>物料混合搅拌</w:t>
                  </w:r>
                </w:p>
              </w:tc>
              <w:tc>
                <w:tcPr>
                  <w:tcW w:w="709" w:type="dxa"/>
                  <w:vAlign w:val="center"/>
                </w:tcPr>
                <w:p>
                  <w:pPr>
                    <w:pStyle w:val="30"/>
                    <w:spacing w:line="360" w:lineRule="exact"/>
                    <w:rPr>
                      <w:color w:val="000000" w:themeColor="text1"/>
                      <w:szCs w:val="21"/>
                    </w:rPr>
                  </w:pPr>
                  <w:r>
                    <w:rPr>
                      <w:color w:val="000000" w:themeColor="text1"/>
                      <w:szCs w:val="21"/>
                    </w:rPr>
                    <w:t>所有规模</w:t>
                  </w:r>
                </w:p>
              </w:tc>
              <w:tc>
                <w:tcPr>
                  <w:tcW w:w="567" w:type="dxa"/>
                  <w:vAlign w:val="center"/>
                </w:tcPr>
                <w:p>
                  <w:pPr>
                    <w:pStyle w:val="30"/>
                    <w:spacing w:line="360" w:lineRule="exact"/>
                    <w:rPr>
                      <w:color w:val="000000" w:themeColor="text1"/>
                      <w:szCs w:val="21"/>
                    </w:rPr>
                  </w:pPr>
                  <w:r>
                    <w:rPr>
                      <w:color w:val="000000" w:themeColor="text1"/>
                      <w:szCs w:val="21"/>
                    </w:rPr>
                    <w:t>废气</w:t>
                  </w:r>
                </w:p>
              </w:tc>
              <w:tc>
                <w:tcPr>
                  <w:tcW w:w="567" w:type="dxa"/>
                  <w:vAlign w:val="center"/>
                </w:tcPr>
                <w:p>
                  <w:pPr>
                    <w:pStyle w:val="30"/>
                    <w:spacing w:line="360" w:lineRule="exact"/>
                    <w:rPr>
                      <w:color w:val="000000" w:themeColor="text1"/>
                      <w:szCs w:val="21"/>
                    </w:rPr>
                  </w:pPr>
                  <w:r>
                    <w:rPr>
                      <w:color w:val="000000" w:themeColor="text1"/>
                      <w:szCs w:val="21"/>
                    </w:rPr>
                    <w:t>颗粒物</w:t>
                  </w:r>
                </w:p>
              </w:tc>
              <w:tc>
                <w:tcPr>
                  <w:tcW w:w="850" w:type="dxa"/>
                  <w:vAlign w:val="center"/>
                </w:tcPr>
                <w:p>
                  <w:pPr>
                    <w:pStyle w:val="30"/>
                    <w:spacing w:line="360" w:lineRule="exact"/>
                    <w:rPr>
                      <w:color w:val="000000" w:themeColor="text1"/>
                      <w:szCs w:val="21"/>
                    </w:rPr>
                  </w:pPr>
                  <w:r>
                    <w:rPr>
                      <w:color w:val="000000" w:themeColor="text1"/>
                      <w:szCs w:val="21"/>
                    </w:rPr>
                    <w:t>千克/吨-产品</w:t>
                  </w:r>
                </w:p>
              </w:tc>
              <w:tc>
                <w:tcPr>
                  <w:tcW w:w="709" w:type="dxa"/>
                  <w:vAlign w:val="center"/>
                </w:tcPr>
                <w:p>
                  <w:pPr>
                    <w:pStyle w:val="30"/>
                    <w:spacing w:line="360" w:lineRule="exact"/>
                    <w:rPr>
                      <w:color w:val="000000" w:themeColor="text1"/>
                      <w:szCs w:val="21"/>
                    </w:rPr>
                  </w:pPr>
                  <w:r>
                    <w:rPr>
                      <w:rFonts w:hint="eastAsia"/>
                      <w:color w:val="000000" w:themeColor="text1"/>
                      <w:szCs w:val="21"/>
                    </w:rPr>
                    <w:t>0.325</w:t>
                  </w:r>
                </w:p>
              </w:tc>
              <w:tc>
                <w:tcPr>
                  <w:tcW w:w="729" w:type="dxa"/>
                  <w:vAlign w:val="center"/>
                </w:tcPr>
                <w:p>
                  <w:pPr>
                    <w:pStyle w:val="30"/>
                    <w:spacing w:line="360" w:lineRule="exact"/>
                    <w:rPr>
                      <w:color w:val="000000" w:themeColor="text1"/>
                      <w:szCs w:val="21"/>
                    </w:rPr>
                  </w:pPr>
                  <w:r>
                    <w:rPr>
                      <w:color w:val="000000" w:themeColor="text1"/>
                      <w:szCs w:val="21"/>
                    </w:rPr>
                    <w:t>袋式除尘</w:t>
                  </w:r>
                </w:p>
              </w:tc>
              <w:tc>
                <w:tcPr>
                  <w:tcW w:w="904" w:type="dxa"/>
                  <w:vAlign w:val="center"/>
                </w:tcPr>
                <w:p>
                  <w:pPr>
                    <w:pStyle w:val="30"/>
                    <w:spacing w:line="360" w:lineRule="exact"/>
                    <w:rPr>
                      <w:color w:val="000000" w:themeColor="text1"/>
                      <w:szCs w:val="21"/>
                    </w:rPr>
                  </w:pPr>
                  <w:r>
                    <w:rPr>
                      <w:rFonts w:hint="eastAsia"/>
                      <w:color w:val="000000" w:themeColor="text1"/>
                      <w:szCs w:val="21"/>
                    </w:rPr>
                    <w:t>99.7</w:t>
                  </w:r>
                </w:p>
              </w:tc>
            </w:tr>
          </w:tbl>
          <w:p>
            <w:pPr>
              <w:pStyle w:val="38"/>
              <w:spacing w:beforeLines="50"/>
              <w:ind w:firstLine="480"/>
              <w:rPr>
                <w:color w:val="000000" w:themeColor="text1"/>
              </w:rPr>
            </w:pPr>
            <w:r>
              <w:rPr>
                <w:color w:val="000000" w:themeColor="text1"/>
              </w:rPr>
              <w:t>根据上表产污系数，项目产品量为11935t/a，则</w:t>
            </w:r>
            <w:r>
              <w:rPr>
                <w:rFonts w:hint="eastAsia"/>
                <w:color w:val="000000" w:themeColor="text1"/>
              </w:rPr>
              <w:t>搅拌混合粉尘</w:t>
            </w:r>
            <w:r>
              <w:rPr>
                <w:color w:val="000000" w:themeColor="text1"/>
              </w:rPr>
              <w:t>产生量为</w:t>
            </w:r>
            <w:r>
              <w:rPr>
                <w:rFonts w:hint="eastAsia"/>
                <w:color w:val="000000" w:themeColor="text1"/>
              </w:rPr>
              <w:t>3.88</w:t>
            </w:r>
            <w:r>
              <w:rPr>
                <w:color w:val="000000" w:themeColor="text1"/>
              </w:rPr>
              <w:t>t/a，</w:t>
            </w:r>
            <w:r>
              <w:rPr>
                <w:rFonts w:hint="eastAsia"/>
                <w:color w:val="000000" w:themeColor="text1"/>
              </w:rPr>
              <w:t>根据设计，该搅拌机属于密闭式搅拌机，搅拌混合粉尘通过密闭管道收集至1#袋式除尘器处理后通过DA001外排，该输送风机风量为为5000m³/h；</w:t>
            </w:r>
            <w:r>
              <w:rPr>
                <w:rFonts w:hint="eastAsia"/>
                <w:color w:val="000000" w:themeColor="text1"/>
                <w:szCs w:val="21"/>
              </w:rPr>
              <w:t>根据“轻质建筑材料制品制造行业系数手册”，袋式除尘器的除尘效率为99.7%，</w:t>
            </w:r>
            <w:r>
              <w:rPr>
                <w:color w:val="000000" w:themeColor="text1"/>
              </w:rPr>
              <w:t>则</w:t>
            </w:r>
            <w:r>
              <w:rPr>
                <w:rFonts w:hint="eastAsia"/>
                <w:color w:val="000000" w:themeColor="text1"/>
              </w:rPr>
              <w:t>搅拌混合粉尘</w:t>
            </w:r>
            <w:r>
              <w:rPr>
                <w:color w:val="000000" w:themeColor="text1"/>
              </w:rPr>
              <w:t>排放量为0.0</w:t>
            </w:r>
            <w:r>
              <w:rPr>
                <w:rFonts w:hint="eastAsia"/>
                <w:color w:val="000000" w:themeColor="text1"/>
              </w:rPr>
              <w:t>1</w:t>
            </w:r>
            <w:r>
              <w:rPr>
                <w:color w:val="000000" w:themeColor="text1"/>
              </w:rPr>
              <w:t>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hint="eastAsia"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 xml:space="preserve">4 </w:t>
            </w:r>
            <w:r>
              <w:rPr>
                <w:rFonts w:ascii="Times New Roman" w:hAnsi="Times New Roman" w:cs="Times New Roman"/>
                <w:b/>
                <w:color w:val="000000" w:themeColor="text1"/>
                <w:szCs w:val="24"/>
              </w:rPr>
              <w:t xml:space="preserve"> 废气污染物治理措施及排放方式一览表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2"/>
              <w:gridCol w:w="775"/>
              <w:gridCol w:w="850"/>
              <w:gridCol w:w="3402"/>
              <w:gridCol w:w="709"/>
              <w:gridCol w:w="709"/>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7" w:type="dxa"/>
                  <w:gridSpan w:val="2"/>
                  <w:vAlign w:val="center"/>
                </w:tcPr>
                <w:p>
                  <w:pPr>
                    <w:pStyle w:val="30"/>
                    <w:spacing w:line="360" w:lineRule="exact"/>
                    <w:rPr>
                      <w:color w:val="000000" w:themeColor="text1"/>
                      <w:szCs w:val="21"/>
                    </w:rPr>
                  </w:pPr>
                  <w:r>
                    <w:rPr>
                      <w:color w:val="000000" w:themeColor="text1"/>
                      <w:szCs w:val="21"/>
                    </w:rPr>
                    <w:t>产排污环节</w:t>
                  </w:r>
                </w:p>
              </w:tc>
              <w:tc>
                <w:tcPr>
                  <w:tcW w:w="850" w:type="dxa"/>
                  <w:vAlign w:val="center"/>
                </w:tcPr>
                <w:p>
                  <w:pPr>
                    <w:pStyle w:val="30"/>
                    <w:spacing w:line="360" w:lineRule="exact"/>
                    <w:rPr>
                      <w:color w:val="000000" w:themeColor="text1"/>
                      <w:szCs w:val="21"/>
                    </w:rPr>
                  </w:pPr>
                  <w:r>
                    <w:rPr>
                      <w:color w:val="000000" w:themeColor="text1"/>
                      <w:szCs w:val="21"/>
                    </w:rPr>
                    <w:t>污染物种类</w:t>
                  </w:r>
                </w:p>
              </w:tc>
              <w:tc>
                <w:tcPr>
                  <w:tcW w:w="3402" w:type="dxa"/>
                  <w:vAlign w:val="center"/>
                </w:tcPr>
                <w:p>
                  <w:pPr>
                    <w:pStyle w:val="30"/>
                    <w:spacing w:line="360" w:lineRule="exact"/>
                    <w:rPr>
                      <w:color w:val="000000" w:themeColor="text1"/>
                      <w:szCs w:val="21"/>
                    </w:rPr>
                  </w:pPr>
                  <w:r>
                    <w:rPr>
                      <w:color w:val="000000" w:themeColor="text1"/>
                      <w:szCs w:val="21"/>
                    </w:rPr>
                    <w:t>治理设施及效率</w:t>
                  </w:r>
                </w:p>
              </w:tc>
              <w:tc>
                <w:tcPr>
                  <w:tcW w:w="709" w:type="dxa"/>
                  <w:vAlign w:val="center"/>
                </w:tcPr>
                <w:p>
                  <w:pPr>
                    <w:pStyle w:val="30"/>
                    <w:spacing w:line="360" w:lineRule="exact"/>
                    <w:rPr>
                      <w:color w:val="000000" w:themeColor="text1"/>
                      <w:szCs w:val="21"/>
                    </w:rPr>
                  </w:pPr>
                  <w:r>
                    <w:rPr>
                      <w:color w:val="000000" w:themeColor="text1"/>
                      <w:szCs w:val="21"/>
                    </w:rPr>
                    <w:t>排放形式</w:t>
                  </w:r>
                </w:p>
              </w:tc>
              <w:tc>
                <w:tcPr>
                  <w:tcW w:w="2200" w:type="dxa"/>
                  <w:gridSpan w:val="2"/>
                  <w:vAlign w:val="center"/>
                </w:tcPr>
                <w:p>
                  <w:pPr>
                    <w:pStyle w:val="30"/>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Align w:val="center"/>
                </w:tcPr>
                <w:p>
                  <w:pPr>
                    <w:pStyle w:val="30"/>
                    <w:spacing w:line="360" w:lineRule="exact"/>
                    <w:rPr>
                      <w:color w:val="000000" w:themeColor="text1"/>
                      <w:szCs w:val="21"/>
                    </w:rPr>
                  </w:pPr>
                  <w:r>
                    <w:rPr>
                      <w:color w:val="000000" w:themeColor="text1"/>
                      <w:sz w:val="20"/>
                      <w:szCs w:val="21"/>
                    </w:rPr>
                    <w:t>原料车间</w:t>
                  </w:r>
                </w:p>
              </w:tc>
              <w:tc>
                <w:tcPr>
                  <w:tcW w:w="775" w:type="dxa"/>
                  <w:vAlign w:val="center"/>
                </w:tcPr>
                <w:p>
                  <w:pPr>
                    <w:pStyle w:val="30"/>
                    <w:spacing w:line="360" w:lineRule="exact"/>
                    <w:rPr>
                      <w:color w:val="000000" w:themeColor="text1"/>
                      <w:szCs w:val="21"/>
                    </w:rPr>
                  </w:pPr>
                  <w:r>
                    <w:rPr>
                      <w:rFonts w:hint="eastAsia"/>
                      <w:color w:val="000000" w:themeColor="text1"/>
                      <w:szCs w:val="21"/>
                    </w:rPr>
                    <w:t>装卸、暂存</w:t>
                  </w:r>
                </w:p>
              </w:tc>
              <w:tc>
                <w:tcPr>
                  <w:tcW w:w="850" w:type="dxa"/>
                  <w:vAlign w:val="center"/>
                </w:tcPr>
                <w:p>
                  <w:pPr>
                    <w:pStyle w:val="30"/>
                    <w:spacing w:line="360" w:lineRule="exact"/>
                    <w:rPr>
                      <w:color w:val="000000" w:themeColor="text1"/>
                      <w:szCs w:val="21"/>
                    </w:rPr>
                  </w:pPr>
                  <w:r>
                    <w:rPr>
                      <w:rFonts w:hint="eastAsia"/>
                      <w:color w:val="000000" w:themeColor="text1"/>
                      <w:szCs w:val="21"/>
                    </w:rPr>
                    <w:t>颗粒物（无组织）</w:t>
                  </w:r>
                </w:p>
              </w:tc>
              <w:tc>
                <w:tcPr>
                  <w:tcW w:w="3402" w:type="dxa"/>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项目原料车间位于全封闭厂房内，根据“固体物料堆存颗粒物产排污核算系数手册”，封闭厂房扬尘抑制率为99%。</w:t>
                  </w:r>
                </w:p>
              </w:tc>
              <w:tc>
                <w:tcPr>
                  <w:tcW w:w="709" w:type="dxa"/>
                  <w:vMerge w:val="restart"/>
                  <w:vAlign w:val="center"/>
                </w:tcPr>
                <w:p>
                  <w:pPr>
                    <w:pStyle w:val="30"/>
                    <w:spacing w:line="360" w:lineRule="exact"/>
                    <w:rPr>
                      <w:color w:val="000000" w:themeColor="text1"/>
                      <w:szCs w:val="21"/>
                    </w:rPr>
                  </w:pPr>
                  <w:r>
                    <w:rPr>
                      <w:color w:val="000000" w:themeColor="text1"/>
                      <w:szCs w:val="21"/>
                    </w:rPr>
                    <w:t>无组织</w:t>
                  </w:r>
                </w:p>
              </w:tc>
              <w:tc>
                <w:tcPr>
                  <w:tcW w:w="2200" w:type="dxa"/>
                  <w:gridSpan w:val="2"/>
                  <w:vMerge w:val="restart"/>
                  <w:vAlign w:val="center"/>
                </w:tcPr>
                <w:p>
                  <w:pPr>
                    <w:pStyle w:val="30"/>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Align w:val="center"/>
                </w:tcPr>
                <w:p>
                  <w:pPr>
                    <w:pStyle w:val="30"/>
                    <w:spacing w:line="360" w:lineRule="exact"/>
                    <w:rPr>
                      <w:color w:val="000000" w:themeColor="text1"/>
                      <w:szCs w:val="21"/>
                    </w:rPr>
                  </w:pPr>
                  <w:r>
                    <w:rPr>
                      <w:color w:val="000000" w:themeColor="text1"/>
                      <w:sz w:val="20"/>
                      <w:szCs w:val="21"/>
                    </w:rPr>
                    <w:t>水泥仓</w:t>
                  </w:r>
                </w:p>
              </w:tc>
              <w:tc>
                <w:tcPr>
                  <w:tcW w:w="775" w:type="dxa"/>
                  <w:vAlign w:val="center"/>
                </w:tcPr>
                <w:p>
                  <w:pPr>
                    <w:pStyle w:val="30"/>
                    <w:spacing w:line="360" w:lineRule="exact"/>
                    <w:rPr>
                      <w:color w:val="000000" w:themeColor="text1"/>
                      <w:szCs w:val="21"/>
                    </w:rPr>
                  </w:pPr>
                  <w:r>
                    <w:rPr>
                      <w:color w:val="000000" w:themeColor="text1"/>
                      <w:sz w:val="20"/>
                      <w:szCs w:val="21"/>
                    </w:rPr>
                    <w:t>装卸、输送</w:t>
                  </w:r>
                </w:p>
              </w:tc>
              <w:tc>
                <w:tcPr>
                  <w:tcW w:w="850" w:type="dxa"/>
                  <w:vAlign w:val="center"/>
                </w:tcPr>
                <w:p>
                  <w:pPr>
                    <w:pStyle w:val="30"/>
                    <w:spacing w:line="360" w:lineRule="exact"/>
                    <w:rPr>
                      <w:color w:val="000000" w:themeColor="text1"/>
                      <w:szCs w:val="21"/>
                    </w:rPr>
                  </w:pPr>
                  <w:r>
                    <w:rPr>
                      <w:rFonts w:hint="eastAsia"/>
                      <w:color w:val="000000" w:themeColor="text1"/>
                      <w:szCs w:val="21"/>
                    </w:rPr>
                    <w:t>颗粒物（无组织）</w:t>
                  </w:r>
                </w:p>
              </w:tc>
              <w:tc>
                <w:tcPr>
                  <w:tcW w:w="3402" w:type="dxa"/>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针对水泥仓粉尘，拟在水泥仓顶端配套设置2#袋式除尘器处理后无组织排放，根据“轻质建筑材料制品制造行业系数手册”，袋式除尘器的除尘效率为99.7%。</w:t>
                  </w:r>
                </w:p>
              </w:tc>
              <w:tc>
                <w:tcPr>
                  <w:tcW w:w="709" w:type="dxa"/>
                  <w:vMerge w:val="continue"/>
                  <w:vAlign w:val="center"/>
                </w:tcPr>
                <w:p>
                  <w:pPr>
                    <w:pStyle w:val="30"/>
                    <w:spacing w:line="360" w:lineRule="exact"/>
                    <w:rPr>
                      <w:color w:val="000000" w:themeColor="text1"/>
                      <w:szCs w:val="21"/>
                    </w:rPr>
                  </w:pPr>
                </w:p>
              </w:tc>
              <w:tc>
                <w:tcPr>
                  <w:tcW w:w="2200" w:type="dxa"/>
                  <w:gridSpan w:val="2"/>
                  <w:vMerge w:val="continue"/>
                  <w:vAlign w:val="center"/>
                </w:tcPr>
                <w:p>
                  <w:pPr>
                    <w:pStyle w:val="30"/>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restart"/>
                  <w:vAlign w:val="center"/>
                </w:tcPr>
                <w:p>
                  <w:pPr>
                    <w:pStyle w:val="30"/>
                    <w:spacing w:line="360" w:lineRule="exact"/>
                    <w:rPr>
                      <w:color w:val="000000" w:themeColor="text1"/>
                      <w:sz w:val="20"/>
                      <w:szCs w:val="21"/>
                    </w:rPr>
                  </w:pPr>
                  <w:r>
                    <w:rPr>
                      <w:rFonts w:hint="eastAsia"/>
                      <w:color w:val="000000" w:themeColor="text1"/>
                      <w:szCs w:val="21"/>
                    </w:rPr>
                    <w:t>生产线</w:t>
                  </w:r>
                </w:p>
              </w:tc>
              <w:tc>
                <w:tcPr>
                  <w:tcW w:w="775" w:type="dxa"/>
                  <w:vMerge w:val="restart"/>
                  <w:vAlign w:val="center"/>
                </w:tcPr>
                <w:p>
                  <w:pPr>
                    <w:pStyle w:val="30"/>
                    <w:spacing w:line="360" w:lineRule="exact"/>
                    <w:rPr>
                      <w:color w:val="000000" w:themeColor="text1"/>
                      <w:sz w:val="20"/>
                      <w:szCs w:val="21"/>
                    </w:rPr>
                  </w:pPr>
                  <w:r>
                    <w:rPr>
                      <w:color w:val="000000" w:themeColor="text1"/>
                      <w:sz w:val="20"/>
                      <w:szCs w:val="21"/>
                    </w:rPr>
                    <w:t>投料</w:t>
                  </w:r>
                </w:p>
              </w:tc>
              <w:tc>
                <w:tcPr>
                  <w:tcW w:w="850" w:type="dxa"/>
                  <w:vAlign w:val="center"/>
                </w:tcPr>
                <w:p>
                  <w:pPr>
                    <w:pStyle w:val="30"/>
                    <w:spacing w:line="360" w:lineRule="exact"/>
                    <w:rPr>
                      <w:rFonts w:hint="eastAsia"/>
                      <w:color w:val="000000" w:themeColor="text1"/>
                      <w:szCs w:val="21"/>
                    </w:rPr>
                  </w:pPr>
                  <w:r>
                    <w:rPr>
                      <w:rFonts w:hint="eastAsia"/>
                      <w:color w:val="000000" w:themeColor="text1"/>
                      <w:szCs w:val="21"/>
                    </w:rPr>
                    <w:t>颗粒物（无组织）</w:t>
                  </w:r>
                </w:p>
              </w:tc>
              <w:tc>
                <w:tcPr>
                  <w:tcW w:w="3402" w:type="dxa"/>
                  <w:vAlign w:val="center"/>
                </w:tcPr>
                <w:p>
                  <w:pPr>
                    <w:pStyle w:val="30"/>
                    <w:spacing w:line="360" w:lineRule="exact"/>
                    <w:ind w:firstLine="210" w:firstLineChars="100"/>
                    <w:jc w:val="left"/>
                    <w:rPr>
                      <w:rFonts w:hint="eastAsia"/>
                      <w:color w:val="000000" w:themeColor="text1"/>
                      <w:szCs w:val="21"/>
                    </w:rPr>
                  </w:pPr>
                  <w:r>
                    <w:rPr>
                      <w:rFonts w:hint="eastAsia"/>
                      <w:color w:val="000000" w:themeColor="text1"/>
                      <w:szCs w:val="21"/>
                    </w:rPr>
                    <w:t>集气罩未未收集部分（10%），呈无组织排放。</w:t>
                  </w:r>
                </w:p>
              </w:tc>
              <w:tc>
                <w:tcPr>
                  <w:tcW w:w="709" w:type="dxa"/>
                  <w:vMerge w:val="continue"/>
                  <w:vAlign w:val="center"/>
                </w:tcPr>
                <w:p>
                  <w:pPr>
                    <w:pStyle w:val="30"/>
                    <w:spacing w:line="360" w:lineRule="exact"/>
                    <w:rPr>
                      <w:color w:val="000000" w:themeColor="text1"/>
                      <w:szCs w:val="21"/>
                    </w:rPr>
                  </w:pPr>
                </w:p>
              </w:tc>
              <w:tc>
                <w:tcPr>
                  <w:tcW w:w="2200" w:type="dxa"/>
                  <w:gridSpan w:val="2"/>
                  <w:vMerge w:val="continue"/>
                  <w:vAlign w:val="center"/>
                </w:tcPr>
                <w:p>
                  <w:pPr>
                    <w:pStyle w:val="30"/>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continue"/>
                  <w:vAlign w:val="center"/>
                </w:tcPr>
                <w:p>
                  <w:pPr>
                    <w:pStyle w:val="30"/>
                    <w:spacing w:line="360" w:lineRule="exact"/>
                    <w:rPr>
                      <w:color w:val="000000" w:themeColor="text1"/>
                      <w:szCs w:val="21"/>
                    </w:rPr>
                  </w:pPr>
                </w:p>
              </w:tc>
              <w:tc>
                <w:tcPr>
                  <w:tcW w:w="775" w:type="dxa"/>
                  <w:vMerge w:val="continue"/>
                  <w:vAlign w:val="center"/>
                </w:tcPr>
                <w:p>
                  <w:pPr>
                    <w:pStyle w:val="30"/>
                    <w:spacing w:line="360" w:lineRule="exact"/>
                    <w:rPr>
                      <w:color w:val="000000" w:themeColor="text1"/>
                      <w:szCs w:val="21"/>
                    </w:rPr>
                  </w:pPr>
                </w:p>
              </w:tc>
              <w:tc>
                <w:tcPr>
                  <w:tcW w:w="850" w:type="dxa"/>
                  <w:vMerge w:val="restart"/>
                  <w:vAlign w:val="center"/>
                </w:tcPr>
                <w:p>
                  <w:pPr>
                    <w:pStyle w:val="30"/>
                    <w:spacing w:line="360" w:lineRule="exact"/>
                    <w:rPr>
                      <w:color w:val="000000" w:themeColor="text1"/>
                      <w:szCs w:val="21"/>
                    </w:rPr>
                  </w:pPr>
                  <w:r>
                    <w:rPr>
                      <w:rFonts w:hint="eastAsia"/>
                      <w:color w:val="000000" w:themeColor="text1"/>
                      <w:szCs w:val="21"/>
                    </w:rPr>
                    <w:t>颗粒物（有组织）</w:t>
                  </w:r>
                </w:p>
              </w:tc>
              <w:tc>
                <w:tcPr>
                  <w:tcW w:w="3402" w:type="dxa"/>
                  <w:vMerge w:val="restart"/>
                  <w:vAlign w:val="center"/>
                </w:tcPr>
                <w:p>
                  <w:pPr>
                    <w:pStyle w:val="30"/>
                    <w:spacing w:line="360" w:lineRule="exact"/>
                    <w:ind w:firstLine="210" w:firstLineChars="100"/>
                    <w:jc w:val="left"/>
                    <w:rPr>
                      <w:rFonts w:hint="eastAsia"/>
                      <w:color w:val="000000" w:themeColor="text1"/>
                      <w:szCs w:val="21"/>
                    </w:rPr>
                  </w:pPr>
                  <w:r>
                    <w:rPr>
                      <w:rFonts w:hint="eastAsia"/>
                      <w:color w:val="000000" w:themeColor="text1"/>
                      <w:szCs w:val="21"/>
                    </w:rPr>
                    <w:t>针对</w:t>
                  </w:r>
                  <w:r>
                    <w:rPr>
                      <w:color w:val="000000" w:themeColor="text1"/>
                      <w:sz w:val="20"/>
                      <w:szCs w:val="21"/>
                    </w:rPr>
                    <w:t>投料</w:t>
                  </w:r>
                  <w:r>
                    <w:rPr>
                      <w:rFonts w:hint="eastAsia"/>
                      <w:color w:val="000000" w:themeColor="text1"/>
                      <w:szCs w:val="21"/>
                    </w:rPr>
                    <w:t>粉尘，</w:t>
                  </w:r>
                  <w:r>
                    <w:rPr>
                      <w:color w:val="000000" w:themeColor="text1"/>
                      <w:szCs w:val="21"/>
                    </w:rPr>
                    <w:t>拟对3个给料料斗设置半封闭集气罩，将该过程产生的粉尘进行收集，各集气罩集气效率约为90%，经各集气罩（集气效率约为90%）收集后进入1#袋式除尘器对其进行处理</w:t>
                  </w:r>
                  <w:r>
                    <w:rPr>
                      <w:rFonts w:hint="eastAsia"/>
                      <w:color w:val="000000" w:themeColor="text1"/>
                      <w:szCs w:val="21"/>
                    </w:rPr>
                    <w:t>；该搅拌机属于密闭式搅拌机，搅拌混合粉尘通过密闭管道收集至1#袋式除尘器处理；经1#袋式除尘器处理后的粉尘通过DA001外排。</w:t>
                  </w:r>
                </w:p>
                <w:p>
                  <w:pPr>
                    <w:pStyle w:val="30"/>
                    <w:spacing w:line="360" w:lineRule="exact"/>
                    <w:ind w:firstLine="210" w:firstLineChars="100"/>
                    <w:jc w:val="left"/>
                    <w:rPr>
                      <w:color w:val="000000" w:themeColor="text1"/>
                      <w:szCs w:val="21"/>
                    </w:rPr>
                  </w:pPr>
                  <w:r>
                    <w:rPr>
                      <w:rFonts w:hint="eastAsia"/>
                      <w:color w:val="000000" w:themeColor="text1"/>
                      <w:szCs w:val="21"/>
                    </w:rPr>
                    <w:t>根据“轻质建筑材料制品制造行业系数手册”，袋式除尘器的除尘效率为99.7%。</w:t>
                  </w:r>
                </w:p>
              </w:tc>
              <w:tc>
                <w:tcPr>
                  <w:tcW w:w="709" w:type="dxa"/>
                  <w:vMerge w:val="restart"/>
                  <w:vAlign w:val="center"/>
                </w:tcPr>
                <w:p>
                  <w:pPr>
                    <w:pStyle w:val="30"/>
                    <w:spacing w:line="360" w:lineRule="exact"/>
                    <w:rPr>
                      <w:color w:val="000000" w:themeColor="text1"/>
                      <w:szCs w:val="21"/>
                    </w:rPr>
                  </w:pPr>
                  <w:r>
                    <w:rPr>
                      <w:color w:val="000000" w:themeColor="text1"/>
                      <w:szCs w:val="21"/>
                    </w:rPr>
                    <w:t>有组织</w:t>
                  </w:r>
                </w:p>
              </w:tc>
              <w:tc>
                <w:tcPr>
                  <w:tcW w:w="2200" w:type="dxa"/>
                  <w:gridSpan w:val="2"/>
                  <w:vAlign w:val="center"/>
                </w:tcPr>
                <w:p>
                  <w:pPr>
                    <w:pStyle w:val="30"/>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continue"/>
                  <w:vAlign w:val="center"/>
                </w:tcPr>
                <w:p>
                  <w:pPr>
                    <w:pStyle w:val="30"/>
                    <w:spacing w:line="360" w:lineRule="exact"/>
                    <w:rPr>
                      <w:color w:val="000000" w:themeColor="text1"/>
                      <w:szCs w:val="21"/>
                    </w:rPr>
                  </w:pPr>
                </w:p>
              </w:tc>
              <w:tc>
                <w:tcPr>
                  <w:tcW w:w="775" w:type="dxa"/>
                  <w:vMerge w:val="continue"/>
                  <w:vAlign w:val="center"/>
                </w:tcPr>
                <w:p>
                  <w:pPr>
                    <w:pStyle w:val="30"/>
                    <w:spacing w:line="360" w:lineRule="exact"/>
                    <w:rPr>
                      <w:color w:val="000000" w:themeColor="text1"/>
                      <w:szCs w:val="21"/>
                    </w:rPr>
                  </w:pPr>
                </w:p>
              </w:tc>
              <w:tc>
                <w:tcPr>
                  <w:tcW w:w="850" w:type="dxa"/>
                  <w:vMerge w:val="continue"/>
                  <w:vAlign w:val="center"/>
                </w:tcPr>
                <w:p>
                  <w:pPr>
                    <w:pStyle w:val="30"/>
                    <w:spacing w:line="360" w:lineRule="exact"/>
                    <w:rPr>
                      <w:color w:val="000000" w:themeColor="text1"/>
                      <w:szCs w:val="21"/>
                    </w:rPr>
                  </w:pPr>
                </w:p>
              </w:tc>
              <w:tc>
                <w:tcPr>
                  <w:tcW w:w="3402" w:type="dxa"/>
                  <w:vMerge w:val="continue"/>
                  <w:vAlign w:val="center"/>
                </w:tcPr>
                <w:p>
                  <w:pPr>
                    <w:pStyle w:val="30"/>
                    <w:spacing w:line="360" w:lineRule="exact"/>
                    <w:ind w:firstLine="210" w:firstLineChars="100"/>
                    <w:jc w:val="left"/>
                    <w:rPr>
                      <w:color w:val="000000" w:themeColor="text1"/>
                      <w:szCs w:val="21"/>
                    </w:rPr>
                  </w:pPr>
                </w:p>
              </w:tc>
              <w:tc>
                <w:tcPr>
                  <w:tcW w:w="709" w:type="dxa"/>
                  <w:vMerge w:val="continue"/>
                  <w:vAlign w:val="center"/>
                </w:tcPr>
                <w:p>
                  <w:pPr>
                    <w:pStyle w:val="30"/>
                    <w:spacing w:line="360" w:lineRule="exact"/>
                    <w:rPr>
                      <w:color w:val="000000" w:themeColor="text1"/>
                      <w:szCs w:val="21"/>
                    </w:rPr>
                  </w:pPr>
                </w:p>
              </w:tc>
              <w:tc>
                <w:tcPr>
                  <w:tcW w:w="709" w:type="dxa"/>
                  <w:vAlign w:val="center"/>
                </w:tcPr>
                <w:p>
                  <w:pPr>
                    <w:pStyle w:val="30"/>
                    <w:spacing w:line="360" w:lineRule="exact"/>
                    <w:rPr>
                      <w:color w:val="000000" w:themeColor="text1"/>
                      <w:szCs w:val="21"/>
                    </w:rPr>
                  </w:pPr>
                  <w:r>
                    <w:rPr>
                      <w:color w:val="000000" w:themeColor="text1"/>
                      <w:szCs w:val="21"/>
                    </w:rPr>
                    <w:t>高度</w:t>
                  </w:r>
                </w:p>
              </w:tc>
              <w:tc>
                <w:tcPr>
                  <w:tcW w:w="1491" w:type="dxa"/>
                  <w:vAlign w:val="center"/>
                </w:tcPr>
                <w:p>
                  <w:pPr>
                    <w:pStyle w:val="30"/>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continue"/>
                  <w:vAlign w:val="center"/>
                </w:tcPr>
                <w:p>
                  <w:pPr>
                    <w:pStyle w:val="30"/>
                    <w:spacing w:line="360" w:lineRule="exact"/>
                    <w:rPr>
                      <w:color w:val="000000" w:themeColor="text1"/>
                      <w:szCs w:val="21"/>
                    </w:rPr>
                  </w:pPr>
                </w:p>
              </w:tc>
              <w:tc>
                <w:tcPr>
                  <w:tcW w:w="775" w:type="dxa"/>
                  <w:vMerge w:val="continue"/>
                  <w:vAlign w:val="center"/>
                </w:tcPr>
                <w:p>
                  <w:pPr>
                    <w:pStyle w:val="30"/>
                    <w:spacing w:line="360" w:lineRule="exact"/>
                    <w:rPr>
                      <w:color w:val="000000" w:themeColor="text1"/>
                      <w:szCs w:val="21"/>
                    </w:rPr>
                  </w:pPr>
                </w:p>
              </w:tc>
              <w:tc>
                <w:tcPr>
                  <w:tcW w:w="850" w:type="dxa"/>
                  <w:vMerge w:val="continue"/>
                  <w:vAlign w:val="center"/>
                </w:tcPr>
                <w:p>
                  <w:pPr>
                    <w:pStyle w:val="30"/>
                    <w:spacing w:line="360" w:lineRule="exact"/>
                    <w:rPr>
                      <w:color w:val="000000" w:themeColor="text1"/>
                      <w:szCs w:val="21"/>
                    </w:rPr>
                  </w:pPr>
                </w:p>
              </w:tc>
              <w:tc>
                <w:tcPr>
                  <w:tcW w:w="3402" w:type="dxa"/>
                  <w:vMerge w:val="continue"/>
                  <w:vAlign w:val="center"/>
                </w:tcPr>
                <w:p>
                  <w:pPr>
                    <w:pStyle w:val="30"/>
                    <w:spacing w:line="360" w:lineRule="exact"/>
                    <w:ind w:firstLine="210" w:firstLineChars="100"/>
                    <w:jc w:val="left"/>
                    <w:rPr>
                      <w:color w:val="000000" w:themeColor="text1"/>
                      <w:szCs w:val="21"/>
                    </w:rPr>
                  </w:pPr>
                </w:p>
              </w:tc>
              <w:tc>
                <w:tcPr>
                  <w:tcW w:w="709" w:type="dxa"/>
                  <w:vMerge w:val="continue"/>
                  <w:vAlign w:val="center"/>
                </w:tcPr>
                <w:p>
                  <w:pPr>
                    <w:pStyle w:val="30"/>
                    <w:spacing w:line="360" w:lineRule="exact"/>
                    <w:rPr>
                      <w:color w:val="000000" w:themeColor="text1"/>
                      <w:szCs w:val="21"/>
                    </w:rPr>
                  </w:pPr>
                </w:p>
              </w:tc>
              <w:tc>
                <w:tcPr>
                  <w:tcW w:w="709" w:type="dxa"/>
                  <w:vAlign w:val="center"/>
                </w:tcPr>
                <w:p>
                  <w:pPr>
                    <w:pStyle w:val="30"/>
                    <w:spacing w:line="360" w:lineRule="exact"/>
                    <w:rPr>
                      <w:color w:val="000000" w:themeColor="text1"/>
                      <w:szCs w:val="21"/>
                    </w:rPr>
                  </w:pPr>
                  <w:r>
                    <w:rPr>
                      <w:color w:val="000000" w:themeColor="text1"/>
                      <w:szCs w:val="21"/>
                    </w:rPr>
                    <w:t>内径</w:t>
                  </w:r>
                </w:p>
              </w:tc>
              <w:tc>
                <w:tcPr>
                  <w:tcW w:w="1491" w:type="dxa"/>
                  <w:vAlign w:val="center"/>
                </w:tcPr>
                <w:p>
                  <w:pPr>
                    <w:pStyle w:val="30"/>
                    <w:spacing w:line="360" w:lineRule="exact"/>
                    <w:rPr>
                      <w:color w:val="000000" w:themeColor="text1"/>
                      <w:szCs w:val="21"/>
                    </w:rPr>
                  </w:pPr>
                  <w:r>
                    <w:rPr>
                      <w:color w:val="000000" w:themeColor="text1"/>
                      <w:szCs w:val="21"/>
                    </w:rPr>
                    <w:t>0.</w:t>
                  </w:r>
                  <w:r>
                    <w:rPr>
                      <w:rFonts w:hint="eastAsia"/>
                      <w:color w:val="000000" w:themeColor="text1"/>
                      <w:szCs w:val="21"/>
                    </w:rPr>
                    <w:t>64</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 w:hRule="atLeast"/>
              </w:trPr>
              <w:tc>
                <w:tcPr>
                  <w:tcW w:w="672" w:type="dxa"/>
                  <w:vMerge w:val="continue"/>
                  <w:vAlign w:val="center"/>
                </w:tcPr>
                <w:p>
                  <w:pPr>
                    <w:pStyle w:val="30"/>
                    <w:spacing w:line="360" w:lineRule="exact"/>
                    <w:rPr>
                      <w:color w:val="000000" w:themeColor="text1"/>
                      <w:szCs w:val="21"/>
                    </w:rPr>
                  </w:pPr>
                </w:p>
              </w:tc>
              <w:tc>
                <w:tcPr>
                  <w:tcW w:w="775" w:type="dxa"/>
                  <w:vMerge w:val="continue"/>
                  <w:vAlign w:val="center"/>
                </w:tcPr>
                <w:p>
                  <w:pPr>
                    <w:pStyle w:val="30"/>
                    <w:spacing w:line="360" w:lineRule="exact"/>
                    <w:rPr>
                      <w:color w:val="000000" w:themeColor="text1"/>
                      <w:szCs w:val="21"/>
                    </w:rPr>
                  </w:pPr>
                </w:p>
              </w:tc>
              <w:tc>
                <w:tcPr>
                  <w:tcW w:w="850" w:type="dxa"/>
                  <w:vMerge w:val="continue"/>
                  <w:vAlign w:val="center"/>
                </w:tcPr>
                <w:p>
                  <w:pPr>
                    <w:pStyle w:val="30"/>
                    <w:spacing w:line="360" w:lineRule="exact"/>
                    <w:rPr>
                      <w:color w:val="000000" w:themeColor="text1"/>
                      <w:szCs w:val="21"/>
                    </w:rPr>
                  </w:pPr>
                </w:p>
              </w:tc>
              <w:tc>
                <w:tcPr>
                  <w:tcW w:w="3402" w:type="dxa"/>
                  <w:vMerge w:val="continue"/>
                  <w:vAlign w:val="center"/>
                </w:tcPr>
                <w:p>
                  <w:pPr>
                    <w:pStyle w:val="30"/>
                    <w:spacing w:line="360" w:lineRule="exact"/>
                    <w:ind w:firstLine="210" w:firstLineChars="100"/>
                    <w:jc w:val="left"/>
                    <w:rPr>
                      <w:color w:val="000000" w:themeColor="text1"/>
                      <w:szCs w:val="21"/>
                    </w:rPr>
                  </w:pPr>
                </w:p>
              </w:tc>
              <w:tc>
                <w:tcPr>
                  <w:tcW w:w="709" w:type="dxa"/>
                  <w:vMerge w:val="continue"/>
                  <w:vAlign w:val="center"/>
                </w:tcPr>
                <w:p>
                  <w:pPr>
                    <w:pStyle w:val="30"/>
                    <w:spacing w:line="360" w:lineRule="exact"/>
                    <w:rPr>
                      <w:color w:val="000000" w:themeColor="text1"/>
                      <w:szCs w:val="21"/>
                    </w:rPr>
                  </w:pPr>
                </w:p>
              </w:tc>
              <w:tc>
                <w:tcPr>
                  <w:tcW w:w="709" w:type="dxa"/>
                  <w:vAlign w:val="center"/>
                </w:tcPr>
                <w:p>
                  <w:pPr>
                    <w:pStyle w:val="30"/>
                    <w:spacing w:line="360" w:lineRule="exact"/>
                    <w:rPr>
                      <w:color w:val="000000" w:themeColor="text1"/>
                      <w:szCs w:val="21"/>
                    </w:rPr>
                  </w:pPr>
                  <w:r>
                    <w:rPr>
                      <w:color w:val="000000" w:themeColor="text1"/>
                      <w:szCs w:val="21"/>
                    </w:rPr>
                    <w:t>温度</w:t>
                  </w:r>
                </w:p>
              </w:tc>
              <w:tc>
                <w:tcPr>
                  <w:tcW w:w="1491" w:type="dxa"/>
                  <w:vAlign w:val="center"/>
                </w:tcPr>
                <w:p>
                  <w:pPr>
                    <w:pStyle w:val="30"/>
                    <w:spacing w:line="360" w:lineRule="exact"/>
                    <w:rPr>
                      <w:color w:val="000000" w:themeColor="text1"/>
                      <w:szCs w:val="21"/>
                    </w:rPr>
                  </w:pPr>
                  <w:r>
                    <w:rPr>
                      <w:rFonts w:hint="eastAsia"/>
                      <w:color w:val="000000" w:themeColor="text1"/>
                      <w:szCs w:val="21"/>
                    </w:rPr>
                    <w:t>20-40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000000" w:themeColor="text1"/>
                      <w:szCs w:val="21"/>
                    </w:rPr>
                    <w:t>℃</w:t>
                  </w:r>
                  <w:r>
                    <w:rPr>
                      <w:rFonts w:hint="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672" w:type="dxa"/>
                  <w:vMerge w:val="continue"/>
                  <w:vAlign w:val="center"/>
                </w:tcPr>
                <w:p>
                  <w:pPr>
                    <w:pStyle w:val="30"/>
                    <w:spacing w:line="360" w:lineRule="exact"/>
                    <w:rPr>
                      <w:color w:val="000000" w:themeColor="text1"/>
                      <w:szCs w:val="21"/>
                    </w:rPr>
                  </w:pPr>
                </w:p>
              </w:tc>
              <w:tc>
                <w:tcPr>
                  <w:tcW w:w="775" w:type="dxa"/>
                  <w:vMerge w:val="continue"/>
                  <w:vAlign w:val="center"/>
                </w:tcPr>
                <w:p>
                  <w:pPr>
                    <w:pStyle w:val="30"/>
                    <w:spacing w:line="360" w:lineRule="exact"/>
                    <w:rPr>
                      <w:color w:val="000000" w:themeColor="text1"/>
                      <w:szCs w:val="21"/>
                    </w:rPr>
                  </w:pPr>
                </w:p>
              </w:tc>
              <w:tc>
                <w:tcPr>
                  <w:tcW w:w="850" w:type="dxa"/>
                  <w:vMerge w:val="continue"/>
                  <w:vAlign w:val="center"/>
                </w:tcPr>
                <w:p>
                  <w:pPr>
                    <w:pStyle w:val="30"/>
                    <w:spacing w:line="360" w:lineRule="exact"/>
                    <w:rPr>
                      <w:color w:val="000000" w:themeColor="text1"/>
                      <w:szCs w:val="21"/>
                    </w:rPr>
                  </w:pPr>
                </w:p>
              </w:tc>
              <w:tc>
                <w:tcPr>
                  <w:tcW w:w="3402" w:type="dxa"/>
                  <w:vMerge w:val="continue"/>
                  <w:vAlign w:val="center"/>
                </w:tcPr>
                <w:p>
                  <w:pPr>
                    <w:pStyle w:val="30"/>
                    <w:spacing w:line="360" w:lineRule="exact"/>
                    <w:ind w:firstLine="210" w:firstLineChars="100"/>
                    <w:jc w:val="left"/>
                    <w:rPr>
                      <w:color w:val="000000" w:themeColor="text1"/>
                      <w:szCs w:val="21"/>
                    </w:rPr>
                  </w:pPr>
                </w:p>
              </w:tc>
              <w:tc>
                <w:tcPr>
                  <w:tcW w:w="709" w:type="dxa"/>
                  <w:vMerge w:val="continue"/>
                  <w:vAlign w:val="center"/>
                </w:tcPr>
                <w:p>
                  <w:pPr>
                    <w:pStyle w:val="30"/>
                    <w:spacing w:line="360" w:lineRule="exact"/>
                    <w:rPr>
                      <w:color w:val="000000" w:themeColor="text1"/>
                      <w:szCs w:val="21"/>
                    </w:rPr>
                  </w:pPr>
                </w:p>
              </w:tc>
              <w:tc>
                <w:tcPr>
                  <w:tcW w:w="709" w:type="dxa"/>
                  <w:vAlign w:val="center"/>
                </w:tcPr>
                <w:p>
                  <w:pPr>
                    <w:pStyle w:val="30"/>
                    <w:spacing w:line="360" w:lineRule="exact"/>
                    <w:rPr>
                      <w:color w:val="000000" w:themeColor="text1"/>
                      <w:szCs w:val="21"/>
                    </w:rPr>
                  </w:pPr>
                  <w:r>
                    <w:rPr>
                      <w:color w:val="000000" w:themeColor="text1"/>
                      <w:szCs w:val="21"/>
                    </w:rPr>
                    <w:t>编号</w:t>
                  </w:r>
                </w:p>
              </w:tc>
              <w:tc>
                <w:tcPr>
                  <w:tcW w:w="1491" w:type="dxa"/>
                  <w:vAlign w:val="center"/>
                </w:tcPr>
                <w:p>
                  <w:pPr>
                    <w:pStyle w:val="30"/>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672" w:type="dxa"/>
                  <w:vMerge w:val="continue"/>
                  <w:vAlign w:val="center"/>
                </w:tcPr>
                <w:p>
                  <w:pPr>
                    <w:pStyle w:val="30"/>
                    <w:spacing w:line="360" w:lineRule="exact"/>
                    <w:rPr>
                      <w:color w:val="000000" w:themeColor="text1"/>
                      <w:szCs w:val="21"/>
                    </w:rPr>
                  </w:pPr>
                </w:p>
              </w:tc>
              <w:tc>
                <w:tcPr>
                  <w:tcW w:w="775" w:type="dxa"/>
                  <w:vMerge w:val="continue"/>
                  <w:vAlign w:val="center"/>
                </w:tcPr>
                <w:p>
                  <w:pPr>
                    <w:pStyle w:val="30"/>
                    <w:spacing w:line="360" w:lineRule="exact"/>
                    <w:rPr>
                      <w:color w:val="000000" w:themeColor="text1"/>
                      <w:szCs w:val="21"/>
                    </w:rPr>
                  </w:pPr>
                </w:p>
              </w:tc>
              <w:tc>
                <w:tcPr>
                  <w:tcW w:w="850" w:type="dxa"/>
                  <w:vMerge w:val="continue"/>
                  <w:vAlign w:val="center"/>
                </w:tcPr>
                <w:p>
                  <w:pPr>
                    <w:pStyle w:val="30"/>
                    <w:spacing w:line="360" w:lineRule="exact"/>
                    <w:rPr>
                      <w:color w:val="000000" w:themeColor="text1"/>
                      <w:szCs w:val="21"/>
                    </w:rPr>
                  </w:pPr>
                </w:p>
              </w:tc>
              <w:tc>
                <w:tcPr>
                  <w:tcW w:w="3402" w:type="dxa"/>
                  <w:vMerge w:val="continue"/>
                  <w:vAlign w:val="center"/>
                </w:tcPr>
                <w:p>
                  <w:pPr>
                    <w:pStyle w:val="30"/>
                    <w:spacing w:line="360" w:lineRule="exact"/>
                    <w:ind w:firstLine="210" w:firstLineChars="100"/>
                    <w:jc w:val="left"/>
                    <w:rPr>
                      <w:color w:val="000000" w:themeColor="text1"/>
                      <w:szCs w:val="21"/>
                    </w:rPr>
                  </w:pPr>
                </w:p>
              </w:tc>
              <w:tc>
                <w:tcPr>
                  <w:tcW w:w="709" w:type="dxa"/>
                  <w:vMerge w:val="continue"/>
                  <w:vAlign w:val="center"/>
                </w:tcPr>
                <w:p>
                  <w:pPr>
                    <w:pStyle w:val="30"/>
                    <w:spacing w:line="360" w:lineRule="exact"/>
                    <w:rPr>
                      <w:color w:val="000000" w:themeColor="text1"/>
                      <w:szCs w:val="21"/>
                    </w:rPr>
                  </w:pPr>
                </w:p>
              </w:tc>
              <w:tc>
                <w:tcPr>
                  <w:tcW w:w="709" w:type="dxa"/>
                  <w:vAlign w:val="center"/>
                </w:tcPr>
                <w:p>
                  <w:pPr>
                    <w:pStyle w:val="30"/>
                    <w:spacing w:line="360" w:lineRule="exact"/>
                    <w:rPr>
                      <w:color w:val="000000" w:themeColor="text1"/>
                      <w:szCs w:val="21"/>
                    </w:rPr>
                  </w:pPr>
                  <w:r>
                    <w:rPr>
                      <w:color w:val="000000" w:themeColor="text1"/>
                      <w:szCs w:val="21"/>
                    </w:rPr>
                    <w:t>类型</w:t>
                  </w:r>
                </w:p>
              </w:tc>
              <w:tc>
                <w:tcPr>
                  <w:tcW w:w="1491"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672" w:type="dxa"/>
                  <w:vMerge w:val="continue"/>
                  <w:vAlign w:val="center"/>
                </w:tcPr>
                <w:p>
                  <w:pPr>
                    <w:pStyle w:val="30"/>
                    <w:spacing w:line="360" w:lineRule="exact"/>
                    <w:rPr>
                      <w:color w:val="000000" w:themeColor="text1"/>
                      <w:szCs w:val="21"/>
                    </w:rPr>
                  </w:pPr>
                </w:p>
              </w:tc>
              <w:tc>
                <w:tcPr>
                  <w:tcW w:w="775" w:type="dxa"/>
                  <w:vMerge w:val="continue"/>
                  <w:vAlign w:val="center"/>
                </w:tcPr>
                <w:p>
                  <w:pPr>
                    <w:pStyle w:val="30"/>
                    <w:spacing w:line="360" w:lineRule="exact"/>
                    <w:rPr>
                      <w:color w:val="000000" w:themeColor="text1"/>
                      <w:szCs w:val="21"/>
                    </w:rPr>
                  </w:pPr>
                </w:p>
              </w:tc>
              <w:tc>
                <w:tcPr>
                  <w:tcW w:w="850" w:type="dxa"/>
                  <w:vMerge w:val="continue"/>
                  <w:vAlign w:val="center"/>
                </w:tcPr>
                <w:p>
                  <w:pPr>
                    <w:pStyle w:val="30"/>
                    <w:spacing w:line="360" w:lineRule="exact"/>
                    <w:rPr>
                      <w:color w:val="000000" w:themeColor="text1"/>
                      <w:szCs w:val="21"/>
                    </w:rPr>
                  </w:pPr>
                </w:p>
              </w:tc>
              <w:tc>
                <w:tcPr>
                  <w:tcW w:w="3402" w:type="dxa"/>
                  <w:vMerge w:val="continue"/>
                  <w:vAlign w:val="center"/>
                </w:tcPr>
                <w:p>
                  <w:pPr>
                    <w:pStyle w:val="30"/>
                    <w:spacing w:line="360" w:lineRule="exact"/>
                    <w:ind w:firstLine="210" w:firstLineChars="100"/>
                    <w:jc w:val="left"/>
                    <w:rPr>
                      <w:color w:val="000000" w:themeColor="text1"/>
                      <w:szCs w:val="21"/>
                    </w:rPr>
                  </w:pPr>
                </w:p>
              </w:tc>
              <w:tc>
                <w:tcPr>
                  <w:tcW w:w="709" w:type="dxa"/>
                  <w:vMerge w:val="continue"/>
                  <w:vAlign w:val="center"/>
                </w:tcPr>
                <w:p>
                  <w:pPr>
                    <w:pStyle w:val="30"/>
                    <w:spacing w:line="360" w:lineRule="exact"/>
                    <w:rPr>
                      <w:color w:val="000000" w:themeColor="text1"/>
                      <w:szCs w:val="21"/>
                    </w:rPr>
                  </w:pPr>
                </w:p>
              </w:tc>
              <w:tc>
                <w:tcPr>
                  <w:tcW w:w="709" w:type="dxa"/>
                  <w:vMerge w:val="restart"/>
                  <w:vAlign w:val="center"/>
                </w:tcPr>
                <w:p>
                  <w:pPr>
                    <w:pStyle w:val="30"/>
                    <w:spacing w:line="360" w:lineRule="exact"/>
                    <w:rPr>
                      <w:color w:val="000000" w:themeColor="text1"/>
                      <w:szCs w:val="21"/>
                    </w:rPr>
                  </w:pPr>
                  <w:r>
                    <w:rPr>
                      <w:color w:val="000000" w:themeColor="text1"/>
                      <w:szCs w:val="21"/>
                    </w:rPr>
                    <w:t>坐标</w:t>
                  </w:r>
                </w:p>
              </w:tc>
              <w:tc>
                <w:tcPr>
                  <w:tcW w:w="1491" w:type="dxa"/>
                  <w:vMerge w:val="restart"/>
                  <w:vAlign w:val="center"/>
                </w:tcPr>
                <w:p>
                  <w:pPr>
                    <w:pStyle w:val="30"/>
                    <w:spacing w:line="360" w:lineRule="exact"/>
                    <w:rPr>
                      <w:color w:val="000000" w:themeColor="text1"/>
                      <w:szCs w:val="21"/>
                    </w:rPr>
                  </w:pPr>
                  <w:r>
                    <w:rPr>
                      <w:color w:val="000000" w:themeColor="text1"/>
                      <w:szCs w:val="21"/>
                    </w:rPr>
                    <w:t>E103.249787°、N25.638212°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7" w:hRule="atLeast"/>
              </w:trPr>
              <w:tc>
                <w:tcPr>
                  <w:tcW w:w="672" w:type="dxa"/>
                  <w:vMerge w:val="continue"/>
                  <w:vAlign w:val="center"/>
                </w:tcPr>
                <w:p>
                  <w:pPr>
                    <w:pStyle w:val="30"/>
                    <w:spacing w:line="360" w:lineRule="exact"/>
                    <w:rPr>
                      <w:color w:val="000000" w:themeColor="text1"/>
                      <w:szCs w:val="21"/>
                    </w:rPr>
                  </w:pPr>
                </w:p>
              </w:tc>
              <w:tc>
                <w:tcPr>
                  <w:tcW w:w="775" w:type="dxa"/>
                  <w:vAlign w:val="center"/>
                </w:tcPr>
                <w:p>
                  <w:pPr>
                    <w:pStyle w:val="30"/>
                    <w:spacing w:line="360" w:lineRule="exact"/>
                    <w:rPr>
                      <w:color w:val="000000" w:themeColor="text1"/>
                      <w:szCs w:val="21"/>
                    </w:rPr>
                  </w:pPr>
                  <w:r>
                    <w:rPr>
                      <w:rFonts w:hint="eastAsia"/>
                      <w:color w:val="000000" w:themeColor="text1"/>
                      <w:sz w:val="20"/>
                      <w:szCs w:val="21"/>
                    </w:rPr>
                    <w:t>搅拌混合</w:t>
                  </w:r>
                </w:p>
              </w:tc>
              <w:tc>
                <w:tcPr>
                  <w:tcW w:w="850" w:type="dxa"/>
                  <w:vAlign w:val="center"/>
                </w:tcPr>
                <w:p>
                  <w:pPr>
                    <w:pStyle w:val="30"/>
                    <w:spacing w:line="360" w:lineRule="exact"/>
                    <w:rPr>
                      <w:color w:val="000000" w:themeColor="text1"/>
                      <w:szCs w:val="21"/>
                    </w:rPr>
                  </w:pPr>
                  <w:r>
                    <w:rPr>
                      <w:rFonts w:hint="eastAsia"/>
                      <w:color w:val="000000" w:themeColor="text1"/>
                      <w:szCs w:val="21"/>
                    </w:rPr>
                    <w:t>颗粒物（有组织）</w:t>
                  </w:r>
                </w:p>
              </w:tc>
              <w:tc>
                <w:tcPr>
                  <w:tcW w:w="3402" w:type="dxa"/>
                  <w:vMerge w:val="continue"/>
                  <w:vAlign w:val="center"/>
                </w:tcPr>
                <w:p>
                  <w:pPr>
                    <w:pStyle w:val="30"/>
                    <w:spacing w:line="360" w:lineRule="exact"/>
                    <w:ind w:firstLine="210" w:firstLineChars="100"/>
                    <w:jc w:val="left"/>
                    <w:rPr>
                      <w:color w:val="000000" w:themeColor="text1"/>
                      <w:szCs w:val="21"/>
                    </w:rPr>
                  </w:pPr>
                </w:p>
              </w:tc>
              <w:tc>
                <w:tcPr>
                  <w:tcW w:w="709" w:type="dxa"/>
                  <w:vMerge w:val="continue"/>
                  <w:vAlign w:val="center"/>
                </w:tcPr>
                <w:p>
                  <w:pPr>
                    <w:pStyle w:val="30"/>
                    <w:spacing w:line="360" w:lineRule="exact"/>
                    <w:rPr>
                      <w:color w:val="000000" w:themeColor="text1"/>
                      <w:szCs w:val="21"/>
                    </w:rPr>
                  </w:pPr>
                </w:p>
              </w:tc>
              <w:tc>
                <w:tcPr>
                  <w:tcW w:w="709" w:type="dxa"/>
                  <w:vMerge w:val="continue"/>
                  <w:vAlign w:val="center"/>
                </w:tcPr>
                <w:p>
                  <w:pPr>
                    <w:pStyle w:val="30"/>
                    <w:spacing w:line="360" w:lineRule="exact"/>
                    <w:rPr>
                      <w:color w:val="000000" w:themeColor="text1"/>
                      <w:szCs w:val="21"/>
                    </w:rPr>
                  </w:pPr>
                </w:p>
              </w:tc>
              <w:tc>
                <w:tcPr>
                  <w:tcW w:w="1491" w:type="dxa"/>
                  <w:vMerge w:val="continue"/>
                  <w:vAlign w:val="center"/>
                </w:tcPr>
                <w:p>
                  <w:pPr>
                    <w:pStyle w:val="30"/>
                    <w:spacing w:line="360" w:lineRule="exact"/>
                    <w:rPr>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hint="eastAsia"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废气污染物排放源产排量及达标情况一览表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9"/>
              <w:gridCol w:w="741"/>
              <w:gridCol w:w="805"/>
              <w:gridCol w:w="968"/>
              <w:gridCol w:w="867"/>
              <w:gridCol w:w="796"/>
              <w:gridCol w:w="781"/>
              <w:gridCol w:w="856"/>
              <w:gridCol w:w="1311"/>
              <w:gridCol w:w="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0" w:type="dxa"/>
                  <w:gridSpan w:val="2"/>
                  <w:vMerge w:val="restart"/>
                  <w:vAlign w:val="center"/>
                </w:tcPr>
                <w:p>
                  <w:pPr>
                    <w:pStyle w:val="30"/>
                    <w:spacing w:line="360" w:lineRule="exact"/>
                    <w:rPr>
                      <w:color w:val="000000" w:themeColor="text1"/>
                      <w:szCs w:val="21"/>
                    </w:rPr>
                  </w:pPr>
                  <w:r>
                    <w:rPr>
                      <w:color w:val="000000" w:themeColor="text1"/>
                      <w:szCs w:val="21"/>
                    </w:rPr>
                    <w:t>产排污环节</w:t>
                  </w:r>
                </w:p>
              </w:tc>
              <w:tc>
                <w:tcPr>
                  <w:tcW w:w="805" w:type="dxa"/>
                  <w:vMerge w:val="restart"/>
                  <w:vAlign w:val="center"/>
                </w:tcPr>
                <w:p>
                  <w:pPr>
                    <w:pStyle w:val="30"/>
                    <w:spacing w:line="360" w:lineRule="exact"/>
                    <w:rPr>
                      <w:color w:val="000000" w:themeColor="text1"/>
                      <w:szCs w:val="21"/>
                    </w:rPr>
                  </w:pPr>
                  <w:r>
                    <w:rPr>
                      <w:color w:val="000000" w:themeColor="text1"/>
                      <w:szCs w:val="21"/>
                    </w:rPr>
                    <w:t>污染物种类</w:t>
                  </w:r>
                </w:p>
              </w:tc>
              <w:tc>
                <w:tcPr>
                  <w:tcW w:w="1835" w:type="dxa"/>
                  <w:gridSpan w:val="2"/>
                  <w:vAlign w:val="center"/>
                </w:tcPr>
                <w:p>
                  <w:pPr>
                    <w:pStyle w:val="30"/>
                    <w:spacing w:line="360" w:lineRule="exact"/>
                    <w:rPr>
                      <w:color w:val="000000" w:themeColor="text1"/>
                      <w:szCs w:val="21"/>
                    </w:rPr>
                  </w:pPr>
                  <w:r>
                    <w:rPr>
                      <w:color w:val="000000" w:themeColor="text1"/>
                      <w:szCs w:val="21"/>
                    </w:rPr>
                    <w:t>污染物产生情况</w:t>
                  </w:r>
                </w:p>
              </w:tc>
              <w:tc>
                <w:tcPr>
                  <w:tcW w:w="2433"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31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w:t>
                  </w:r>
                </w:p>
              </w:tc>
              <w:tc>
                <w:tcPr>
                  <w:tcW w:w="74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0" w:type="dxa"/>
                  <w:gridSpan w:val="2"/>
                  <w:vMerge w:val="continue"/>
                  <w:vAlign w:val="center"/>
                </w:tcPr>
                <w:p>
                  <w:pPr>
                    <w:pStyle w:val="30"/>
                    <w:spacing w:line="360" w:lineRule="exact"/>
                    <w:rPr>
                      <w:color w:val="000000" w:themeColor="text1"/>
                      <w:szCs w:val="21"/>
                    </w:rPr>
                  </w:pPr>
                </w:p>
              </w:tc>
              <w:tc>
                <w:tcPr>
                  <w:tcW w:w="805" w:type="dxa"/>
                  <w:vMerge w:val="continue"/>
                  <w:vAlign w:val="center"/>
                </w:tcPr>
                <w:p>
                  <w:pPr>
                    <w:pStyle w:val="30"/>
                    <w:spacing w:line="360" w:lineRule="exact"/>
                    <w:rPr>
                      <w:color w:val="000000" w:themeColor="text1"/>
                      <w:szCs w:val="21"/>
                    </w:rPr>
                  </w:pPr>
                </w:p>
              </w:tc>
              <w:tc>
                <w:tcPr>
                  <w:tcW w:w="968" w:type="dxa"/>
                  <w:vAlign w:val="center"/>
                </w:tcPr>
                <w:p>
                  <w:pPr>
                    <w:pStyle w:val="30"/>
                    <w:spacing w:line="360" w:lineRule="exact"/>
                    <w:rPr>
                      <w:color w:val="000000" w:themeColor="text1"/>
                      <w:szCs w:val="21"/>
                    </w:rPr>
                  </w:pPr>
                  <w:r>
                    <w:rPr>
                      <w:color w:val="000000" w:themeColor="text1"/>
                      <w:szCs w:val="21"/>
                    </w:rPr>
                    <w:t>产生浓度mg/m³</w:t>
                  </w:r>
                </w:p>
              </w:tc>
              <w:tc>
                <w:tcPr>
                  <w:tcW w:w="867" w:type="dxa"/>
                  <w:vAlign w:val="center"/>
                </w:tcPr>
                <w:p>
                  <w:pPr>
                    <w:pStyle w:val="30"/>
                    <w:spacing w:line="360" w:lineRule="exact"/>
                    <w:rPr>
                      <w:color w:val="000000" w:themeColor="text1"/>
                      <w:szCs w:val="21"/>
                    </w:rPr>
                  </w:pPr>
                  <w:r>
                    <w:rPr>
                      <w:color w:val="000000" w:themeColor="text1"/>
                      <w:szCs w:val="21"/>
                    </w:rPr>
                    <w:t>产生量t/a</w:t>
                  </w:r>
                </w:p>
              </w:tc>
              <w:tc>
                <w:tcPr>
                  <w:tcW w:w="796" w:type="dxa"/>
                  <w:vAlign w:val="center"/>
                </w:tcPr>
                <w:p>
                  <w:pPr>
                    <w:pStyle w:val="30"/>
                    <w:spacing w:line="360" w:lineRule="exact"/>
                    <w:rPr>
                      <w:color w:val="000000" w:themeColor="text1"/>
                      <w:szCs w:val="21"/>
                    </w:rPr>
                  </w:pPr>
                  <w:r>
                    <w:rPr>
                      <w:color w:val="000000" w:themeColor="text1"/>
                      <w:szCs w:val="21"/>
                    </w:rPr>
                    <w:t>排放浓度mg/m³</w:t>
                  </w:r>
                </w:p>
              </w:tc>
              <w:tc>
                <w:tcPr>
                  <w:tcW w:w="781" w:type="dxa"/>
                  <w:tcBorders>
                    <w:top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排放量t/a</w:t>
                  </w:r>
                </w:p>
              </w:tc>
              <w:tc>
                <w:tcPr>
                  <w:tcW w:w="856" w:type="dxa"/>
                  <w:tcBorders>
                    <w:top w:val="single" w:color="auto" w:sz="4" w:space="0"/>
                    <w:left w:val="single" w:color="auto" w:sz="4" w:space="0"/>
                  </w:tcBorders>
                  <w:vAlign w:val="center"/>
                </w:tcPr>
                <w:p>
                  <w:pPr>
                    <w:pStyle w:val="30"/>
                    <w:spacing w:line="360" w:lineRule="exact"/>
                    <w:rPr>
                      <w:color w:val="000000" w:themeColor="text1"/>
                      <w:szCs w:val="21"/>
                    </w:rPr>
                  </w:pPr>
                  <w:r>
                    <w:rPr>
                      <w:color w:val="000000" w:themeColor="text1"/>
                      <w:szCs w:val="21"/>
                    </w:rPr>
                    <w:t>排放速率kg/h</w:t>
                  </w:r>
                </w:p>
              </w:tc>
              <w:tc>
                <w:tcPr>
                  <w:tcW w:w="1311" w:type="dxa"/>
                  <w:vMerge w:val="continue"/>
                  <w:vAlign w:val="center"/>
                </w:tcPr>
                <w:p>
                  <w:pPr>
                    <w:pStyle w:val="30"/>
                    <w:spacing w:line="360" w:lineRule="exact"/>
                    <w:rPr>
                      <w:color w:val="000000" w:themeColor="text1"/>
                      <w:szCs w:val="21"/>
                    </w:rPr>
                  </w:pPr>
                </w:p>
              </w:tc>
              <w:tc>
                <w:tcPr>
                  <w:tcW w:w="74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Align w:val="center"/>
                </w:tcPr>
                <w:p>
                  <w:pPr>
                    <w:pStyle w:val="30"/>
                    <w:spacing w:line="360" w:lineRule="exact"/>
                    <w:rPr>
                      <w:color w:val="000000" w:themeColor="text1"/>
                      <w:szCs w:val="21"/>
                    </w:rPr>
                  </w:pPr>
                  <w:r>
                    <w:rPr>
                      <w:color w:val="000000" w:themeColor="text1"/>
                      <w:sz w:val="20"/>
                      <w:szCs w:val="21"/>
                    </w:rPr>
                    <w:t>原料车间</w:t>
                  </w:r>
                </w:p>
              </w:tc>
              <w:tc>
                <w:tcPr>
                  <w:tcW w:w="741" w:type="dxa"/>
                  <w:vAlign w:val="center"/>
                </w:tcPr>
                <w:p>
                  <w:pPr>
                    <w:pStyle w:val="30"/>
                    <w:spacing w:line="360" w:lineRule="exact"/>
                    <w:rPr>
                      <w:color w:val="000000" w:themeColor="text1"/>
                      <w:szCs w:val="21"/>
                    </w:rPr>
                  </w:pPr>
                  <w:r>
                    <w:rPr>
                      <w:color w:val="000000" w:themeColor="text1"/>
                      <w:szCs w:val="21"/>
                    </w:rPr>
                    <w:t>装卸、暂存</w:t>
                  </w:r>
                </w:p>
              </w:tc>
              <w:tc>
                <w:tcPr>
                  <w:tcW w:w="805" w:type="dxa"/>
                  <w:vMerge w:val="restart"/>
                  <w:vAlign w:val="center"/>
                </w:tcPr>
                <w:p>
                  <w:pPr>
                    <w:pStyle w:val="30"/>
                    <w:spacing w:line="360" w:lineRule="exact"/>
                    <w:rPr>
                      <w:color w:val="000000" w:themeColor="text1"/>
                      <w:szCs w:val="21"/>
                    </w:rPr>
                  </w:pPr>
                  <w:r>
                    <w:rPr>
                      <w:color w:val="000000" w:themeColor="text1"/>
                      <w:szCs w:val="21"/>
                    </w:rPr>
                    <w:t>颗粒物（无组织）</w:t>
                  </w:r>
                </w:p>
              </w:tc>
              <w:tc>
                <w:tcPr>
                  <w:tcW w:w="968" w:type="dxa"/>
                  <w:tcBorders>
                    <w:top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867" w:type="dxa"/>
                  <w:tcBorders>
                    <w:top w:val="single" w:color="auto" w:sz="4" w:space="0"/>
                  </w:tcBorders>
                  <w:vAlign w:val="center"/>
                </w:tcPr>
                <w:p>
                  <w:pPr>
                    <w:pStyle w:val="30"/>
                    <w:spacing w:line="360" w:lineRule="exact"/>
                    <w:rPr>
                      <w:color w:val="000000" w:themeColor="text1"/>
                      <w:szCs w:val="21"/>
                    </w:rPr>
                  </w:pPr>
                  <w:r>
                    <w:rPr>
                      <w:color w:val="000000" w:themeColor="text1"/>
                      <w:szCs w:val="21"/>
                    </w:rPr>
                    <w:t>3.16</w:t>
                  </w:r>
                </w:p>
              </w:tc>
              <w:tc>
                <w:tcPr>
                  <w:tcW w:w="796" w:type="dxa"/>
                  <w:vMerge w:val="restart"/>
                  <w:vAlign w:val="center"/>
                </w:tcPr>
                <w:p>
                  <w:pPr>
                    <w:pStyle w:val="30"/>
                    <w:spacing w:line="360" w:lineRule="exact"/>
                    <w:rPr>
                      <w:color w:val="000000" w:themeColor="text1"/>
                      <w:szCs w:val="21"/>
                    </w:rPr>
                  </w:pPr>
                  <w:r>
                    <w:rPr>
                      <w:color w:val="000000" w:themeColor="text1"/>
                      <w:szCs w:val="21"/>
                    </w:rPr>
                    <w:t>0.62</w:t>
                  </w:r>
                </w:p>
              </w:tc>
              <w:tc>
                <w:tcPr>
                  <w:tcW w:w="781"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0.03</w:t>
                  </w:r>
                </w:p>
              </w:tc>
              <w:tc>
                <w:tcPr>
                  <w:tcW w:w="856" w:type="dxa"/>
                  <w:tcBorders>
                    <w:left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1311" w:type="dxa"/>
                  <w:vMerge w:val="restart"/>
                  <w:vAlign w:val="center"/>
                </w:tcPr>
                <w:p>
                  <w:pPr>
                    <w:pStyle w:val="30"/>
                    <w:spacing w:line="360" w:lineRule="exact"/>
                    <w:rPr>
                      <w:color w:val="000000" w:themeColor="text1"/>
                      <w:szCs w:val="21"/>
                    </w:rPr>
                  </w:pPr>
                  <w:r>
                    <w:rPr>
                      <w:color w:val="000000" w:themeColor="text1"/>
                      <w:szCs w:val="21"/>
                    </w:rPr>
                    <w:t>≤1.0</w:t>
                  </w:r>
                </w:p>
              </w:tc>
              <w:tc>
                <w:tcPr>
                  <w:tcW w:w="744" w:type="dxa"/>
                  <w:vMerge w:val="restart"/>
                  <w:vAlign w:val="center"/>
                </w:tcPr>
                <w:p>
                  <w:pPr>
                    <w:pStyle w:val="30"/>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Align w:val="center"/>
                </w:tcPr>
                <w:p>
                  <w:pPr>
                    <w:pStyle w:val="30"/>
                    <w:spacing w:line="360" w:lineRule="exact"/>
                    <w:rPr>
                      <w:color w:val="000000" w:themeColor="text1"/>
                      <w:szCs w:val="21"/>
                    </w:rPr>
                  </w:pPr>
                  <w:r>
                    <w:rPr>
                      <w:color w:val="000000" w:themeColor="text1"/>
                      <w:sz w:val="20"/>
                      <w:szCs w:val="21"/>
                    </w:rPr>
                    <w:t>水泥仓</w:t>
                  </w:r>
                </w:p>
              </w:tc>
              <w:tc>
                <w:tcPr>
                  <w:tcW w:w="741" w:type="dxa"/>
                  <w:vAlign w:val="center"/>
                </w:tcPr>
                <w:p>
                  <w:pPr>
                    <w:pStyle w:val="30"/>
                    <w:spacing w:line="360" w:lineRule="exact"/>
                    <w:rPr>
                      <w:color w:val="000000" w:themeColor="text1"/>
                      <w:szCs w:val="21"/>
                    </w:rPr>
                  </w:pPr>
                  <w:r>
                    <w:rPr>
                      <w:color w:val="000000" w:themeColor="text1"/>
                      <w:sz w:val="20"/>
                      <w:szCs w:val="21"/>
                    </w:rPr>
                    <w:t>装卸、输送</w:t>
                  </w:r>
                </w:p>
              </w:tc>
              <w:tc>
                <w:tcPr>
                  <w:tcW w:w="805" w:type="dxa"/>
                  <w:vMerge w:val="continue"/>
                  <w:vAlign w:val="center"/>
                </w:tcPr>
                <w:p>
                  <w:pPr>
                    <w:pStyle w:val="30"/>
                    <w:spacing w:line="360" w:lineRule="exact"/>
                    <w:rPr>
                      <w:color w:val="000000" w:themeColor="text1"/>
                      <w:szCs w:val="21"/>
                    </w:rPr>
                  </w:pPr>
                </w:p>
              </w:tc>
              <w:tc>
                <w:tcPr>
                  <w:tcW w:w="968" w:type="dxa"/>
                  <w:tcBorders>
                    <w:top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867" w:type="dxa"/>
                  <w:tcBorders>
                    <w:top w:val="single" w:color="auto" w:sz="4" w:space="0"/>
                  </w:tcBorders>
                  <w:vAlign w:val="center"/>
                </w:tcPr>
                <w:p>
                  <w:pPr>
                    <w:pStyle w:val="30"/>
                    <w:spacing w:line="360" w:lineRule="exact"/>
                    <w:rPr>
                      <w:color w:val="000000" w:themeColor="text1"/>
                      <w:szCs w:val="21"/>
                    </w:rPr>
                  </w:pPr>
                  <w:r>
                    <w:rPr>
                      <w:color w:val="000000" w:themeColor="text1"/>
                      <w:szCs w:val="21"/>
                    </w:rPr>
                    <w:t>0.59</w:t>
                  </w:r>
                </w:p>
              </w:tc>
              <w:tc>
                <w:tcPr>
                  <w:tcW w:w="796" w:type="dxa"/>
                  <w:vMerge w:val="continue"/>
                  <w:vAlign w:val="center"/>
                </w:tcPr>
                <w:p>
                  <w:pPr>
                    <w:pStyle w:val="30"/>
                    <w:spacing w:line="360" w:lineRule="exact"/>
                    <w:rPr>
                      <w:color w:val="000000" w:themeColor="text1"/>
                      <w:szCs w:val="21"/>
                    </w:rPr>
                  </w:pPr>
                </w:p>
              </w:tc>
              <w:tc>
                <w:tcPr>
                  <w:tcW w:w="781"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0.002</w:t>
                  </w:r>
                </w:p>
              </w:tc>
              <w:tc>
                <w:tcPr>
                  <w:tcW w:w="856" w:type="dxa"/>
                  <w:tcBorders>
                    <w:left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1311" w:type="dxa"/>
                  <w:vMerge w:val="continue"/>
                  <w:vAlign w:val="center"/>
                </w:tcPr>
                <w:p>
                  <w:pPr>
                    <w:pStyle w:val="30"/>
                    <w:spacing w:line="360" w:lineRule="exact"/>
                    <w:rPr>
                      <w:color w:val="000000" w:themeColor="text1"/>
                      <w:szCs w:val="21"/>
                    </w:rPr>
                  </w:pPr>
                </w:p>
              </w:tc>
              <w:tc>
                <w:tcPr>
                  <w:tcW w:w="744" w:type="dxa"/>
                  <w:vMerge w:val="continue"/>
                  <w:vAlign w:val="center"/>
                </w:tcPr>
                <w:p>
                  <w:pPr>
                    <w:pStyle w:val="30"/>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Merge w:val="restart"/>
                  <w:vAlign w:val="center"/>
                </w:tcPr>
                <w:p>
                  <w:pPr>
                    <w:pStyle w:val="30"/>
                    <w:spacing w:line="360" w:lineRule="exact"/>
                    <w:rPr>
                      <w:color w:val="000000" w:themeColor="text1"/>
                      <w:szCs w:val="21"/>
                    </w:rPr>
                  </w:pPr>
                  <w:r>
                    <w:rPr>
                      <w:color w:val="000000" w:themeColor="text1"/>
                      <w:sz w:val="20"/>
                      <w:szCs w:val="21"/>
                    </w:rPr>
                    <w:t>生产线</w:t>
                  </w:r>
                </w:p>
              </w:tc>
              <w:tc>
                <w:tcPr>
                  <w:tcW w:w="741" w:type="dxa"/>
                  <w:vMerge w:val="restart"/>
                  <w:vAlign w:val="center"/>
                </w:tcPr>
                <w:p>
                  <w:pPr>
                    <w:pStyle w:val="30"/>
                    <w:spacing w:line="360" w:lineRule="exact"/>
                    <w:rPr>
                      <w:color w:val="000000" w:themeColor="text1"/>
                      <w:szCs w:val="21"/>
                    </w:rPr>
                  </w:pPr>
                  <w:r>
                    <w:rPr>
                      <w:color w:val="000000" w:themeColor="text1"/>
                      <w:sz w:val="20"/>
                      <w:szCs w:val="21"/>
                    </w:rPr>
                    <w:t>投料</w:t>
                  </w:r>
                </w:p>
              </w:tc>
              <w:tc>
                <w:tcPr>
                  <w:tcW w:w="805" w:type="dxa"/>
                  <w:vMerge w:val="continue"/>
                  <w:vAlign w:val="center"/>
                </w:tcPr>
                <w:p>
                  <w:pPr>
                    <w:pStyle w:val="30"/>
                    <w:spacing w:line="360" w:lineRule="exact"/>
                    <w:rPr>
                      <w:color w:val="000000" w:themeColor="text1"/>
                      <w:szCs w:val="21"/>
                    </w:rPr>
                  </w:pPr>
                </w:p>
              </w:tc>
              <w:tc>
                <w:tcPr>
                  <w:tcW w:w="968" w:type="dxa"/>
                  <w:tcBorders>
                    <w:top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867" w:type="dxa"/>
                  <w:vMerge w:val="restart"/>
                  <w:tcBorders>
                    <w:top w:val="single" w:color="auto" w:sz="4" w:space="0"/>
                  </w:tcBorders>
                  <w:vAlign w:val="center"/>
                </w:tcPr>
                <w:p>
                  <w:pPr>
                    <w:pStyle w:val="30"/>
                    <w:spacing w:line="360" w:lineRule="exact"/>
                    <w:rPr>
                      <w:color w:val="000000" w:themeColor="text1"/>
                      <w:szCs w:val="21"/>
                    </w:rPr>
                  </w:pPr>
                  <w:r>
                    <w:rPr>
                      <w:color w:val="000000" w:themeColor="text1"/>
                      <w:szCs w:val="21"/>
                    </w:rPr>
                    <w:t>1.76</w:t>
                  </w:r>
                </w:p>
              </w:tc>
              <w:tc>
                <w:tcPr>
                  <w:tcW w:w="796" w:type="dxa"/>
                  <w:vMerge w:val="continue"/>
                  <w:vAlign w:val="center"/>
                </w:tcPr>
                <w:p>
                  <w:pPr>
                    <w:pStyle w:val="30"/>
                    <w:spacing w:line="360" w:lineRule="exact"/>
                    <w:rPr>
                      <w:color w:val="000000" w:themeColor="text1"/>
                      <w:szCs w:val="21"/>
                    </w:rPr>
                  </w:pPr>
                </w:p>
              </w:tc>
              <w:tc>
                <w:tcPr>
                  <w:tcW w:w="781"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0.176</w:t>
                  </w:r>
                </w:p>
              </w:tc>
              <w:tc>
                <w:tcPr>
                  <w:tcW w:w="856" w:type="dxa"/>
                  <w:tcBorders>
                    <w:left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1311" w:type="dxa"/>
                  <w:vMerge w:val="continue"/>
                  <w:vAlign w:val="center"/>
                </w:tcPr>
                <w:p>
                  <w:pPr>
                    <w:pStyle w:val="30"/>
                    <w:spacing w:line="360" w:lineRule="exact"/>
                    <w:rPr>
                      <w:color w:val="000000" w:themeColor="text1"/>
                      <w:szCs w:val="21"/>
                    </w:rPr>
                  </w:pPr>
                </w:p>
              </w:tc>
              <w:tc>
                <w:tcPr>
                  <w:tcW w:w="744" w:type="dxa"/>
                  <w:vMerge w:val="continue"/>
                  <w:vAlign w:val="center"/>
                </w:tcPr>
                <w:p>
                  <w:pPr>
                    <w:pStyle w:val="30"/>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Merge w:val="continue"/>
                  <w:vAlign w:val="center"/>
                </w:tcPr>
                <w:p>
                  <w:pPr>
                    <w:pStyle w:val="30"/>
                    <w:spacing w:line="360" w:lineRule="exact"/>
                    <w:rPr>
                      <w:color w:val="000000" w:themeColor="text1"/>
                      <w:sz w:val="20"/>
                      <w:szCs w:val="21"/>
                    </w:rPr>
                  </w:pPr>
                </w:p>
              </w:tc>
              <w:tc>
                <w:tcPr>
                  <w:tcW w:w="741" w:type="dxa"/>
                  <w:vMerge w:val="continue"/>
                  <w:vAlign w:val="center"/>
                </w:tcPr>
                <w:p>
                  <w:pPr>
                    <w:pStyle w:val="30"/>
                    <w:spacing w:line="360" w:lineRule="exact"/>
                    <w:rPr>
                      <w:color w:val="000000" w:themeColor="text1"/>
                      <w:sz w:val="20"/>
                      <w:szCs w:val="21"/>
                    </w:rPr>
                  </w:pPr>
                </w:p>
              </w:tc>
              <w:tc>
                <w:tcPr>
                  <w:tcW w:w="805" w:type="dxa"/>
                  <w:vMerge w:val="restart"/>
                  <w:vAlign w:val="center"/>
                </w:tcPr>
                <w:p>
                  <w:pPr>
                    <w:pStyle w:val="30"/>
                    <w:spacing w:line="360" w:lineRule="exact"/>
                    <w:rPr>
                      <w:color w:val="000000" w:themeColor="text1"/>
                      <w:szCs w:val="21"/>
                    </w:rPr>
                  </w:pPr>
                  <w:r>
                    <w:rPr>
                      <w:color w:val="000000" w:themeColor="text1"/>
                      <w:szCs w:val="21"/>
                    </w:rPr>
                    <w:t>颗粒物（有组织）</w:t>
                  </w:r>
                </w:p>
              </w:tc>
              <w:tc>
                <w:tcPr>
                  <w:tcW w:w="968" w:type="dxa"/>
                  <w:tcBorders>
                    <w:top w:val="single" w:color="auto" w:sz="4" w:space="0"/>
                  </w:tcBorders>
                  <w:vAlign w:val="center"/>
                </w:tcPr>
                <w:p>
                  <w:pPr>
                    <w:pStyle w:val="30"/>
                    <w:spacing w:line="360" w:lineRule="exact"/>
                    <w:rPr>
                      <w:color w:val="000000" w:themeColor="text1"/>
                      <w:sz w:val="20"/>
                      <w:szCs w:val="21"/>
                    </w:rPr>
                  </w:pPr>
                  <w:r>
                    <w:rPr>
                      <w:color w:val="000000" w:themeColor="text1"/>
                      <w:sz w:val="20"/>
                      <w:szCs w:val="21"/>
                    </w:rPr>
                    <w:t>73.33</w:t>
                  </w:r>
                </w:p>
              </w:tc>
              <w:tc>
                <w:tcPr>
                  <w:tcW w:w="867" w:type="dxa"/>
                  <w:vMerge w:val="continue"/>
                  <w:vAlign w:val="center"/>
                </w:tcPr>
                <w:p>
                  <w:pPr>
                    <w:pStyle w:val="30"/>
                    <w:spacing w:line="360" w:lineRule="exact"/>
                    <w:rPr>
                      <w:color w:val="000000" w:themeColor="text1"/>
                      <w:szCs w:val="21"/>
                    </w:rPr>
                  </w:pPr>
                </w:p>
              </w:tc>
              <w:tc>
                <w:tcPr>
                  <w:tcW w:w="796" w:type="dxa"/>
                  <w:vMerge w:val="restart"/>
                  <w:vAlign w:val="center"/>
                </w:tcPr>
                <w:p>
                  <w:pPr>
                    <w:pStyle w:val="30"/>
                    <w:spacing w:line="360" w:lineRule="exact"/>
                    <w:rPr>
                      <w:color w:val="000000" w:themeColor="text1"/>
                      <w:szCs w:val="21"/>
                    </w:rPr>
                  </w:pPr>
                  <w:r>
                    <w:rPr>
                      <w:color w:val="000000" w:themeColor="text1"/>
                      <w:sz w:val="20"/>
                      <w:szCs w:val="21"/>
                    </w:rPr>
                    <w:t>0.45</w:t>
                  </w:r>
                </w:p>
              </w:tc>
              <w:tc>
                <w:tcPr>
                  <w:tcW w:w="781"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0.005</w:t>
                  </w:r>
                </w:p>
              </w:tc>
              <w:tc>
                <w:tcPr>
                  <w:tcW w:w="856" w:type="dxa"/>
                  <w:tcBorders>
                    <w:left w:val="single" w:color="auto" w:sz="4" w:space="0"/>
                  </w:tcBorders>
                  <w:vAlign w:val="center"/>
                </w:tcPr>
                <w:p>
                  <w:pPr>
                    <w:pStyle w:val="30"/>
                    <w:spacing w:line="360" w:lineRule="exact"/>
                    <w:rPr>
                      <w:color w:val="000000" w:themeColor="text1"/>
                      <w:sz w:val="20"/>
                      <w:szCs w:val="21"/>
                    </w:rPr>
                  </w:pPr>
                  <w:r>
                    <w:rPr>
                      <w:color w:val="000000" w:themeColor="text1"/>
                      <w:sz w:val="20"/>
                      <w:szCs w:val="21"/>
                    </w:rPr>
                    <w:t>0.002</w:t>
                  </w:r>
                </w:p>
              </w:tc>
              <w:tc>
                <w:tcPr>
                  <w:tcW w:w="1311" w:type="dxa"/>
                  <w:vMerge w:val="restart"/>
                  <w:vAlign w:val="center"/>
                </w:tcPr>
                <w:p>
                  <w:pPr>
                    <w:pStyle w:val="30"/>
                    <w:spacing w:line="360" w:lineRule="exact"/>
                    <w:rPr>
                      <w:color w:val="000000" w:themeColor="text1"/>
                      <w:szCs w:val="21"/>
                    </w:rPr>
                  </w:pPr>
                  <w:r>
                    <w:rPr>
                      <w:color w:val="000000" w:themeColor="text1"/>
                      <w:szCs w:val="21"/>
                    </w:rPr>
                    <w:t>≤120mg/m³</w:t>
                  </w:r>
                </w:p>
                <w:p>
                  <w:pPr>
                    <w:pStyle w:val="30"/>
                    <w:spacing w:line="360" w:lineRule="exact"/>
                    <w:rPr>
                      <w:color w:val="000000" w:themeColor="text1"/>
                      <w:szCs w:val="21"/>
                    </w:rPr>
                  </w:pPr>
                  <w:r>
                    <w:rPr>
                      <w:color w:val="000000" w:themeColor="text1"/>
                      <w:szCs w:val="21"/>
                    </w:rPr>
                    <w:t>≤3.5kg/h</w:t>
                  </w:r>
                </w:p>
              </w:tc>
              <w:tc>
                <w:tcPr>
                  <w:tcW w:w="744" w:type="dxa"/>
                  <w:vMerge w:val="restart"/>
                  <w:vAlign w:val="center"/>
                </w:tcPr>
                <w:p>
                  <w:pPr>
                    <w:pStyle w:val="30"/>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Merge w:val="continue"/>
                  <w:vAlign w:val="center"/>
                </w:tcPr>
                <w:p>
                  <w:pPr>
                    <w:pStyle w:val="30"/>
                    <w:spacing w:line="360" w:lineRule="exact"/>
                    <w:rPr>
                      <w:color w:val="000000" w:themeColor="text1"/>
                      <w:szCs w:val="21"/>
                    </w:rPr>
                  </w:pPr>
                </w:p>
              </w:tc>
              <w:tc>
                <w:tcPr>
                  <w:tcW w:w="741" w:type="dxa"/>
                  <w:vAlign w:val="center"/>
                </w:tcPr>
                <w:p>
                  <w:pPr>
                    <w:pStyle w:val="30"/>
                    <w:spacing w:line="360" w:lineRule="exact"/>
                    <w:rPr>
                      <w:color w:val="000000" w:themeColor="text1"/>
                      <w:szCs w:val="21"/>
                    </w:rPr>
                  </w:pPr>
                  <w:r>
                    <w:rPr>
                      <w:color w:val="000000" w:themeColor="text1"/>
                      <w:sz w:val="20"/>
                      <w:szCs w:val="21"/>
                    </w:rPr>
                    <w:t>搅拌混合</w:t>
                  </w:r>
                </w:p>
              </w:tc>
              <w:tc>
                <w:tcPr>
                  <w:tcW w:w="805" w:type="dxa"/>
                  <w:vMerge w:val="continue"/>
                  <w:vAlign w:val="center"/>
                </w:tcPr>
                <w:p>
                  <w:pPr>
                    <w:pStyle w:val="30"/>
                    <w:spacing w:line="360" w:lineRule="exact"/>
                    <w:rPr>
                      <w:color w:val="000000" w:themeColor="text1"/>
                      <w:szCs w:val="21"/>
                    </w:rPr>
                  </w:pPr>
                </w:p>
              </w:tc>
              <w:tc>
                <w:tcPr>
                  <w:tcW w:w="968" w:type="dxa"/>
                  <w:vAlign w:val="center"/>
                </w:tcPr>
                <w:p>
                  <w:pPr>
                    <w:pStyle w:val="30"/>
                    <w:spacing w:line="360" w:lineRule="exact"/>
                    <w:rPr>
                      <w:color w:val="000000" w:themeColor="text1"/>
                      <w:szCs w:val="21"/>
                    </w:rPr>
                  </w:pPr>
                  <w:r>
                    <w:rPr>
                      <w:color w:val="000000" w:themeColor="text1"/>
                      <w:szCs w:val="21"/>
                    </w:rPr>
                    <w:t>323.33</w:t>
                  </w:r>
                </w:p>
              </w:tc>
              <w:tc>
                <w:tcPr>
                  <w:tcW w:w="867" w:type="dxa"/>
                  <w:vAlign w:val="center"/>
                </w:tcPr>
                <w:p>
                  <w:pPr>
                    <w:pStyle w:val="30"/>
                    <w:spacing w:line="360" w:lineRule="exact"/>
                    <w:rPr>
                      <w:color w:val="000000" w:themeColor="text1"/>
                      <w:sz w:val="20"/>
                      <w:szCs w:val="21"/>
                    </w:rPr>
                  </w:pPr>
                  <w:r>
                    <w:rPr>
                      <w:color w:val="000000" w:themeColor="text1"/>
                      <w:sz w:val="20"/>
                      <w:szCs w:val="21"/>
                    </w:rPr>
                    <w:t>3.88</w:t>
                  </w:r>
                </w:p>
              </w:tc>
              <w:tc>
                <w:tcPr>
                  <w:tcW w:w="796" w:type="dxa"/>
                  <w:vMerge w:val="continue"/>
                  <w:vAlign w:val="center"/>
                </w:tcPr>
                <w:p>
                  <w:pPr>
                    <w:pStyle w:val="30"/>
                    <w:spacing w:line="360" w:lineRule="exact"/>
                    <w:rPr>
                      <w:color w:val="000000" w:themeColor="text1"/>
                      <w:sz w:val="20"/>
                      <w:szCs w:val="21"/>
                    </w:rPr>
                  </w:pPr>
                </w:p>
              </w:tc>
              <w:tc>
                <w:tcPr>
                  <w:tcW w:w="781" w:type="dxa"/>
                  <w:tcBorders>
                    <w:right w:val="single" w:color="auto" w:sz="4" w:space="0"/>
                  </w:tcBorders>
                  <w:vAlign w:val="center"/>
                </w:tcPr>
                <w:p>
                  <w:pPr>
                    <w:pStyle w:val="30"/>
                    <w:spacing w:line="360" w:lineRule="exact"/>
                    <w:rPr>
                      <w:color w:val="000000" w:themeColor="text1"/>
                      <w:sz w:val="20"/>
                      <w:szCs w:val="21"/>
                    </w:rPr>
                  </w:pPr>
                  <w:r>
                    <w:rPr>
                      <w:color w:val="000000" w:themeColor="text1"/>
                      <w:sz w:val="20"/>
                      <w:szCs w:val="21"/>
                    </w:rPr>
                    <w:t>0.01</w:t>
                  </w:r>
                </w:p>
              </w:tc>
              <w:tc>
                <w:tcPr>
                  <w:tcW w:w="856" w:type="dxa"/>
                  <w:tcBorders>
                    <w:left w:val="single" w:color="auto" w:sz="4" w:space="0"/>
                  </w:tcBorders>
                  <w:vAlign w:val="center"/>
                </w:tcPr>
                <w:p>
                  <w:pPr>
                    <w:pStyle w:val="30"/>
                    <w:spacing w:line="360" w:lineRule="exact"/>
                    <w:rPr>
                      <w:color w:val="000000" w:themeColor="text1"/>
                      <w:sz w:val="20"/>
                      <w:szCs w:val="21"/>
                    </w:rPr>
                  </w:pPr>
                  <w:r>
                    <w:rPr>
                      <w:color w:val="000000" w:themeColor="text1"/>
                      <w:sz w:val="20"/>
                      <w:szCs w:val="21"/>
                    </w:rPr>
                    <w:t>0.004</w:t>
                  </w:r>
                </w:p>
              </w:tc>
              <w:tc>
                <w:tcPr>
                  <w:tcW w:w="1311" w:type="dxa"/>
                  <w:vMerge w:val="continue"/>
                  <w:vAlign w:val="center"/>
                </w:tcPr>
                <w:p>
                  <w:pPr>
                    <w:pStyle w:val="30"/>
                    <w:spacing w:line="360" w:lineRule="exact"/>
                    <w:jc w:val="both"/>
                    <w:rPr>
                      <w:color w:val="000000" w:themeColor="text1"/>
                      <w:szCs w:val="21"/>
                    </w:rPr>
                  </w:pPr>
                </w:p>
              </w:tc>
              <w:tc>
                <w:tcPr>
                  <w:tcW w:w="744" w:type="dxa"/>
                  <w:vMerge w:val="continue"/>
                  <w:vAlign w:val="center"/>
                </w:tcPr>
                <w:p>
                  <w:pPr>
                    <w:pStyle w:val="30"/>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9" w:type="dxa"/>
                  <w:vMerge w:val="continue"/>
                  <w:vAlign w:val="center"/>
                </w:tcPr>
                <w:p>
                  <w:pPr>
                    <w:pStyle w:val="30"/>
                    <w:spacing w:line="360" w:lineRule="exact"/>
                    <w:rPr>
                      <w:color w:val="000000" w:themeColor="text1"/>
                      <w:szCs w:val="21"/>
                    </w:rPr>
                  </w:pPr>
                </w:p>
              </w:tc>
              <w:tc>
                <w:tcPr>
                  <w:tcW w:w="1546" w:type="dxa"/>
                  <w:gridSpan w:val="2"/>
                  <w:vAlign w:val="center"/>
                </w:tcPr>
                <w:p>
                  <w:pPr>
                    <w:pStyle w:val="30"/>
                    <w:spacing w:line="360" w:lineRule="exact"/>
                    <w:rPr>
                      <w:color w:val="000000" w:themeColor="text1"/>
                      <w:szCs w:val="21"/>
                    </w:rPr>
                  </w:pPr>
                  <w:r>
                    <w:rPr>
                      <w:rFonts w:hint="eastAsia"/>
                      <w:color w:val="000000" w:themeColor="text1"/>
                      <w:szCs w:val="21"/>
                    </w:rPr>
                    <w:t>合计</w:t>
                  </w:r>
                  <w:r>
                    <w:rPr>
                      <w:color w:val="000000" w:themeColor="text1"/>
                      <w:szCs w:val="21"/>
                    </w:rPr>
                    <w:t>废气量</w:t>
                  </w:r>
                </w:p>
              </w:tc>
              <w:tc>
                <w:tcPr>
                  <w:tcW w:w="1835" w:type="dxa"/>
                  <w:gridSpan w:val="2"/>
                  <w:tcBorders>
                    <w:bottom w:val="single" w:color="auto" w:sz="4" w:space="0"/>
                  </w:tcBorders>
                  <w:vAlign w:val="center"/>
                </w:tcPr>
                <w:p>
                  <w:pPr>
                    <w:pStyle w:val="30"/>
                    <w:spacing w:line="360" w:lineRule="exact"/>
                    <w:rPr>
                      <w:color w:val="000000" w:themeColor="text1"/>
                      <w:sz w:val="20"/>
                      <w:szCs w:val="21"/>
                    </w:rPr>
                  </w:pPr>
                  <w:r>
                    <w:rPr>
                      <w:color w:val="000000" w:themeColor="text1"/>
                      <w:sz w:val="20"/>
                      <w:szCs w:val="21"/>
                    </w:rPr>
                    <w:t>3360万m³</w:t>
                  </w:r>
                </w:p>
              </w:tc>
              <w:tc>
                <w:tcPr>
                  <w:tcW w:w="2433" w:type="dxa"/>
                  <w:gridSpan w:val="3"/>
                  <w:vAlign w:val="center"/>
                </w:tcPr>
                <w:p>
                  <w:pPr>
                    <w:pStyle w:val="30"/>
                    <w:spacing w:line="360" w:lineRule="exact"/>
                    <w:rPr>
                      <w:color w:val="000000" w:themeColor="text1"/>
                      <w:sz w:val="20"/>
                      <w:szCs w:val="21"/>
                    </w:rPr>
                  </w:pPr>
                  <w:r>
                    <w:rPr>
                      <w:color w:val="000000" w:themeColor="text1"/>
                      <w:sz w:val="20"/>
                      <w:szCs w:val="21"/>
                    </w:rPr>
                    <w:t>3360万m³</w:t>
                  </w:r>
                </w:p>
              </w:tc>
              <w:tc>
                <w:tcPr>
                  <w:tcW w:w="1311" w:type="dxa"/>
                  <w:vAlign w:val="center"/>
                </w:tcPr>
                <w:p>
                  <w:pPr>
                    <w:pStyle w:val="30"/>
                    <w:spacing w:line="360" w:lineRule="exact"/>
                    <w:rPr>
                      <w:color w:val="000000" w:themeColor="text1"/>
                      <w:szCs w:val="21"/>
                    </w:rPr>
                  </w:pPr>
                  <w:r>
                    <w:rPr>
                      <w:color w:val="000000" w:themeColor="text1"/>
                      <w:szCs w:val="21"/>
                    </w:rPr>
                    <w:t>--</w:t>
                  </w:r>
                </w:p>
              </w:tc>
              <w:tc>
                <w:tcPr>
                  <w:tcW w:w="744" w:type="dxa"/>
                  <w:vAlign w:val="center"/>
                </w:tcPr>
                <w:p>
                  <w:pPr>
                    <w:pStyle w:val="30"/>
                    <w:spacing w:line="360" w:lineRule="exact"/>
                    <w:rPr>
                      <w:color w:val="000000" w:themeColor="text1"/>
                      <w:szCs w:val="21"/>
                    </w:rPr>
                  </w:pPr>
                  <w:r>
                    <w:rPr>
                      <w:color w:val="000000" w:themeColor="text1"/>
                      <w:szCs w:val="21"/>
                    </w:rPr>
                    <w:t>达标</w:t>
                  </w:r>
                </w:p>
              </w:tc>
            </w:tr>
          </w:tbl>
          <w:p>
            <w:pPr>
              <w:pStyle w:val="38"/>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项目无组织排放废气包括原料车间扬尘、水泥仓粉尘和未被收集的投料粉尘，按照</w:t>
            </w:r>
            <w:r>
              <w:rPr>
                <w:rFonts w:ascii="Times New Roman" w:hAnsi="Times New Roman" w:cs="Times New Roman"/>
                <w:color w:val="000000" w:themeColor="text1"/>
                <w:sz w:val="24"/>
                <w:szCs w:val="24"/>
              </w:rPr>
              <w:t>《环境影响评价技术导则-大气环境》（HJ2.2-2018）附录A推荐模型中的AERSCREEN模式</w:t>
            </w:r>
            <w:r>
              <w:rPr>
                <w:rFonts w:hint="eastAsia" w:ascii="Times New Roman" w:hAnsi="Times New Roman" w:cs="Times New Roman"/>
                <w:color w:val="000000" w:themeColor="text1"/>
                <w:sz w:val="24"/>
                <w:szCs w:val="24"/>
              </w:rPr>
              <w:t>进行预测，扬尘最大落地浓度为0.62</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无组织排放标准限值要求。</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项目投料粉尘</w:t>
            </w:r>
            <w:r>
              <w:rPr>
                <w:rFonts w:ascii="Times New Roman" w:hAnsi="Times New Roman" w:cs="Times New Roman"/>
                <w:color w:val="000000" w:themeColor="text1"/>
                <w:sz w:val="24"/>
                <w:szCs w:val="24"/>
              </w:rPr>
              <w:t>经各集气罩（集气效率约为90%）收集后进入1#袋式除尘器对其进行处理</w:t>
            </w:r>
            <w:r>
              <w:rPr>
                <w:rFonts w:hint="eastAsia" w:ascii="Times New Roman" w:hAnsi="Times New Roman" w:cs="Times New Roman"/>
                <w:color w:val="000000" w:themeColor="text1"/>
                <w:sz w:val="24"/>
                <w:szCs w:val="24"/>
              </w:rPr>
              <w:t>，搅拌混合粉尘通过密闭管道收集至1#袋式除尘器处理；经1#袋式除尘器处理后的粉尘可达到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中二级标准限值，通过DA001外排。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项目设计提出拟建设的废气污染治理设施</w:t>
            </w:r>
            <w:r>
              <w:rPr>
                <w:rFonts w:hint="eastAsia" w:ascii="Times New Roman" w:hAnsi="Times New Roman" w:cs="Times New Roman"/>
                <w:color w:val="000000" w:themeColor="text1"/>
                <w:sz w:val="24"/>
                <w:szCs w:val="24"/>
              </w:rPr>
              <w:t>集气罩、袋式除尘器、封闭厂房抑制扬尘产生均</w:t>
            </w:r>
            <w:r>
              <w:rPr>
                <w:rFonts w:ascii="Times New Roman" w:hAnsi="Times New Roman" w:cs="Times New Roman"/>
                <w:color w:val="000000" w:themeColor="text1"/>
                <w:sz w:val="24"/>
                <w:szCs w:val="24"/>
              </w:rPr>
              <w:t>为常见可行的废气污染防治措施</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属于可行技术，措施可行。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（4）监测要求</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①竣工验收监测要求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根据《建设项目竣工环境保护验收技术指南</w:t>
            </w: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污染影响类》的要求，项目竣工验收废气污染物监测计划如下表所示。</w:t>
            </w:r>
          </w:p>
          <w:p>
            <w:pPr>
              <w:jc w:val="center"/>
              <w:rPr>
                <w:rFonts w:ascii="Times New Roman" w:hAnsi="Times New Roman"/>
                <w:b/>
                <w:color w:val="000000" w:themeColor="text1"/>
                <w:szCs w:val="24"/>
              </w:rPr>
            </w:pPr>
            <w:r>
              <w:rPr>
                <w:rFonts w:ascii="Times New Roman" w:hAnsi="Times New Roman"/>
                <w:b/>
                <w:color w:val="000000" w:themeColor="text1"/>
                <w:szCs w:val="24"/>
              </w:rPr>
              <w:t>表4.2.1-</w:t>
            </w:r>
            <w:r>
              <w:rPr>
                <w:rFonts w:hint="eastAsia" w:ascii="Times New Roman" w:hAnsi="Times New Roman"/>
                <w:b/>
                <w:color w:val="000000" w:themeColor="text1"/>
                <w:szCs w:val="24"/>
              </w:rPr>
              <w:t>6</w:t>
            </w:r>
            <w:r>
              <w:rPr>
                <w:rFonts w:ascii="Times New Roman" w:hAnsi="Times New Roman"/>
                <w:b/>
                <w:color w:val="000000" w:themeColor="text1"/>
                <w:szCs w:val="24"/>
              </w:rPr>
              <w:t xml:space="preserve">  项目废气</w:t>
            </w:r>
            <w:r>
              <w:rPr>
                <w:rFonts w:hint="eastAsia" w:ascii="Times New Roman" w:hAnsi="Times New Roman"/>
                <w:b/>
                <w:color w:val="000000" w:themeColor="text1"/>
                <w:szCs w:val="24"/>
              </w:rPr>
              <w:t>污染物竣工验收</w:t>
            </w:r>
            <w:r>
              <w:rPr>
                <w:rFonts w:ascii="Times New Roman" w:hAnsi="Times New Roman"/>
                <w:b/>
                <w:color w:val="000000" w:themeColor="text1"/>
                <w:szCs w:val="24"/>
              </w:rPr>
              <w:t>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89"/>
              <w:gridCol w:w="1134"/>
              <w:gridCol w:w="1559"/>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对象</w:t>
                  </w:r>
                </w:p>
              </w:tc>
              <w:tc>
                <w:tcPr>
                  <w:tcW w:w="23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监测点位</w:t>
                  </w:r>
                </w:p>
              </w:tc>
              <w:tc>
                <w:tcPr>
                  <w:tcW w:w="113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监测因子</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监测频率</w:t>
                  </w:r>
                </w:p>
              </w:tc>
              <w:tc>
                <w:tcPr>
                  <w:tcW w:w="276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废气</w:t>
                  </w:r>
                </w:p>
              </w:tc>
              <w:tc>
                <w:tcPr>
                  <w:tcW w:w="238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DA001</w:t>
                  </w:r>
                </w:p>
              </w:tc>
              <w:tc>
                <w:tcPr>
                  <w:tcW w:w="1134"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颗粒物</w:t>
                  </w:r>
                </w:p>
              </w:tc>
              <w:tc>
                <w:tcPr>
                  <w:tcW w:w="1559" w:type="dxa"/>
                  <w:vMerge w:val="restar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监测2天、每天3次</w:t>
                  </w:r>
                </w:p>
              </w:tc>
              <w:tc>
                <w:tcPr>
                  <w:tcW w:w="2767" w:type="dxa"/>
                  <w:vMerge w:val="restart"/>
                  <w:vAlign w:val="center"/>
                </w:tcPr>
                <w:p>
                  <w:pPr>
                    <w:pStyle w:val="30"/>
                    <w:spacing w:line="360" w:lineRule="exact"/>
                    <w:ind w:firstLine="210" w:firstLineChars="100"/>
                    <w:jc w:val="both"/>
                    <w:rPr>
                      <w:color w:val="000000" w:themeColor="text1"/>
                      <w:szCs w:val="21"/>
                    </w:rPr>
                  </w:pPr>
                  <w:r>
                    <w:rPr>
                      <w:color w:val="000000" w:themeColor="text1"/>
                      <w:szCs w:val="21"/>
                    </w:rPr>
                    <w:t>《大气污染物综合排放标准》（GB</w:t>
                  </w:r>
                  <w:r>
                    <w:rPr>
                      <w:rFonts w:hint="eastAsia"/>
                      <w:color w:val="000000" w:themeColor="text1"/>
                      <w:szCs w:val="21"/>
                      <w:lang w:eastAsia="zh-CN"/>
                    </w:rPr>
                    <w:t>*****</w:t>
                  </w:r>
                  <w:r>
                    <w:rPr>
                      <w:color w:val="000000" w:themeColor="text1"/>
                      <w:szCs w:val="2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59" w:type="dxa"/>
                  <w:vMerge w:val="continue"/>
                  <w:vAlign w:val="center"/>
                </w:tcPr>
                <w:p>
                  <w:pPr>
                    <w:pStyle w:val="30"/>
                    <w:spacing w:line="360" w:lineRule="exact"/>
                    <w:rPr>
                      <w:rFonts w:eastAsiaTheme="minorEastAsia"/>
                      <w:color w:val="000000" w:themeColor="text1"/>
                      <w:szCs w:val="21"/>
                    </w:rPr>
                  </w:pPr>
                </w:p>
              </w:tc>
              <w:tc>
                <w:tcPr>
                  <w:tcW w:w="238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厂界上风向1参照点和下风向3个监控点</w:t>
                  </w:r>
                </w:p>
              </w:tc>
              <w:tc>
                <w:tcPr>
                  <w:tcW w:w="1134" w:type="dxa"/>
                  <w:vAlign w:val="center"/>
                </w:tcPr>
                <w:p>
                  <w:pPr>
                    <w:pStyle w:val="30"/>
                    <w:spacing w:line="360" w:lineRule="exact"/>
                    <w:rPr>
                      <w:rFonts w:eastAsiaTheme="minorEastAsia"/>
                      <w:color w:val="000000" w:themeColor="text1"/>
                      <w:szCs w:val="21"/>
                    </w:rPr>
                  </w:pPr>
                  <w:r>
                    <w:rPr>
                      <w:color w:val="000000" w:themeColor="text1"/>
                      <w:szCs w:val="21"/>
                    </w:rPr>
                    <w:t>颗粒物</w:t>
                  </w:r>
                </w:p>
              </w:tc>
              <w:tc>
                <w:tcPr>
                  <w:tcW w:w="1559" w:type="dxa"/>
                  <w:vMerge w:val="continue"/>
                  <w:vAlign w:val="center"/>
                </w:tcPr>
                <w:p>
                  <w:pPr>
                    <w:pStyle w:val="30"/>
                    <w:spacing w:line="360" w:lineRule="exact"/>
                    <w:rPr>
                      <w:rFonts w:eastAsiaTheme="minorEastAsia"/>
                      <w:color w:val="000000" w:themeColor="text1"/>
                      <w:szCs w:val="21"/>
                    </w:rPr>
                  </w:pPr>
                </w:p>
              </w:tc>
              <w:tc>
                <w:tcPr>
                  <w:tcW w:w="2767" w:type="dxa"/>
                  <w:vMerge w:val="continue"/>
                  <w:vAlign w:val="center"/>
                </w:tcPr>
                <w:p>
                  <w:pPr>
                    <w:pStyle w:val="30"/>
                    <w:spacing w:line="360" w:lineRule="exact"/>
                    <w:ind w:firstLine="210" w:firstLineChars="100"/>
                    <w:jc w:val="both"/>
                    <w:rPr>
                      <w:color w:val="000000" w:themeColor="text1"/>
                      <w:szCs w:val="21"/>
                    </w:rPr>
                  </w:pPr>
                </w:p>
              </w:tc>
            </w:tr>
          </w:tbl>
          <w:p>
            <w:pPr>
              <w:spacing w:beforeLines="50" w:line="360" w:lineRule="auto"/>
              <w:ind w:firstLine="482" w:firstLineChars="200"/>
              <w:rPr>
                <w:rFonts w:hint="eastAsia"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项目运营期废气自行监测计划一览表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226"/>
              <w:gridCol w:w="1275"/>
              <w:gridCol w:w="1134"/>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对象</w:t>
                  </w:r>
                </w:p>
              </w:tc>
              <w:tc>
                <w:tcPr>
                  <w:tcW w:w="12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监测点位</w:t>
                  </w:r>
                </w:p>
              </w:tc>
              <w:tc>
                <w:tcPr>
                  <w:tcW w:w="12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监测因子</w:t>
                  </w:r>
                </w:p>
              </w:tc>
              <w:tc>
                <w:tcPr>
                  <w:tcW w:w="113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404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废气</w:t>
                  </w:r>
                </w:p>
              </w:tc>
              <w:tc>
                <w:tcPr>
                  <w:tcW w:w="12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DA001</w:t>
                  </w:r>
                </w:p>
              </w:tc>
              <w:tc>
                <w:tcPr>
                  <w:tcW w:w="12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颗粒物</w:t>
                  </w:r>
                </w:p>
              </w:tc>
              <w:tc>
                <w:tcPr>
                  <w:tcW w:w="113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4044"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-1996）表2</w:t>
                  </w:r>
                  <w:r>
                    <w:rPr>
                      <w:rFonts w:hint="eastAsia" w:eastAsiaTheme="minorEastAsia"/>
                      <w:color w:val="000000" w:themeColor="text1"/>
                      <w:szCs w:val="21"/>
                    </w:rPr>
                    <w:t>中二级标准限值。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29" w:type="dxa"/>
                  <w:vMerge w:val="continue"/>
                  <w:vAlign w:val="center"/>
                </w:tcPr>
                <w:p>
                  <w:pPr>
                    <w:pStyle w:val="30"/>
                    <w:spacing w:line="360" w:lineRule="exact"/>
                    <w:rPr>
                      <w:rFonts w:eastAsiaTheme="minorEastAsia"/>
                      <w:color w:val="000000" w:themeColor="text1"/>
                      <w:szCs w:val="21"/>
                    </w:rPr>
                  </w:pPr>
                </w:p>
              </w:tc>
              <w:tc>
                <w:tcPr>
                  <w:tcW w:w="12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企业边界</w:t>
                  </w:r>
                </w:p>
              </w:tc>
              <w:tc>
                <w:tcPr>
                  <w:tcW w:w="12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颗粒物</w:t>
                  </w:r>
                </w:p>
              </w:tc>
              <w:tc>
                <w:tcPr>
                  <w:tcW w:w="113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4044"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-1996）表2中无组织排放限值</w:t>
                  </w:r>
                  <w:r>
                    <w:rPr>
                      <w:rFonts w:hint="eastAsia" w:eastAsiaTheme="minorEastAsia"/>
                      <w:color w:val="000000" w:themeColor="text1"/>
                      <w:szCs w:val="2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项目非正常情形为废气处理设施</w:t>
            </w:r>
            <w:r>
              <w:rPr>
                <w:rFonts w:ascii="Times New Roman" w:hAnsi="Times New Roman" w:cs="Times New Roman"/>
                <w:color w:val="000000" w:themeColor="text1"/>
                <w:sz w:val="24"/>
                <w:szCs w:val="24"/>
              </w:rPr>
              <w:t>全部失效，项目产生的</w:t>
            </w:r>
            <w:r>
              <w:rPr>
                <w:rFonts w:hint="eastAsia" w:ascii="Times New Roman" w:hAnsi="Times New Roman" w:cs="Times New Roman"/>
                <w:color w:val="000000" w:themeColor="text1"/>
                <w:sz w:val="24"/>
                <w:szCs w:val="24"/>
              </w:rPr>
              <w:t>废气</w:t>
            </w:r>
            <w:r>
              <w:rPr>
                <w:rFonts w:ascii="Times New Roman" w:hAnsi="Times New Roman" w:cs="Times New Roman"/>
                <w:color w:val="000000" w:themeColor="text1"/>
                <w:sz w:val="24"/>
                <w:szCs w:val="24"/>
              </w:rPr>
              <w:t>外排。</w:t>
            </w:r>
            <w:r>
              <w:rPr>
                <w:rFonts w:hint="eastAsia" w:ascii="Times New Roman" w:hAnsi="Times New Roman" w:cs="Times New Roman"/>
                <w:color w:val="000000" w:themeColor="text1"/>
                <w:sz w:val="24"/>
                <w:szCs w:val="24"/>
              </w:rPr>
              <w:t>废气处理设施失效非正常情形下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7 非正常情形下</w:t>
            </w:r>
            <w:r>
              <w:rPr>
                <w:rFonts w:ascii="Times New Roman" w:hAnsi="Times New Roman" w:cs="Times New Roman"/>
                <w:b/>
                <w:color w:val="000000" w:themeColor="text1"/>
                <w:szCs w:val="24"/>
              </w:rPr>
              <w:t>废气污染物排放源产排量及达标情况一览表</w:t>
            </w:r>
          </w:p>
          <w:tbl>
            <w:tblPr>
              <w:tblStyle w:val="19"/>
              <w:tblW w:w="5000" w:type="pct"/>
              <w:tblInd w:w="0" w:type="dxa"/>
              <w:tblLayout w:type="fixed"/>
              <w:tblCellMar>
                <w:top w:w="0" w:type="dxa"/>
                <w:left w:w="108" w:type="dxa"/>
                <w:bottom w:w="0" w:type="dxa"/>
                <w:right w:w="108" w:type="dxa"/>
              </w:tblCellMar>
            </w:tblPr>
            <w:tblGrid>
              <w:gridCol w:w="801"/>
              <w:gridCol w:w="1070"/>
              <w:gridCol w:w="987"/>
              <w:gridCol w:w="1141"/>
              <w:gridCol w:w="1140"/>
              <w:gridCol w:w="712"/>
              <w:gridCol w:w="1145"/>
              <w:gridCol w:w="1623"/>
            </w:tblGrid>
            <w:tr>
              <w:tblPrEx>
                <w:tblCellMar>
                  <w:top w:w="0" w:type="dxa"/>
                  <w:left w:w="108" w:type="dxa"/>
                  <w:bottom w:w="0" w:type="dxa"/>
                  <w:right w:w="108" w:type="dxa"/>
                </w:tblCellMar>
              </w:tblPrEx>
              <w:trPr>
                <w:trHeight w:val="576" w:hRule="atLeast"/>
              </w:trPr>
              <w:tc>
                <w:tcPr>
                  <w:tcW w:w="1867"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产排污环节</w:t>
                  </w:r>
                </w:p>
              </w:tc>
              <w:tc>
                <w:tcPr>
                  <w:tcW w:w="9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污染物种类</w:t>
                  </w:r>
                </w:p>
              </w:tc>
              <w:tc>
                <w:tcPr>
                  <w:tcW w:w="2275"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污染物排放量和浓度</w:t>
                  </w:r>
                </w:p>
              </w:tc>
              <w:tc>
                <w:tcPr>
                  <w:tcW w:w="71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频次</w:t>
                  </w:r>
                </w:p>
              </w:tc>
              <w:tc>
                <w:tcPr>
                  <w:tcW w:w="1142"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持续时间</w:t>
                  </w:r>
                </w:p>
              </w:tc>
              <w:tc>
                <w:tcPr>
                  <w:tcW w:w="16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措施</w:t>
                  </w:r>
                </w:p>
              </w:tc>
            </w:tr>
            <w:tr>
              <w:tblPrEx>
                <w:tblCellMar>
                  <w:top w:w="0" w:type="dxa"/>
                  <w:left w:w="108" w:type="dxa"/>
                  <w:bottom w:w="0" w:type="dxa"/>
                  <w:right w:w="108" w:type="dxa"/>
                </w:tblCellMar>
              </w:tblPrEx>
              <w:trPr>
                <w:trHeight w:val="588" w:hRule="atLeast"/>
              </w:trPr>
              <w:tc>
                <w:tcPr>
                  <w:tcW w:w="1867"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排放浓度</w:t>
                  </w:r>
                  <w:r>
                    <w:rPr>
                      <w:rFonts w:ascii="Times New Roman" w:hAnsi="Times New Roman" w:eastAsia="宋体" w:cs="Times New Roman"/>
                      <w:color w:val="000000" w:themeColor="text1"/>
                      <w:kern w:val="0"/>
                    </w:rPr>
                    <w:t>mg/m³</w:t>
                  </w:r>
                </w:p>
              </w:tc>
              <w:tc>
                <w:tcPr>
                  <w:tcW w:w="113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排放量</w:t>
                  </w:r>
                  <w:r>
                    <w:rPr>
                      <w:rFonts w:ascii="Times New Roman" w:hAnsi="Times New Roman" w:eastAsia="宋体" w:cs="Times New Roman"/>
                      <w:color w:val="000000" w:themeColor="text1"/>
                      <w:kern w:val="0"/>
                    </w:rPr>
                    <w:t>kg/</w:t>
                  </w:r>
                  <w:r>
                    <w:rPr>
                      <w:rFonts w:ascii="Times New Roman" w:hAnsi="宋体" w:eastAsia="宋体" w:cs="Times New Roman"/>
                      <w:color w:val="000000" w:themeColor="text1"/>
                      <w:kern w:val="0"/>
                    </w:rPr>
                    <w:t>次</w:t>
                  </w:r>
                </w:p>
              </w:tc>
              <w:tc>
                <w:tcPr>
                  <w:tcW w:w="710"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42"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61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799" w:type="dxa"/>
                  <w:vMerge w:val="restart"/>
                  <w:tcBorders>
                    <w:top w:val="single" w:color="auto" w:sz="4" w:space="0"/>
                    <w:left w:val="single" w:color="000000" w:sz="8" w:space="0"/>
                    <w:right w:val="single" w:color="auto" w:sz="4" w:space="0"/>
                  </w:tcBorders>
                  <w:vAlign w:val="center"/>
                </w:tcPr>
                <w:p>
                  <w:pPr>
                    <w:pStyle w:val="30"/>
                    <w:spacing w:line="360" w:lineRule="exact"/>
                    <w:rPr>
                      <w:color w:val="000000" w:themeColor="text1"/>
                      <w:szCs w:val="21"/>
                    </w:rPr>
                  </w:pPr>
                  <w:r>
                    <w:rPr>
                      <w:color w:val="000000" w:themeColor="text1"/>
                      <w:szCs w:val="21"/>
                    </w:rPr>
                    <w:t>生产线</w:t>
                  </w:r>
                </w:p>
              </w:tc>
              <w:tc>
                <w:tcPr>
                  <w:tcW w:w="1068" w:type="dxa"/>
                  <w:tcBorders>
                    <w:top w:val="single" w:color="auto" w:sz="4" w:space="0"/>
                    <w:left w:val="single" w:color="auto" w:sz="4" w:space="0"/>
                    <w:right w:val="single" w:color="000000" w:sz="8" w:space="0"/>
                  </w:tcBorders>
                  <w:vAlign w:val="center"/>
                </w:tcPr>
                <w:p>
                  <w:pPr>
                    <w:pStyle w:val="30"/>
                    <w:spacing w:line="360" w:lineRule="exact"/>
                    <w:rPr>
                      <w:color w:val="000000" w:themeColor="text1"/>
                      <w:szCs w:val="21"/>
                    </w:rPr>
                  </w:pPr>
                  <w:r>
                    <w:rPr>
                      <w:color w:val="000000" w:themeColor="text1"/>
                      <w:szCs w:val="21"/>
                    </w:rPr>
                    <w:t>投料</w:t>
                  </w:r>
                </w:p>
              </w:tc>
              <w:tc>
                <w:tcPr>
                  <w:tcW w:w="985" w:type="dxa"/>
                  <w:tcBorders>
                    <w:top w:val="nil"/>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颗粒物</w:t>
                  </w:r>
                </w:p>
              </w:tc>
              <w:tc>
                <w:tcPr>
                  <w:tcW w:w="1138" w:type="dxa"/>
                  <w:tcBorders>
                    <w:top w:val="nil"/>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73.33</w:t>
                  </w:r>
                </w:p>
              </w:tc>
              <w:tc>
                <w:tcPr>
                  <w:tcW w:w="1137" w:type="dxa"/>
                  <w:tcBorders>
                    <w:top w:val="nil"/>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0.66</w:t>
                  </w:r>
                </w:p>
              </w:tc>
              <w:tc>
                <w:tcPr>
                  <w:tcW w:w="710" w:type="dxa"/>
                  <w:vMerge w:val="restart"/>
                  <w:tcBorders>
                    <w:top w:val="single" w:color="auto" w:sz="4" w:space="0"/>
                    <w:left w:val="nil"/>
                    <w:right w:val="single" w:color="auto" w:sz="4"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1次</w:t>
                  </w:r>
                  <w:r>
                    <w:rPr>
                      <w:color w:val="000000" w:themeColor="text1"/>
                      <w:szCs w:val="21"/>
                    </w:rPr>
                    <w:t xml:space="preserve">/a </w:t>
                  </w:r>
                </w:p>
              </w:tc>
              <w:tc>
                <w:tcPr>
                  <w:tcW w:w="1142" w:type="dxa"/>
                  <w:vMerge w:val="restart"/>
                  <w:tcBorders>
                    <w:top w:val="single" w:color="auto" w:sz="4" w:space="0"/>
                    <w:left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1</w:t>
                  </w:r>
                  <w:r>
                    <w:rPr>
                      <w:color w:val="000000" w:themeColor="text1"/>
                      <w:szCs w:val="21"/>
                    </w:rPr>
                    <w:t>0min /次</w:t>
                  </w:r>
                </w:p>
              </w:tc>
              <w:tc>
                <w:tcPr>
                  <w:tcW w:w="1619" w:type="dxa"/>
                  <w:vMerge w:val="restart"/>
                  <w:tcBorders>
                    <w:top w:val="single" w:color="auto" w:sz="4" w:space="0"/>
                    <w:left w:val="nil"/>
                    <w:right w:val="single" w:color="000000"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立即</w:t>
                  </w:r>
                  <w:r>
                    <w:rPr>
                      <w:color w:val="000000" w:themeColor="text1"/>
                      <w:szCs w:val="21"/>
                    </w:rPr>
                    <w:t>停机检修</w:t>
                  </w:r>
                </w:p>
              </w:tc>
            </w:tr>
            <w:tr>
              <w:tblPrEx>
                <w:tblCellMar>
                  <w:top w:w="0" w:type="dxa"/>
                  <w:left w:w="108" w:type="dxa"/>
                  <w:bottom w:w="0" w:type="dxa"/>
                  <w:right w:w="108" w:type="dxa"/>
                </w:tblCellMar>
              </w:tblPrEx>
              <w:trPr>
                <w:trHeight w:val="300" w:hRule="atLeast"/>
              </w:trPr>
              <w:tc>
                <w:tcPr>
                  <w:tcW w:w="799" w:type="dxa"/>
                  <w:vMerge w:val="continue"/>
                  <w:tcBorders>
                    <w:left w:val="single" w:color="000000" w:sz="8" w:space="0"/>
                    <w:bottom w:val="single" w:color="000000" w:sz="8" w:space="0"/>
                    <w:right w:val="single" w:color="auto" w:sz="4" w:space="0"/>
                  </w:tcBorders>
                  <w:vAlign w:val="center"/>
                </w:tcPr>
                <w:p>
                  <w:pPr>
                    <w:pStyle w:val="30"/>
                    <w:spacing w:line="360" w:lineRule="exact"/>
                    <w:rPr>
                      <w:color w:val="000000" w:themeColor="text1"/>
                      <w:szCs w:val="21"/>
                    </w:rPr>
                  </w:pPr>
                </w:p>
              </w:tc>
              <w:tc>
                <w:tcPr>
                  <w:tcW w:w="1068" w:type="dxa"/>
                  <w:tcBorders>
                    <w:top w:val="single" w:color="auto" w:sz="4" w:space="0"/>
                    <w:left w:val="single" w:color="auto" w:sz="4" w:space="0"/>
                    <w:bottom w:val="single" w:color="000000" w:sz="8" w:space="0"/>
                    <w:right w:val="single" w:color="000000" w:sz="8" w:space="0"/>
                  </w:tcBorders>
                  <w:vAlign w:val="center"/>
                </w:tcPr>
                <w:p>
                  <w:pPr>
                    <w:pStyle w:val="30"/>
                    <w:spacing w:line="360" w:lineRule="exact"/>
                    <w:rPr>
                      <w:color w:val="000000" w:themeColor="text1"/>
                      <w:szCs w:val="21"/>
                    </w:rPr>
                  </w:pPr>
                  <w:r>
                    <w:rPr>
                      <w:color w:val="000000" w:themeColor="text1"/>
                      <w:szCs w:val="21"/>
                    </w:rPr>
                    <w:t>搅拌混合</w:t>
                  </w:r>
                </w:p>
              </w:tc>
              <w:tc>
                <w:tcPr>
                  <w:tcW w:w="985" w:type="dxa"/>
                  <w:tcBorders>
                    <w:top w:val="single" w:color="auto" w:sz="4" w:space="0"/>
                    <w:left w:val="nil"/>
                    <w:bottom w:val="single" w:color="000000"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颗粒物</w:t>
                  </w:r>
                </w:p>
              </w:tc>
              <w:tc>
                <w:tcPr>
                  <w:tcW w:w="1138" w:type="dxa"/>
                  <w:tcBorders>
                    <w:top w:val="single" w:color="auto" w:sz="4"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323.33</w:t>
                  </w:r>
                </w:p>
              </w:tc>
              <w:tc>
                <w:tcPr>
                  <w:tcW w:w="1137" w:type="dxa"/>
                  <w:tcBorders>
                    <w:top w:val="single" w:color="auto" w:sz="4"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1.62</w:t>
                  </w:r>
                </w:p>
              </w:tc>
              <w:tc>
                <w:tcPr>
                  <w:tcW w:w="710" w:type="dxa"/>
                  <w:vMerge w:val="continue"/>
                  <w:tcBorders>
                    <w:left w:val="nil"/>
                    <w:bottom w:val="single" w:color="auto" w:sz="4" w:space="0"/>
                    <w:right w:val="single" w:color="auto" w:sz="4" w:space="0"/>
                  </w:tcBorders>
                  <w:shd w:val="clear" w:color="auto" w:fill="auto"/>
                  <w:vAlign w:val="center"/>
                </w:tcPr>
                <w:p>
                  <w:pPr>
                    <w:pStyle w:val="30"/>
                    <w:spacing w:line="360" w:lineRule="exact"/>
                    <w:rPr>
                      <w:color w:val="000000" w:themeColor="text1"/>
                      <w:szCs w:val="21"/>
                    </w:rPr>
                  </w:pPr>
                </w:p>
              </w:tc>
              <w:tc>
                <w:tcPr>
                  <w:tcW w:w="1142" w:type="dxa"/>
                  <w:vMerge w:val="continue"/>
                  <w:tcBorders>
                    <w:left w:val="single" w:color="auto" w:sz="4" w:space="0"/>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p>
              </w:tc>
              <w:tc>
                <w:tcPr>
                  <w:tcW w:w="1619" w:type="dxa"/>
                  <w:vMerge w:val="continue"/>
                  <w:tcBorders>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hint="eastAsia" w:ascii="Times New Roman" w:hAnsi="Times New Roman" w:cs="Times New Roman"/>
                <w:bCs/>
                <w:color w:val="000000" w:themeColor="text1"/>
                <w:sz w:val="24"/>
              </w:rPr>
            </w:pPr>
            <w:r>
              <w:rPr>
                <w:rFonts w:ascii="Times New Roman" w:hAnsi="Times New Roman" w:cs="Times New Roman"/>
                <w:bCs/>
                <w:color w:val="000000" w:themeColor="text1"/>
                <w:sz w:val="24"/>
              </w:rPr>
              <w:t>根据上述分析可知，</w:t>
            </w:r>
            <w:r>
              <w:rPr>
                <w:rFonts w:hint="eastAsia" w:ascii="Times New Roman" w:hAnsi="Times New Roman" w:cs="Times New Roman"/>
                <w:bCs/>
                <w:color w:val="000000" w:themeColor="text1"/>
                <w:sz w:val="24"/>
              </w:rPr>
              <w:t>该项目废气主要包括原料车间扬尘、水泥仓粉尘、投料粉尘和搅拌混合粉尘。</w:t>
            </w:r>
            <w:r>
              <w:rPr>
                <w:rFonts w:ascii="Times New Roman" w:hAnsi="Times New Roman" w:cs="Times New Roman"/>
                <w:bCs/>
                <w:color w:val="000000" w:themeColor="text1"/>
                <w:sz w:val="24"/>
              </w:rPr>
              <w:t>针对投料粉尘，拟对3个给料料斗设置半封闭集气罩，将该过程产生的粉尘进行收集，各集气罩集气效率约为90%</w:t>
            </w:r>
            <w:r>
              <w:rPr>
                <w:rFonts w:hint="eastAsia" w:ascii="Times New Roman" w:hAnsi="Times New Roman" w:cs="Times New Roman"/>
                <w:bCs/>
                <w:color w:val="000000" w:themeColor="text1"/>
                <w:sz w:val="24"/>
              </w:rPr>
              <w:t>，</w:t>
            </w:r>
            <w:r>
              <w:rPr>
                <w:rFonts w:ascii="Times New Roman" w:hAnsi="Times New Roman" w:cs="Times New Roman"/>
                <w:bCs/>
                <w:color w:val="000000" w:themeColor="text1"/>
                <w:sz w:val="24"/>
              </w:rPr>
              <w:t>经各集气罩（集气效率约为90%）收集后进入1#袋式除尘器对其进行处理，未收集部分呈无组织排放；该搅拌机属于密闭式搅拌机，搅拌混合粉尘通过密闭管道收集至1#袋式除尘器处理；经1#袋式除尘器处理后的粉尘可达到《大气污染物综合排放标准》（GB</w:t>
            </w:r>
            <w:r>
              <w:rPr>
                <w:rFonts w:hint="eastAsia" w:ascii="Times New Roman" w:hAnsi="Times New Roman" w:cs="Times New Roman"/>
                <w:bCs/>
                <w:color w:val="000000" w:themeColor="text1"/>
                <w:sz w:val="24"/>
                <w:lang w:eastAsia="zh-CN"/>
              </w:rPr>
              <w:t>*****</w:t>
            </w:r>
            <w:r>
              <w:rPr>
                <w:rFonts w:ascii="Times New Roman" w:hAnsi="Times New Roman" w:cs="Times New Roman"/>
                <w:bCs/>
                <w:color w:val="000000" w:themeColor="text1"/>
                <w:sz w:val="24"/>
              </w:rPr>
              <w:t>-1996）中表2 新污染源大气污染物排放限值通过DA001外排。无组织排放颗粒物可达到《大气污染物综合排放标准》（GB</w:t>
            </w:r>
            <w:r>
              <w:rPr>
                <w:rFonts w:hint="eastAsia" w:ascii="Times New Roman" w:hAnsi="Times New Roman" w:cs="Times New Roman"/>
                <w:bCs/>
                <w:color w:val="000000" w:themeColor="text1"/>
                <w:sz w:val="24"/>
                <w:lang w:eastAsia="zh-CN"/>
              </w:rPr>
              <w:t>*****</w:t>
            </w:r>
            <w:r>
              <w:rPr>
                <w:rFonts w:ascii="Times New Roman" w:hAnsi="Times New Roman" w:cs="Times New Roman"/>
                <w:bCs/>
                <w:color w:val="000000" w:themeColor="text1"/>
                <w:sz w:val="24"/>
              </w:rPr>
              <w:t>-1996）无组织排放标准限值要求</w:t>
            </w:r>
            <w:r>
              <w:rPr>
                <w:rFonts w:hint="eastAsia" w:ascii="Times New Roman" w:hAnsi="Times New Roman" w:cs="Times New Roman"/>
                <w:bCs/>
                <w:color w:val="000000" w:themeColor="text1"/>
                <w:sz w:val="24"/>
              </w:rPr>
              <w:t>；</w:t>
            </w:r>
            <w:r>
              <w:rPr>
                <w:rFonts w:ascii="Times New Roman" w:hAnsi="Times New Roman" w:cs="Times New Roman"/>
                <w:bCs/>
                <w:color w:val="000000" w:themeColor="text1"/>
                <w:sz w:val="24"/>
              </w:rPr>
              <w:t>且项目位于环境空气质量达标区，环境保护目标大凹子农场位于项目区上风向138m，因此项目排放的废气对大气环境影响较小。</w:t>
            </w:r>
          </w:p>
          <w:p>
            <w:pPr>
              <w:spacing w:line="360" w:lineRule="auto"/>
              <w:ind w:firstLine="482" w:firstLineChars="200"/>
              <w:rPr>
                <w:rFonts w:hint="eastAsia"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480" w:firstLineChars="200"/>
              <w:rPr>
                <w:rFonts w:hint="eastAsia" w:ascii="Times New Roman" w:hAnsi="Times New Roman" w:cs="Times New Roman"/>
                <w:bCs/>
                <w:color w:val="000000" w:themeColor="text1"/>
                <w:sz w:val="24"/>
              </w:rPr>
            </w:pPr>
            <w:r>
              <w:rPr>
                <w:rFonts w:ascii="Times New Roman" w:hAnsi="Times New Roman" w:cs="Times New Roman"/>
                <w:bCs/>
                <w:color w:val="000000" w:themeColor="text1"/>
                <w:sz w:val="24"/>
              </w:rPr>
              <w:t>根据项目建设内容及生产工艺，</w:t>
            </w:r>
            <w:r>
              <w:rPr>
                <w:rFonts w:hint="eastAsia" w:ascii="Times New Roman" w:hAnsi="Times New Roman" w:cs="Times New Roman"/>
                <w:bCs/>
                <w:color w:val="000000" w:themeColor="text1"/>
                <w:sz w:val="24"/>
              </w:rPr>
              <w:t>该项目无生产废水产生，项目区建设内容只有生产设施，不配套设置办公室和生活区，员工食宿自行解决，而员工日常如厕可依托使用项目区旁云南叁景防水建材有限公司卫生间，本项目无生活污水产生。且项目租用区域全为标准厂房室内，因此无初期雨水等废水产生及外排。</w:t>
            </w:r>
          </w:p>
          <w:p>
            <w:pPr>
              <w:spacing w:line="360" w:lineRule="auto"/>
              <w:ind w:firstLine="480" w:firstLineChars="200"/>
              <w:rPr>
                <w:rFonts w:hint="eastAsia" w:ascii="Times New Roman" w:hAnsi="Times New Roman" w:cs="Times New Roman"/>
                <w:bCs/>
                <w:color w:val="000000" w:themeColor="text1"/>
                <w:sz w:val="24"/>
              </w:rPr>
            </w:pPr>
            <w:r>
              <w:rPr>
                <w:rFonts w:hint="eastAsia" w:ascii="Times New Roman" w:hAnsi="Times New Roman" w:cs="Times New Roman"/>
                <w:bCs/>
                <w:color w:val="000000" w:themeColor="text1"/>
                <w:sz w:val="24"/>
              </w:rPr>
              <w:t>综上，该项目无废水产生。</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hint="eastAsia"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19"/>
              <w:tblW w:w="5000" w:type="pct"/>
              <w:jc w:val="center"/>
              <w:tblLayout w:type="fixed"/>
              <w:tblCellMar>
                <w:top w:w="0" w:type="dxa"/>
                <w:left w:w="108" w:type="dxa"/>
                <w:bottom w:w="0" w:type="dxa"/>
                <w:right w:w="108" w:type="dxa"/>
              </w:tblCellMar>
            </w:tblPr>
            <w:tblGrid>
              <w:gridCol w:w="733"/>
              <w:gridCol w:w="1096"/>
              <w:gridCol w:w="1578"/>
              <w:gridCol w:w="860"/>
              <w:gridCol w:w="1248"/>
              <w:gridCol w:w="902"/>
              <w:gridCol w:w="1004"/>
              <w:gridCol w:w="1198"/>
            </w:tblGrid>
            <w:tr>
              <w:tblPrEx>
                <w:tblCellMar>
                  <w:top w:w="0" w:type="dxa"/>
                  <w:left w:w="108" w:type="dxa"/>
                  <w:bottom w:w="0" w:type="dxa"/>
                  <w:right w:w="108" w:type="dxa"/>
                </w:tblCellMar>
              </w:tblPrEx>
              <w:trPr>
                <w:trHeight w:val="876" w:hRule="atLeast"/>
                <w:jc w:val="center"/>
              </w:trPr>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主要生产单元</w:t>
                  </w:r>
                </w:p>
              </w:tc>
              <w:tc>
                <w:tcPr>
                  <w:tcW w:w="1083"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主要工艺</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生产设施</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设施参数</w:t>
                  </w:r>
                </w:p>
              </w:tc>
              <w:tc>
                <w:tcPr>
                  <w:tcW w:w="1234" w:type="dxa"/>
                  <w:tcBorders>
                    <w:top w:val="single" w:color="000000" w:sz="8" w:space="0"/>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产生强度〔dB（A）〕</w:t>
                  </w:r>
                </w:p>
              </w:tc>
              <w:tc>
                <w:tcPr>
                  <w:tcW w:w="892" w:type="dxa"/>
                  <w:tcBorders>
                    <w:top w:val="single" w:color="000000" w:sz="8" w:space="0"/>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降噪措施</w:t>
                  </w:r>
                </w:p>
              </w:tc>
              <w:tc>
                <w:tcPr>
                  <w:tcW w:w="993" w:type="dxa"/>
                  <w:tcBorders>
                    <w:top w:val="single" w:color="000000" w:sz="8" w:space="0"/>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排放强度〔dB（A）〕</w:t>
                  </w:r>
                </w:p>
              </w:tc>
              <w:tc>
                <w:tcPr>
                  <w:tcW w:w="1184"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持续时间</w:t>
                  </w:r>
                </w:p>
              </w:tc>
            </w:tr>
            <w:tr>
              <w:tblPrEx>
                <w:tblCellMar>
                  <w:top w:w="0" w:type="dxa"/>
                  <w:left w:w="108" w:type="dxa"/>
                  <w:bottom w:w="0" w:type="dxa"/>
                  <w:right w:w="108" w:type="dxa"/>
                </w:tblCellMar>
              </w:tblPrEx>
              <w:trPr>
                <w:trHeight w:val="187" w:hRule="atLeast"/>
                <w:jc w:val="center"/>
              </w:trPr>
              <w:tc>
                <w:tcPr>
                  <w:tcW w:w="726" w:type="dxa"/>
                  <w:vMerge w:val="restart"/>
                  <w:tcBorders>
                    <w:top w:val="nil"/>
                    <w:left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主体工程</w:t>
                  </w:r>
                </w:p>
              </w:tc>
              <w:tc>
                <w:tcPr>
                  <w:tcW w:w="10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ascii="Times New Roman" w:hAnsi="Times New Roman" w:cs="Times New Roman"/>
                      <w:color w:val="000000" w:themeColor="text1"/>
                      <w:szCs w:val="20"/>
                    </w:rPr>
                    <w:t>轻集料混凝土</w:t>
                  </w:r>
                  <w:r>
                    <w:rPr>
                      <w:rFonts w:hint="eastAsia"/>
                      <w:color w:val="000000" w:themeColor="text1"/>
                      <w:szCs w:val="20"/>
                    </w:rPr>
                    <w:t>生产线</w:t>
                  </w:r>
                </w:p>
              </w:tc>
              <w:tc>
                <w:tcPr>
                  <w:tcW w:w="156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多功能给料</w:t>
                  </w:r>
                  <w:r>
                    <w:rPr>
                      <w:rFonts w:hint="eastAsia" w:ascii="Times New Roman" w:hAnsi="Times New Roman" w:eastAsia="宋体" w:cs="Times New Roman"/>
                      <w:color w:val="000000" w:themeColor="text1"/>
                      <w:szCs w:val="20"/>
                    </w:rPr>
                    <w:t>斗</w:t>
                  </w:r>
                </w:p>
              </w:tc>
              <w:tc>
                <w:tcPr>
                  <w:tcW w:w="85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5m³/个</w:t>
                  </w:r>
                </w:p>
              </w:tc>
              <w:tc>
                <w:tcPr>
                  <w:tcW w:w="123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color w:val="000000" w:themeColor="text1"/>
                      <w:szCs w:val="20"/>
                    </w:rPr>
                    <w:t>90</w:t>
                  </w:r>
                </w:p>
              </w:tc>
              <w:tc>
                <w:tcPr>
                  <w:tcW w:w="892" w:type="dxa"/>
                  <w:vMerge w:val="restart"/>
                  <w:tcBorders>
                    <w:top w:val="nil"/>
                    <w:left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减震垫、消声器、墙体阻隔等</w:t>
                  </w:r>
                </w:p>
              </w:tc>
              <w:tc>
                <w:tcPr>
                  <w:tcW w:w="993"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color w:val="000000" w:themeColor="text1"/>
                      <w:szCs w:val="20"/>
                    </w:rPr>
                    <w:t>75</w:t>
                  </w:r>
                </w:p>
              </w:tc>
              <w:tc>
                <w:tcPr>
                  <w:tcW w:w="118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连续产生</w:t>
                  </w:r>
                </w:p>
              </w:tc>
            </w:tr>
            <w:tr>
              <w:tblPrEx>
                <w:tblCellMar>
                  <w:top w:w="0" w:type="dxa"/>
                  <w:left w:w="108" w:type="dxa"/>
                  <w:bottom w:w="0" w:type="dxa"/>
                  <w:right w:w="108" w:type="dxa"/>
                </w:tblCellMar>
              </w:tblPrEx>
              <w:trPr>
                <w:trHeight w:val="324" w:hRule="atLeast"/>
                <w:jc w:val="center"/>
              </w:trPr>
              <w:tc>
                <w:tcPr>
                  <w:tcW w:w="726" w:type="dxa"/>
                  <w:vMerge w:val="continue"/>
                  <w:tcBorders>
                    <w:left w:val="single" w:color="000000" w:sz="8" w:space="0"/>
                    <w:bottom w:val="single" w:color="auto" w:sz="4"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szCs w:val="20"/>
                    </w:rPr>
                  </w:pPr>
                </w:p>
              </w:tc>
              <w:tc>
                <w:tcPr>
                  <w:tcW w:w="1083"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szCs w:val="20"/>
                    </w:rPr>
                  </w:pPr>
                </w:p>
              </w:tc>
              <w:tc>
                <w:tcPr>
                  <w:tcW w:w="156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多功能混合搅拌机</w:t>
                  </w:r>
                </w:p>
              </w:tc>
              <w:tc>
                <w:tcPr>
                  <w:tcW w:w="85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5t/h</w:t>
                  </w:r>
                </w:p>
              </w:tc>
              <w:tc>
                <w:tcPr>
                  <w:tcW w:w="123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color w:val="000000" w:themeColor="text1"/>
                      <w:szCs w:val="20"/>
                    </w:rPr>
                    <w:t>100</w:t>
                  </w:r>
                </w:p>
              </w:tc>
              <w:tc>
                <w:tcPr>
                  <w:tcW w:w="892" w:type="dxa"/>
                  <w:vMerge w:val="continue"/>
                  <w:tcBorders>
                    <w:left w:val="single" w:color="auto" w:sz="8" w:space="0"/>
                    <w:right w:val="single" w:color="auto" w:sz="8" w:space="0"/>
                  </w:tcBorders>
                  <w:vAlign w:val="center"/>
                </w:tcPr>
                <w:p>
                  <w:pPr>
                    <w:widowControl/>
                    <w:spacing w:line="360" w:lineRule="exact"/>
                    <w:jc w:val="center"/>
                    <w:rPr>
                      <w:rFonts w:ascii="Times New Roman" w:hAnsi="Times New Roman" w:eastAsia="宋体" w:cs="Times New Roman"/>
                      <w:color w:val="000000" w:themeColor="text1"/>
                      <w:szCs w:val="20"/>
                    </w:rPr>
                  </w:pPr>
                </w:p>
              </w:tc>
              <w:tc>
                <w:tcPr>
                  <w:tcW w:w="993"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color w:val="000000" w:themeColor="text1"/>
                      <w:szCs w:val="20"/>
                    </w:rPr>
                    <w:t>85</w:t>
                  </w:r>
                </w:p>
              </w:tc>
              <w:tc>
                <w:tcPr>
                  <w:tcW w:w="118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连续产生</w:t>
                  </w:r>
                </w:p>
              </w:tc>
            </w:tr>
            <w:tr>
              <w:tblPrEx>
                <w:tblCellMar>
                  <w:top w:w="0" w:type="dxa"/>
                  <w:left w:w="108" w:type="dxa"/>
                  <w:bottom w:w="0" w:type="dxa"/>
                  <w:right w:w="108" w:type="dxa"/>
                </w:tblCellMar>
              </w:tblPrEx>
              <w:trPr>
                <w:trHeight w:val="650" w:hRule="atLeast"/>
                <w:jc w:val="center"/>
              </w:trPr>
              <w:tc>
                <w:tcPr>
                  <w:tcW w:w="726" w:type="dxa"/>
                  <w:vMerge w:val="restart"/>
                  <w:tcBorders>
                    <w:top w:val="single" w:color="auto" w:sz="4" w:space="0"/>
                    <w:left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储运工程</w:t>
                  </w:r>
                </w:p>
              </w:tc>
              <w:tc>
                <w:tcPr>
                  <w:tcW w:w="1083" w:type="dxa"/>
                  <w:tcBorders>
                    <w:top w:val="nil"/>
                    <w:left w:val="single" w:color="000000" w:sz="8" w:space="0"/>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原料贮存</w:t>
                  </w:r>
                </w:p>
              </w:tc>
              <w:tc>
                <w:tcPr>
                  <w:tcW w:w="1560"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水泥仓</w:t>
                  </w:r>
                </w:p>
              </w:tc>
              <w:tc>
                <w:tcPr>
                  <w:tcW w:w="850"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60t/个</w:t>
                  </w:r>
                </w:p>
              </w:tc>
              <w:tc>
                <w:tcPr>
                  <w:tcW w:w="1234"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color w:val="000000" w:themeColor="text1"/>
                      <w:szCs w:val="20"/>
                    </w:rPr>
                    <w:t>80</w:t>
                  </w:r>
                </w:p>
              </w:tc>
              <w:tc>
                <w:tcPr>
                  <w:tcW w:w="892" w:type="dxa"/>
                  <w:vMerge w:val="continue"/>
                  <w:tcBorders>
                    <w:left w:val="single" w:color="auto" w:sz="8" w:space="0"/>
                    <w:right w:val="single" w:color="auto" w:sz="8" w:space="0"/>
                  </w:tcBorders>
                  <w:vAlign w:val="center"/>
                </w:tcPr>
                <w:p>
                  <w:pPr>
                    <w:widowControl/>
                    <w:spacing w:line="360" w:lineRule="exact"/>
                    <w:jc w:val="left"/>
                    <w:rPr>
                      <w:rFonts w:ascii="Times New Roman" w:hAnsi="Times New Roman" w:eastAsia="宋体" w:cs="Times New Roman"/>
                      <w:color w:val="000000" w:themeColor="text1"/>
                      <w:szCs w:val="20"/>
                    </w:rPr>
                  </w:pPr>
                </w:p>
              </w:tc>
              <w:tc>
                <w:tcPr>
                  <w:tcW w:w="993"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hint="eastAsia"/>
                      <w:color w:val="000000" w:themeColor="text1"/>
                      <w:szCs w:val="20"/>
                    </w:rPr>
                    <w:t>65</w:t>
                  </w:r>
                </w:p>
              </w:tc>
              <w:tc>
                <w:tcPr>
                  <w:tcW w:w="1184"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连续产生</w:t>
                  </w:r>
                </w:p>
              </w:tc>
            </w:tr>
            <w:tr>
              <w:trPr>
                <w:trHeight w:val="56" w:hRule="atLeast"/>
                <w:jc w:val="center"/>
              </w:trPr>
              <w:tc>
                <w:tcPr>
                  <w:tcW w:w="726" w:type="dxa"/>
                  <w:vMerge w:val="continue"/>
                  <w:tcBorders>
                    <w:left w:val="single" w:color="000000" w:sz="8" w:space="0"/>
                    <w:bottom w:val="single" w:color="auto" w:sz="4" w:space="0"/>
                    <w:right w:val="single" w:color="000000" w:sz="8" w:space="0"/>
                  </w:tcBorders>
                  <w:vAlign w:val="center"/>
                </w:tcPr>
                <w:p>
                  <w:pPr>
                    <w:widowControl/>
                    <w:spacing w:line="360" w:lineRule="exact"/>
                    <w:jc w:val="center"/>
                    <w:rPr>
                      <w:color w:val="000000" w:themeColor="text1"/>
                      <w:szCs w:val="20"/>
                    </w:rPr>
                  </w:pPr>
                </w:p>
              </w:tc>
              <w:tc>
                <w:tcPr>
                  <w:tcW w:w="1083" w:type="dxa"/>
                  <w:tcBorders>
                    <w:top w:val="single" w:color="auto" w:sz="4" w:space="0"/>
                    <w:left w:val="single" w:color="000000" w:sz="8" w:space="0"/>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运输</w:t>
                  </w:r>
                </w:p>
              </w:tc>
              <w:tc>
                <w:tcPr>
                  <w:tcW w:w="1560"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叉车</w:t>
                  </w:r>
                </w:p>
              </w:tc>
              <w:tc>
                <w:tcPr>
                  <w:tcW w:w="850"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5t</w:t>
                  </w:r>
                </w:p>
              </w:tc>
              <w:tc>
                <w:tcPr>
                  <w:tcW w:w="1234" w:type="dxa"/>
                  <w:tcBorders>
                    <w:top w:val="single" w:color="auto" w:sz="4" w:space="0"/>
                    <w:left w:val="nil"/>
                    <w:bottom w:val="single" w:color="auto" w:sz="4" w:space="0"/>
                    <w:right w:val="single" w:color="auto" w:sz="8" w:space="0"/>
                  </w:tcBorders>
                  <w:shd w:val="clear" w:color="auto" w:fill="auto"/>
                  <w:vAlign w:val="center"/>
                </w:tcPr>
                <w:p>
                  <w:pPr>
                    <w:spacing w:line="360" w:lineRule="exact"/>
                    <w:jc w:val="center"/>
                    <w:rPr>
                      <w:color w:val="000000" w:themeColor="text1"/>
                      <w:szCs w:val="20"/>
                    </w:rPr>
                  </w:pPr>
                  <w:r>
                    <w:rPr>
                      <w:rFonts w:hint="eastAsia"/>
                      <w:color w:val="000000" w:themeColor="text1"/>
                      <w:szCs w:val="20"/>
                    </w:rPr>
                    <w:t>95</w:t>
                  </w:r>
                </w:p>
              </w:tc>
              <w:tc>
                <w:tcPr>
                  <w:tcW w:w="892" w:type="dxa"/>
                  <w:vMerge w:val="continue"/>
                  <w:tcBorders>
                    <w:left w:val="single" w:color="auto" w:sz="8" w:space="0"/>
                    <w:bottom w:val="single" w:color="auto" w:sz="4" w:space="0"/>
                    <w:right w:val="single" w:color="auto" w:sz="8" w:space="0"/>
                  </w:tcBorders>
                  <w:vAlign w:val="center"/>
                </w:tcPr>
                <w:p>
                  <w:pPr>
                    <w:spacing w:line="360" w:lineRule="exact"/>
                    <w:jc w:val="center"/>
                    <w:rPr>
                      <w:color w:val="000000" w:themeColor="text1"/>
                      <w:szCs w:val="20"/>
                    </w:rPr>
                  </w:pPr>
                </w:p>
              </w:tc>
              <w:tc>
                <w:tcPr>
                  <w:tcW w:w="993" w:type="dxa"/>
                  <w:tcBorders>
                    <w:top w:val="single" w:color="auto" w:sz="4" w:space="0"/>
                    <w:left w:val="nil"/>
                    <w:bottom w:val="single" w:color="auto" w:sz="4" w:space="0"/>
                    <w:right w:val="single" w:color="auto" w:sz="8" w:space="0"/>
                  </w:tcBorders>
                  <w:shd w:val="clear" w:color="auto" w:fill="auto"/>
                  <w:vAlign w:val="center"/>
                </w:tcPr>
                <w:p>
                  <w:pPr>
                    <w:spacing w:line="360" w:lineRule="exact"/>
                    <w:jc w:val="center"/>
                    <w:rPr>
                      <w:color w:val="000000" w:themeColor="text1"/>
                      <w:szCs w:val="20"/>
                    </w:rPr>
                  </w:pPr>
                  <w:r>
                    <w:rPr>
                      <w:rFonts w:hint="eastAsia"/>
                      <w:color w:val="000000" w:themeColor="text1"/>
                      <w:szCs w:val="20"/>
                    </w:rPr>
                    <w:t>80</w:t>
                  </w:r>
                </w:p>
              </w:tc>
              <w:tc>
                <w:tcPr>
                  <w:tcW w:w="1184"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hAnsi="Times New Roman"/>
                      <w:color w:val="000000" w:themeColor="text1"/>
                      <w:szCs w:val="20"/>
                    </w:rPr>
                  </w:pPr>
                  <w:r>
                    <w:rPr>
                      <w:rFonts w:ascii="Times New Roman" w:hAnsi="Times New Roman" w:eastAsia="宋体" w:cs="Times New Roman"/>
                      <w:color w:val="000000" w:themeColor="text1"/>
                      <w:szCs w:val="20"/>
                    </w:rPr>
                    <w:t>连续产生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本环评根据《环境影响评价技术导则 声环境》（HJ2.4-20</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），对项目设备厂界噪声进行预测。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室内声源等效室外声源声功率级计算方法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声源位于室内，室内声源可采用等效室外声源声功率级法进行计算。设靠近开口处（或窗户）室内、室外某倍频带的声压级或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声级分别为</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cs="Times New Roman" w:hAnsiTheme="minorEastAsia"/>
                <w:color w:val="000000" w:themeColor="text1"/>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TL+6</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B.1</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靠近开口处（或窗户）室内某倍频带的声压级或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cs="Times New Roman" w:hAnsiTheme="minorEastAsia"/>
                <w:color w:val="000000" w:themeColor="text1"/>
                <w:sz w:val="24"/>
                <w:szCs w:val="24"/>
              </w:rPr>
              <w:t>隔墙（或窗户）倍频带或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可按下式计算某一室内声源靠近围护结构处产生的倍频带声压级或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+10</m:t>
              </m:r>
              <m:r>
                <m:rPr>
                  <m:sty m:val="p"/>
                </m:rPr>
                <w:rPr>
                  <w:rFonts w:ascii="Cambria Math" w:hAnsi="Times New Roman" w:cs="Times New Roman"/>
                  <w:color w:val="000000" w:themeColor="text1"/>
                  <w:sz w:val="24"/>
                  <w:szCs w:val="24"/>
                </w:rPr>
                <m:t>lg</m:t>
              </m:r>
              <m:r>
                <m:rPr>
                  <m:sty m:val="p"/>
                </m:rPr>
                <w:rPr>
                  <w:rFonts w:ascii="Cambria Math" w:hAnsi="Cambria Math"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Cambria Math" w:cs="Times New Roman"/>
                      <w:color w:val="000000" w:themeColor="text1"/>
                      <w:sz w:val="24"/>
                      <w:szCs w:val="24"/>
                    </w:rPr>
                    <m:t>Q</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4</m:t>
                  </m:r>
                  <m:r>
                    <m:rPr>
                      <m:sty m:val="p"/>
                    </m:rPr>
                    <w:rPr>
                      <w:rFonts w:ascii="Cambria Math" w:hAnsi="Cambria Math" w:cs="Times New Roman"/>
                      <w:color w:val="000000" w:themeColor="text1"/>
                      <w:sz w:val="24"/>
                      <w:szCs w:val="24"/>
                    </w:rPr>
                    <m:t>π</m:t>
                  </m:r>
                  <m:sSup>
                    <m:sSupPr>
                      <m:ctrlPr>
                        <w:rPr>
                          <w:rFonts w:ascii="Cambria Math" w:hAnsi="Times New Roman" w:cs="Times New Roman"/>
                          <w:color w:val="000000" w:themeColor="text1"/>
                          <w:sz w:val="24"/>
                          <w:szCs w:val="24"/>
                        </w:rPr>
                      </m:ctrlPr>
                    </m:sSupPr>
                    <m:e>
                      <m:r>
                        <m:rP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e>
                    <m:sup>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p>
                  </m:sSup>
                  <m:ctrlPr>
                    <w:rPr>
                      <w:rFonts w:ascii="Cambria Math" w:hAnsi="Times New Roman" w:cs="Times New Roman"/>
                      <w:color w:val="000000" w:themeColor="text1"/>
                      <w:sz w:val="24"/>
                      <w:szCs w:val="24"/>
                    </w:rPr>
                  </m:ctrlPr>
                </m:den>
              </m:f>
              <m:r>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num>
                <m:den>
                  <m:r>
                    <m:rPr/>
                    <w:rPr>
                      <w:rFonts w:ascii="Cambria Math" w:hAnsi="Cambria Math" w:cs="Times New Roman"/>
                      <w:color w:val="000000" w:themeColor="text1"/>
                      <w:sz w:val="24"/>
                      <w:szCs w:val="24"/>
                    </w:rPr>
                    <m:t>R</m:t>
                  </m:r>
                  <m:ctrlPr>
                    <w:rPr>
                      <w:rFonts w:ascii="Cambria Math" w:hAnsi="Times New Roman" w:cs="Times New Roman"/>
                      <w:color w:val="000000" w:themeColor="text1"/>
                      <w:sz w:val="24"/>
                      <w:szCs w:val="24"/>
                    </w:rPr>
                  </m:ctrlPr>
                </m:den>
              </m:f>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B.2</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w:t>
            </w:r>
            <w:r>
              <w:rPr>
                <w:rFonts w:ascii="Times New Roman" w:cs="Times New Roman" w:hAnsiTheme="minorEastAsia"/>
                <w:color w:val="000000" w:themeColor="text1"/>
                <w:sz w:val="24"/>
                <w:szCs w:val="24"/>
              </w:rPr>
              <w:t>点声源声功率级（</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计权或倍频带），</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w:t>
            </w:r>
            <w:r>
              <w:rPr>
                <w:rFonts w:ascii="Times New Roman" w:cs="Times New Roman" w:hAnsiTheme="minorEastAsia"/>
                <w:color w:val="000000" w:themeColor="text1"/>
                <w:sz w:val="24"/>
                <w:szCs w:val="24"/>
              </w:rPr>
              <w:t>指向性因数；通常对无指向性声源，当声源放在房间中心时，</w:t>
            </w:r>
            <w:r>
              <w:rPr>
                <w:rFonts w:ascii="Times New Roman" w:hAnsi="Times New Roman" w:cs="Times New Roman"/>
                <w:color w:val="000000" w:themeColor="text1"/>
                <w:sz w:val="24"/>
                <w:szCs w:val="24"/>
              </w:rPr>
              <w:t>Q=1</w:t>
            </w:r>
            <w:r>
              <w:rPr>
                <w:rFonts w:ascii="Times New Roman" w:cs="Times New Roman" w:hAnsiTheme="minorEastAsia"/>
                <w:color w:val="000000" w:themeColor="text1"/>
                <w:sz w:val="24"/>
                <w:szCs w:val="24"/>
              </w:rPr>
              <w:t>；当放在一面墙的中心时，</w:t>
            </w:r>
            <w:r>
              <w:rPr>
                <w:rFonts w:ascii="Times New Roman" w:hAnsi="Times New Roman" w:cs="Times New Roman"/>
                <w:color w:val="000000" w:themeColor="text1"/>
                <w:sz w:val="24"/>
                <w:szCs w:val="24"/>
              </w:rPr>
              <w:t>Q=2</w:t>
            </w:r>
            <w:r>
              <w:rPr>
                <w:rFonts w:ascii="Times New Roman" w:cs="Times New Roman" w:hAnsiTheme="minorEastAsia"/>
                <w:color w:val="000000" w:themeColor="text1"/>
                <w:sz w:val="24"/>
                <w:szCs w:val="24"/>
              </w:rPr>
              <w:t>；当放在两面墙夹角处时，</w:t>
            </w:r>
            <w:r>
              <w:rPr>
                <w:rFonts w:ascii="Times New Roman" w:hAnsi="Times New Roman" w:cs="Times New Roman"/>
                <w:color w:val="000000" w:themeColor="text1"/>
                <w:sz w:val="24"/>
                <w:szCs w:val="24"/>
              </w:rPr>
              <w:t>Q=4</w:t>
            </w:r>
            <w:r>
              <w:rPr>
                <w:rFonts w:ascii="Times New Roman" w:cs="Times New Roman" w:hAnsiTheme="minorEastAsia"/>
                <w:color w:val="000000" w:themeColor="text1"/>
                <w:sz w:val="24"/>
                <w:szCs w:val="24"/>
              </w:rPr>
              <w:t>；当放在三面墙夹角处时，</w:t>
            </w:r>
            <w:r>
              <w:rPr>
                <w:rFonts w:ascii="Times New Roman" w:hAnsi="Times New Roman" w:cs="Times New Roman"/>
                <w:color w:val="000000" w:themeColor="text1"/>
                <w:sz w:val="24"/>
                <w:szCs w:val="24"/>
              </w:rPr>
              <w:t>Q=8</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cs="Times New Roman" w:hAnsiTheme="minorEastAsia"/>
                <w:color w:val="000000" w:themeColor="text1"/>
                <w:sz w:val="24"/>
                <w:szCs w:val="24"/>
              </w:rPr>
              <w:t>房间常数；</w:t>
            </w:r>
            <m:oMath>
              <m:r>
                <m:rPr/>
                <w:rPr>
                  <w:rFonts w:ascii="Cambria Math" w:hAnsi="Cambria Math" w:cs="Times New Roman"/>
                  <w:color w:val="000000" w:themeColor="text1"/>
                  <w:sz w:val="24"/>
                  <w:szCs w:val="24"/>
                </w:rPr>
                <m:t>R</m:t>
              </m:r>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S</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a</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1</m:t>
              </m:r>
              <m:r>
                <m:rPr>
                  <m:sty m:val="p"/>
                </m:rPr>
                <w:rPr>
                  <w:rFonts w:ascii="Cambria Math" w:hAnsi="Cambria Math" w:cs="Times New Roman"/>
                  <w:color w:val="000000" w:themeColor="text1"/>
                  <w:sz w:val="24"/>
                  <w:szCs w:val="24"/>
                </w:rPr>
                <m:t>−</m:t>
              </m:r>
              <m:r>
                <m:rP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S</w:t>
            </w:r>
            <w:r>
              <w:rPr>
                <w:rFonts w:ascii="Times New Roman" w:cs="Times New Roman" w:hAnsiTheme="minorEastAsia"/>
                <w:color w:val="000000" w:themeColor="text1"/>
                <w:sz w:val="24"/>
                <w:szCs w:val="24"/>
              </w:rPr>
              <w:t>为房间内表面面积，</w:t>
            </w:r>
            <w:r>
              <w:rPr>
                <w:rFonts w:ascii="Times New Roman" w:hAnsi="Times New Roman" w:cs="Times New Roman"/>
                <w:color w:val="000000" w:themeColor="text1"/>
                <w:sz w:val="24"/>
                <w:szCs w:val="24"/>
              </w:rPr>
              <w:t>m2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α</w:t>
            </w:r>
            <w:r>
              <w:rPr>
                <w:rFonts w:ascii="Times New Roman" w:cs="Times New Roman" w:hAnsiTheme="minorEastAsia"/>
                <w:color w:val="000000" w:themeColor="text1"/>
                <w:sz w:val="24"/>
                <w:szCs w:val="24"/>
              </w:rPr>
              <w:t>为平均吸声系数；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然后按式（</w:t>
            </w:r>
            <w:r>
              <w:rPr>
                <w:rFonts w:ascii="Times New Roman" w:hAnsi="Times New Roman" w:cs="Times New Roman"/>
                <w:color w:val="000000" w:themeColor="text1"/>
                <w:sz w:val="24"/>
                <w:szCs w:val="24"/>
              </w:rPr>
              <w:t>B.3</w:t>
            </w:r>
            <w:r>
              <w:rPr>
                <w:rFonts w:ascii="Times New Roman" w:cs="Times New Roman" w:hAnsiTheme="minorEastAsia"/>
                <w:color w:val="000000" w:themeColor="text1"/>
                <w:sz w:val="24"/>
                <w:szCs w:val="24"/>
              </w:rPr>
              <w:t>）计算出所有室内声源在围护结构处产生的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倍频带叠加声压级：</w:t>
            </w:r>
          </w:p>
          <w:p>
            <w:pPr>
              <w:autoSpaceDE w:val="0"/>
              <w:autoSpaceDN w:val="0"/>
              <w:adjustRightInd w:val="0"/>
              <w:jc w:val="center"/>
              <w:rPr>
                <w:rFonts w:ascii="Times New Roman" w:hAnsi="Times New Roman" w:cs="Times New Roman"/>
                <w:color w:val="000000" w:themeColor="text1"/>
                <w:kern w:val="0"/>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m:sty m:val="p"/>
                </m:rPr>
                <w:rPr>
                  <w:rFonts w:ascii="Cambria Math" w:hAnsi="Cambria Math" w:cs="Times New Roman"/>
                  <w:color w:val="000000" w:themeColor="text1"/>
                  <w:kern w:val="0"/>
                  <w:sz w:val="24"/>
                  <w:szCs w:val="24"/>
                </w:rPr>
                <m:t>（</m:t>
              </m:r>
              <m:r>
                <m:rPr/>
                <w:rPr>
                  <w:rFonts w:ascii="Cambria Math" w:hAnsi="Cambria Math" w:cs="Times New Roman"/>
                  <w:color w:val="000000" w:themeColor="text1"/>
                  <w:kern w:val="0"/>
                  <w:sz w:val="24"/>
                  <w:szCs w:val="24"/>
                </w:rPr>
                <m:t>T</m:t>
              </m:r>
              <m:r>
                <m:rPr>
                  <m:sty m:val="p"/>
                </m:rPr>
                <w:rPr>
                  <w:rFonts w:ascii="Cambria Math" w:hAnsi="Cambria Math" w:cs="Times New Roman"/>
                  <w:color w:val="000000" w:themeColor="text1"/>
                  <w:kern w:val="0"/>
                  <w:sz w:val="24"/>
                  <w:szCs w:val="24"/>
                </w:rPr>
                <m:t>）</m:t>
              </m:r>
              <m:r>
                <m:rPr/>
                <w:rPr>
                  <w:rFonts w:ascii="Cambria Math" w:hAnsi="Times New Roman" w:cs="Times New Roman"/>
                  <w:color w:val="000000" w:themeColor="text1"/>
                  <w:kern w:val="0"/>
                  <w:sz w:val="24"/>
                  <w:szCs w:val="24"/>
                </w:rPr>
                <m:t>=10</m:t>
              </m:r>
              <m:r>
                <m:rPr>
                  <m:sty m:val="p"/>
                </m:rPr>
                <w:rPr>
                  <w:rFonts w:ascii="Cambria Math" w:hAnsi="Times New Roman" w:cs="Times New Roman"/>
                  <w:color w:val="000000" w:themeColor="text1"/>
                  <w:kern w:val="0"/>
                  <w:sz w:val="24"/>
                  <w:szCs w:val="24"/>
                </w:rPr>
                <m:t>lg</m:t>
              </m:r>
              <m:r>
                <m:rPr>
                  <m:sty m:val="p"/>
                </m:rPr>
                <w:rPr>
                  <w:rFonts w:ascii="Cambria Math" w:hAnsi="Cambria Math" w:cs="Times New Roman"/>
                  <w:color w:val="000000" w:themeColor="text1"/>
                  <w:kern w:val="0"/>
                  <w:sz w:val="24"/>
                  <w:szCs w:val="24"/>
                </w:rPr>
                <m:t>⁡（</m:t>
              </m:r>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u</m:t>
                      </m:r>
                      <m:ctrlPr>
                        <w:rPr>
                          <w:rFonts w:ascii="Cambria Math" w:hAnsi="Times New Roman" w:cs="Times New Roman"/>
                          <w:color w:val="000000" w:themeColor="text1"/>
                          <w:kern w:val="0"/>
                          <w:sz w:val="24"/>
                          <w:szCs w:val="24"/>
                        </w:rPr>
                      </m:ctrlPr>
                    </m:sup>
                  </m:sSup>
                  <m:r>
                    <m:rPr>
                      <m:sty m:val="p"/>
                    </m:rPr>
                    <w:rPr>
                      <w:rFonts w:ascii="Cambria Math" w:hAnsi="Cambria Math" w:cs="Times New Roman"/>
                      <w:color w:val="000000" w:themeColor="text1"/>
                      <w:kern w:val="0"/>
                      <w:sz w:val="24"/>
                      <w:szCs w:val="24"/>
                    </w:rPr>
                    <m:t>）</m:t>
                  </m:r>
                  <m:ctrlPr>
                    <w:rPr>
                      <w:rFonts w:ascii="Cambria Math" w:hAnsi="Times New Roman" w:cs="Times New Roman"/>
                      <w:color w:val="000000" w:themeColor="text1"/>
                      <w:kern w:val="0"/>
                      <w:sz w:val="24"/>
                      <w:szCs w:val="24"/>
                    </w:rPr>
                  </m:ctrlPr>
                </m:e>
              </m:nary>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B.3</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plij</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室内</w:t>
            </w:r>
            <w:r>
              <w:rPr>
                <w:rFonts w:ascii="Times New Roman" w:hAnsi="Times New Roman" w:cs="Times New Roman"/>
                <w:color w:val="000000" w:themeColor="text1"/>
                <w:sz w:val="24"/>
                <w:szCs w:val="24"/>
              </w:rPr>
              <w:t>j</w:t>
            </w:r>
            <w:r>
              <w:rPr>
                <w:rFonts w:ascii="Times New Roman" w:cs="Times New Roman" w:hAnsiTheme="minorEastAsia"/>
                <w:color w:val="000000" w:themeColor="text1"/>
                <w:sz w:val="24"/>
                <w:szCs w:val="24"/>
              </w:rPr>
              <w:t>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室内声源总数。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在室内近似为扩散声场时，按式（</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）计算出靠近室外围护结构处的声压级：</w:t>
            </w:r>
          </w:p>
          <w:p>
            <w:pPr>
              <w:spacing w:line="360" w:lineRule="auto"/>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1i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kern w:val="0"/>
                  <w:sz w:val="24"/>
                  <w:szCs w:val="24"/>
                </w:rPr>
                <m:t>+6</m:t>
              </m:r>
              <m:r>
                <m:rPr>
                  <m:sty m:val="p"/>
                </m:rPr>
                <w:rPr>
                  <w:rFonts w:ascii="Cambria Math" w:hAnsi="Cambria Math" w:cs="Times New Roman"/>
                  <w:color w:val="000000" w:themeColor="text1"/>
                  <w:kern w:val="0"/>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靠近围护结构处室外</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围护结构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然后按式（</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）将室外声源的声压级和透过面积换算成等效的室外声源，计算出中心位置位于透声面积（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p>
          <w:p>
            <w:pPr>
              <w:spacing w:line="360" w:lineRule="auto"/>
              <w:ind w:firstLine="480" w:firstLineChars="200"/>
              <w:jc w:val="center"/>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w</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+10lgS</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Lw</w:t>
            </w:r>
            <w:r>
              <w:rPr>
                <w:rFonts w:hint="eastAsia" w:ascii="Times New Roman" w:cs="Times New Roman" w:hAnsiTheme="minorEastAsia"/>
                <w:color w:val="000000" w:themeColor="text1"/>
                <w:sz w:val="24"/>
                <w:szCs w:val="24"/>
              </w:rPr>
              <w:t>--中心位置位于透声面积（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L</w:t>
            </w:r>
            <w:r>
              <w:rPr>
                <w:rFonts w:ascii="Times New Roman" w:cs="Times New Roman" w:hAnsiTheme="minorEastAsia"/>
                <w:color w:val="000000" w:themeColor="text1"/>
                <w:sz w:val="24"/>
                <w:szCs w:val="24"/>
                <w:vertAlign w:val="subscript"/>
              </w:rPr>
              <w:t>p2</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--靠近围护结构处室外声源的声压级，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--透声面积，</w:t>
            </w:r>
            <w:r>
              <w:rPr>
                <w:rFonts w:ascii="Times New Roman" w:cs="Times New Roman" w:hAnsiTheme="minorEastAsia"/>
                <w:color w:val="000000" w:themeColor="text1"/>
                <w:sz w:val="24"/>
                <w:szCs w:val="24"/>
              </w:rPr>
              <w:t>m2</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然后按室外声源预测方法计算预测点处的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②工业企业噪声计算</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设第i个室外声源在预测点产生的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hint="eastAsia" w:ascii="Times New Roman" w:cs="Times New Roman" w:hAnsiTheme="minorEastAsia"/>
                <w:color w:val="000000" w:themeColor="text1"/>
                <w:sz w:val="24"/>
                <w:szCs w:val="24"/>
                <w:vertAlign w:val="subscript"/>
              </w:rPr>
              <w:t>Ai</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hint="eastAsia" w:ascii="Times New Roman" w:cs="Times New Roman" w:hAnsiTheme="minorEastAsia"/>
                <w:color w:val="000000" w:themeColor="text1"/>
                <w:sz w:val="24"/>
                <w:szCs w:val="24"/>
                <w:vertAlign w:val="subscript"/>
              </w:rPr>
              <w:t>i</w:t>
            </w:r>
            <w:r>
              <w:rPr>
                <w:rFonts w:hint="eastAsia" w:ascii="Times New Roman" w:cs="Times New Roman" w:hAnsiTheme="minorEastAsia"/>
                <w:color w:val="000000" w:themeColor="text1"/>
                <w:sz w:val="24"/>
                <w:szCs w:val="24"/>
              </w:rPr>
              <w:t>；第j个等效室外声源在预测点产生的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ascii="Times New Roman" w:cs="Times New Roman" w:hAnsiTheme="minorEastAsia"/>
                <w:color w:val="000000" w:themeColor="text1"/>
                <w:sz w:val="24"/>
                <w:szCs w:val="24"/>
                <w:vertAlign w:val="subscript"/>
              </w:rPr>
              <w:t>Aj</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ascii="Times New Roman" w:cs="Times New Roman" w:hAnsiTheme="minorEastAsia"/>
                <w:color w:val="000000" w:themeColor="text1"/>
                <w:sz w:val="24"/>
                <w:szCs w:val="24"/>
                <w:vertAlign w:val="subscript"/>
              </w:rPr>
              <w:t>j</w:t>
            </w:r>
            <w:r>
              <w:rPr>
                <w:rFonts w:hint="eastAsia" w:ascii="Times New Roman" w:cs="Times New Roman" w:hAnsiTheme="minorEastAsia"/>
                <w:color w:val="000000" w:themeColor="text1"/>
                <w:sz w:val="24"/>
                <w:szCs w:val="24"/>
              </w:rPr>
              <w:t>，则拟建工程声源对预测点产生的贡献值（</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）为：</w:t>
            </w:r>
          </w:p>
          <w:p>
            <w:pPr>
              <w:spacing w:line="360" w:lineRule="auto"/>
              <w:ind w:firstLine="480" w:firstLineChars="200"/>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eqg</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func>
                <m:funcPr>
                  <m:ctrlPr>
                    <w:rPr>
                      <w:rFonts w:ascii="Cambria Math" w:hAnsi="Cambria Math" w:cs="Cambria Math"/>
                      <w:color w:val="000000" w:themeColor="text1"/>
                      <w:kern w:val="0"/>
                      <w:sz w:val="24"/>
                      <w:szCs w:val="24"/>
                    </w:rPr>
                  </m:ctrlPr>
                </m:funcPr>
                <m:fName>
                  <m:r>
                    <m:rPr>
                      <m:sty m:val="p"/>
                    </m:rPr>
                    <w:rPr>
                      <w:rFonts w:ascii="Cambria Math" w:hAnsi="Times New Roman" w:cs="Times New Roman"/>
                      <w:color w:val="000000" w:themeColor="text1"/>
                      <w:kern w:val="0"/>
                      <w:sz w:val="24"/>
                      <w:szCs w:val="24"/>
                    </w:rPr>
                    <m:t>lg</m:t>
                  </m:r>
                  <m:ctrlPr>
                    <w:rPr>
                      <w:rFonts w:ascii="Cambria Math" w:hAnsi="Times New Roman" w:cs="Times New Roman"/>
                      <w:color w:val="000000" w:themeColor="text1"/>
                      <w:kern w:val="0"/>
                      <w:sz w:val="24"/>
                      <w:szCs w:val="24"/>
                    </w:rPr>
                  </m:ctrlPr>
                </m:fName>
                <m:e>
                  <m:func>
                    <m:funcPr>
                      <m:ctrlPr>
                        <w:rPr>
                          <w:rFonts w:ascii="Cambria Math" w:hAnsi="Cambria Math"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fName>
                    <m:e>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1</m:t>
                          </m:r>
                          <m:ctrlPr>
                            <w:rPr>
                              <w:rFonts w:ascii="Cambria Math" w:hAnsi="Cambria Math" w:cs="Times New Roman"/>
                              <w:color w:val="000000" w:themeColor="text1"/>
                              <w:sz w:val="24"/>
                              <w:szCs w:val="24"/>
                            </w:rPr>
                          </m:ctrlPr>
                        </m:num>
                        <m:den>
                          <m:r>
                            <m:rPr>
                              <m:sty m:val="p"/>
                            </m:rPr>
                            <w:rPr>
                              <w:rFonts w:ascii="Cambria Math" w:hAnsi="Cambria Math" w:cs="Cambria Math"/>
                              <w:color w:val="000000" w:themeColor="text1"/>
                              <w:sz w:val="24"/>
                              <w:szCs w:val="24"/>
                            </w:rPr>
                            <m:t>T</m:t>
                          </m:r>
                          <m:ctrlPr>
                            <w:rPr>
                              <w:rFonts w:ascii="Cambria Math" w:hAnsi="Cambria Math" w:cs="Times New Roman"/>
                              <w:color w:val="000000" w:themeColor="text1"/>
                              <w:sz w:val="24"/>
                              <w:szCs w:val="24"/>
                            </w:rPr>
                          </m:ctrlPr>
                        </m:den>
                      </m:f>
                      <m:d>
                        <m:dPr>
                          <m:begChr m:val="（"/>
                          <m:endChr m:val="）"/>
                          <m:ctrlPr>
                            <w:rPr>
                              <w:rFonts w:ascii="Cambria Math" w:hAnsi="Cambria Math" w:cs="Times New Roman"/>
                              <w:color w:val="000000" w:themeColor="text1"/>
                              <w:kern w:val="0"/>
                              <w:sz w:val="24"/>
                              <w:szCs w:val="24"/>
                            </w:rPr>
                          </m:ctrlPr>
                        </m:dPr>
                        <m:e>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i=1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r>
                                <m:rPr>
                                  <m:sty m:val="p"/>
                                </m:rPr>
                                <w:rPr>
                                  <w:rFonts w:ascii="Cambria Math" w:cs="Times New Roman" w:hAnsiTheme="minorEastAsia"/>
                                  <w:color w:val="000000" w:themeColor="text1"/>
                                  <w:kern w:val="0"/>
                                  <w:sz w:val="24"/>
                                  <w:szCs w:val="24"/>
                                </w:rPr>
                                <m:t>+</m:t>
                              </m:r>
                              <m:ctrlPr>
                                <w:rPr>
                                  <w:rFonts w:ascii="Cambria Math" w:hAnsi="Times New Roman" w:cs="Times New Roman"/>
                                  <w:color w:val="000000" w:themeColor="text1"/>
                                  <w:kern w:val="0"/>
                                  <w:sz w:val="24"/>
                                  <w:szCs w:val="24"/>
                                </w:rPr>
                              </m:ctrlPr>
                            </m:e>
                          </m:nary>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M</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j</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ctrlPr>
                                <w:rPr>
                                  <w:rFonts w:ascii="Cambria Math" w:hAnsi="Times New Roman" w:cs="Times New Roman"/>
                                  <w:color w:val="000000" w:themeColor="text1"/>
                                  <w:kern w:val="0"/>
                                  <w:sz w:val="24"/>
                                  <w:szCs w:val="24"/>
                                </w:rPr>
                              </m:ctrlPr>
                            </m:e>
                          </m:nary>
                          <m:ctrlPr>
                            <w:rPr>
                              <w:rFonts w:ascii="Cambria Math" w:hAnsi="Cambria Math" w:cs="Times New Roman"/>
                              <w:color w:val="000000" w:themeColor="text1"/>
                              <w:kern w:val="0"/>
                              <w:sz w:val="24"/>
                              <w:szCs w:val="24"/>
                            </w:rPr>
                          </m:ctrlPr>
                        </m:e>
                      </m:d>
                      <m:ctrlPr>
                        <w:rPr>
                          <w:rFonts w:ascii="Cambria Math" w:hAnsi="Cambria Math" w:cs="Times New Roman"/>
                          <w:i/>
                          <w:color w:val="000000" w:themeColor="text1"/>
                          <w:sz w:val="24"/>
                          <w:szCs w:val="24"/>
                        </w:rPr>
                      </m:ctrlPr>
                    </m:e>
                  </m:func>
                  <m:ctrlPr>
                    <w:rPr>
                      <w:rFonts w:ascii="Cambria Math" w:hAnsi="Cambria Math" w:cs="Times New Roman"/>
                      <w:i/>
                      <w:color w:val="000000" w:themeColor="text1"/>
                      <w:sz w:val="24"/>
                      <w:szCs w:val="24"/>
                    </w:rPr>
                  </m:ctrlPr>
                </m:e>
              </m:func>
              <m:r>
                <m:rPr>
                  <m:sty m:val="p"/>
                </m:rPr>
                <w:rPr>
                  <w:rFonts w:ascii="Cambria Math" w:cs="Times New Roman" w:hAnsiTheme="minorEastAsia"/>
                  <w:color w:val="000000" w:themeColor="text1"/>
                  <w:kern w:val="0"/>
                  <w:sz w:val="24"/>
                  <w:szCs w:val="24"/>
                </w:rPr>
                <m:t>]</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B.6</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建设项目声源在预测点产生的噪声贡献值，</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用于计算等效声级的时间，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N--</w:t>
            </w:r>
            <w:r>
              <w:rPr>
                <w:rFonts w:hint="eastAsia" w:ascii="Times New Roman" w:cs="Times New Roman" w:hAnsiTheme="minorEastAsia"/>
                <w:color w:val="000000" w:themeColor="text1"/>
                <w:sz w:val="24"/>
                <w:szCs w:val="24"/>
              </w:rPr>
              <w:t>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ti</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i</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M--</w:t>
            </w:r>
            <w:r>
              <w:rPr>
                <w:rFonts w:hint="eastAsia" w:ascii="Times New Roman" w:cs="Times New Roman" w:hAnsiTheme="minorEastAsia"/>
                <w:color w:val="000000" w:themeColor="text1"/>
                <w:sz w:val="24"/>
                <w:szCs w:val="24"/>
              </w:rPr>
              <w:t>等效室外声源个数；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tj</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j</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预测值计算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预测点的贡献值和背景值按能量叠加方法计算得到的声级。噪声预测值（Leq）计算公式为：</w:t>
            </w:r>
          </w:p>
          <w:p>
            <w:pPr>
              <w:spacing w:line="360" w:lineRule="auto"/>
              <w:jc w:val="center"/>
              <w:rPr>
                <w:rFonts w:ascii="宋体" w:eastAsia="宋体" w:cs="宋体"/>
                <w:color w:val="000000" w:themeColor="text1"/>
                <w:kern w:val="0"/>
              </w:rPr>
            </w:pPr>
            <w:r>
              <w:rPr>
                <w:rFonts w:ascii="Times New Roman" w:hAnsi="Times New Roman" w:cs="Times New Roman"/>
                <w:color w:val="000000" w:themeColor="text1"/>
                <w:sz w:val="24"/>
                <w:szCs w:val="24"/>
              </w:rPr>
              <w:object>
                <v:shape id="_x0000_i1025" o:spt="75" type="#_x0000_t75" style="height:20.4pt;width:141.6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式中：</w:t>
            </w:r>
            <w:r>
              <w:rPr>
                <w:rFonts w:ascii="Times New Roman" w:hAnsi="Times New Roman" w:cs="Times New Roman"/>
                <w:color w:val="000000" w:themeColor="text1"/>
                <w:sz w:val="24"/>
                <w:szCs w:val="24"/>
              </w:rPr>
              <w:t>Leq</w:t>
            </w:r>
            <w:r>
              <w:rPr>
                <w:rFonts w:hint="eastAsia" w:ascii="Times New Roman" w:hAnsi="Times New Roman" w:cs="Times New Roman"/>
                <w:color w:val="000000" w:themeColor="text1"/>
                <w:sz w:val="24"/>
                <w:szCs w:val="24"/>
              </w:rPr>
              <w:t>--预测点的噪声预测值，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--建设项目声源在预测点产生的噪声贡献值，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Leqb</w:t>
            </w:r>
            <w:r>
              <w:rPr>
                <w:rFonts w:hint="eastAsia" w:ascii="Times New Roman" w:hAnsi="Times New Roman" w:cs="Times New Roman"/>
                <w:color w:val="000000" w:themeColor="text1"/>
                <w:sz w:val="24"/>
                <w:szCs w:val="24"/>
              </w:rPr>
              <w:t>--预测点的背景噪声值，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预测结果与评价</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经过预测，项目厂界东、南、西、北预测点的噪声预测结果如下表所示。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项目建成后预测点的噪声预测值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2" w:type="dxa"/>
                  <w:vAlign w:val="center"/>
                </w:tcPr>
                <w:p>
                  <w:pPr>
                    <w:pStyle w:val="30"/>
                    <w:spacing w:line="360" w:lineRule="exact"/>
                    <w:rPr>
                      <w:color w:val="000000" w:themeColor="text1"/>
                      <w:szCs w:val="21"/>
                    </w:rPr>
                  </w:pPr>
                  <w:r>
                    <w:rPr>
                      <w:color w:val="000000" w:themeColor="text1"/>
                      <w:szCs w:val="21"/>
                    </w:rPr>
                    <w:t>预测值</w:t>
                  </w:r>
                </w:p>
              </w:tc>
              <w:tc>
                <w:tcPr>
                  <w:tcW w:w="1904" w:type="dxa"/>
                  <w:vAlign w:val="center"/>
                </w:tcPr>
                <w:p>
                  <w:pPr>
                    <w:pStyle w:val="30"/>
                    <w:spacing w:line="360" w:lineRule="exact"/>
                    <w:rPr>
                      <w:color w:val="000000" w:themeColor="text1"/>
                      <w:szCs w:val="21"/>
                    </w:rPr>
                  </w:pPr>
                  <w:r>
                    <w:rPr>
                      <w:color w:val="000000" w:themeColor="text1"/>
                      <w:szCs w:val="21"/>
                    </w:rPr>
                    <w:t>厂界东</w:t>
                  </w:r>
                </w:p>
              </w:tc>
              <w:tc>
                <w:tcPr>
                  <w:tcW w:w="1807" w:type="dxa"/>
                  <w:vAlign w:val="center"/>
                </w:tcPr>
                <w:p>
                  <w:pPr>
                    <w:pStyle w:val="30"/>
                    <w:spacing w:line="360" w:lineRule="exact"/>
                    <w:rPr>
                      <w:color w:val="000000" w:themeColor="text1"/>
                      <w:szCs w:val="21"/>
                    </w:rPr>
                  </w:pPr>
                  <w:r>
                    <w:rPr>
                      <w:color w:val="000000" w:themeColor="text1"/>
                      <w:szCs w:val="21"/>
                    </w:rPr>
                    <w:t>厂界南</w:t>
                  </w:r>
                </w:p>
              </w:tc>
              <w:tc>
                <w:tcPr>
                  <w:tcW w:w="1827" w:type="dxa"/>
                  <w:vAlign w:val="center"/>
                </w:tcPr>
                <w:p>
                  <w:pPr>
                    <w:pStyle w:val="30"/>
                    <w:spacing w:line="360" w:lineRule="exact"/>
                    <w:rPr>
                      <w:color w:val="000000" w:themeColor="text1"/>
                      <w:szCs w:val="21"/>
                    </w:rPr>
                  </w:pPr>
                  <w:r>
                    <w:rPr>
                      <w:color w:val="000000" w:themeColor="text1"/>
                      <w:szCs w:val="21"/>
                    </w:rPr>
                    <w:t>厂界西</w:t>
                  </w:r>
                </w:p>
              </w:tc>
              <w:tc>
                <w:tcPr>
                  <w:tcW w:w="1768" w:type="dxa"/>
                  <w:vAlign w:val="center"/>
                </w:tcPr>
                <w:p>
                  <w:pPr>
                    <w:pStyle w:val="30"/>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30"/>
                    <w:spacing w:line="360" w:lineRule="exact"/>
                    <w:rPr>
                      <w:color w:val="000000" w:themeColor="text1"/>
                      <w:szCs w:val="21"/>
                    </w:rPr>
                  </w:pPr>
                  <w:r>
                    <w:rPr>
                      <w:color w:val="000000" w:themeColor="text1"/>
                      <w:szCs w:val="21"/>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54.2</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52.6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51.8</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30"/>
                    <w:spacing w:line="360" w:lineRule="exact"/>
                    <w:rPr>
                      <w:color w:val="000000" w:themeColor="text1"/>
                      <w:szCs w:val="21"/>
                    </w:rPr>
                  </w:pPr>
                  <w:r>
                    <w:rPr>
                      <w:color w:val="000000" w:themeColor="text1"/>
                      <w:szCs w:val="21"/>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54.2</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52.6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51.8</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08" w:type="dxa"/>
                  <w:gridSpan w:val="5"/>
                  <w:vAlign w:val="center"/>
                </w:tcPr>
                <w:p>
                  <w:pPr>
                    <w:widowControl/>
                    <w:spacing w:line="360" w:lineRule="exact"/>
                    <w:ind w:firstLine="210" w:firstLineChars="100"/>
                    <w:jc w:val="left"/>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备注：项目实行1班制，原则上夜间不生产，但存在灵活调整工作时间的情况，因此夜间项目也存在生产情况。</w:t>
                  </w:r>
                </w:p>
              </w:tc>
            </w:tr>
          </w:tbl>
          <w:p>
            <w:pPr>
              <w:spacing w:beforeLines="50" w:line="360" w:lineRule="auto"/>
              <w:ind w:firstLine="360" w:firstLineChars="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8"/>
              <w:ind w:firstLine="480"/>
              <w:rPr>
                <w:rFonts w:eastAsiaTheme="minorEastAsia"/>
                <w:color w:val="000000" w:themeColor="text1"/>
                <w:szCs w:val="24"/>
              </w:rPr>
            </w:pPr>
            <w:r>
              <w:rPr>
                <w:rFonts w:eastAsiaTheme="minorEastAsia"/>
                <w:color w:val="000000" w:themeColor="text1"/>
                <w:szCs w:val="24"/>
              </w:rPr>
              <w:t>根据项目环境保护目标分布，项目区声环境</w:t>
            </w:r>
            <w:r>
              <w:rPr>
                <w:rFonts w:hint="eastAsia" w:eastAsiaTheme="minorEastAsia"/>
                <w:color w:val="000000" w:themeColor="text1"/>
                <w:szCs w:val="24"/>
              </w:rPr>
              <w:t>50m</w:t>
            </w:r>
            <w:r>
              <w:rPr>
                <w:rFonts w:eastAsiaTheme="minorEastAsia"/>
                <w:color w:val="000000" w:themeColor="text1"/>
                <w:szCs w:val="24"/>
              </w:rPr>
              <w:t>评价范围内无声环境保护目标，因此项目噪声对环境影响较小。</w:t>
            </w:r>
          </w:p>
          <w:p>
            <w:pPr>
              <w:spacing w:line="360" w:lineRule="auto"/>
              <w:ind w:firstLine="361" w:firstLineChars="150"/>
              <w:rPr>
                <w:rFonts w:hint="eastAsia"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spacing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①竣工验收监测要求</w:t>
            </w:r>
          </w:p>
          <w:p>
            <w:pPr>
              <w:pStyle w:val="38"/>
              <w:ind w:firstLine="480"/>
              <w:rPr>
                <w:rFonts w:eastAsiaTheme="minorEastAsia"/>
                <w:color w:val="000000" w:themeColor="text1"/>
                <w:szCs w:val="24"/>
              </w:rPr>
            </w:pPr>
            <w:r>
              <w:rPr>
                <w:rFonts w:hint="eastAsia" w:eastAsiaTheme="minorEastAsia"/>
                <w:color w:val="000000" w:themeColor="text1"/>
                <w:szCs w:val="24"/>
              </w:rPr>
              <w:t>根据《建设项目竣工环境保护验收技术指南</w:t>
            </w:r>
            <w:r>
              <w:rPr>
                <w:rFonts w:eastAsiaTheme="minorEastAsia"/>
                <w:color w:val="000000" w:themeColor="text1"/>
                <w:szCs w:val="24"/>
              </w:rPr>
              <w:t xml:space="preserve"> </w:t>
            </w:r>
            <w:r>
              <w:rPr>
                <w:rFonts w:hint="eastAsia" w:eastAsiaTheme="minorEastAsia"/>
                <w:color w:val="000000" w:themeColor="text1"/>
                <w:szCs w:val="24"/>
              </w:rPr>
              <w:t>污染影响类》的要求，项目竣工验收噪声监测计划如下表所示。</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4</w:t>
            </w:r>
            <w:r>
              <w:rPr>
                <w:rFonts w:hAnsi="Times New Roman" w:eastAsiaTheme="minorEastAsia"/>
                <w:color w:val="000000" w:themeColor="text1"/>
                <w:sz w:val="21"/>
                <w:szCs w:val="21"/>
              </w:rPr>
              <w:t xml:space="preserve">  厂界噪声</w:t>
            </w:r>
            <w:r>
              <w:rPr>
                <w:rFonts w:hint="eastAsia" w:hAnsi="Times New Roman" w:eastAsiaTheme="minorEastAsia"/>
                <w:color w:val="000000" w:themeColor="text1"/>
                <w:sz w:val="21"/>
                <w:szCs w:val="21"/>
              </w:rPr>
              <w:t>竣工验收</w:t>
            </w:r>
            <w:r>
              <w:rPr>
                <w:rFonts w:hAnsi="Times New Roman" w:eastAsiaTheme="minorEastAsia"/>
                <w:color w:val="000000" w:themeColor="text1"/>
                <w:sz w:val="21"/>
                <w:szCs w:val="21"/>
              </w:rPr>
              <w:t>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监测频率</w:t>
                  </w:r>
                </w:p>
              </w:tc>
              <w:tc>
                <w:tcPr>
                  <w:tcW w:w="3476" w:type="dxa"/>
                  <w:vAlign w:val="center"/>
                </w:tcPr>
                <w:p>
                  <w:pPr>
                    <w:pStyle w:val="30"/>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1"/>
                    </w:rPr>
                    <w:t>监测2天、每天昼夜各</w:t>
                  </w:r>
                  <w:r>
                    <w:rPr>
                      <w:rFonts w:eastAsiaTheme="minorEastAsia"/>
                      <w:color w:val="000000" w:themeColor="text1"/>
                      <w:szCs w:val="21"/>
                    </w:rPr>
                    <w:t>1</w:t>
                  </w:r>
                  <w:r>
                    <w:rPr>
                      <w:rFonts w:hint="eastAsia" w:eastAsiaTheme="minorEastAsia"/>
                      <w:color w:val="000000" w:themeColor="text1"/>
                      <w:szCs w:val="21"/>
                    </w:rPr>
                    <w:t>次</w:t>
                  </w:r>
                </w:p>
              </w:tc>
              <w:tc>
                <w:tcPr>
                  <w:tcW w:w="3476" w:type="dxa"/>
                  <w:vAlign w:val="center"/>
                </w:tcPr>
                <w:p>
                  <w:pPr>
                    <w:pStyle w:val="30"/>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w:t>
                  </w:r>
                  <w:r>
                    <w:rPr>
                      <w:rFonts w:hint="eastAsia"/>
                      <w:color w:val="000000" w:themeColor="text1"/>
                      <w:szCs w:val="21"/>
                    </w:rPr>
                    <w:t>3</w:t>
                  </w:r>
                  <w:r>
                    <w:rPr>
                      <w:color w:val="000000" w:themeColor="text1"/>
                      <w:szCs w:val="21"/>
                    </w:rPr>
                    <w:t>类标准</w:t>
                  </w:r>
                </w:p>
              </w:tc>
            </w:tr>
          </w:tbl>
          <w:p>
            <w:pPr>
              <w:spacing w:beforeLines="50"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②自行监测要求</w:t>
            </w:r>
          </w:p>
          <w:p>
            <w:pPr>
              <w:pStyle w:val="38"/>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30"/>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1次/季</w:t>
                  </w:r>
                </w:p>
              </w:tc>
              <w:tc>
                <w:tcPr>
                  <w:tcW w:w="3476" w:type="dxa"/>
                  <w:vAlign w:val="center"/>
                </w:tcPr>
                <w:p>
                  <w:pPr>
                    <w:pStyle w:val="30"/>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8"/>
              <w:ind w:firstLine="480"/>
              <w:rPr>
                <w:rFonts w:hint="eastAsia" w:eastAsiaTheme="minorEastAsia"/>
                <w:color w:val="000000" w:themeColor="text1"/>
                <w:szCs w:val="24"/>
              </w:rPr>
            </w:pPr>
            <w:r>
              <w:rPr>
                <w:rFonts w:eastAsiaTheme="minorEastAsia"/>
                <w:color w:val="000000" w:themeColor="text1"/>
                <w:szCs w:val="24"/>
              </w:rPr>
              <w:t>根据项目工程内容及生产工艺，该项目产生的固体废物包括：</w:t>
            </w:r>
            <w:r>
              <w:rPr>
                <w:rFonts w:hint="eastAsia" w:eastAsiaTheme="minorEastAsia"/>
                <w:color w:val="000000" w:themeColor="text1"/>
                <w:szCs w:val="24"/>
              </w:rPr>
              <w:t>废包装袋、</w:t>
            </w:r>
            <w:r>
              <w:rPr>
                <w:rFonts w:eastAsiaTheme="minorEastAsia"/>
                <w:color w:val="000000" w:themeColor="text1"/>
                <w:szCs w:val="24"/>
              </w:rPr>
              <w:t>袋式除尘器收集粉尘</w:t>
            </w:r>
            <w:r>
              <w:rPr>
                <w:rFonts w:hint="eastAsia" w:eastAsiaTheme="minorEastAsia"/>
                <w:color w:val="000000" w:themeColor="text1"/>
                <w:szCs w:val="24"/>
              </w:rPr>
              <w:t>、</w:t>
            </w:r>
            <w:r>
              <w:rPr>
                <w:rFonts w:eastAsiaTheme="minorEastAsia"/>
                <w:color w:val="000000" w:themeColor="text1"/>
                <w:szCs w:val="24"/>
              </w:rPr>
              <w:t>设备维修产生的废机油及废弃沾油抹布。具体如下：</w:t>
            </w:r>
          </w:p>
          <w:p>
            <w:pPr>
              <w:pStyle w:val="38"/>
              <w:ind w:firstLine="482"/>
              <w:rPr>
                <w:rFonts w:hint="eastAsia" w:ascii="宋体" w:hAnsi="宋体" w:cs="宋体"/>
                <w:b/>
                <w:color w:val="000000" w:themeColor="text1"/>
                <w:szCs w:val="24"/>
              </w:rPr>
            </w:pPr>
            <w:r>
              <w:rPr>
                <w:rFonts w:hint="eastAsia" w:ascii="宋体" w:hAnsi="宋体" w:cs="宋体"/>
                <w:b/>
                <w:color w:val="000000" w:themeColor="text1"/>
                <w:szCs w:val="24"/>
              </w:rPr>
              <w:t>①废包装袋</w:t>
            </w:r>
          </w:p>
          <w:p>
            <w:pPr>
              <w:pStyle w:val="38"/>
              <w:ind w:firstLine="480"/>
              <w:rPr>
                <w:rFonts w:hint="eastAsia"/>
                <w:color w:val="000000" w:themeColor="text1"/>
                <w:szCs w:val="21"/>
              </w:rPr>
            </w:pPr>
            <w:r>
              <w:rPr>
                <w:rFonts w:hint="eastAsia"/>
                <w:color w:val="000000" w:themeColor="text1"/>
                <w:szCs w:val="21"/>
              </w:rPr>
              <w:t>根据项目原料贮存方式可知，该项目使用的铝矾土、泡棉均为袋装贮存，在原料使用过程会产生废包装袋，根据统计数据，废包装袋产生量约为0.3t/a，项目统一收集贮存于</w:t>
            </w:r>
            <w:r>
              <w:rPr>
                <w:color w:val="000000" w:themeColor="text1"/>
                <w:szCs w:val="21"/>
              </w:rPr>
              <w:t>厂区拟建设1个</w:t>
            </w:r>
            <w:r>
              <w:rPr>
                <w:rFonts w:hint="eastAsia"/>
                <w:color w:val="000000" w:themeColor="text1"/>
                <w:szCs w:val="21"/>
              </w:rPr>
              <w:t>10</w:t>
            </w:r>
            <w:r>
              <w:rPr>
                <w:color w:val="000000" w:themeColor="text1"/>
                <w:szCs w:val="21"/>
              </w:rPr>
              <w:t>m²的</w:t>
            </w:r>
            <w:r>
              <w:rPr>
                <w:rFonts w:hint="eastAsia"/>
                <w:color w:val="000000" w:themeColor="text1"/>
                <w:szCs w:val="21"/>
              </w:rPr>
              <w:t>废包装袋贮存区，贮存后可回收利用（未破损）部分交原料供应单位回收利用，破损部分委托环卫部门处置。</w:t>
            </w:r>
            <w:r>
              <w:rPr>
                <w:color w:val="000000" w:themeColor="text1"/>
                <w:szCs w:val="21"/>
              </w:rPr>
              <w:t>处置率100%。</w:t>
            </w:r>
          </w:p>
          <w:p>
            <w:pPr>
              <w:pStyle w:val="38"/>
              <w:ind w:firstLine="482"/>
              <w:rPr>
                <w:rFonts w:hint="eastAsia" w:ascii="宋体" w:hAnsi="宋体" w:cs="宋体"/>
                <w:b/>
                <w:color w:val="000000" w:themeColor="text1"/>
                <w:szCs w:val="24"/>
              </w:rPr>
            </w:pPr>
            <w:r>
              <w:rPr>
                <w:rFonts w:hint="eastAsia" w:ascii="宋体" w:hAnsi="宋体" w:cs="宋体"/>
                <w:b/>
                <w:color w:val="000000" w:themeColor="text1"/>
                <w:szCs w:val="24"/>
              </w:rPr>
              <w:t>②</w:t>
            </w:r>
            <w:r>
              <w:rPr>
                <w:rFonts w:ascii="宋体" w:hAnsi="宋体" w:cs="宋体"/>
                <w:b/>
                <w:color w:val="000000" w:themeColor="text1"/>
                <w:szCs w:val="24"/>
              </w:rPr>
              <w:t>袋式除尘器收集粉尘</w:t>
            </w:r>
          </w:p>
          <w:p>
            <w:pPr>
              <w:pStyle w:val="38"/>
              <w:ind w:firstLine="480"/>
              <w:rPr>
                <w:rFonts w:hint="eastAsia" w:eastAsiaTheme="minorEastAsia"/>
                <w:color w:val="000000" w:themeColor="text1"/>
                <w:szCs w:val="24"/>
              </w:rPr>
            </w:pPr>
            <w:r>
              <w:rPr>
                <w:rFonts w:hint="eastAsia" w:eastAsiaTheme="minorEastAsia"/>
                <w:color w:val="000000" w:themeColor="text1"/>
                <w:szCs w:val="24"/>
              </w:rPr>
              <w:t>根据项目环保设施的设置可知，该项目共设置两个袋式除尘器，其中1#</w:t>
            </w:r>
            <w:r>
              <w:rPr>
                <w:rFonts w:eastAsiaTheme="minorEastAsia"/>
                <w:color w:val="000000" w:themeColor="text1"/>
                <w:szCs w:val="24"/>
              </w:rPr>
              <w:t>袋式除尘器对</w:t>
            </w:r>
            <w:r>
              <w:rPr>
                <w:rFonts w:hint="eastAsia" w:eastAsiaTheme="minorEastAsia"/>
                <w:color w:val="000000" w:themeColor="text1"/>
                <w:szCs w:val="24"/>
              </w:rPr>
              <w:t>投料粉尘和搅拌混合粉尘进行处理，</w:t>
            </w:r>
            <w:r>
              <w:rPr>
                <w:rFonts w:eastAsiaTheme="minorEastAsia"/>
                <w:color w:val="000000" w:themeColor="text1"/>
                <w:szCs w:val="24"/>
              </w:rPr>
              <w:t>2#袋式除尘器</w:t>
            </w:r>
            <w:r>
              <w:rPr>
                <w:rFonts w:hint="eastAsia" w:eastAsiaTheme="minorEastAsia"/>
                <w:color w:val="000000" w:themeColor="text1"/>
                <w:szCs w:val="24"/>
              </w:rPr>
              <w:t>设置于</w:t>
            </w:r>
            <w:r>
              <w:rPr>
                <w:rFonts w:eastAsiaTheme="minorEastAsia"/>
                <w:color w:val="000000" w:themeColor="text1"/>
                <w:szCs w:val="24"/>
              </w:rPr>
              <w:t>水泥仓顶端</w:t>
            </w:r>
            <w:r>
              <w:rPr>
                <w:rFonts w:hint="eastAsia" w:eastAsiaTheme="minorEastAsia"/>
                <w:color w:val="000000" w:themeColor="text1"/>
                <w:szCs w:val="24"/>
              </w:rPr>
              <w:t>，对水泥</w:t>
            </w:r>
            <w:r>
              <w:rPr>
                <w:rFonts w:eastAsiaTheme="minorEastAsia"/>
                <w:color w:val="000000" w:themeColor="text1"/>
                <w:szCs w:val="24"/>
              </w:rPr>
              <w:t>粉尘</w:t>
            </w:r>
            <w:r>
              <w:rPr>
                <w:rFonts w:hint="eastAsia" w:eastAsiaTheme="minorEastAsia"/>
                <w:color w:val="000000" w:themeColor="text1"/>
                <w:szCs w:val="24"/>
              </w:rPr>
              <w:t>进行处理，根据其物料平衡，1#</w:t>
            </w:r>
            <w:r>
              <w:rPr>
                <w:rFonts w:eastAsiaTheme="minorEastAsia"/>
                <w:color w:val="000000" w:themeColor="text1"/>
                <w:szCs w:val="24"/>
              </w:rPr>
              <w:t>袋式除尘器收集粉尘</w:t>
            </w:r>
            <w:r>
              <w:rPr>
                <w:rFonts w:hint="eastAsia" w:eastAsiaTheme="minorEastAsia"/>
                <w:color w:val="000000" w:themeColor="text1"/>
                <w:szCs w:val="24"/>
              </w:rPr>
              <w:t>产生量为5.449t/a，1#</w:t>
            </w:r>
            <w:r>
              <w:rPr>
                <w:rFonts w:eastAsiaTheme="minorEastAsia"/>
                <w:color w:val="000000" w:themeColor="text1"/>
                <w:szCs w:val="24"/>
              </w:rPr>
              <w:t>袋式除尘器收集粉尘</w:t>
            </w:r>
            <w:r>
              <w:rPr>
                <w:rFonts w:hint="eastAsia" w:eastAsiaTheme="minorEastAsia"/>
                <w:color w:val="000000" w:themeColor="text1"/>
                <w:szCs w:val="24"/>
              </w:rPr>
              <w:t>产生量为0.588t/a，合计总产生量为6.037t/a。其中1#</w:t>
            </w:r>
            <w:r>
              <w:rPr>
                <w:rFonts w:eastAsiaTheme="minorEastAsia"/>
                <w:color w:val="000000" w:themeColor="text1"/>
                <w:szCs w:val="24"/>
              </w:rPr>
              <w:t>袋式除尘器收集粉尘</w:t>
            </w:r>
            <w:r>
              <w:rPr>
                <w:rFonts w:hint="eastAsia" w:eastAsiaTheme="minorEastAsia"/>
                <w:color w:val="000000" w:themeColor="text1"/>
                <w:szCs w:val="24"/>
              </w:rPr>
              <w:t>的主要成分为轻集料混凝土，收集后返回搅拌混合工序作为原料使用；</w:t>
            </w:r>
            <w:r>
              <w:rPr>
                <w:rFonts w:eastAsiaTheme="minorEastAsia"/>
                <w:color w:val="000000" w:themeColor="text1"/>
                <w:szCs w:val="24"/>
              </w:rPr>
              <w:t>2#袋式除尘器收集粉尘</w:t>
            </w:r>
            <w:r>
              <w:rPr>
                <w:rFonts w:hint="eastAsia" w:eastAsiaTheme="minorEastAsia"/>
                <w:color w:val="000000" w:themeColor="text1"/>
                <w:szCs w:val="24"/>
              </w:rPr>
              <w:t>主要成分为水泥，直接进入水泥仓作为原料使用；处置率为100%。</w:t>
            </w:r>
          </w:p>
          <w:p>
            <w:pPr>
              <w:pStyle w:val="38"/>
              <w:ind w:firstLine="482"/>
              <w:rPr>
                <w:rFonts w:ascii="宋体" w:hAnsi="宋体" w:cs="宋体"/>
                <w:b/>
                <w:color w:val="000000" w:themeColor="text1"/>
                <w:szCs w:val="24"/>
              </w:rPr>
            </w:pPr>
            <w:r>
              <w:rPr>
                <w:rFonts w:hint="eastAsia" w:ascii="宋体" w:hAnsi="宋体" w:cs="宋体"/>
                <w:b/>
                <w:color w:val="000000" w:themeColor="text1"/>
                <w:szCs w:val="24"/>
              </w:rPr>
              <w:t>③</w:t>
            </w:r>
            <w:r>
              <w:rPr>
                <w:rFonts w:ascii="宋体" w:hAnsi="宋体" w:cs="宋体"/>
                <w:b/>
                <w:color w:val="000000" w:themeColor="text1"/>
                <w:szCs w:val="24"/>
              </w:rPr>
              <w:t>废机油及废弃沾油抹布</w:t>
            </w:r>
          </w:p>
          <w:p>
            <w:pPr>
              <w:pStyle w:val="38"/>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833"/>
              <w:gridCol w:w="1197"/>
              <w:gridCol w:w="298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0"/>
                    <w:spacing w:line="360" w:lineRule="exact"/>
                    <w:rPr>
                      <w:color w:val="000000" w:themeColor="text1"/>
                      <w:szCs w:val="21"/>
                    </w:rPr>
                  </w:pPr>
                  <w:r>
                    <w:rPr>
                      <w:color w:val="000000" w:themeColor="text1"/>
                      <w:szCs w:val="21"/>
                    </w:rPr>
                    <w:t>项目危废</w:t>
                  </w:r>
                </w:p>
              </w:tc>
              <w:tc>
                <w:tcPr>
                  <w:tcW w:w="830" w:type="pct"/>
                  <w:vAlign w:val="center"/>
                </w:tcPr>
                <w:p>
                  <w:pPr>
                    <w:pStyle w:val="30"/>
                    <w:spacing w:line="360" w:lineRule="exact"/>
                    <w:rPr>
                      <w:color w:val="000000" w:themeColor="text1"/>
                      <w:szCs w:val="21"/>
                    </w:rPr>
                  </w:pPr>
                  <w:r>
                    <w:rPr>
                      <w:color w:val="000000" w:themeColor="text1"/>
                      <w:szCs w:val="21"/>
                    </w:rPr>
                    <w:t>废物类别</w:t>
                  </w:r>
                </w:p>
              </w:tc>
              <w:tc>
                <w:tcPr>
                  <w:tcW w:w="484" w:type="pct"/>
                  <w:vAlign w:val="center"/>
                </w:tcPr>
                <w:p>
                  <w:pPr>
                    <w:pStyle w:val="30"/>
                    <w:spacing w:line="360" w:lineRule="exact"/>
                    <w:rPr>
                      <w:color w:val="000000" w:themeColor="text1"/>
                      <w:szCs w:val="21"/>
                    </w:rPr>
                  </w:pPr>
                  <w:r>
                    <w:rPr>
                      <w:color w:val="000000" w:themeColor="text1"/>
                      <w:szCs w:val="21"/>
                    </w:rPr>
                    <w:t>行业来源</w:t>
                  </w:r>
                </w:p>
              </w:tc>
              <w:tc>
                <w:tcPr>
                  <w:tcW w:w="695" w:type="pct"/>
                  <w:vAlign w:val="center"/>
                </w:tcPr>
                <w:p>
                  <w:pPr>
                    <w:pStyle w:val="30"/>
                    <w:spacing w:line="360" w:lineRule="exact"/>
                    <w:rPr>
                      <w:color w:val="000000" w:themeColor="text1"/>
                      <w:szCs w:val="21"/>
                    </w:rPr>
                  </w:pPr>
                  <w:r>
                    <w:rPr>
                      <w:color w:val="000000" w:themeColor="text1"/>
                      <w:szCs w:val="21"/>
                    </w:rPr>
                    <w:t>废物代码</w:t>
                  </w:r>
                </w:p>
              </w:tc>
              <w:tc>
                <w:tcPr>
                  <w:tcW w:w="1732" w:type="pct"/>
                  <w:vAlign w:val="center"/>
                </w:tcPr>
                <w:p>
                  <w:pPr>
                    <w:pStyle w:val="30"/>
                    <w:spacing w:line="360" w:lineRule="exact"/>
                    <w:rPr>
                      <w:color w:val="000000" w:themeColor="text1"/>
                      <w:szCs w:val="21"/>
                    </w:rPr>
                  </w:pPr>
                  <w:r>
                    <w:rPr>
                      <w:color w:val="000000" w:themeColor="text1"/>
                      <w:szCs w:val="21"/>
                    </w:rPr>
                    <w:t>危险废物</w:t>
                  </w:r>
                </w:p>
              </w:tc>
              <w:tc>
                <w:tcPr>
                  <w:tcW w:w="583" w:type="pct"/>
                  <w:vAlign w:val="center"/>
                </w:tcPr>
                <w:p>
                  <w:pPr>
                    <w:pStyle w:val="30"/>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0"/>
                    <w:spacing w:line="360" w:lineRule="exact"/>
                    <w:rPr>
                      <w:color w:val="000000" w:themeColor="text1"/>
                      <w:szCs w:val="21"/>
                    </w:rPr>
                  </w:pPr>
                  <w:r>
                    <w:rPr>
                      <w:color w:val="000000" w:themeColor="text1"/>
                      <w:szCs w:val="21"/>
                    </w:rPr>
                    <w:t>废机油</w:t>
                  </w:r>
                </w:p>
              </w:tc>
              <w:tc>
                <w:tcPr>
                  <w:tcW w:w="830" w:type="pct"/>
                  <w:vAlign w:val="center"/>
                </w:tcPr>
                <w:p>
                  <w:pPr>
                    <w:pStyle w:val="30"/>
                    <w:spacing w:line="360" w:lineRule="exact"/>
                    <w:rPr>
                      <w:color w:val="000000" w:themeColor="text1"/>
                      <w:szCs w:val="21"/>
                    </w:rPr>
                  </w:pPr>
                  <w:r>
                    <w:rPr>
                      <w:color w:val="000000" w:themeColor="text1"/>
                      <w:szCs w:val="21"/>
                    </w:rPr>
                    <w:t>HW08废矿物油与含矿物油废物</w:t>
                  </w:r>
                </w:p>
              </w:tc>
              <w:tc>
                <w:tcPr>
                  <w:tcW w:w="484" w:type="pct"/>
                  <w:vAlign w:val="center"/>
                </w:tcPr>
                <w:p>
                  <w:pPr>
                    <w:pStyle w:val="30"/>
                    <w:spacing w:line="360" w:lineRule="exact"/>
                    <w:rPr>
                      <w:color w:val="000000" w:themeColor="text1"/>
                      <w:szCs w:val="21"/>
                    </w:rPr>
                  </w:pPr>
                  <w:r>
                    <w:rPr>
                      <w:color w:val="000000" w:themeColor="text1"/>
                      <w:szCs w:val="21"/>
                    </w:rPr>
                    <w:t>非特定行业</w:t>
                  </w:r>
                </w:p>
              </w:tc>
              <w:tc>
                <w:tcPr>
                  <w:tcW w:w="695" w:type="pct"/>
                  <w:vAlign w:val="center"/>
                </w:tcPr>
                <w:p>
                  <w:pPr>
                    <w:pStyle w:val="30"/>
                    <w:spacing w:line="360" w:lineRule="exact"/>
                    <w:rPr>
                      <w:color w:val="000000" w:themeColor="text1"/>
                      <w:szCs w:val="21"/>
                    </w:rPr>
                  </w:pPr>
                  <w:r>
                    <w:rPr>
                      <w:color w:val="000000" w:themeColor="text1"/>
                      <w:szCs w:val="21"/>
                    </w:rPr>
                    <w:t>900-214-08</w:t>
                  </w:r>
                </w:p>
              </w:tc>
              <w:tc>
                <w:tcPr>
                  <w:tcW w:w="1732" w:type="pct"/>
                  <w:vAlign w:val="center"/>
                </w:tcPr>
                <w:p>
                  <w:pPr>
                    <w:pStyle w:val="30"/>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583" w:type="pct"/>
                  <w:vAlign w:val="center"/>
                </w:tcPr>
                <w:p>
                  <w:pPr>
                    <w:pStyle w:val="30"/>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0"/>
                    <w:spacing w:line="360" w:lineRule="exact"/>
                    <w:rPr>
                      <w:color w:val="000000" w:themeColor="text1"/>
                      <w:szCs w:val="21"/>
                    </w:rPr>
                  </w:pPr>
                  <w:r>
                    <w:rPr>
                      <w:color w:val="000000" w:themeColor="text1"/>
                      <w:szCs w:val="21"/>
                    </w:rPr>
                    <w:t>沾油的抹布</w:t>
                  </w:r>
                </w:p>
              </w:tc>
              <w:tc>
                <w:tcPr>
                  <w:tcW w:w="830" w:type="pct"/>
                  <w:vAlign w:val="center"/>
                </w:tcPr>
                <w:p>
                  <w:pPr>
                    <w:pStyle w:val="30"/>
                    <w:spacing w:line="360" w:lineRule="exact"/>
                    <w:rPr>
                      <w:color w:val="000000" w:themeColor="text1"/>
                      <w:szCs w:val="21"/>
                    </w:rPr>
                  </w:pPr>
                  <w:r>
                    <w:rPr>
                      <w:color w:val="000000" w:themeColor="text1"/>
                      <w:szCs w:val="21"/>
                    </w:rPr>
                    <w:t>HW49其他废物</w:t>
                  </w:r>
                </w:p>
              </w:tc>
              <w:tc>
                <w:tcPr>
                  <w:tcW w:w="484" w:type="pct"/>
                  <w:vAlign w:val="center"/>
                </w:tcPr>
                <w:p>
                  <w:pPr>
                    <w:pStyle w:val="30"/>
                    <w:spacing w:line="360" w:lineRule="exact"/>
                    <w:rPr>
                      <w:color w:val="000000" w:themeColor="text1"/>
                      <w:szCs w:val="21"/>
                    </w:rPr>
                  </w:pPr>
                  <w:r>
                    <w:rPr>
                      <w:color w:val="000000" w:themeColor="text1"/>
                      <w:szCs w:val="21"/>
                    </w:rPr>
                    <w:t>非特定行业</w:t>
                  </w:r>
                </w:p>
              </w:tc>
              <w:tc>
                <w:tcPr>
                  <w:tcW w:w="695" w:type="pct"/>
                  <w:vAlign w:val="center"/>
                </w:tcPr>
                <w:p>
                  <w:pPr>
                    <w:pStyle w:val="30"/>
                    <w:spacing w:line="360" w:lineRule="exact"/>
                    <w:rPr>
                      <w:color w:val="000000" w:themeColor="text1"/>
                      <w:szCs w:val="21"/>
                    </w:rPr>
                  </w:pPr>
                  <w:r>
                    <w:rPr>
                      <w:color w:val="000000" w:themeColor="text1"/>
                      <w:szCs w:val="21"/>
                    </w:rPr>
                    <w:t>900-041-49</w:t>
                  </w:r>
                </w:p>
              </w:tc>
              <w:tc>
                <w:tcPr>
                  <w:tcW w:w="1732" w:type="pct"/>
                  <w:vAlign w:val="center"/>
                </w:tcPr>
                <w:p>
                  <w:pPr>
                    <w:pStyle w:val="30"/>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583" w:type="pct"/>
                  <w:vAlign w:val="center"/>
                </w:tcPr>
                <w:p>
                  <w:pPr>
                    <w:pStyle w:val="30"/>
                    <w:spacing w:line="360" w:lineRule="exact"/>
                    <w:rPr>
                      <w:color w:val="000000" w:themeColor="text1"/>
                      <w:szCs w:val="21"/>
                    </w:rPr>
                  </w:pPr>
                  <w:r>
                    <w:rPr>
                      <w:color w:val="000000" w:themeColor="text1"/>
                      <w:szCs w:val="21"/>
                    </w:rPr>
                    <w:t>T/In</w:t>
                  </w:r>
                </w:p>
              </w:tc>
            </w:tr>
          </w:tbl>
          <w:p>
            <w:pPr>
              <w:pStyle w:val="38"/>
              <w:spacing w:beforeLines="50"/>
              <w:ind w:firstLine="480"/>
              <w:rPr>
                <w:color w:val="000000" w:themeColor="text1"/>
                <w:szCs w:val="24"/>
              </w:rPr>
            </w:pPr>
            <w:r>
              <w:rPr>
                <w:color w:val="000000" w:themeColor="text1"/>
                <w:szCs w:val="24"/>
              </w:rPr>
              <w:t>根据设计，项目区每年废机油产生量约为80kg，废弃沾油抹布产生量为10kg。根据《国家危险废物名录》（2021版）“危险废物豁免管理清单”的要求，该项目豁免危险废物清单如下：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该项目豁免危险废物清单一览表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0"/>
                    <w:spacing w:line="360" w:lineRule="exact"/>
                    <w:rPr>
                      <w:color w:val="000000" w:themeColor="text1"/>
                      <w:szCs w:val="21"/>
                    </w:rPr>
                  </w:pPr>
                  <w:r>
                    <w:rPr>
                      <w:color w:val="000000" w:themeColor="text1"/>
                      <w:szCs w:val="21"/>
                    </w:rPr>
                    <w:t>废物类别</w:t>
                  </w:r>
                </w:p>
              </w:tc>
              <w:tc>
                <w:tcPr>
                  <w:tcW w:w="860" w:type="pct"/>
                  <w:vAlign w:val="center"/>
                </w:tcPr>
                <w:p>
                  <w:pPr>
                    <w:pStyle w:val="30"/>
                    <w:spacing w:line="360" w:lineRule="exact"/>
                    <w:rPr>
                      <w:color w:val="000000" w:themeColor="text1"/>
                      <w:szCs w:val="21"/>
                    </w:rPr>
                  </w:pPr>
                  <w:r>
                    <w:rPr>
                      <w:color w:val="000000" w:themeColor="text1"/>
                      <w:szCs w:val="21"/>
                    </w:rPr>
                    <w:t>危险废物</w:t>
                  </w:r>
                </w:p>
              </w:tc>
              <w:tc>
                <w:tcPr>
                  <w:tcW w:w="727" w:type="pct"/>
                  <w:vAlign w:val="center"/>
                </w:tcPr>
                <w:p>
                  <w:pPr>
                    <w:pStyle w:val="30"/>
                    <w:spacing w:line="360" w:lineRule="exact"/>
                    <w:rPr>
                      <w:color w:val="000000" w:themeColor="text1"/>
                      <w:szCs w:val="21"/>
                    </w:rPr>
                  </w:pPr>
                  <w:r>
                    <w:rPr>
                      <w:color w:val="000000" w:themeColor="text1"/>
                      <w:szCs w:val="21"/>
                    </w:rPr>
                    <w:t>豁免环节</w:t>
                  </w:r>
                </w:p>
              </w:tc>
              <w:tc>
                <w:tcPr>
                  <w:tcW w:w="962" w:type="pct"/>
                  <w:vAlign w:val="center"/>
                </w:tcPr>
                <w:p>
                  <w:pPr>
                    <w:pStyle w:val="30"/>
                    <w:spacing w:line="360" w:lineRule="exact"/>
                    <w:rPr>
                      <w:color w:val="000000" w:themeColor="text1"/>
                      <w:szCs w:val="21"/>
                    </w:rPr>
                  </w:pPr>
                  <w:r>
                    <w:rPr>
                      <w:color w:val="000000" w:themeColor="text1"/>
                      <w:szCs w:val="21"/>
                    </w:rPr>
                    <w:t>豁免条件</w:t>
                  </w:r>
                </w:p>
              </w:tc>
              <w:tc>
                <w:tcPr>
                  <w:tcW w:w="1562" w:type="pct"/>
                  <w:vAlign w:val="center"/>
                </w:tcPr>
                <w:p>
                  <w:pPr>
                    <w:pStyle w:val="30"/>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0"/>
                    <w:spacing w:line="360" w:lineRule="exact"/>
                    <w:rPr>
                      <w:color w:val="000000" w:themeColor="text1"/>
                      <w:szCs w:val="21"/>
                    </w:rPr>
                  </w:pPr>
                  <w:r>
                    <w:rPr>
                      <w:color w:val="000000" w:themeColor="text1"/>
                      <w:szCs w:val="21"/>
                    </w:rPr>
                    <w:t>900-041-49</w:t>
                  </w:r>
                </w:p>
              </w:tc>
              <w:tc>
                <w:tcPr>
                  <w:tcW w:w="860" w:type="pct"/>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727" w:type="pct"/>
                  <w:vAlign w:val="center"/>
                </w:tcPr>
                <w:p>
                  <w:pPr>
                    <w:pStyle w:val="30"/>
                    <w:spacing w:line="360" w:lineRule="exact"/>
                    <w:rPr>
                      <w:color w:val="000000" w:themeColor="text1"/>
                      <w:szCs w:val="21"/>
                    </w:rPr>
                  </w:pPr>
                  <w:r>
                    <w:rPr>
                      <w:color w:val="000000" w:themeColor="text1"/>
                      <w:szCs w:val="21"/>
                    </w:rPr>
                    <w:t>全部环节</w:t>
                  </w:r>
                </w:p>
              </w:tc>
              <w:tc>
                <w:tcPr>
                  <w:tcW w:w="962" w:type="pct"/>
                  <w:vAlign w:val="center"/>
                </w:tcPr>
                <w:p>
                  <w:pPr>
                    <w:pStyle w:val="30"/>
                    <w:spacing w:line="360" w:lineRule="exact"/>
                    <w:rPr>
                      <w:color w:val="000000" w:themeColor="text1"/>
                      <w:szCs w:val="21"/>
                    </w:rPr>
                  </w:pPr>
                  <w:r>
                    <w:rPr>
                      <w:color w:val="000000" w:themeColor="text1"/>
                      <w:szCs w:val="21"/>
                    </w:rPr>
                    <w:t>未分类收集</w:t>
                  </w:r>
                </w:p>
              </w:tc>
              <w:tc>
                <w:tcPr>
                  <w:tcW w:w="1562" w:type="pct"/>
                  <w:vAlign w:val="center"/>
                </w:tcPr>
                <w:p>
                  <w:pPr>
                    <w:pStyle w:val="30"/>
                    <w:spacing w:line="360" w:lineRule="exact"/>
                    <w:rPr>
                      <w:color w:val="000000" w:themeColor="text1"/>
                      <w:szCs w:val="21"/>
                    </w:rPr>
                  </w:pPr>
                  <w:r>
                    <w:rPr>
                      <w:color w:val="000000" w:themeColor="text1"/>
                      <w:szCs w:val="21"/>
                    </w:rPr>
                    <w:t>全过程不按危险废物管理</w:t>
                  </w:r>
                </w:p>
              </w:tc>
            </w:tr>
          </w:tbl>
          <w:p>
            <w:pPr>
              <w:pStyle w:val="38"/>
              <w:spacing w:beforeLines="50"/>
              <w:ind w:firstLine="480"/>
              <w:rPr>
                <w:rFonts w:hint="eastAsia"/>
                <w:color w:val="000000" w:themeColor="text1"/>
                <w:szCs w:val="24"/>
              </w:rPr>
            </w:pPr>
            <w:r>
              <w:rPr>
                <w:color w:val="000000" w:themeColor="text1"/>
                <w:szCs w:val="24"/>
              </w:rPr>
              <w:t>由上表可知，项目产生的废弃沾油抹布全部环节已被豁免，按一般固体废物管理要求管理；针对项目产生的废机油，</w:t>
            </w:r>
            <w:r>
              <w:rPr>
                <w:rFonts w:hint="eastAsia"/>
                <w:color w:val="000000" w:themeColor="text1"/>
                <w:szCs w:val="24"/>
              </w:rPr>
              <w:t>厂区拟建设1个6m²的危险废物贮存间</w:t>
            </w:r>
            <w:r>
              <w:rPr>
                <w:color w:val="000000" w:themeColor="text1"/>
                <w:szCs w:val="24"/>
              </w:rPr>
              <w:t>对项目区废机油等危险废物进行暂存</w:t>
            </w:r>
            <w:r>
              <w:rPr>
                <w:rFonts w:hint="eastAsia"/>
                <w:color w:val="000000" w:themeColor="text1"/>
                <w:szCs w:val="24"/>
              </w:rPr>
              <w:t>；废机油部分用于生产设备润滑使用，无法使用部分委托有资质的单位处置</w:t>
            </w:r>
            <w:r>
              <w:rPr>
                <w:color w:val="000000" w:themeColor="text1"/>
                <w:szCs w:val="24"/>
              </w:rPr>
              <w:t>。</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8"/>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固体废物环境影响和保护措施分析一览表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3"/>
              <w:gridCol w:w="995"/>
              <w:gridCol w:w="952"/>
              <w:gridCol w:w="860"/>
              <w:gridCol w:w="859"/>
              <w:gridCol w:w="1724"/>
              <w:gridCol w:w="1822"/>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序号</w:t>
                  </w:r>
                </w:p>
              </w:tc>
              <w:tc>
                <w:tcPr>
                  <w:tcW w:w="99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产生环节</w:t>
                  </w:r>
                </w:p>
              </w:tc>
              <w:tc>
                <w:tcPr>
                  <w:tcW w:w="95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名称</w:t>
                  </w:r>
                </w:p>
              </w:tc>
              <w:tc>
                <w:tcPr>
                  <w:tcW w:w="8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属性</w:t>
                  </w:r>
                </w:p>
              </w:tc>
              <w:tc>
                <w:tcPr>
                  <w:tcW w:w="8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产生量</w:t>
                  </w:r>
                </w:p>
              </w:tc>
              <w:tc>
                <w:tcPr>
                  <w:tcW w:w="172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贮存方式</w:t>
                  </w:r>
                </w:p>
              </w:tc>
              <w:tc>
                <w:tcPr>
                  <w:tcW w:w="182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4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w:t>
                  </w:r>
                </w:p>
              </w:tc>
              <w:tc>
                <w:tcPr>
                  <w:tcW w:w="99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原料车间</w:t>
                  </w:r>
                </w:p>
              </w:tc>
              <w:tc>
                <w:tcPr>
                  <w:tcW w:w="95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废包装袋</w:t>
                  </w:r>
                </w:p>
              </w:tc>
              <w:tc>
                <w:tcPr>
                  <w:tcW w:w="8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0.3t/a</w:t>
                  </w:r>
                </w:p>
              </w:tc>
              <w:tc>
                <w:tcPr>
                  <w:tcW w:w="1724"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拟建设1个10m²的废包装袋贮存区贮存。</w:t>
                  </w:r>
                </w:p>
              </w:tc>
              <w:tc>
                <w:tcPr>
                  <w:tcW w:w="1822"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可回收利用（未破损）部分交原料供应单位回收利用，破损部分委托环卫部门处置</w:t>
                  </w:r>
                </w:p>
              </w:tc>
              <w:tc>
                <w:tcPr>
                  <w:tcW w:w="943" w:type="dxa"/>
                  <w:vAlign w:val="center"/>
                </w:tcPr>
                <w:p>
                  <w:pPr>
                    <w:pStyle w:val="30"/>
                    <w:spacing w:line="360" w:lineRule="exact"/>
                    <w:rPr>
                      <w:rFonts w:eastAsiaTheme="minorEastAsia"/>
                      <w:color w:val="000000" w:themeColor="text1"/>
                      <w:szCs w:val="21"/>
                    </w:rPr>
                  </w:pPr>
                  <w:r>
                    <w:rPr>
                      <w:color w:val="000000" w:themeColor="text1"/>
                      <w:kern w:val="2"/>
                      <w:szCs w:val="21"/>
                    </w:rPr>
                    <w:t>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w:t>
                  </w:r>
                </w:p>
              </w:tc>
              <w:tc>
                <w:tcPr>
                  <w:tcW w:w="99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废气处理设施</w:t>
                  </w:r>
                </w:p>
              </w:tc>
              <w:tc>
                <w:tcPr>
                  <w:tcW w:w="95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8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一般工业固废</w:t>
                  </w:r>
                  <w:r>
                    <w:rPr>
                      <w:rFonts w:hint="eastAsia" w:eastAsiaTheme="minorEastAsia"/>
                      <w:color w:val="000000" w:themeColor="text1"/>
                      <w:szCs w:val="21"/>
                    </w:rPr>
                    <w:t>（成分为原料）</w:t>
                  </w:r>
                </w:p>
              </w:tc>
              <w:tc>
                <w:tcPr>
                  <w:tcW w:w="8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6.037t/a</w:t>
                  </w:r>
                </w:p>
              </w:tc>
              <w:tc>
                <w:tcPr>
                  <w:tcW w:w="1724"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直接利用，不贮存。</w:t>
                  </w:r>
                </w:p>
              </w:tc>
              <w:tc>
                <w:tcPr>
                  <w:tcW w:w="1822"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1#袋式除尘器收集粉尘返回搅拌混合工序作为原料使用；2#袋式除尘器收集粉尘进入水泥仓作为原料使用</w:t>
                  </w:r>
                </w:p>
              </w:tc>
              <w:tc>
                <w:tcPr>
                  <w:tcW w:w="943" w:type="dxa"/>
                  <w:vAlign w:val="center"/>
                </w:tcPr>
                <w:p>
                  <w:pPr>
                    <w:pStyle w:val="30"/>
                    <w:spacing w:line="360" w:lineRule="exact"/>
                    <w:rPr>
                      <w:color w:val="000000" w:themeColor="text1"/>
                      <w:kern w:val="2"/>
                      <w:szCs w:val="21"/>
                    </w:rPr>
                  </w:pPr>
                  <w:r>
                    <w:rPr>
                      <w:rFonts w:eastAsiaTheme="minorEastAsia"/>
                      <w:color w:val="000000" w:themeColor="text1"/>
                      <w:szCs w:val="21"/>
                    </w:rPr>
                    <w:t>6.037t/a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w:t>
                  </w:r>
                </w:p>
              </w:tc>
              <w:tc>
                <w:tcPr>
                  <w:tcW w:w="995"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设备维护</w:t>
                  </w:r>
                </w:p>
              </w:tc>
              <w:tc>
                <w:tcPr>
                  <w:tcW w:w="95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废机油</w:t>
                  </w:r>
                </w:p>
              </w:tc>
              <w:tc>
                <w:tcPr>
                  <w:tcW w:w="8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危险废物</w:t>
                  </w:r>
                </w:p>
              </w:tc>
              <w:tc>
                <w:tcPr>
                  <w:tcW w:w="8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724"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厂区拟建设1个6m²的危险废物贮存间对项目区废机油等危险废物进行暂存。</w:t>
                  </w:r>
                </w:p>
              </w:tc>
              <w:tc>
                <w:tcPr>
                  <w:tcW w:w="1822"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部分用于生产设备润滑使用，无法使用部分委托有资质的单位处置。</w:t>
                  </w:r>
                </w:p>
              </w:tc>
              <w:tc>
                <w:tcPr>
                  <w:tcW w:w="94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Merge w:val="continue"/>
                  <w:vAlign w:val="center"/>
                </w:tcPr>
                <w:p>
                  <w:pPr>
                    <w:pStyle w:val="30"/>
                    <w:spacing w:line="360" w:lineRule="exact"/>
                    <w:rPr>
                      <w:rFonts w:eastAsiaTheme="minorEastAsia"/>
                      <w:color w:val="000000" w:themeColor="text1"/>
                      <w:szCs w:val="21"/>
                    </w:rPr>
                  </w:pPr>
                </w:p>
              </w:tc>
              <w:tc>
                <w:tcPr>
                  <w:tcW w:w="995" w:type="dxa"/>
                  <w:vMerge w:val="continue"/>
                  <w:vAlign w:val="center"/>
                </w:tcPr>
                <w:p>
                  <w:pPr>
                    <w:pStyle w:val="30"/>
                    <w:spacing w:line="360" w:lineRule="exact"/>
                    <w:rPr>
                      <w:rFonts w:eastAsiaTheme="minorEastAsia"/>
                      <w:color w:val="000000" w:themeColor="text1"/>
                      <w:szCs w:val="21"/>
                    </w:rPr>
                  </w:pPr>
                </w:p>
              </w:tc>
              <w:tc>
                <w:tcPr>
                  <w:tcW w:w="95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豁免的危险废物</w:t>
                  </w:r>
                </w:p>
              </w:tc>
              <w:tc>
                <w:tcPr>
                  <w:tcW w:w="8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c>
                <w:tcPr>
                  <w:tcW w:w="1724"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w:t>
                  </w:r>
                </w:p>
              </w:tc>
              <w:tc>
                <w:tcPr>
                  <w:tcW w:w="1822"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4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r>
          </w:tbl>
          <w:p>
            <w:pPr>
              <w:pStyle w:val="38"/>
              <w:spacing w:beforeLines="50"/>
              <w:ind w:firstLine="480"/>
              <w:rPr>
                <w:rFonts w:hint="eastAsia" w:eastAsiaTheme="minorEastAsia"/>
                <w:color w:val="000000" w:themeColor="text1"/>
                <w:szCs w:val="21"/>
              </w:rPr>
            </w:pPr>
            <w:r>
              <w:rPr>
                <w:rFonts w:eastAsiaTheme="minorEastAsia"/>
                <w:color w:val="000000" w:themeColor="text1"/>
                <w:szCs w:val="21"/>
              </w:rPr>
              <w:t>由上表可知，项目产生的固体废物均可得到合理处置，处置率为100%；对环境影响较小。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）环境管理要求</w:t>
            </w:r>
          </w:p>
          <w:p>
            <w:pPr>
              <w:pStyle w:val="38"/>
              <w:ind w:firstLine="480"/>
              <w:rPr>
                <w:color w:val="000000" w:themeColor="text1"/>
                <w:szCs w:val="24"/>
              </w:rPr>
            </w:pPr>
            <w:r>
              <w:rPr>
                <w:color w:val="000000" w:themeColor="text1"/>
                <w:szCs w:val="24"/>
              </w:rPr>
              <w:t>针对项目产生的危险废物，项目在日常管理过程中，必须严格按照《危险废物贮存污染控制标准》（GB</w:t>
            </w:r>
            <w:r>
              <w:rPr>
                <w:rFonts w:hint="eastAsia"/>
                <w:color w:val="000000" w:themeColor="text1"/>
                <w:szCs w:val="24"/>
                <w:lang w:eastAsia="zh-CN"/>
              </w:rPr>
              <w:t>*****</w:t>
            </w:r>
            <w:r>
              <w:rPr>
                <w:color w:val="000000" w:themeColor="text1"/>
                <w:szCs w:val="24"/>
              </w:rPr>
              <w:t>-2023）的要求，做到下表提出的要求。</w:t>
            </w:r>
          </w:p>
          <w:p>
            <w:pPr>
              <w:pStyle w:val="14"/>
              <w:rPr>
                <w:color w:val="000000" w:themeColor="text1"/>
              </w:rPr>
            </w:pPr>
            <w:r>
              <w:rPr>
                <w:color w:val="000000" w:themeColor="text1"/>
              </w:rPr>
              <w:t>表4.2.4-</w:t>
            </w:r>
            <w:r>
              <w:rPr>
                <w:rFonts w:hint="eastAsia"/>
                <w:color w:val="000000" w:themeColor="text1"/>
              </w:rPr>
              <w:t>4</w:t>
            </w:r>
            <w:r>
              <w:rPr>
                <w:color w:val="000000" w:themeColor="text1"/>
              </w:rPr>
              <w:t xml:space="preserve"> 项目危险废物管理要求一览表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rFonts w:hint="eastAsia"/>
                      <w:color w:val="000000" w:themeColor="text1"/>
                      <w:szCs w:val="18"/>
                    </w:rPr>
                    <w:t>环节</w:t>
                  </w:r>
                </w:p>
              </w:tc>
              <w:tc>
                <w:tcPr>
                  <w:tcW w:w="772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color w:val="000000" w:themeColor="text1"/>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color w:val="000000" w:themeColor="text1"/>
                    </w:rPr>
                  </w:pPr>
                  <w:r>
                    <w:rPr>
                      <w:rFonts w:hint="eastAsia"/>
                      <w:color w:val="000000" w:themeColor="text1"/>
                      <w:szCs w:val="18"/>
                    </w:rPr>
                    <w:t>总体</w:t>
                  </w:r>
                  <w:r>
                    <w:rPr>
                      <w:color w:val="000000" w:themeColor="text1"/>
                      <w:szCs w:val="18"/>
                    </w:rPr>
                    <w:t>要求</w:t>
                  </w:r>
                </w:p>
              </w:tc>
              <w:tc>
                <w:tcPr>
                  <w:tcW w:w="7728" w:type="dxa"/>
                  <w:tcBorders>
                    <w:top w:val="single" w:color="auto" w:sz="4" w:space="0"/>
                    <w:left w:val="single" w:color="auto" w:sz="4" w:space="0"/>
                    <w:right w:val="single" w:color="auto" w:sz="4" w:space="0"/>
                  </w:tcBorders>
                  <w:noWrap/>
                  <w:vAlign w:val="center"/>
                </w:tcPr>
                <w:p>
                  <w:pPr>
                    <w:pStyle w:val="49"/>
                    <w:spacing w:line="360" w:lineRule="exact"/>
                    <w:ind w:firstLine="210" w:firstLineChars="100"/>
                    <w:rPr>
                      <w:color w:val="000000" w:themeColor="text1"/>
                    </w:rPr>
                  </w:pPr>
                  <w:r>
                    <w:rPr>
                      <w:rFonts w:hint="eastAsia"/>
                      <w:color w:val="000000" w:themeColor="text1"/>
                    </w:rPr>
                    <w:t>①贮存危险废物应根据危险废物的类别、形态、物理化学性质和污染防治要求进行分类贮存，且应避免危险废物与不相容的物质或材料接触</w:t>
                  </w:r>
                  <w:r>
                    <w:rPr>
                      <w:color w:val="000000" w:themeColor="text1"/>
                    </w:rPr>
                    <w:t>；</w:t>
                  </w:r>
                </w:p>
                <w:p>
                  <w:pPr>
                    <w:pStyle w:val="49"/>
                    <w:spacing w:line="360" w:lineRule="exact"/>
                    <w:ind w:firstLine="210" w:firstLineChars="100"/>
                    <w:rPr>
                      <w:color w:val="000000" w:themeColor="text1"/>
                    </w:rPr>
                  </w:pPr>
                  <w:r>
                    <w:rPr>
                      <w:rFonts w:hint="eastAsia" w:ascii="宋体" w:hAnsi="宋体" w:cs="宋体"/>
                      <w:color w:val="000000" w:themeColor="text1"/>
                      <w:szCs w:val="24"/>
                    </w:rPr>
                    <w:t>②</w:t>
                  </w:r>
                  <w:r>
                    <w:rPr>
                      <w:rFonts w:cs="sans-serif"/>
                      <w:color w:val="000000" w:themeColor="text1"/>
                      <w:szCs w:val="24"/>
                    </w:rPr>
                    <w:t>危险废物贮存过程产生的液态废物和固态废物应分类收集，按其环境管理要求妥善处理</w:t>
                  </w:r>
                  <w:r>
                    <w:rPr>
                      <w:rFonts w:hint="eastAsia" w:cs="sans-serif"/>
                      <w:color w:val="000000" w:themeColor="text1"/>
                      <w:szCs w:val="24"/>
                    </w:rPr>
                    <w:t>；</w:t>
                  </w:r>
                </w:p>
                <w:p>
                  <w:pPr>
                    <w:pStyle w:val="49"/>
                    <w:spacing w:line="360" w:lineRule="exact"/>
                    <w:ind w:firstLine="210" w:firstLineChars="100"/>
                    <w:rPr>
                      <w:color w:val="000000" w:themeColor="text1"/>
                    </w:rPr>
                  </w:pPr>
                  <w:r>
                    <w:rPr>
                      <w:rFonts w:hint="eastAsia" w:ascii="宋体" w:hAnsi="宋体" w:cs="宋体"/>
                      <w:color w:val="000000" w:themeColor="text1"/>
                      <w:szCs w:val="24"/>
                    </w:rPr>
                    <w:t>③</w:t>
                  </w:r>
                  <w:r>
                    <w:rPr>
                      <w:rFonts w:cs="sans-serif"/>
                      <w:color w:val="000000" w:themeColor="text1"/>
                      <w:szCs w:val="24"/>
                    </w:rPr>
                    <w:t xml:space="preserve">贮存设施或场所、容器和包装物应按 </w:t>
                  </w:r>
                  <w:r>
                    <w:rPr>
                      <w:rFonts w:cs="serif"/>
                      <w:color w:val="000000" w:themeColor="text1"/>
                      <w:szCs w:val="24"/>
                    </w:rPr>
                    <w:t xml:space="preserve">HJ 1276 </w:t>
                  </w:r>
                  <w:r>
                    <w:rPr>
                      <w:rFonts w:cs="sans-serif"/>
                      <w:color w:val="000000" w:themeColor="text1"/>
                      <w:szCs w:val="24"/>
                    </w:rPr>
                    <w:t>要求设置危险废物贮存设施或场所标志、危险废物贮存分区标志和危险废物标签等危险废物识别标志</w:t>
                  </w:r>
                  <w:r>
                    <w:rPr>
                      <w:rFonts w:hint="eastAsia" w:cs="sans-serif"/>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color w:val="000000" w:themeColor="text1"/>
                      <w:szCs w:val="18"/>
                    </w:rPr>
                  </w:pPr>
                  <w:r>
                    <w:rPr>
                      <w:color w:val="000000" w:themeColor="text1"/>
                      <w:szCs w:val="18"/>
                    </w:rPr>
                    <w:t>贮存设施</w:t>
                  </w:r>
                  <w:r>
                    <w:rPr>
                      <w:rFonts w:hint="eastAsia"/>
                      <w:color w:val="000000" w:themeColor="text1"/>
                      <w:szCs w:val="18"/>
                    </w:rPr>
                    <w:t>污染控制要求一般规定</w:t>
                  </w:r>
                </w:p>
              </w:tc>
              <w:tc>
                <w:tcPr>
                  <w:tcW w:w="7728" w:type="dxa"/>
                  <w:tcBorders>
                    <w:top w:val="single" w:color="auto" w:sz="4" w:space="0"/>
                    <w:left w:val="single" w:color="auto" w:sz="4" w:space="0"/>
                    <w:right w:val="single" w:color="auto" w:sz="4" w:space="0"/>
                  </w:tcBorders>
                  <w:noWrap/>
                  <w:vAlign w:val="center"/>
                </w:tcPr>
                <w:p>
                  <w:pPr>
                    <w:pStyle w:val="49"/>
                    <w:spacing w:line="360" w:lineRule="exact"/>
                    <w:ind w:firstLine="210" w:firstLineChars="100"/>
                    <w:rPr>
                      <w:rFonts w:cs="sans-serif"/>
                      <w:color w:val="000000" w:themeColor="text1"/>
                      <w:szCs w:val="24"/>
                    </w:rPr>
                  </w:pPr>
                  <w:r>
                    <w:rPr>
                      <w:rFonts w:hint="eastAsia" w:cs="sans-serif"/>
                      <w:color w:val="000000" w:themeColor="text1"/>
                      <w:szCs w:val="24"/>
                    </w:rPr>
                    <w:t>①</w:t>
                  </w:r>
                  <w:r>
                    <w:rPr>
                      <w:rFonts w:cs="sans-serif"/>
                      <w:color w:val="000000" w:themeColor="text1"/>
                      <w:szCs w:val="24"/>
                    </w:rPr>
                    <w:t>贮存设施应根据危险废物的形态、物理化学性质、包装形式和污染物迁移途径，采取必要的防风、防晒、防雨、防漏、防渗、防腐以及其他环境污染防治措施，不应露天堆放危险废物</w:t>
                  </w:r>
                  <w:r>
                    <w:rPr>
                      <w:rFonts w:hint="eastAsia" w:cs="sans-serif"/>
                      <w:color w:val="000000" w:themeColor="text1"/>
                      <w:szCs w:val="24"/>
                    </w:rPr>
                    <w:t>；</w:t>
                  </w:r>
                </w:p>
                <w:p>
                  <w:pPr>
                    <w:pStyle w:val="49"/>
                    <w:spacing w:line="360" w:lineRule="exact"/>
                    <w:ind w:firstLine="210" w:firstLineChars="100"/>
                    <w:rPr>
                      <w:rFonts w:cs="sans-serif"/>
                      <w:color w:val="000000" w:themeColor="text1"/>
                      <w:szCs w:val="24"/>
                    </w:rPr>
                  </w:pPr>
                  <w:r>
                    <w:rPr>
                      <w:rFonts w:hint="eastAsia" w:cs="sans-serif"/>
                      <w:color w:val="000000" w:themeColor="text1"/>
                      <w:szCs w:val="24"/>
                    </w:rPr>
                    <w:t>②</w:t>
                  </w:r>
                  <w:r>
                    <w:rPr>
                      <w:rFonts w:cs="sans-serif"/>
                      <w:color w:val="000000" w:themeColor="text1"/>
                      <w:szCs w:val="24"/>
                    </w:rPr>
                    <w:t>贮存设施应根据危险废物的类别、数量、形态、物理化学性质和污染防治等要求设置必要的贮存分区，避免不相容的危险废物接触、混合</w:t>
                  </w:r>
                  <w:r>
                    <w:rPr>
                      <w:rFonts w:hint="eastAsia" w:cs="sans-serif"/>
                      <w:color w:val="000000" w:themeColor="text1"/>
                      <w:szCs w:val="24"/>
                    </w:rPr>
                    <w:t>；</w:t>
                  </w:r>
                </w:p>
                <w:p>
                  <w:pPr>
                    <w:pStyle w:val="49"/>
                    <w:spacing w:line="360" w:lineRule="exact"/>
                    <w:ind w:firstLine="210" w:firstLineChars="100"/>
                    <w:rPr>
                      <w:rFonts w:cs="sans-serif"/>
                      <w:color w:val="000000" w:themeColor="text1"/>
                      <w:szCs w:val="24"/>
                    </w:rPr>
                  </w:pPr>
                  <w:r>
                    <w:rPr>
                      <w:rFonts w:hint="eastAsia" w:cs="sans-serif"/>
                      <w:color w:val="000000" w:themeColor="text1"/>
                      <w:szCs w:val="24"/>
                    </w:rPr>
                    <w:t>③</w:t>
                  </w:r>
                  <w:r>
                    <w:rPr>
                      <w:rFonts w:cs="sans-serif"/>
                      <w:color w:val="000000" w:themeColor="text1"/>
                      <w:szCs w:val="24"/>
                    </w:rPr>
                    <w:t>贮存设施或贮存分区内地面、墙面裙脚、堵截泄漏的围堰、接触危险废物的隔板和墙体等应采用坚固的材料建造，表面无裂缝</w:t>
                  </w:r>
                  <w:r>
                    <w:rPr>
                      <w:rFonts w:hint="eastAsia" w:cs="sans-serif"/>
                      <w:color w:val="000000" w:themeColor="text1"/>
                      <w:szCs w:val="24"/>
                    </w:rPr>
                    <w:t>；</w:t>
                  </w:r>
                </w:p>
                <w:p>
                  <w:pPr>
                    <w:pStyle w:val="49"/>
                    <w:spacing w:line="360" w:lineRule="exact"/>
                    <w:ind w:firstLine="210" w:firstLineChars="100"/>
                    <w:rPr>
                      <w:rFonts w:cs="sans-serif"/>
                      <w:color w:val="000000" w:themeColor="text1"/>
                      <w:szCs w:val="24"/>
                    </w:rPr>
                  </w:pPr>
                  <w:r>
                    <w:rPr>
                      <w:rFonts w:hint="eastAsia" w:cs="sans-serif"/>
                      <w:color w:val="000000" w:themeColor="text1"/>
                      <w:szCs w:val="24"/>
                    </w:rPr>
                    <w:t>④</w:t>
                  </w:r>
                  <w:r>
                    <w:rPr>
                      <w:rFonts w:cs="sans-serif"/>
                      <w:color w:val="000000" w:themeColor="text1"/>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10-7 cm/s），或至少2 mm 厚高密度聚乙烯膜等人工防渗材料（渗透系数不大于 10-10 cm/s），或其他防渗性能等效的材料</w:t>
                  </w:r>
                  <w:r>
                    <w:rPr>
                      <w:rFonts w:hint="eastAsia" w:cs="sans-serif"/>
                      <w:color w:val="000000" w:themeColor="text1"/>
                      <w:szCs w:val="24"/>
                    </w:rPr>
                    <w:t>；</w:t>
                  </w:r>
                </w:p>
                <w:p>
                  <w:pPr>
                    <w:pStyle w:val="49"/>
                    <w:spacing w:line="360" w:lineRule="exact"/>
                    <w:ind w:firstLine="210" w:firstLineChars="100"/>
                    <w:rPr>
                      <w:rFonts w:cs="sans-serif"/>
                      <w:color w:val="000000" w:themeColor="text1"/>
                      <w:szCs w:val="24"/>
                    </w:rPr>
                  </w:pPr>
                  <w:r>
                    <w:rPr>
                      <w:rFonts w:hint="eastAsia" w:cs="sans-serif"/>
                      <w:color w:val="000000" w:themeColor="text1"/>
                      <w:szCs w:val="24"/>
                    </w:rPr>
                    <w:t>⑤</w:t>
                  </w:r>
                  <w:r>
                    <w:rPr>
                      <w:rFonts w:cs="sans-serif"/>
                      <w:color w:val="000000" w:themeColor="text1"/>
                      <w:szCs w:val="24"/>
                    </w:rPr>
                    <w:t>同一贮存设施宜采用相同的防渗、防腐工艺（包括防渗、防腐结构或材料），防渗、防腐材料应覆盖所有可能与废物及其渗滤液、渗漏液等接触的构筑物表面；采用不同防渗、防腐工艺应分别建设贮存分区</w:t>
                  </w:r>
                  <w:r>
                    <w:rPr>
                      <w:rFonts w:hint="eastAsia" w:cs="sans-serif"/>
                      <w:color w:val="000000" w:themeColor="text1"/>
                      <w:szCs w:val="24"/>
                    </w:rPr>
                    <w:t>；</w:t>
                  </w:r>
                </w:p>
                <w:p>
                  <w:pPr>
                    <w:pStyle w:val="49"/>
                    <w:spacing w:line="360" w:lineRule="exact"/>
                    <w:ind w:firstLine="210" w:firstLineChars="100"/>
                    <w:rPr>
                      <w:color w:val="000000" w:themeColor="text1"/>
                    </w:rPr>
                  </w:pPr>
                  <w:r>
                    <w:rPr>
                      <w:rFonts w:hint="eastAsia" w:cs="sans-serif"/>
                      <w:color w:val="000000" w:themeColor="text1"/>
                      <w:szCs w:val="24"/>
                    </w:rPr>
                    <w:t>⑥</w:t>
                  </w:r>
                  <w:r>
                    <w:rPr>
                      <w:rFonts w:cs="sans-serif"/>
                      <w:color w:val="000000" w:themeColor="text1"/>
                      <w:szCs w:val="24"/>
                    </w:rPr>
                    <w:t>贮存设施应采取技术和管理措施防止无关人员进入</w:t>
                  </w:r>
                  <w:r>
                    <w:rPr>
                      <w:rFonts w:hint="eastAsia" w:cs="sans-serif"/>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rFonts w:hint="eastAsia"/>
                      <w:color w:val="000000" w:themeColor="text1"/>
                      <w:szCs w:val="18"/>
                    </w:rPr>
                    <w:t>贮存过程污染控制要求</w:t>
                  </w:r>
                </w:p>
              </w:tc>
              <w:tc>
                <w:tcPr>
                  <w:tcW w:w="7728" w:type="dxa"/>
                  <w:tcBorders>
                    <w:top w:val="single" w:color="auto" w:sz="4" w:space="0"/>
                    <w:left w:val="single" w:color="auto" w:sz="4" w:space="0"/>
                    <w:right w:val="single" w:color="auto" w:sz="4" w:space="0"/>
                  </w:tcBorders>
                  <w:noWrap/>
                  <w:vAlign w:val="center"/>
                </w:tcPr>
                <w:p>
                  <w:pPr>
                    <w:pStyle w:val="49"/>
                    <w:spacing w:line="360" w:lineRule="exact"/>
                    <w:ind w:firstLine="210" w:firstLineChars="100"/>
                    <w:rPr>
                      <w:rFonts w:cs="sans-serif"/>
                      <w:color w:val="000000" w:themeColor="text1"/>
                      <w:szCs w:val="24"/>
                    </w:rPr>
                  </w:pPr>
                  <w:r>
                    <w:rPr>
                      <w:rFonts w:hint="eastAsia" w:cs="sans-serif"/>
                      <w:color w:val="000000" w:themeColor="text1"/>
                      <w:szCs w:val="24"/>
                    </w:rPr>
                    <w:t>①</w:t>
                  </w:r>
                  <w:r>
                    <w:rPr>
                      <w:rFonts w:cs="sans-serif"/>
                      <w:color w:val="000000" w:themeColor="text1"/>
                      <w:szCs w:val="24"/>
                    </w:rPr>
                    <w:t>危险废物存入贮存设施前应对危险废物类别和特性与危险废物标签等危险废物识别标志的一致性进行核验，不一致的或类别、特性不明的不应存入</w:t>
                  </w:r>
                  <w:r>
                    <w:rPr>
                      <w:rFonts w:hint="eastAsia" w:cs="sans-serif"/>
                      <w:color w:val="000000" w:themeColor="text1"/>
                      <w:szCs w:val="24"/>
                    </w:rPr>
                    <w:t>；</w:t>
                  </w:r>
                  <w:r>
                    <w:rPr>
                      <w:rFonts w:cs="sans-serif"/>
                      <w:color w:val="000000" w:themeColor="text1"/>
                      <w:szCs w:val="24"/>
                    </w:rPr>
                    <w:t>应定期检查危险废物的贮存状况，及时清理贮存设施地面，更换破损泄漏的危险废物贮存容器和包装物，保证堆存危险废物的防雨、防风、防扬尘等设施功能完好</w:t>
                  </w:r>
                  <w:r>
                    <w:rPr>
                      <w:rFonts w:hint="eastAsia" w:cs="sans-serif"/>
                      <w:color w:val="000000" w:themeColor="text1"/>
                      <w:szCs w:val="24"/>
                    </w:rPr>
                    <w:t>；</w:t>
                  </w:r>
                  <w:r>
                    <w:rPr>
                      <w:rFonts w:cs="sans-serif"/>
                      <w:color w:val="000000" w:themeColor="text1"/>
                      <w:szCs w:val="24"/>
                    </w:rPr>
                    <w:t>作业设备及车辆等结束作业离开贮存设施时，应对其残留的危险废物进行清理，清理的废物或清洗废水应收集处理</w:t>
                  </w:r>
                  <w:r>
                    <w:rPr>
                      <w:rFonts w:hint="eastAsia" w:cs="sans-serif"/>
                      <w:color w:val="000000" w:themeColor="text1"/>
                      <w:szCs w:val="24"/>
                    </w:rPr>
                    <w:t>；</w:t>
                  </w:r>
                  <w:r>
                    <w:rPr>
                      <w:rFonts w:cs="sans-serif"/>
                      <w:color w:val="000000" w:themeColor="text1"/>
                      <w:szCs w:val="24"/>
                    </w:rPr>
                    <w:t>贮存设施运行期间，应按国家有关标准和规定建立危险废物管理台账并保存</w:t>
                  </w:r>
                  <w:r>
                    <w:rPr>
                      <w:rFonts w:hint="eastAsia" w:cs="sans-serif"/>
                      <w:color w:val="000000" w:themeColor="text1"/>
                      <w:szCs w:val="24"/>
                    </w:rPr>
                    <w:t>；</w:t>
                  </w:r>
                  <w:r>
                    <w:rPr>
                      <w:rFonts w:cs="sans-serif"/>
                      <w:color w:val="000000" w:themeColor="text1"/>
                      <w:szCs w:val="24"/>
                    </w:rPr>
                    <w:t>贮存设施所有者或运营者应建立贮存设施环境管理制度、管理人员岗位职责制度、设施运行操作制度、人员岗位培训制度等</w:t>
                  </w:r>
                  <w:r>
                    <w:rPr>
                      <w:rFonts w:hint="eastAsia" w:cs="sans-serif"/>
                      <w:color w:val="000000" w:themeColor="text1"/>
                      <w:szCs w:val="24"/>
                    </w:rPr>
                    <w:t>；</w:t>
                  </w:r>
                  <w:r>
                    <w:rPr>
                      <w:rFonts w:cs="sans-serif"/>
                      <w:color w:val="000000" w:themeColor="text1"/>
                      <w:szCs w:val="24"/>
                    </w:rPr>
                    <w:t>贮存设施所有者或运营者应依据国家土壤和地下水污染防治的有关规定，结合贮存设施特点建立土壤和地下水污染隐患排查制度，并定期开展隐患排查；发现隐患应及时采取措施消除隐患，并建立档案</w:t>
                  </w:r>
                  <w:r>
                    <w:rPr>
                      <w:rFonts w:hint="eastAsia" w:cs="sans-serif"/>
                      <w:color w:val="000000" w:themeColor="text1"/>
                      <w:szCs w:val="24"/>
                    </w:rPr>
                    <w:t>；</w:t>
                  </w:r>
                  <w:r>
                    <w:rPr>
                      <w:rFonts w:cs="sans-serif"/>
                      <w:color w:val="000000" w:themeColor="text1"/>
                      <w:szCs w:val="24"/>
                    </w:rPr>
                    <w:t>贮存设施所有者或运营者应建立贮存设施全部档案，包括设计、施工、验收、运行、监测和环境应急等，应按国家有关档案管理的法律法规进行整理和归档</w:t>
                  </w:r>
                  <w:r>
                    <w:rPr>
                      <w:rFonts w:hint="eastAsia" w:cs="sans-serif"/>
                      <w:color w:val="000000" w:themeColor="text1"/>
                      <w:szCs w:val="24"/>
                    </w:rPr>
                    <w:t>；</w:t>
                  </w:r>
                </w:p>
                <w:p>
                  <w:pPr>
                    <w:pStyle w:val="49"/>
                    <w:spacing w:line="360" w:lineRule="exact"/>
                    <w:ind w:firstLine="210" w:firstLineChars="100"/>
                    <w:rPr>
                      <w:color w:val="000000" w:themeColor="text1"/>
                    </w:rPr>
                  </w:pPr>
                  <w:r>
                    <w:rPr>
                      <w:rFonts w:hint="eastAsia" w:cs="sans-serif"/>
                      <w:color w:val="000000" w:themeColor="text1"/>
                      <w:szCs w:val="24"/>
                    </w:rPr>
                    <w:t>②</w:t>
                  </w:r>
                  <w:r>
                    <w:rPr>
                      <w:rFonts w:cs="sans-serif"/>
                      <w:color w:val="000000" w:themeColor="text1"/>
                      <w:szCs w:val="24"/>
                    </w:rPr>
                    <w:t>贮存点应具有固定的区域边界，并应采取与其他区域进行隔离的措施</w:t>
                  </w:r>
                  <w:r>
                    <w:rPr>
                      <w:rFonts w:hint="eastAsia" w:cs="sans-serif"/>
                      <w:color w:val="000000" w:themeColor="text1"/>
                      <w:szCs w:val="24"/>
                    </w:rPr>
                    <w:t>；</w:t>
                  </w:r>
                  <w:r>
                    <w:rPr>
                      <w:rFonts w:cs="sans-serif"/>
                      <w:color w:val="000000" w:themeColor="text1"/>
                      <w:szCs w:val="24"/>
                    </w:rPr>
                    <w:t>贮存点应采取防风、防雨、防晒和防止危险废物流失、扬散等措施</w:t>
                  </w:r>
                  <w:r>
                    <w:rPr>
                      <w:rFonts w:hint="eastAsia" w:cs="sans-serif"/>
                      <w:color w:val="000000" w:themeColor="text1"/>
                      <w:szCs w:val="24"/>
                    </w:rPr>
                    <w:t>；</w:t>
                  </w:r>
                  <w:r>
                    <w:rPr>
                      <w:rFonts w:cs="sans-serif"/>
                      <w:color w:val="000000" w:themeColor="text1"/>
                      <w:szCs w:val="24"/>
                    </w:rPr>
                    <w:t>贮存点贮存的危险废物应置于容器或包装物中，不应直接散堆</w:t>
                  </w:r>
                  <w:r>
                    <w:rPr>
                      <w:rFonts w:hint="eastAsia" w:cs="sans-serif"/>
                      <w:color w:val="000000" w:themeColor="text1"/>
                      <w:szCs w:val="24"/>
                    </w:rPr>
                    <w:t>；</w:t>
                  </w:r>
                  <w:r>
                    <w:rPr>
                      <w:rFonts w:cs="sans-serif"/>
                      <w:color w:val="000000" w:themeColor="text1"/>
                      <w:szCs w:val="24"/>
                    </w:rPr>
                    <w:t>贮存点应根据危险废物的形态、物理化学性质、包装形式等，采取防渗、防漏等污染防治措施或采用具有相应功能的装置</w:t>
                  </w:r>
                  <w:r>
                    <w:rPr>
                      <w:rFonts w:hint="eastAsia" w:cs="sans-serif"/>
                      <w:color w:val="000000" w:themeColor="text1"/>
                      <w:szCs w:val="24"/>
                    </w:rPr>
                    <w:t>；</w:t>
                  </w:r>
                  <w:r>
                    <w:rPr>
                      <w:rFonts w:cs="sans-serif"/>
                      <w:color w:val="000000" w:themeColor="text1"/>
                      <w:szCs w:val="24"/>
                    </w:rPr>
                    <w:t>贮存点应及时清运贮存的危险废物，实时贮存量不应超过 3 吨</w:t>
                  </w:r>
                  <w:r>
                    <w:rPr>
                      <w:rFonts w:hint="eastAsia" w:cs="sans-serif"/>
                      <w:color w:val="000000" w:themeColor="text1"/>
                      <w:szCs w:val="24"/>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8"/>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8"/>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该项目可能对地下水、土壤造成污染的途径主要有：废机油等在地面防渗层发生破损的情况下会发生渗漏，对地下水、土壤造成污染，其污染物类型包括石油类。</w:t>
            </w:r>
          </w:p>
          <w:p>
            <w:pPr>
              <w:pStyle w:val="38"/>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8"/>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该项目可能对地下水、土壤造成污染的途径主要有：废机油在地面防渗层发生破损的情况下会发生渗漏，对地下水、土壤造成污染。</w:t>
            </w:r>
          </w:p>
          <w:p>
            <w:pPr>
              <w:pStyle w:val="38"/>
              <w:ind w:firstLine="361" w:firstLineChars="150"/>
              <w:rPr>
                <w:rFonts w:eastAsiaTheme="minorEastAsia"/>
                <w:b/>
                <w:color w:val="000000" w:themeColor="text1"/>
                <w:szCs w:val="24"/>
              </w:rPr>
            </w:pPr>
            <w:r>
              <w:rPr>
                <w:rFonts w:eastAsiaTheme="minorEastAsia"/>
                <w:b/>
                <w:color w:val="000000" w:themeColor="text1"/>
                <w:szCs w:val="24"/>
              </w:rPr>
              <w:t>（</w:t>
            </w:r>
            <w:r>
              <w:rPr>
                <w:rFonts w:hint="eastAsia" w:eastAsiaTheme="minorEastAsia"/>
                <w:b/>
                <w:color w:val="000000" w:themeColor="text1"/>
                <w:szCs w:val="24"/>
              </w:rPr>
              <w:t>3</w:t>
            </w:r>
            <w:r>
              <w:rPr>
                <w:rFonts w:eastAsiaTheme="minorEastAsia"/>
                <w:b/>
                <w:color w:val="000000" w:themeColor="text1"/>
                <w:szCs w:val="24"/>
              </w:rPr>
              <w:t>）防控措施</w:t>
            </w:r>
          </w:p>
          <w:p>
            <w:pPr>
              <w:pStyle w:val="38"/>
              <w:ind w:firstLine="480"/>
              <w:rPr>
                <w:color w:val="000000" w:themeColor="text1"/>
                <w:szCs w:val="24"/>
              </w:rPr>
            </w:pPr>
            <w:r>
              <w:rPr>
                <w:color w:val="000000" w:themeColor="text1"/>
                <w:szCs w:val="24"/>
              </w:rPr>
              <w:t>该项目地下水、土壤污染防治措施按照“源头控制、分区防治、应急响应”相结合的原则，从污染物的产生、入渗、扩散、应急响应进行控制。</w:t>
            </w:r>
          </w:p>
          <w:p>
            <w:pPr>
              <w:pStyle w:val="38"/>
              <w:ind w:firstLine="482"/>
              <w:rPr>
                <w:b/>
                <w:color w:val="000000" w:themeColor="text1"/>
                <w:szCs w:val="24"/>
              </w:rPr>
            </w:pPr>
            <w:r>
              <w:rPr>
                <w:b/>
                <w:color w:val="000000" w:themeColor="text1"/>
                <w:szCs w:val="24"/>
              </w:rPr>
              <w:t>①源头控制措施</w:t>
            </w:r>
          </w:p>
          <w:p>
            <w:pPr>
              <w:pStyle w:val="38"/>
              <w:ind w:firstLine="480"/>
              <w:rPr>
                <w:color w:val="000000" w:themeColor="text1"/>
                <w:szCs w:val="24"/>
              </w:rPr>
            </w:pPr>
            <w:r>
              <w:rPr>
                <w:color w:val="000000" w:themeColor="text1"/>
                <w:szCs w:val="24"/>
              </w:rPr>
              <w:t>严格按照公司制定的规范管理要求进行危险废物的管理。</w:t>
            </w:r>
          </w:p>
          <w:p>
            <w:pPr>
              <w:pStyle w:val="38"/>
              <w:ind w:firstLine="482"/>
              <w:rPr>
                <w:b/>
                <w:color w:val="000000" w:themeColor="text1"/>
                <w:szCs w:val="24"/>
              </w:rPr>
            </w:pPr>
            <w:r>
              <w:rPr>
                <w:b/>
                <w:color w:val="000000" w:themeColor="text1"/>
                <w:szCs w:val="24"/>
              </w:rPr>
              <w:t>②分区控制措施</w:t>
            </w:r>
          </w:p>
          <w:p>
            <w:pPr>
              <w:pStyle w:val="38"/>
              <w:ind w:firstLine="480"/>
              <w:rPr>
                <w:rFonts w:hint="eastAsia"/>
                <w:color w:val="000000" w:themeColor="text1"/>
                <w:szCs w:val="24"/>
              </w:rPr>
            </w:pPr>
            <w:r>
              <w:rPr>
                <w:color w:val="000000" w:themeColor="text1"/>
                <w:szCs w:val="24"/>
              </w:rPr>
              <w:t>根据《环境影响评价技术导则-地下水环境》（HJ</w:t>
            </w:r>
            <w:r>
              <w:rPr>
                <w:rFonts w:hint="eastAsia"/>
                <w:color w:val="000000" w:themeColor="text1"/>
                <w:szCs w:val="24"/>
                <w:lang w:eastAsia="zh-CN"/>
              </w:rPr>
              <w:t>***</w:t>
            </w:r>
            <w:r>
              <w:rPr>
                <w:color w:val="000000" w:themeColor="text1"/>
                <w:szCs w:val="24"/>
              </w:rPr>
              <w:t>-2016），项目分区防控措施根据建设项目场地天然包气带防污性能、污染控制难易程度和污染物特性提出防渗技术要求。污染控制难易程度分级如下表所示。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4.2.5-1  </w:t>
            </w:r>
            <w:r>
              <w:rPr>
                <w:rFonts w:ascii="Times New Roman" w:cs="Times New Roman" w:hAnsiTheme="minorEastAsia"/>
                <w:b/>
                <w:color w:val="000000" w:themeColor="text1"/>
              </w:rPr>
              <w:t>污染控制难易程度分级参照表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污染物控制难易程度</w:t>
                  </w:r>
                </w:p>
              </w:tc>
              <w:tc>
                <w:tcPr>
                  <w:tcW w:w="6875"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6875" w:type="dxa"/>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6875" w:type="dxa"/>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天然包气带防污性能分级如下表所示。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4.2.5-2  </w:t>
            </w:r>
            <w:r>
              <w:rPr>
                <w:rFonts w:ascii="Times New Roman" w:cs="Times New Roman" w:hAnsiTheme="minorEastAsia"/>
                <w:b/>
                <w:color w:val="000000" w:themeColor="text1"/>
              </w:rPr>
              <w:t>天然包气带防污性能分级</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分级</w:t>
                  </w:r>
                </w:p>
              </w:tc>
              <w:tc>
                <w:tcPr>
                  <w:tcW w:w="7867"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7867" w:type="dxa"/>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7867" w:type="dxa"/>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0.5m≤Mb</w:t>
                  </w:r>
                  <w:r>
                    <w:rPr>
                      <w:rFonts w:hAnsiTheme="minorEastAsia" w:eastAsiaTheme="minorEastAsia"/>
                      <w:color w:val="000000" w:themeColor="text1"/>
                      <w:szCs w:val="21"/>
                    </w:rPr>
                    <w:t>＜</w:t>
                  </w:r>
                  <w:r>
                    <w:rPr>
                      <w:rFonts w:eastAsiaTheme="minorEastAsia"/>
                      <w:color w:val="000000" w:themeColor="text1"/>
                      <w:szCs w:val="21"/>
                    </w:rPr>
                    <w:t>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w:t>
                  </w:r>
                  <w:r>
                    <w:rPr>
                      <w:rFonts w:eastAsiaTheme="minorEastAsia"/>
                      <w:color w:val="000000" w:themeColor="text1"/>
                      <w:szCs w:val="21"/>
                    </w:rPr>
                    <w:t>K≤10</w:t>
                  </w:r>
                  <w:r>
                    <w:rPr>
                      <w:rFonts w:eastAsiaTheme="minorEastAsia"/>
                      <w:color w:val="000000" w:themeColor="text1"/>
                      <w:szCs w:val="21"/>
                      <w:vertAlign w:val="superscript"/>
                    </w:rPr>
                    <w:t>-4</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7867" w:type="dxa"/>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岩（土）层不满足上述</w:t>
                  </w:r>
                  <w:r>
                    <w:rPr>
                      <w:rFonts w:eastAsiaTheme="minorEastAsia"/>
                      <w:color w:val="000000" w:themeColor="text1"/>
                      <w:szCs w:val="21"/>
                    </w:rPr>
                    <w:t>“</w:t>
                  </w:r>
                  <w:r>
                    <w:rPr>
                      <w:rFonts w:hAnsiTheme="minorEastAsia" w:eastAsiaTheme="minorEastAsia"/>
                      <w:color w:val="000000" w:themeColor="text1"/>
                      <w:szCs w:val="21"/>
                    </w:rPr>
                    <w:t>强</w:t>
                  </w:r>
                  <w:r>
                    <w:rPr>
                      <w:rFonts w:eastAsiaTheme="minorEastAsia"/>
                      <w:color w:val="000000" w:themeColor="text1"/>
                      <w:szCs w:val="21"/>
                    </w:rPr>
                    <w:t>”</w:t>
                  </w:r>
                  <w:r>
                    <w:rPr>
                      <w:rFonts w:hAnsiTheme="minorEastAsia" w:eastAsiaTheme="minorEastAsia"/>
                      <w:color w:val="000000" w:themeColor="text1"/>
                      <w:szCs w:val="21"/>
                    </w:rPr>
                    <w:t>和</w:t>
                  </w:r>
                  <w:r>
                    <w:rPr>
                      <w:rFonts w:eastAsiaTheme="minorEastAsia"/>
                      <w:color w:val="000000" w:themeColor="text1"/>
                      <w:szCs w:val="21"/>
                    </w:rPr>
                    <w:t>“</w:t>
                  </w: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备注</w:t>
                  </w:r>
                </w:p>
              </w:tc>
              <w:tc>
                <w:tcPr>
                  <w:tcW w:w="7867" w:type="dxa"/>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项目区地下水类型主要为岩溶水，含水层岩性主要为古生界石炭系大塘阶组（</w:t>
                  </w:r>
                  <w:r>
                    <w:rPr>
                      <w:rFonts w:eastAsiaTheme="minorEastAsia"/>
                      <w:color w:val="000000" w:themeColor="text1"/>
                      <w:szCs w:val="21"/>
                    </w:rPr>
                    <w:t>C1d</w:t>
                  </w:r>
                  <w:r>
                    <w:rPr>
                      <w:rFonts w:hAnsiTheme="minorEastAsia" w:eastAsiaTheme="minorEastAsia"/>
                      <w:color w:val="000000" w:themeColor="text1"/>
                      <w:szCs w:val="21"/>
                    </w:rPr>
                    <w:t>）浅海相泥质灰岩或白云岩，综上确定包气带防污性能为</w:t>
                  </w:r>
                  <w:r>
                    <w:rPr>
                      <w:rFonts w:eastAsiaTheme="minorEastAsia"/>
                      <w:color w:val="000000" w:themeColor="text1"/>
                      <w:szCs w:val="21"/>
                    </w:rPr>
                    <w:t>“</w:t>
                  </w:r>
                  <w:r>
                    <w:rPr>
                      <w:rFonts w:hAnsiTheme="minorEastAsia" w:eastAsiaTheme="minorEastAsia"/>
                      <w:color w:val="000000" w:themeColor="text1"/>
                      <w:szCs w:val="21"/>
                    </w:rPr>
                    <w:t>弱</w:t>
                  </w:r>
                  <w:r>
                    <w:rPr>
                      <w:rFonts w:eastAsiaTheme="minorEastAsia"/>
                      <w:color w:val="000000" w:themeColor="text1"/>
                      <w:szCs w:val="21"/>
                    </w:rPr>
                    <w:t>”</w:t>
                  </w:r>
                  <w:r>
                    <w:rPr>
                      <w:rFonts w:hAnsiTheme="minorEastAsia" w:eastAsiaTheme="minorEastAsia"/>
                      <w:color w:val="000000" w:themeColor="text1"/>
                      <w:szCs w:val="21"/>
                    </w:rPr>
                    <w:t>。</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4.2.5-3  </w:t>
            </w:r>
            <w:r>
              <w:rPr>
                <w:rFonts w:ascii="Times New Roman" w:cs="Times New Roman" w:hAnsiTheme="minorEastAsia"/>
                <w:b/>
                <w:color w:val="000000" w:themeColor="text1"/>
              </w:rPr>
              <w:t>地下水污染防渗分区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19"/>
              <w:gridCol w:w="1560"/>
              <w:gridCol w:w="156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防渗分区</w:t>
                  </w: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天然包气带防污性能</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污染控制难易程度</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污染物类型</w:t>
                  </w:r>
                </w:p>
              </w:tc>
              <w:tc>
                <w:tcPr>
                  <w:tcW w:w="1608"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restar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重点防渗区</w:t>
                  </w: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restar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608" w:type="pct"/>
                  <w:vMerge w:val="restart"/>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Mb≥6.0m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w:t>
                  </w:r>
                  <w:r>
                    <w:rPr>
                      <w:rFonts w:hint="eastAsia" w:eastAsiaTheme="minorEastAsia"/>
                      <w:color w:val="000000" w:themeColor="text1"/>
                      <w:szCs w:val="21"/>
                      <w:lang w:eastAsia="zh-CN"/>
                    </w:rPr>
                    <w:t>*****</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continue"/>
                  <w:vAlign w:val="center"/>
                </w:tcPr>
                <w:p>
                  <w:pPr>
                    <w:pStyle w:val="30"/>
                    <w:spacing w:line="360" w:lineRule="exact"/>
                    <w:rPr>
                      <w:rFonts w:eastAsiaTheme="minorEastAsia"/>
                      <w:color w:val="000000" w:themeColor="text1"/>
                      <w:szCs w:val="21"/>
                    </w:rPr>
                  </w:pPr>
                </w:p>
              </w:tc>
              <w:tc>
                <w:tcPr>
                  <w:tcW w:w="1608"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continue"/>
                  <w:vAlign w:val="center"/>
                </w:tcPr>
                <w:p>
                  <w:pPr>
                    <w:pStyle w:val="30"/>
                    <w:spacing w:line="360" w:lineRule="exact"/>
                    <w:rPr>
                      <w:rFonts w:eastAsiaTheme="minorEastAsia"/>
                      <w:color w:val="000000" w:themeColor="text1"/>
                      <w:szCs w:val="21"/>
                    </w:rPr>
                  </w:pPr>
                </w:p>
              </w:tc>
              <w:tc>
                <w:tcPr>
                  <w:tcW w:w="1608"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restar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一般防渗区</w:t>
                  </w: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易</w:t>
                  </w:r>
                  <w:r>
                    <w:rPr>
                      <w:rFonts w:eastAsiaTheme="minorEastAsia"/>
                      <w:color w:val="000000" w:themeColor="text1"/>
                      <w:szCs w:val="21"/>
                    </w:rPr>
                    <w:t>-</w:t>
                  </w:r>
                  <w:r>
                    <w:rPr>
                      <w:rFonts w:hAnsiTheme="minorEastAsia" w:eastAsiaTheme="minorEastAsia"/>
                      <w:color w:val="000000" w:themeColor="text1"/>
                      <w:szCs w:val="21"/>
                    </w:rPr>
                    <w:t>难</w:t>
                  </w:r>
                </w:p>
              </w:tc>
              <w:tc>
                <w:tcPr>
                  <w:tcW w:w="906" w:type="pct"/>
                  <w:vMerge w:val="restar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608" w:type="pct"/>
                  <w:vMerge w:val="restart"/>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Mb≥1.5m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w:t>
                  </w:r>
                  <w:r>
                    <w:rPr>
                      <w:rFonts w:hint="eastAsia" w:eastAsiaTheme="minorEastAsia"/>
                      <w:color w:val="000000" w:themeColor="text1"/>
                      <w:szCs w:val="21"/>
                      <w:lang w:eastAsia="zh-CN"/>
                    </w:rPr>
                    <w:t>*****</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continue"/>
                  <w:vAlign w:val="center"/>
                </w:tcPr>
                <w:p>
                  <w:pPr>
                    <w:pStyle w:val="30"/>
                    <w:spacing w:line="360" w:lineRule="exact"/>
                    <w:rPr>
                      <w:rFonts w:eastAsiaTheme="minorEastAsia"/>
                      <w:color w:val="000000" w:themeColor="text1"/>
                      <w:szCs w:val="21"/>
                    </w:rPr>
                  </w:pPr>
                </w:p>
              </w:tc>
              <w:tc>
                <w:tcPr>
                  <w:tcW w:w="1608"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restar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608"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continue"/>
                  <w:vAlign w:val="center"/>
                </w:tcPr>
                <w:p>
                  <w:pPr>
                    <w:pStyle w:val="30"/>
                    <w:spacing w:line="360" w:lineRule="exact"/>
                    <w:rPr>
                      <w:rFonts w:eastAsiaTheme="minorEastAsia"/>
                      <w:color w:val="000000" w:themeColor="text1"/>
                      <w:szCs w:val="21"/>
                    </w:rPr>
                  </w:pPr>
                </w:p>
              </w:tc>
              <w:tc>
                <w:tcPr>
                  <w:tcW w:w="1608"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简单防渗区</w:t>
                  </w:r>
                </w:p>
              </w:tc>
              <w:tc>
                <w:tcPr>
                  <w:tcW w:w="824"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608" w:type="pct"/>
                  <w:vAlign w:val="center"/>
                </w:tcPr>
                <w:p>
                  <w:pPr>
                    <w:pStyle w:val="30"/>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一般地面硬化</w:t>
                  </w:r>
                </w:p>
              </w:tc>
            </w:tr>
          </w:tbl>
          <w:p>
            <w:pPr>
              <w:pStyle w:val="38"/>
              <w:spacing w:beforeLines="50"/>
              <w:ind w:firstLine="480"/>
              <w:rPr>
                <w:color w:val="000000" w:themeColor="text1"/>
                <w:szCs w:val="24"/>
              </w:rPr>
            </w:pPr>
            <w:r>
              <w:rPr>
                <w:color w:val="000000" w:themeColor="text1"/>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w:t>
            </w:r>
            <w:r>
              <w:rPr>
                <w:rFonts w:hint="eastAsia" w:ascii="Times New Roman" w:hAnsi="Times New Roman" w:cs="Times New Roman"/>
                <w:color w:val="000000" w:themeColor="text1"/>
                <w:sz w:val="24"/>
                <w:szCs w:val="24"/>
              </w:rPr>
              <w:t>采用2mm厚的HDPE膜进行了防渗，而</w:t>
            </w:r>
            <w:r>
              <w:rPr>
                <w:rFonts w:ascii="Times New Roman" w:hAnsi="Times New Roman" w:cs="Times New Roman"/>
                <w:color w:val="000000" w:themeColor="text1"/>
                <w:sz w:val="24"/>
                <w:szCs w:val="24"/>
              </w:rPr>
              <w:t>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根据分区防渗规范要求，项目原料车间、生产车间和产品车间均为一般防渗区，根据调查，项目拟租用厂房地面基础已采用2mm厚的HDPE膜进行了防渗</w:t>
            </w:r>
            <w:r>
              <w:rPr>
                <w:rFonts w:ascii="Times New Roman" w:hAnsi="Times New Roman" w:cs="Times New Roman"/>
                <w:color w:val="000000" w:themeColor="text1"/>
                <w:sz w:val="24"/>
                <w:szCs w:val="24"/>
              </w:rPr>
              <w:t>；其渗透系数≤1.0×10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pStyle w:val="38"/>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该项目利用铝矾土、泡棉、机制砂和水泥搅拌混合生产轻集料混凝土，属于3024 轻质建筑材料制造和3039 其他建筑材料制造，</w:t>
            </w:r>
            <w:r>
              <w:rPr>
                <w:rFonts w:ascii="Times New Roman" w:hAnsi="Times New Roman" w:cs="Times New Roman"/>
                <w:color w:val="000000" w:themeColor="text1"/>
                <w:sz w:val="24"/>
                <w:szCs w:val="24"/>
              </w:rPr>
              <w:t>项目地下水影响较小，因此该项目不设置地下水环境影响跟踪监测计划。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该项目位于云南东川产业园区天生桥片区天三路，属于工业园区，且不新增用地，生态环境影响较小。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8"/>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-2018）的要求，环境风险主要对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044"/>
              <w:gridCol w:w="1418"/>
              <w:gridCol w:w="992"/>
              <w:gridCol w:w="977"/>
              <w:gridCol w:w="1102"/>
              <w:gridCol w:w="23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6" w:type="dxa"/>
                  <w:vAlign w:val="center"/>
                </w:tcPr>
                <w:p>
                  <w:pPr>
                    <w:pStyle w:val="30"/>
                    <w:spacing w:line="360" w:lineRule="exact"/>
                    <w:rPr>
                      <w:color w:val="000000" w:themeColor="text1"/>
                      <w:szCs w:val="21"/>
                    </w:rPr>
                  </w:pPr>
                  <w:r>
                    <w:rPr>
                      <w:color w:val="000000" w:themeColor="text1"/>
                      <w:szCs w:val="21"/>
                    </w:rPr>
                    <w:t>产生环节</w:t>
                  </w:r>
                </w:p>
              </w:tc>
              <w:tc>
                <w:tcPr>
                  <w:tcW w:w="1044" w:type="dxa"/>
                  <w:vAlign w:val="center"/>
                </w:tcPr>
                <w:p>
                  <w:pPr>
                    <w:pStyle w:val="30"/>
                    <w:spacing w:line="360" w:lineRule="exact"/>
                    <w:rPr>
                      <w:color w:val="000000" w:themeColor="text1"/>
                      <w:szCs w:val="21"/>
                    </w:rPr>
                  </w:pPr>
                  <w:r>
                    <w:rPr>
                      <w:color w:val="000000" w:themeColor="text1"/>
                      <w:szCs w:val="21"/>
                    </w:rPr>
                    <w:t>危险物质</w:t>
                  </w:r>
                </w:p>
              </w:tc>
              <w:tc>
                <w:tcPr>
                  <w:tcW w:w="1418" w:type="dxa"/>
                  <w:vAlign w:val="center"/>
                </w:tcPr>
                <w:p>
                  <w:pPr>
                    <w:pStyle w:val="30"/>
                    <w:spacing w:line="360" w:lineRule="exact"/>
                    <w:rPr>
                      <w:color w:val="000000" w:themeColor="text1"/>
                      <w:szCs w:val="21"/>
                    </w:rPr>
                  </w:pPr>
                  <w:r>
                    <w:rPr>
                      <w:color w:val="000000" w:themeColor="text1"/>
                      <w:szCs w:val="21"/>
                    </w:rPr>
                    <w:t>年使用/产生量</w:t>
                  </w:r>
                </w:p>
              </w:tc>
              <w:tc>
                <w:tcPr>
                  <w:tcW w:w="992"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最大储存量</w:t>
                  </w:r>
                </w:p>
              </w:tc>
              <w:tc>
                <w:tcPr>
                  <w:tcW w:w="977" w:type="dxa"/>
                  <w:tcBorders>
                    <w:left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临界量</w:t>
                  </w:r>
                </w:p>
              </w:tc>
              <w:tc>
                <w:tcPr>
                  <w:tcW w:w="1102" w:type="dxa"/>
                  <w:tcBorders>
                    <w:left w:val="single" w:color="auto" w:sz="4" w:space="0"/>
                  </w:tcBorders>
                  <w:vAlign w:val="center"/>
                </w:tcPr>
                <w:p>
                  <w:pPr>
                    <w:pStyle w:val="30"/>
                    <w:spacing w:line="360" w:lineRule="exact"/>
                    <w:rPr>
                      <w:color w:val="000000" w:themeColor="text1"/>
                      <w:szCs w:val="21"/>
                    </w:rPr>
                  </w:pPr>
                  <w:r>
                    <w:rPr>
                      <w:rFonts w:hint="eastAsia"/>
                      <w:color w:val="000000" w:themeColor="text1"/>
                      <w:szCs w:val="21"/>
                    </w:rPr>
                    <w:t>Q值</w:t>
                  </w:r>
                </w:p>
              </w:tc>
              <w:tc>
                <w:tcPr>
                  <w:tcW w:w="2389" w:type="dxa"/>
                  <w:vAlign w:val="center"/>
                </w:tcPr>
                <w:p>
                  <w:pPr>
                    <w:pStyle w:val="30"/>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686" w:type="dxa"/>
                  <w:vAlign w:val="center"/>
                </w:tcPr>
                <w:p>
                  <w:pPr>
                    <w:pStyle w:val="30"/>
                    <w:spacing w:line="360" w:lineRule="exact"/>
                    <w:rPr>
                      <w:color w:val="000000" w:themeColor="text1"/>
                      <w:szCs w:val="21"/>
                    </w:rPr>
                  </w:pPr>
                  <w:r>
                    <w:rPr>
                      <w:color w:val="000000" w:themeColor="text1"/>
                      <w:szCs w:val="21"/>
                    </w:rPr>
                    <w:t>产生污染物</w:t>
                  </w:r>
                </w:p>
              </w:tc>
              <w:tc>
                <w:tcPr>
                  <w:tcW w:w="1044" w:type="dxa"/>
                  <w:vAlign w:val="center"/>
                </w:tcPr>
                <w:p>
                  <w:pPr>
                    <w:pStyle w:val="30"/>
                    <w:spacing w:line="360" w:lineRule="exact"/>
                    <w:rPr>
                      <w:color w:val="000000" w:themeColor="text1"/>
                      <w:szCs w:val="21"/>
                    </w:rPr>
                  </w:pPr>
                  <w:r>
                    <w:rPr>
                      <w:color w:val="000000" w:themeColor="text1"/>
                      <w:szCs w:val="21"/>
                    </w:rPr>
                    <w:t>废机油</w:t>
                  </w:r>
                </w:p>
              </w:tc>
              <w:tc>
                <w:tcPr>
                  <w:tcW w:w="1418" w:type="dxa"/>
                  <w:vAlign w:val="center"/>
                </w:tcPr>
                <w:p>
                  <w:pPr>
                    <w:pStyle w:val="30"/>
                    <w:spacing w:line="360" w:lineRule="exact"/>
                    <w:rPr>
                      <w:color w:val="000000" w:themeColor="text1"/>
                      <w:szCs w:val="21"/>
                    </w:rPr>
                  </w:pPr>
                  <w:r>
                    <w:rPr>
                      <w:color w:val="000000" w:themeColor="text1"/>
                      <w:szCs w:val="21"/>
                    </w:rPr>
                    <w:t>80kg/a</w:t>
                  </w:r>
                </w:p>
              </w:tc>
              <w:tc>
                <w:tcPr>
                  <w:tcW w:w="992"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0.08t/a</w:t>
                  </w:r>
                </w:p>
              </w:tc>
              <w:tc>
                <w:tcPr>
                  <w:tcW w:w="977" w:type="dxa"/>
                  <w:tcBorders>
                    <w:left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2500</w:t>
                  </w:r>
                  <w:r>
                    <w:rPr>
                      <w:color w:val="000000" w:themeColor="text1"/>
                      <w:szCs w:val="21"/>
                    </w:rPr>
                    <w:t>t/a</w:t>
                  </w:r>
                </w:p>
              </w:tc>
              <w:tc>
                <w:tcPr>
                  <w:tcW w:w="1102" w:type="dxa"/>
                  <w:tcBorders>
                    <w:left w:val="single" w:color="auto" w:sz="4" w:space="0"/>
                  </w:tcBorders>
                  <w:vAlign w:val="center"/>
                </w:tcPr>
                <w:p>
                  <w:pPr>
                    <w:jc w:val="center"/>
                    <w:rPr>
                      <w:color w:val="000000" w:themeColor="text1"/>
                    </w:rPr>
                  </w:pPr>
                  <w:r>
                    <w:rPr>
                      <w:rFonts w:hint="eastAsia" w:ascii="Times New Roman" w:hAnsi="Times New Roman" w:eastAsia="宋体" w:cs="Times New Roman"/>
                      <w:bCs/>
                      <w:snapToGrid w:val="0"/>
                      <w:color w:val="000000" w:themeColor="text1"/>
                      <w:kern w:val="32"/>
                      <w:lang w:val="zh-CN"/>
                    </w:rPr>
                    <w:t>0.000032</w:t>
                  </w:r>
                </w:p>
              </w:tc>
              <w:tc>
                <w:tcPr>
                  <w:tcW w:w="2389" w:type="dxa"/>
                  <w:vAlign w:val="center"/>
                </w:tcPr>
                <w:p>
                  <w:pPr>
                    <w:pStyle w:val="30"/>
                    <w:spacing w:line="360" w:lineRule="exact"/>
                    <w:ind w:left="11" w:firstLine="210" w:firstLineChars="100"/>
                    <w:jc w:val="both"/>
                    <w:rPr>
                      <w:rFonts w:eastAsiaTheme="minorEastAsia"/>
                      <w:color w:val="000000" w:themeColor="text1"/>
                      <w:szCs w:val="21"/>
                    </w:rPr>
                  </w:pPr>
                  <w:r>
                    <w:rPr>
                      <w:rFonts w:eastAsiaTheme="minorEastAsia"/>
                      <w:color w:val="000000" w:themeColor="text1"/>
                      <w:szCs w:val="21"/>
                    </w:rPr>
                    <w:t>拟设置1个</w:t>
                  </w:r>
                  <w:r>
                    <w:rPr>
                      <w:rFonts w:hint="eastAsia" w:eastAsiaTheme="minorEastAsia"/>
                      <w:color w:val="000000" w:themeColor="text1"/>
                      <w:szCs w:val="21"/>
                    </w:rPr>
                    <w:t>6m²的危险废物贮存间</w:t>
                  </w:r>
                  <w:r>
                    <w:rPr>
                      <w:rFonts w:eastAsiaTheme="minorEastAsia"/>
                      <w:color w:val="000000" w:themeColor="text1"/>
                      <w:szCs w:val="21"/>
                    </w:rPr>
                    <w:t>，对项目产生的危险废物进行分类暂存。</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 xml:space="preserve">表4.2.7-2 </w:t>
            </w:r>
            <w:r>
              <w:rPr>
                <w:rFonts w:hint="eastAsia" w:hAnsi="Times New Roman" w:eastAsiaTheme="minorEastAsia"/>
                <w:color w:val="000000" w:themeColor="text1"/>
                <w:sz w:val="21"/>
                <w:szCs w:val="21"/>
              </w:rPr>
              <w:t xml:space="preserve"> </w:t>
            </w:r>
            <w:r>
              <w:rPr>
                <w:rFonts w:hAnsi="Times New Roman" w:eastAsiaTheme="minorEastAsia"/>
                <w:color w:val="000000" w:themeColor="text1"/>
                <w:sz w:val="21"/>
                <w:szCs w:val="21"/>
              </w:rPr>
              <w:t>危险物质主要成分基本性质一览表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276"/>
              <w:gridCol w:w="6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1" w:type="dxa"/>
                  <w:vMerge w:val="restart"/>
                  <w:vAlign w:val="center"/>
                </w:tcPr>
                <w:p>
                  <w:pPr>
                    <w:pStyle w:val="30"/>
                    <w:spacing w:line="360" w:lineRule="exact"/>
                    <w:rPr>
                      <w:color w:val="000000" w:themeColor="text1"/>
                      <w:szCs w:val="21"/>
                    </w:rPr>
                  </w:pPr>
                  <w:r>
                    <w:rPr>
                      <w:color w:val="000000" w:themeColor="text1"/>
                      <w:szCs w:val="21"/>
                    </w:rPr>
                    <w:t>废机油</w:t>
                  </w:r>
                </w:p>
              </w:tc>
              <w:tc>
                <w:tcPr>
                  <w:tcW w:w="1276" w:type="dxa"/>
                </w:tcPr>
                <w:p>
                  <w:pPr>
                    <w:pStyle w:val="30"/>
                    <w:spacing w:line="360" w:lineRule="exact"/>
                    <w:rPr>
                      <w:color w:val="000000" w:themeColor="text1"/>
                      <w:szCs w:val="21"/>
                    </w:rPr>
                  </w:pPr>
                  <w:r>
                    <w:rPr>
                      <w:color w:val="000000" w:themeColor="text1"/>
                      <w:szCs w:val="21"/>
                    </w:rPr>
                    <w:t>废物类别</w:t>
                  </w:r>
                </w:p>
              </w:tc>
              <w:tc>
                <w:tcPr>
                  <w:tcW w:w="6311" w:type="dxa"/>
                  <w:vAlign w:val="center"/>
                </w:tcPr>
                <w:p>
                  <w:pPr>
                    <w:pStyle w:val="30"/>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1" w:type="dxa"/>
                  <w:vMerge w:val="continue"/>
                  <w:vAlign w:val="center"/>
                </w:tcPr>
                <w:p>
                  <w:pPr>
                    <w:pStyle w:val="30"/>
                    <w:spacing w:line="360" w:lineRule="exact"/>
                    <w:rPr>
                      <w:color w:val="000000" w:themeColor="text1"/>
                      <w:szCs w:val="21"/>
                    </w:rPr>
                  </w:pPr>
                </w:p>
              </w:tc>
              <w:tc>
                <w:tcPr>
                  <w:tcW w:w="1276" w:type="dxa"/>
                  <w:vAlign w:val="center"/>
                </w:tcPr>
                <w:p>
                  <w:pPr>
                    <w:pStyle w:val="30"/>
                    <w:spacing w:line="360" w:lineRule="exact"/>
                    <w:rPr>
                      <w:color w:val="000000" w:themeColor="text1"/>
                      <w:szCs w:val="21"/>
                    </w:rPr>
                  </w:pPr>
                  <w:r>
                    <w:rPr>
                      <w:color w:val="000000" w:themeColor="text1"/>
                      <w:szCs w:val="21"/>
                    </w:rPr>
                    <w:t>废物代码</w:t>
                  </w:r>
                </w:p>
              </w:tc>
              <w:tc>
                <w:tcPr>
                  <w:tcW w:w="6311" w:type="dxa"/>
                  <w:vAlign w:val="center"/>
                </w:tcPr>
                <w:p>
                  <w:pPr>
                    <w:pStyle w:val="30"/>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1" w:type="dxa"/>
                  <w:vMerge w:val="continue"/>
                  <w:vAlign w:val="center"/>
                </w:tcPr>
                <w:p>
                  <w:pPr>
                    <w:pStyle w:val="30"/>
                    <w:spacing w:line="360" w:lineRule="exact"/>
                    <w:rPr>
                      <w:color w:val="000000" w:themeColor="text1"/>
                      <w:szCs w:val="21"/>
                    </w:rPr>
                  </w:pPr>
                </w:p>
              </w:tc>
              <w:tc>
                <w:tcPr>
                  <w:tcW w:w="1276" w:type="dxa"/>
                  <w:vAlign w:val="center"/>
                </w:tcPr>
                <w:p>
                  <w:pPr>
                    <w:pStyle w:val="30"/>
                    <w:spacing w:line="360" w:lineRule="exact"/>
                    <w:rPr>
                      <w:color w:val="000000" w:themeColor="text1"/>
                      <w:szCs w:val="21"/>
                    </w:rPr>
                  </w:pPr>
                  <w:r>
                    <w:rPr>
                      <w:color w:val="000000" w:themeColor="text1"/>
                      <w:szCs w:val="21"/>
                    </w:rPr>
                    <w:t>危险特征</w:t>
                  </w:r>
                </w:p>
              </w:tc>
              <w:tc>
                <w:tcPr>
                  <w:tcW w:w="6311" w:type="dxa"/>
                  <w:vAlign w:val="center"/>
                </w:tcPr>
                <w:p>
                  <w:pPr>
                    <w:pStyle w:val="30"/>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21" w:type="dxa"/>
                  <w:vMerge w:val="continue"/>
                  <w:vAlign w:val="center"/>
                </w:tcPr>
                <w:p>
                  <w:pPr>
                    <w:pStyle w:val="30"/>
                    <w:spacing w:line="360" w:lineRule="exact"/>
                    <w:rPr>
                      <w:color w:val="000000" w:themeColor="text1"/>
                      <w:szCs w:val="21"/>
                    </w:rPr>
                  </w:pPr>
                </w:p>
              </w:tc>
              <w:tc>
                <w:tcPr>
                  <w:tcW w:w="1276" w:type="dxa"/>
                  <w:vAlign w:val="center"/>
                </w:tcPr>
                <w:p>
                  <w:pPr>
                    <w:pStyle w:val="30"/>
                    <w:spacing w:line="360" w:lineRule="exact"/>
                    <w:rPr>
                      <w:color w:val="000000" w:themeColor="text1"/>
                      <w:szCs w:val="21"/>
                    </w:rPr>
                  </w:pPr>
                  <w:r>
                    <w:rPr>
                      <w:color w:val="000000" w:themeColor="text1"/>
                      <w:szCs w:val="21"/>
                    </w:rPr>
                    <w:t>危险特性</w:t>
                  </w:r>
                </w:p>
              </w:tc>
              <w:tc>
                <w:tcPr>
                  <w:tcW w:w="6311" w:type="dxa"/>
                  <w:vAlign w:val="center"/>
                </w:tcPr>
                <w:p>
                  <w:pPr>
                    <w:pStyle w:val="30"/>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38"/>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该项目废机油在存储及运输过程中火灾、爆炸、泄露的环境风险。影响途经具体如下：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②操作人员</w:t>
            </w:r>
            <w:r>
              <w:rPr>
                <w:rFonts w:ascii="Times New Roman" w:hAnsi="Times New Roman" w:cs="Times New Roman"/>
                <w:color w:val="000000" w:themeColor="text1"/>
                <w:sz w:val="24"/>
                <w:szCs w:val="24"/>
              </w:rPr>
              <w:t>违规操作</w:t>
            </w:r>
            <w:r>
              <w:rPr>
                <w:rFonts w:hint="eastAsia" w:ascii="Times New Roman" w:hAnsi="Times New Roman" w:cs="Times New Roman"/>
                <w:color w:val="000000" w:themeColor="text1"/>
                <w:sz w:val="24"/>
                <w:szCs w:val="24"/>
              </w:rPr>
              <w:t>，如</w:t>
            </w:r>
            <w:r>
              <w:rPr>
                <w:rFonts w:ascii="Times New Roman" w:hAnsi="Times New Roman" w:cs="Times New Roman"/>
                <w:color w:val="000000" w:themeColor="text1"/>
                <w:sz w:val="24"/>
                <w:szCs w:val="24"/>
              </w:rPr>
              <w:t>在设备内检维修作业时，未采取可靠隔离、切断电源、通风置换等措施，则可能发生火灾爆炸等</w:t>
            </w:r>
            <w:r>
              <w:rPr>
                <w:rFonts w:hint="eastAsia" w:ascii="Times New Roman" w:hAnsi="Times New Roman" w:cs="Times New Roman"/>
                <w:color w:val="000000" w:themeColor="text1"/>
                <w:sz w:val="24"/>
                <w:szCs w:val="24"/>
              </w:rPr>
              <w:t>风险</w:t>
            </w:r>
            <w:r>
              <w:rPr>
                <w:rFonts w:ascii="Times New Roman" w:hAnsi="Times New Roman" w:cs="Times New Roman"/>
                <w:color w:val="000000" w:themeColor="text1"/>
                <w:sz w:val="24"/>
                <w:szCs w:val="24"/>
              </w:rPr>
              <w:t>。</w:t>
            </w:r>
          </w:p>
          <w:p>
            <w:pPr>
              <w:pStyle w:val="38"/>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①废机油应储存于规范的危险废物贮存间；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8"/>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bookmarkStart w:id="4" w:name="_Toc72228649"/>
            <w:r>
              <w:rPr>
                <w:rFonts w:ascii="Times New Roman" w:hAnsi="Times New Roman" w:cs="Times New Roman"/>
                <w:b/>
                <w:color w:val="000000" w:themeColor="text1"/>
                <w:sz w:val="24"/>
                <w:szCs w:val="24"/>
              </w:rPr>
              <w:t>4.3 环保投资估算</w:t>
            </w:r>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项目总投资718.35万元，其中基建环保投资为</w:t>
            </w:r>
            <w:r>
              <w:rPr>
                <w:rFonts w:hint="eastAsia" w:ascii="Times New Roman" w:hAnsi="Times New Roman" w:cs="Times New Roman"/>
                <w:color w:val="000000" w:themeColor="text1"/>
                <w:sz w:val="24"/>
                <w:szCs w:val="24"/>
              </w:rPr>
              <w:t>34.12</w:t>
            </w:r>
            <w:r>
              <w:rPr>
                <w:rFonts w:ascii="Times New Roman" w:hAnsi="Times New Roman" w:cs="Times New Roman"/>
                <w:color w:val="000000" w:themeColor="text1"/>
                <w:sz w:val="24"/>
                <w:szCs w:val="24"/>
              </w:rPr>
              <w:t>万元，占总投资的4.75%。年环保投资运行费用约为7.1万元，项目拟采取措施的具体内容、责任主体、实施时段及环境保护投入资金如下表所示。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2"/>
              <w:spacing w:beforeLines="0"/>
              <w:rPr>
                <w:rFonts w:hint="eastAsia" w:hAnsi="Times New Roman" w:eastAsiaTheme="minorEastAsia"/>
                <w:color w:val="000000" w:themeColor="text1"/>
                <w:sz w:val="21"/>
                <w:szCs w:val="21"/>
              </w:rPr>
            </w:pP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97"/>
              <w:gridCol w:w="819"/>
              <w:gridCol w:w="1277"/>
              <w:gridCol w:w="2691"/>
              <w:gridCol w:w="714"/>
              <w:gridCol w:w="708"/>
              <w:gridCol w:w="64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restart"/>
                  <w:vAlign w:val="center"/>
                </w:tcPr>
                <w:p>
                  <w:pPr>
                    <w:pStyle w:val="30"/>
                    <w:spacing w:line="360" w:lineRule="exact"/>
                    <w:rPr>
                      <w:color w:val="000000" w:themeColor="text1"/>
                      <w:szCs w:val="21"/>
                    </w:rPr>
                  </w:pPr>
                  <w:r>
                    <w:rPr>
                      <w:color w:val="000000" w:themeColor="text1"/>
                      <w:szCs w:val="21"/>
                    </w:rPr>
                    <w:t>时期</w:t>
                  </w:r>
                </w:p>
              </w:tc>
              <w:tc>
                <w:tcPr>
                  <w:tcW w:w="822" w:type="pct"/>
                  <w:gridSpan w:val="2"/>
                  <w:vMerge w:val="restart"/>
                  <w:vAlign w:val="center"/>
                </w:tcPr>
                <w:p>
                  <w:pPr>
                    <w:pStyle w:val="30"/>
                    <w:spacing w:line="360" w:lineRule="exact"/>
                    <w:rPr>
                      <w:color w:val="000000" w:themeColor="text1"/>
                      <w:szCs w:val="21"/>
                    </w:rPr>
                  </w:pPr>
                  <w:r>
                    <w:rPr>
                      <w:color w:val="000000" w:themeColor="text1"/>
                      <w:szCs w:val="21"/>
                    </w:rPr>
                    <w:t>类型</w:t>
                  </w:r>
                </w:p>
              </w:tc>
              <w:tc>
                <w:tcPr>
                  <w:tcW w:w="2305" w:type="pct"/>
                  <w:gridSpan w:val="2"/>
                  <w:vAlign w:val="center"/>
                </w:tcPr>
                <w:p>
                  <w:pPr>
                    <w:pStyle w:val="30"/>
                    <w:spacing w:line="360" w:lineRule="exact"/>
                    <w:rPr>
                      <w:color w:val="000000" w:themeColor="text1"/>
                      <w:szCs w:val="21"/>
                    </w:rPr>
                  </w:pPr>
                  <w:r>
                    <w:rPr>
                      <w:color w:val="000000" w:themeColor="text1"/>
                      <w:szCs w:val="21"/>
                    </w:rPr>
                    <w:t>环保措施</w:t>
                  </w:r>
                </w:p>
              </w:tc>
              <w:tc>
                <w:tcPr>
                  <w:tcW w:w="826" w:type="pct"/>
                  <w:gridSpan w:val="2"/>
                  <w:vAlign w:val="center"/>
                </w:tcPr>
                <w:p>
                  <w:pPr>
                    <w:pStyle w:val="30"/>
                    <w:spacing w:line="360" w:lineRule="exact"/>
                    <w:rPr>
                      <w:color w:val="000000" w:themeColor="text1"/>
                      <w:szCs w:val="21"/>
                    </w:rPr>
                  </w:pPr>
                  <w:r>
                    <w:rPr>
                      <w:color w:val="000000" w:themeColor="text1"/>
                      <w:szCs w:val="21"/>
                    </w:rPr>
                    <w:t>建设期资金投入（万元）</w:t>
                  </w:r>
                </w:p>
              </w:tc>
              <w:tc>
                <w:tcPr>
                  <w:tcW w:w="781" w:type="pct"/>
                  <w:gridSpan w:val="2"/>
                  <w:vAlign w:val="center"/>
                </w:tcPr>
                <w:p>
                  <w:pPr>
                    <w:pStyle w:val="30"/>
                    <w:spacing w:line="360" w:lineRule="exact"/>
                    <w:rPr>
                      <w:color w:val="000000" w:themeColor="text1"/>
                      <w:szCs w:val="21"/>
                    </w:rPr>
                  </w:pPr>
                  <w:r>
                    <w:rPr>
                      <w:color w:val="000000" w:themeColor="text1"/>
                      <w:szCs w:val="21"/>
                    </w:rPr>
                    <w:t>运行资金投入（万元/a）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822" w:type="pct"/>
                  <w:gridSpan w:val="2"/>
                  <w:vMerge w:val="continue"/>
                  <w:vAlign w:val="center"/>
                </w:tcPr>
                <w:p>
                  <w:pPr>
                    <w:pStyle w:val="30"/>
                    <w:spacing w:line="360" w:lineRule="exact"/>
                    <w:rPr>
                      <w:color w:val="000000" w:themeColor="text1"/>
                      <w:szCs w:val="21"/>
                    </w:rPr>
                  </w:pPr>
                </w:p>
              </w:tc>
              <w:tc>
                <w:tcPr>
                  <w:tcW w:w="742" w:type="pct"/>
                  <w:vAlign w:val="center"/>
                </w:tcPr>
                <w:p>
                  <w:pPr>
                    <w:pStyle w:val="30"/>
                    <w:spacing w:line="360" w:lineRule="exact"/>
                    <w:rPr>
                      <w:color w:val="000000" w:themeColor="text1"/>
                      <w:szCs w:val="21"/>
                    </w:rPr>
                  </w:pPr>
                  <w:r>
                    <w:rPr>
                      <w:color w:val="000000" w:themeColor="text1"/>
                      <w:szCs w:val="21"/>
                    </w:rPr>
                    <w:t>环保项目</w:t>
                  </w:r>
                </w:p>
              </w:tc>
              <w:tc>
                <w:tcPr>
                  <w:tcW w:w="1563" w:type="pct"/>
                  <w:vAlign w:val="center"/>
                </w:tcPr>
                <w:p>
                  <w:pPr>
                    <w:pStyle w:val="30"/>
                    <w:spacing w:line="360" w:lineRule="exact"/>
                    <w:rPr>
                      <w:color w:val="000000" w:themeColor="text1"/>
                      <w:szCs w:val="21"/>
                    </w:rPr>
                  </w:pPr>
                  <w:r>
                    <w:rPr>
                      <w:color w:val="000000" w:themeColor="text1"/>
                      <w:szCs w:val="21"/>
                    </w:rPr>
                    <w:t>数量</w:t>
                  </w:r>
                </w:p>
              </w:tc>
              <w:tc>
                <w:tcPr>
                  <w:tcW w:w="415" w:type="pct"/>
                  <w:vAlign w:val="center"/>
                </w:tcPr>
                <w:p>
                  <w:pPr>
                    <w:pStyle w:val="30"/>
                    <w:spacing w:line="360" w:lineRule="exact"/>
                    <w:rPr>
                      <w:color w:val="000000" w:themeColor="text1"/>
                      <w:szCs w:val="21"/>
                    </w:rPr>
                  </w:pPr>
                  <w:r>
                    <w:rPr>
                      <w:color w:val="000000" w:themeColor="text1"/>
                      <w:szCs w:val="21"/>
                    </w:rPr>
                    <w:t>建设费用</w:t>
                  </w:r>
                </w:p>
              </w:tc>
              <w:tc>
                <w:tcPr>
                  <w:tcW w:w="411" w:type="pct"/>
                  <w:vAlign w:val="center"/>
                </w:tcPr>
                <w:p>
                  <w:pPr>
                    <w:pStyle w:val="30"/>
                    <w:spacing w:line="360" w:lineRule="exact"/>
                    <w:rPr>
                      <w:color w:val="000000" w:themeColor="text1"/>
                      <w:szCs w:val="21"/>
                    </w:rPr>
                  </w:pPr>
                  <w:r>
                    <w:rPr>
                      <w:color w:val="000000" w:themeColor="text1"/>
                      <w:szCs w:val="21"/>
                    </w:rPr>
                    <w:t>责任主体</w:t>
                  </w:r>
                </w:p>
              </w:tc>
              <w:tc>
                <w:tcPr>
                  <w:tcW w:w="374" w:type="pct"/>
                  <w:vAlign w:val="center"/>
                </w:tcPr>
                <w:p>
                  <w:pPr>
                    <w:pStyle w:val="30"/>
                    <w:spacing w:line="360" w:lineRule="exact"/>
                    <w:rPr>
                      <w:color w:val="000000" w:themeColor="text1"/>
                      <w:szCs w:val="21"/>
                    </w:rPr>
                  </w:pPr>
                  <w:r>
                    <w:rPr>
                      <w:color w:val="000000" w:themeColor="text1"/>
                      <w:szCs w:val="21"/>
                    </w:rPr>
                    <w:t>运行维护费用</w:t>
                  </w:r>
                </w:p>
              </w:tc>
              <w:tc>
                <w:tcPr>
                  <w:tcW w:w="407" w:type="pct"/>
                  <w:vAlign w:val="center"/>
                </w:tcPr>
                <w:p>
                  <w:pPr>
                    <w:pStyle w:val="30"/>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restart"/>
                  <w:vAlign w:val="center"/>
                </w:tcPr>
                <w:p>
                  <w:pPr>
                    <w:pStyle w:val="30"/>
                    <w:spacing w:line="360" w:lineRule="exact"/>
                    <w:rPr>
                      <w:color w:val="000000" w:themeColor="text1"/>
                      <w:szCs w:val="21"/>
                    </w:rPr>
                  </w:pPr>
                  <w:r>
                    <w:rPr>
                      <w:color w:val="000000" w:themeColor="text1"/>
                      <w:szCs w:val="21"/>
                    </w:rPr>
                    <w:t>运营期污染源</w:t>
                  </w:r>
                </w:p>
              </w:tc>
              <w:tc>
                <w:tcPr>
                  <w:tcW w:w="347" w:type="pct"/>
                  <w:vMerge w:val="restart"/>
                  <w:vAlign w:val="center"/>
                </w:tcPr>
                <w:p>
                  <w:pPr>
                    <w:pStyle w:val="30"/>
                    <w:spacing w:line="360" w:lineRule="exact"/>
                    <w:rPr>
                      <w:color w:val="000000" w:themeColor="text1"/>
                      <w:szCs w:val="21"/>
                    </w:rPr>
                  </w:pPr>
                  <w:r>
                    <w:rPr>
                      <w:color w:val="000000" w:themeColor="text1"/>
                      <w:szCs w:val="21"/>
                    </w:rPr>
                    <w:t>废气</w:t>
                  </w:r>
                </w:p>
              </w:tc>
              <w:tc>
                <w:tcPr>
                  <w:tcW w:w="476" w:type="pct"/>
                  <w:vAlign w:val="center"/>
                </w:tcPr>
                <w:p>
                  <w:pPr>
                    <w:pStyle w:val="30"/>
                    <w:spacing w:line="360" w:lineRule="exact"/>
                    <w:rPr>
                      <w:color w:val="000000" w:themeColor="text1"/>
                      <w:szCs w:val="21"/>
                    </w:rPr>
                  </w:pPr>
                  <w:r>
                    <w:rPr>
                      <w:rFonts w:hint="eastAsia"/>
                      <w:color w:val="000000" w:themeColor="text1"/>
                      <w:szCs w:val="21"/>
                    </w:rPr>
                    <w:t>原料车间扬尘</w:t>
                  </w:r>
                </w:p>
              </w:tc>
              <w:tc>
                <w:tcPr>
                  <w:tcW w:w="742" w:type="pct"/>
                  <w:vAlign w:val="center"/>
                </w:tcPr>
                <w:p>
                  <w:pPr>
                    <w:pStyle w:val="30"/>
                    <w:spacing w:line="360" w:lineRule="exact"/>
                    <w:rPr>
                      <w:color w:val="000000" w:themeColor="text1"/>
                      <w:szCs w:val="21"/>
                    </w:rPr>
                  </w:pPr>
                  <w:r>
                    <w:rPr>
                      <w:rFonts w:hint="eastAsia"/>
                      <w:color w:val="000000" w:themeColor="text1"/>
                      <w:szCs w:val="21"/>
                    </w:rPr>
                    <w:t>封闭式厂房</w:t>
                  </w:r>
                </w:p>
              </w:tc>
              <w:tc>
                <w:tcPr>
                  <w:tcW w:w="1563"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厂房项目租用已建成的全封闭厂房，封闭厂房扬尘抑制率为99%</w:t>
                  </w:r>
                </w:p>
              </w:tc>
              <w:tc>
                <w:tcPr>
                  <w:tcW w:w="415" w:type="pct"/>
                  <w:vAlign w:val="center"/>
                </w:tcPr>
                <w:p>
                  <w:pPr>
                    <w:pStyle w:val="30"/>
                    <w:spacing w:line="360" w:lineRule="exact"/>
                    <w:rPr>
                      <w:color w:val="000000" w:themeColor="text1"/>
                      <w:szCs w:val="21"/>
                    </w:rPr>
                  </w:pPr>
                  <w:r>
                    <w:rPr>
                      <w:rFonts w:hint="eastAsia"/>
                      <w:color w:val="000000" w:themeColor="text1"/>
                      <w:szCs w:val="21"/>
                    </w:rPr>
                    <w:t>--</w:t>
                  </w:r>
                </w:p>
              </w:tc>
              <w:tc>
                <w:tcPr>
                  <w:tcW w:w="411" w:type="pct"/>
                  <w:vMerge w:val="restart"/>
                  <w:vAlign w:val="center"/>
                </w:tcPr>
                <w:p>
                  <w:pPr>
                    <w:pStyle w:val="30"/>
                    <w:spacing w:line="360" w:lineRule="exact"/>
                    <w:rPr>
                      <w:color w:val="000000" w:themeColor="text1"/>
                      <w:szCs w:val="21"/>
                    </w:rPr>
                  </w:pPr>
                  <w:r>
                    <w:rPr>
                      <w:color w:val="000000" w:themeColor="text1"/>
                      <w:szCs w:val="21"/>
                    </w:rPr>
                    <w:t>施工单位</w:t>
                  </w:r>
                </w:p>
              </w:tc>
              <w:tc>
                <w:tcPr>
                  <w:tcW w:w="374" w:type="pct"/>
                  <w:vAlign w:val="center"/>
                </w:tcPr>
                <w:p>
                  <w:pPr>
                    <w:pStyle w:val="30"/>
                    <w:spacing w:line="360" w:lineRule="exact"/>
                    <w:rPr>
                      <w:color w:val="000000" w:themeColor="text1"/>
                      <w:szCs w:val="21"/>
                    </w:rPr>
                  </w:pPr>
                  <w:r>
                    <w:rPr>
                      <w:rFonts w:hint="eastAsia"/>
                      <w:color w:val="000000" w:themeColor="text1"/>
                      <w:szCs w:val="21"/>
                    </w:rPr>
                    <w:t>0</w:t>
                  </w:r>
                </w:p>
              </w:tc>
              <w:tc>
                <w:tcPr>
                  <w:tcW w:w="407" w:type="pct"/>
                  <w:vMerge w:val="restart"/>
                  <w:vAlign w:val="center"/>
                </w:tcPr>
                <w:p>
                  <w:pPr>
                    <w:pStyle w:val="30"/>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347" w:type="pct"/>
                  <w:vMerge w:val="continue"/>
                  <w:vAlign w:val="center"/>
                </w:tcPr>
                <w:p>
                  <w:pPr>
                    <w:pStyle w:val="30"/>
                    <w:spacing w:line="360" w:lineRule="exact"/>
                    <w:rPr>
                      <w:color w:val="000000" w:themeColor="text1"/>
                      <w:szCs w:val="21"/>
                    </w:rPr>
                  </w:pPr>
                </w:p>
              </w:tc>
              <w:tc>
                <w:tcPr>
                  <w:tcW w:w="476" w:type="pct"/>
                  <w:vAlign w:val="center"/>
                </w:tcPr>
                <w:p>
                  <w:pPr>
                    <w:pStyle w:val="30"/>
                    <w:spacing w:line="360" w:lineRule="exact"/>
                    <w:rPr>
                      <w:rFonts w:hint="eastAsia"/>
                      <w:color w:val="000000" w:themeColor="text1"/>
                      <w:szCs w:val="21"/>
                    </w:rPr>
                  </w:pPr>
                  <w:r>
                    <w:rPr>
                      <w:rFonts w:hint="eastAsia"/>
                      <w:color w:val="000000" w:themeColor="text1"/>
                      <w:szCs w:val="21"/>
                    </w:rPr>
                    <w:t>投料粉尘</w:t>
                  </w:r>
                </w:p>
              </w:tc>
              <w:tc>
                <w:tcPr>
                  <w:tcW w:w="742" w:type="pct"/>
                  <w:vAlign w:val="center"/>
                </w:tcPr>
                <w:p>
                  <w:pPr>
                    <w:pStyle w:val="30"/>
                    <w:spacing w:line="360" w:lineRule="exact"/>
                    <w:rPr>
                      <w:rFonts w:hint="eastAsia"/>
                      <w:color w:val="000000" w:themeColor="text1"/>
                      <w:szCs w:val="21"/>
                    </w:rPr>
                  </w:pPr>
                  <w:r>
                    <w:rPr>
                      <w:rFonts w:hint="eastAsia"/>
                      <w:color w:val="000000" w:themeColor="text1"/>
                      <w:szCs w:val="21"/>
                    </w:rPr>
                    <w:t>集气罩</w:t>
                  </w:r>
                </w:p>
              </w:tc>
              <w:tc>
                <w:tcPr>
                  <w:tcW w:w="1563" w:type="pct"/>
                  <w:vAlign w:val="center"/>
                </w:tcPr>
                <w:p>
                  <w:pPr>
                    <w:pStyle w:val="30"/>
                    <w:spacing w:line="360" w:lineRule="exact"/>
                    <w:ind w:firstLine="210" w:firstLineChars="100"/>
                    <w:jc w:val="both"/>
                    <w:rPr>
                      <w:rFonts w:hint="eastAsia"/>
                      <w:color w:val="000000" w:themeColor="text1"/>
                      <w:szCs w:val="21"/>
                    </w:rPr>
                  </w:pPr>
                  <w:r>
                    <w:rPr>
                      <w:color w:val="000000" w:themeColor="text1"/>
                      <w:szCs w:val="21"/>
                    </w:rPr>
                    <w:t>3个，各集气罩集气效率约为90%，集气罩的风机风量为3000m³/h·台，合计集气罩风量为9000m³/h</w:t>
                  </w:r>
                  <w:r>
                    <w:rPr>
                      <w:rFonts w:hint="eastAsia"/>
                      <w:color w:val="000000" w:themeColor="text1"/>
                      <w:szCs w:val="21"/>
                    </w:rPr>
                    <w:t>。</w:t>
                  </w:r>
                </w:p>
              </w:tc>
              <w:tc>
                <w:tcPr>
                  <w:tcW w:w="415" w:type="pct"/>
                  <w:vAlign w:val="center"/>
                </w:tcPr>
                <w:p>
                  <w:pPr>
                    <w:pStyle w:val="30"/>
                    <w:spacing w:line="360" w:lineRule="exact"/>
                    <w:rPr>
                      <w:rFonts w:hint="eastAsia"/>
                      <w:color w:val="000000" w:themeColor="text1"/>
                      <w:szCs w:val="21"/>
                    </w:rPr>
                  </w:pPr>
                  <w:r>
                    <w:rPr>
                      <w:rFonts w:hint="eastAsia"/>
                      <w:color w:val="000000" w:themeColor="text1"/>
                      <w:szCs w:val="21"/>
                    </w:rPr>
                    <w:t>3</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rFonts w:hint="eastAsia"/>
                      <w:color w:val="000000" w:themeColor="text1"/>
                      <w:szCs w:val="21"/>
                    </w:rPr>
                  </w:pPr>
                  <w:r>
                    <w:rPr>
                      <w:rFonts w:hint="eastAsia"/>
                      <w:color w:val="000000" w:themeColor="text1"/>
                      <w:szCs w:val="21"/>
                    </w:rPr>
                    <w:t>1.5</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347" w:type="pct"/>
                  <w:vMerge w:val="continue"/>
                  <w:vAlign w:val="center"/>
                </w:tcPr>
                <w:p>
                  <w:pPr>
                    <w:pStyle w:val="30"/>
                    <w:spacing w:line="360" w:lineRule="exact"/>
                    <w:rPr>
                      <w:color w:val="000000" w:themeColor="text1"/>
                      <w:szCs w:val="21"/>
                    </w:rPr>
                  </w:pPr>
                </w:p>
              </w:tc>
              <w:tc>
                <w:tcPr>
                  <w:tcW w:w="476" w:type="pct"/>
                  <w:vMerge w:val="restart"/>
                  <w:vAlign w:val="center"/>
                </w:tcPr>
                <w:p>
                  <w:pPr>
                    <w:pStyle w:val="30"/>
                    <w:spacing w:line="360" w:lineRule="exact"/>
                    <w:rPr>
                      <w:rFonts w:hint="eastAsia"/>
                      <w:color w:val="000000" w:themeColor="text1"/>
                      <w:szCs w:val="21"/>
                    </w:rPr>
                  </w:pPr>
                  <w:r>
                    <w:rPr>
                      <w:rFonts w:hint="eastAsia"/>
                      <w:color w:val="000000" w:themeColor="text1"/>
                      <w:szCs w:val="21"/>
                    </w:rPr>
                    <w:t>投料粉尘、搅拌混合粉尘</w:t>
                  </w:r>
                </w:p>
              </w:tc>
              <w:tc>
                <w:tcPr>
                  <w:tcW w:w="742" w:type="pct"/>
                  <w:vAlign w:val="center"/>
                </w:tcPr>
                <w:p>
                  <w:pPr>
                    <w:pStyle w:val="30"/>
                    <w:spacing w:line="360" w:lineRule="exact"/>
                    <w:rPr>
                      <w:color w:val="000000" w:themeColor="text1"/>
                      <w:szCs w:val="21"/>
                    </w:rPr>
                  </w:pPr>
                  <w:r>
                    <w:rPr>
                      <w:rFonts w:hint="eastAsia"/>
                      <w:color w:val="000000" w:themeColor="text1"/>
                      <w:szCs w:val="21"/>
                    </w:rPr>
                    <w:t>1#袋式除尘器</w:t>
                  </w:r>
                </w:p>
              </w:tc>
              <w:tc>
                <w:tcPr>
                  <w:tcW w:w="1563"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项目拟设置1#袋式除尘器对其进行处理，除尘效率为99.7%。</w:t>
                  </w:r>
                </w:p>
              </w:tc>
              <w:tc>
                <w:tcPr>
                  <w:tcW w:w="415" w:type="pct"/>
                  <w:vAlign w:val="center"/>
                </w:tcPr>
                <w:p>
                  <w:pPr>
                    <w:pStyle w:val="30"/>
                    <w:spacing w:line="360" w:lineRule="exact"/>
                    <w:rPr>
                      <w:rFonts w:hint="eastAsia"/>
                      <w:color w:val="000000" w:themeColor="text1"/>
                      <w:szCs w:val="21"/>
                    </w:rPr>
                  </w:pPr>
                  <w:r>
                    <w:rPr>
                      <w:rFonts w:hint="eastAsia"/>
                      <w:color w:val="000000" w:themeColor="text1"/>
                      <w:szCs w:val="21"/>
                    </w:rPr>
                    <w:t>25</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rFonts w:hint="eastAsia"/>
                      <w:color w:val="000000" w:themeColor="text1"/>
                      <w:szCs w:val="21"/>
                    </w:rPr>
                  </w:pPr>
                  <w:r>
                    <w:rPr>
                      <w:rFonts w:hint="eastAsia"/>
                      <w:color w:val="000000" w:themeColor="text1"/>
                      <w:szCs w:val="21"/>
                    </w:rPr>
                    <w:t>2.3</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347" w:type="pct"/>
                  <w:vMerge w:val="continue"/>
                  <w:vAlign w:val="center"/>
                </w:tcPr>
                <w:p>
                  <w:pPr>
                    <w:pStyle w:val="30"/>
                    <w:spacing w:line="360" w:lineRule="exact"/>
                    <w:rPr>
                      <w:color w:val="000000" w:themeColor="text1"/>
                      <w:szCs w:val="21"/>
                    </w:rPr>
                  </w:pPr>
                </w:p>
              </w:tc>
              <w:tc>
                <w:tcPr>
                  <w:tcW w:w="476" w:type="pct"/>
                  <w:vMerge w:val="continue"/>
                  <w:vAlign w:val="center"/>
                </w:tcPr>
                <w:p>
                  <w:pPr>
                    <w:pStyle w:val="30"/>
                    <w:spacing w:line="360" w:lineRule="exact"/>
                    <w:rPr>
                      <w:rFonts w:hint="eastAsia"/>
                      <w:color w:val="000000" w:themeColor="text1"/>
                      <w:szCs w:val="21"/>
                    </w:rPr>
                  </w:pPr>
                </w:p>
              </w:tc>
              <w:tc>
                <w:tcPr>
                  <w:tcW w:w="742" w:type="pct"/>
                  <w:vAlign w:val="center"/>
                </w:tcPr>
                <w:p>
                  <w:pPr>
                    <w:pStyle w:val="30"/>
                    <w:spacing w:line="360" w:lineRule="exact"/>
                    <w:rPr>
                      <w:color w:val="000000" w:themeColor="text1"/>
                      <w:szCs w:val="21"/>
                    </w:rPr>
                  </w:pPr>
                  <w:r>
                    <w:rPr>
                      <w:rFonts w:hint="eastAsia"/>
                      <w:color w:val="000000" w:themeColor="text1"/>
                      <w:szCs w:val="21"/>
                    </w:rPr>
                    <w:t>排气筒（DA001）</w:t>
                  </w:r>
                </w:p>
              </w:tc>
              <w:tc>
                <w:tcPr>
                  <w:tcW w:w="1563"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1根高15m、Φ0.64m排气筒（DA001）</w:t>
                  </w:r>
                </w:p>
              </w:tc>
              <w:tc>
                <w:tcPr>
                  <w:tcW w:w="415" w:type="pct"/>
                  <w:vAlign w:val="center"/>
                </w:tcPr>
                <w:p>
                  <w:pPr>
                    <w:pStyle w:val="30"/>
                    <w:spacing w:line="360" w:lineRule="exact"/>
                    <w:rPr>
                      <w:rFonts w:hint="eastAsia"/>
                      <w:color w:val="000000" w:themeColor="text1"/>
                      <w:szCs w:val="21"/>
                    </w:rPr>
                  </w:pPr>
                  <w:r>
                    <w:rPr>
                      <w:rFonts w:hint="eastAsia"/>
                      <w:color w:val="000000" w:themeColor="text1"/>
                      <w:szCs w:val="21"/>
                    </w:rPr>
                    <w:t>1.2</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rFonts w:hint="eastAsia"/>
                      <w:color w:val="000000" w:themeColor="text1"/>
                      <w:szCs w:val="21"/>
                    </w:rPr>
                  </w:pPr>
                  <w:r>
                    <w:rPr>
                      <w:rFonts w:hint="eastAsia"/>
                      <w:color w:val="000000" w:themeColor="text1"/>
                      <w:szCs w:val="21"/>
                    </w:rPr>
                    <w:t>0</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347" w:type="pct"/>
                  <w:vMerge w:val="continue"/>
                  <w:vAlign w:val="center"/>
                </w:tcPr>
                <w:p>
                  <w:pPr>
                    <w:pStyle w:val="30"/>
                    <w:spacing w:line="360" w:lineRule="exact"/>
                    <w:rPr>
                      <w:color w:val="000000" w:themeColor="text1"/>
                      <w:szCs w:val="21"/>
                    </w:rPr>
                  </w:pPr>
                </w:p>
              </w:tc>
              <w:tc>
                <w:tcPr>
                  <w:tcW w:w="476" w:type="pct"/>
                  <w:vAlign w:val="center"/>
                </w:tcPr>
                <w:p>
                  <w:pPr>
                    <w:pStyle w:val="30"/>
                    <w:spacing w:line="360" w:lineRule="exact"/>
                    <w:rPr>
                      <w:rFonts w:hint="eastAsia"/>
                      <w:color w:val="000000" w:themeColor="text1"/>
                      <w:szCs w:val="21"/>
                    </w:rPr>
                  </w:pPr>
                  <w:r>
                    <w:rPr>
                      <w:rFonts w:hint="eastAsia"/>
                      <w:color w:val="000000" w:themeColor="text1"/>
                      <w:szCs w:val="21"/>
                    </w:rPr>
                    <w:t>水泥仓粉尘</w:t>
                  </w:r>
                </w:p>
              </w:tc>
              <w:tc>
                <w:tcPr>
                  <w:tcW w:w="742" w:type="pct"/>
                  <w:vAlign w:val="center"/>
                </w:tcPr>
                <w:p>
                  <w:pPr>
                    <w:pStyle w:val="30"/>
                    <w:spacing w:line="360" w:lineRule="exact"/>
                    <w:rPr>
                      <w:color w:val="000000" w:themeColor="text1"/>
                      <w:szCs w:val="21"/>
                    </w:rPr>
                  </w:pPr>
                  <w:r>
                    <w:rPr>
                      <w:rFonts w:hint="eastAsia"/>
                      <w:color w:val="000000" w:themeColor="text1"/>
                      <w:szCs w:val="21"/>
                    </w:rPr>
                    <w:t>2#</w:t>
                  </w:r>
                  <w:r>
                    <w:rPr>
                      <w:color w:val="000000" w:themeColor="text1"/>
                      <w:szCs w:val="21"/>
                    </w:rPr>
                    <w:t>袋式</w:t>
                  </w:r>
                  <w:r>
                    <w:rPr>
                      <w:rFonts w:hint="eastAsia"/>
                      <w:color w:val="000000" w:themeColor="text1"/>
                      <w:szCs w:val="21"/>
                    </w:rPr>
                    <w:t>除尘器</w:t>
                  </w:r>
                </w:p>
              </w:tc>
              <w:tc>
                <w:tcPr>
                  <w:tcW w:w="1563"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拟在水泥仓顶端配套设置2#袋式除尘器，除尘效率为99.7%。</w:t>
                  </w:r>
                </w:p>
              </w:tc>
              <w:tc>
                <w:tcPr>
                  <w:tcW w:w="415" w:type="pct"/>
                  <w:vAlign w:val="center"/>
                </w:tcPr>
                <w:p>
                  <w:pPr>
                    <w:pStyle w:val="30"/>
                    <w:spacing w:line="360" w:lineRule="exact"/>
                    <w:rPr>
                      <w:rFonts w:hint="eastAsia"/>
                      <w:color w:val="000000" w:themeColor="text1"/>
                      <w:szCs w:val="21"/>
                    </w:rPr>
                  </w:pPr>
                  <w:r>
                    <w:rPr>
                      <w:rFonts w:hint="eastAsia"/>
                      <w:color w:val="000000" w:themeColor="text1"/>
                      <w:szCs w:val="21"/>
                    </w:rPr>
                    <w:t>1.5</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rFonts w:hint="eastAsia"/>
                      <w:color w:val="000000" w:themeColor="text1"/>
                      <w:szCs w:val="21"/>
                    </w:rPr>
                  </w:pPr>
                  <w:r>
                    <w:rPr>
                      <w:rFonts w:hint="eastAsia"/>
                      <w:color w:val="000000" w:themeColor="text1"/>
                      <w:szCs w:val="21"/>
                    </w:rPr>
                    <w:t>0.2</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822" w:type="pct"/>
                  <w:gridSpan w:val="2"/>
                  <w:vMerge w:val="restart"/>
                  <w:vAlign w:val="center"/>
                </w:tcPr>
                <w:p>
                  <w:pPr>
                    <w:pStyle w:val="30"/>
                    <w:spacing w:line="360" w:lineRule="exact"/>
                    <w:rPr>
                      <w:color w:val="000000" w:themeColor="text1"/>
                      <w:szCs w:val="21"/>
                    </w:rPr>
                  </w:pPr>
                  <w:r>
                    <w:rPr>
                      <w:color w:val="000000" w:themeColor="text1"/>
                      <w:szCs w:val="21"/>
                    </w:rPr>
                    <w:t>地下水防渗</w:t>
                  </w:r>
                </w:p>
              </w:tc>
              <w:tc>
                <w:tcPr>
                  <w:tcW w:w="742" w:type="pct"/>
                  <w:vAlign w:val="center"/>
                </w:tcPr>
                <w:p>
                  <w:pPr>
                    <w:pStyle w:val="30"/>
                    <w:spacing w:line="360" w:lineRule="exact"/>
                    <w:rPr>
                      <w:color w:val="000000" w:themeColor="text1"/>
                      <w:szCs w:val="21"/>
                    </w:rPr>
                  </w:pPr>
                  <w:r>
                    <w:rPr>
                      <w:color w:val="000000" w:themeColor="text1"/>
                      <w:szCs w:val="21"/>
                    </w:rPr>
                    <w:t>重点防渗区</w:t>
                  </w:r>
                </w:p>
              </w:tc>
              <w:tc>
                <w:tcPr>
                  <w:tcW w:w="1563" w:type="pct"/>
                  <w:vAlign w:val="center"/>
                </w:tcPr>
                <w:p>
                  <w:pPr>
                    <w:pStyle w:val="30"/>
                    <w:spacing w:line="360" w:lineRule="exact"/>
                    <w:ind w:firstLine="210" w:firstLineChars="100"/>
                    <w:jc w:val="left"/>
                    <w:rPr>
                      <w:color w:val="000000" w:themeColor="text1"/>
                      <w:szCs w:val="21"/>
                      <w:lang w:val="en-US"/>
                    </w:rPr>
                  </w:pPr>
                  <w:r>
                    <w:rPr>
                      <w:color w:val="000000" w:themeColor="text1"/>
                      <w:szCs w:val="21"/>
                    </w:rPr>
                    <w:t>危险废物贮存间地面</w:t>
                  </w:r>
                  <w:r>
                    <w:rPr>
                      <w:rFonts w:hint="eastAsia"/>
                      <w:color w:val="000000" w:themeColor="text1"/>
                      <w:szCs w:val="21"/>
                    </w:rPr>
                    <w:t>采用2mm厚的HDPE膜进行了防渗，而</w:t>
                  </w:r>
                  <w:r>
                    <w:rPr>
                      <w:color w:val="000000" w:themeColor="text1"/>
                      <w:szCs w:val="21"/>
                    </w:rPr>
                    <w:t>裙墙应采用不低于2mm厚的HDPE膜或其他人工防渗材料进行防渗，使其渗透系数≤10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tc>
              <w:tc>
                <w:tcPr>
                  <w:tcW w:w="415" w:type="pct"/>
                  <w:vAlign w:val="center"/>
                </w:tcPr>
                <w:p>
                  <w:pPr>
                    <w:pStyle w:val="30"/>
                    <w:spacing w:line="360" w:lineRule="exact"/>
                    <w:rPr>
                      <w:color w:val="000000" w:themeColor="text1"/>
                      <w:szCs w:val="21"/>
                    </w:rPr>
                  </w:pPr>
                  <w:r>
                    <w:rPr>
                      <w:rFonts w:hint="eastAsia"/>
                      <w:color w:val="000000" w:themeColor="text1"/>
                      <w:szCs w:val="21"/>
                    </w:rPr>
                    <w:t>0.8</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color w:val="000000" w:themeColor="text1"/>
                      <w:szCs w:val="21"/>
                    </w:rPr>
                  </w:pPr>
                  <w:r>
                    <w:rPr>
                      <w:color w:val="000000" w:themeColor="text1"/>
                      <w:szCs w:val="21"/>
                    </w:rPr>
                    <w:t>0</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822" w:type="pct"/>
                  <w:gridSpan w:val="2"/>
                  <w:vMerge w:val="continue"/>
                  <w:vAlign w:val="center"/>
                </w:tcPr>
                <w:p>
                  <w:pPr>
                    <w:pStyle w:val="30"/>
                    <w:spacing w:line="360" w:lineRule="exact"/>
                    <w:rPr>
                      <w:color w:val="000000" w:themeColor="text1"/>
                      <w:szCs w:val="21"/>
                    </w:rPr>
                  </w:pPr>
                </w:p>
              </w:tc>
              <w:tc>
                <w:tcPr>
                  <w:tcW w:w="742" w:type="pct"/>
                  <w:vAlign w:val="center"/>
                </w:tcPr>
                <w:p>
                  <w:pPr>
                    <w:pStyle w:val="30"/>
                    <w:spacing w:line="360" w:lineRule="exact"/>
                    <w:rPr>
                      <w:color w:val="000000" w:themeColor="text1"/>
                      <w:szCs w:val="21"/>
                    </w:rPr>
                  </w:pPr>
                  <w:r>
                    <w:rPr>
                      <w:color w:val="000000" w:themeColor="text1"/>
                      <w:szCs w:val="21"/>
                    </w:rPr>
                    <w:t>一般防渗区</w:t>
                  </w:r>
                </w:p>
              </w:tc>
              <w:tc>
                <w:tcPr>
                  <w:tcW w:w="1563"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项目原料车间、生产车间和产品车间均为一般防渗区，拟租用厂房地面基础已采用2mm厚的HDPE膜进行了防渗</w:t>
                  </w:r>
                  <w:r>
                    <w:rPr>
                      <w:color w:val="000000" w:themeColor="text1"/>
                      <w:szCs w:val="21"/>
                    </w:rPr>
                    <w:t>；其渗透系数≤1.0×10</w:t>
                  </w:r>
                  <w:r>
                    <w:rPr>
                      <w:color w:val="000000" w:themeColor="text1"/>
                      <w:szCs w:val="21"/>
                      <w:vertAlign w:val="superscript"/>
                    </w:rPr>
                    <w:t>-7</w:t>
                  </w:r>
                  <w:r>
                    <w:rPr>
                      <w:color w:val="000000" w:themeColor="text1"/>
                      <w:szCs w:val="21"/>
                    </w:rPr>
                    <w:t>cm/s。</w:t>
                  </w:r>
                </w:p>
              </w:tc>
              <w:tc>
                <w:tcPr>
                  <w:tcW w:w="415" w:type="pct"/>
                  <w:vAlign w:val="center"/>
                </w:tcPr>
                <w:p>
                  <w:pPr>
                    <w:pStyle w:val="30"/>
                    <w:spacing w:line="360" w:lineRule="exact"/>
                    <w:rPr>
                      <w:color w:val="000000" w:themeColor="text1"/>
                      <w:szCs w:val="21"/>
                    </w:rPr>
                  </w:pPr>
                  <w:r>
                    <w:rPr>
                      <w:rFonts w:hint="eastAsia"/>
                      <w:color w:val="000000" w:themeColor="text1"/>
                      <w:szCs w:val="21"/>
                    </w:rPr>
                    <w:t>--</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color w:val="000000" w:themeColor="text1"/>
                      <w:szCs w:val="21"/>
                    </w:rPr>
                  </w:pPr>
                  <w:r>
                    <w:rPr>
                      <w:rFonts w:hint="eastAsia"/>
                      <w:color w:val="000000" w:themeColor="text1"/>
                      <w:szCs w:val="21"/>
                    </w:rPr>
                    <w:t>0</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347" w:type="pct"/>
                  <w:vAlign w:val="center"/>
                </w:tcPr>
                <w:p>
                  <w:pPr>
                    <w:pStyle w:val="30"/>
                    <w:spacing w:line="360" w:lineRule="exact"/>
                    <w:rPr>
                      <w:color w:val="000000" w:themeColor="text1"/>
                      <w:szCs w:val="21"/>
                    </w:rPr>
                  </w:pPr>
                  <w:r>
                    <w:rPr>
                      <w:color w:val="000000" w:themeColor="text1"/>
                      <w:szCs w:val="21"/>
                    </w:rPr>
                    <w:t>噪声</w:t>
                  </w:r>
                </w:p>
              </w:tc>
              <w:tc>
                <w:tcPr>
                  <w:tcW w:w="476" w:type="pct"/>
                  <w:vAlign w:val="center"/>
                </w:tcPr>
                <w:p>
                  <w:pPr>
                    <w:pStyle w:val="30"/>
                    <w:spacing w:line="360" w:lineRule="exact"/>
                    <w:rPr>
                      <w:color w:val="000000" w:themeColor="text1"/>
                      <w:szCs w:val="21"/>
                    </w:rPr>
                  </w:pPr>
                  <w:r>
                    <w:rPr>
                      <w:color w:val="000000" w:themeColor="text1"/>
                      <w:szCs w:val="21"/>
                    </w:rPr>
                    <w:t>设备噪声</w:t>
                  </w:r>
                </w:p>
              </w:tc>
              <w:tc>
                <w:tcPr>
                  <w:tcW w:w="742" w:type="pct"/>
                  <w:vAlign w:val="center"/>
                </w:tcPr>
                <w:p>
                  <w:pPr>
                    <w:pStyle w:val="30"/>
                    <w:spacing w:line="360" w:lineRule="exact"/>
                    <w:rPr>
                      <w:color w:val="000000" w:themeColor="text1"/>
                      <w:szCs w:val="21"/>
                    </w:rPr>
                  </w:pPr>
                  <w:r>
                    <w:rPr>
                      <w:color w:val="000000" w:themeColor="text1"/>
                      <w:szCs w:val="21"/>
                    </w:rPr>
                    <w:t>减震垫、消声器等</w:t>
                  </w:r>
                </w:p>
              </w:tc>
              <w:tc>
                <w:tcPr>
                  <w:tcW w:w="1563" w:type="pct"/>
                  <w:vAlign w:val="center"/>
                </w:tcPr>
                <w:p>
                  <w:pPr>
                    <w:pStyle w:val="30"/>
                    <w:spacing w:line="360" w:lineRule="exact"/>
                    <w:ind w:firstLine="210" w:firstLineChars="100"/>
                    <w:jc w:val="left"/>
                    <w:rPr>
                      <w:color w:val="000000" w:themeColor="text1"/>
                      <w:szCs w:val="21"/>
                    </w:rPr>
                  </w:pPr>
                  <w:r>
                    <w:rPr>
                      <w:color w:val="000000" w:themeColor="text1"/>
                      <w:szCs w:val="21"/>
                    </w:rPr>
                    <w:t>设备基础加装减震垫、消声器等</w:t>
                  </w:r>
                  <w:r>
                    <w:rPr>
                      <w:rFonts w:hint="eastAsia"/>
                      <w:color w:val="000000" w:themeColor="text1"/>
                      <w:szCs w:val="21"/>
                    </w:rPr>
                    <w:t>。</w:t>
                  </w:r>
                </w:p>
              </w:tc>
              <w:tc>
                <w:tcPr>
                  <w:tcW w:w="415" w:type="pct"/>
                  <w:vAlign w:val="center"/>
                </w:tcPr>
                <w:p>
                  <w:pPr>
                    <w:pStyle w:val="30"/>
                    <w:spacing w:line="360" w:lineRule="exact"/>
                    <w:rPr>
                      <w:color w:val="000000" w:themeColor="text1"/>
                      <w:szCs w:val="21"/>
                    </w:rPr>
                  </w:pPr>
                  <w:r>
                    <w:rPr>
                      <w:rFonts w:hint="eastAsia"/>
                      <w:color w:val="000000" w:themeColor="text1"/>
                      <w:szCs w:val="21"/>
                    </w:rPr>
                    <w:t>1</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color w:val="000000" w:themeColor="text1"/>
                      <w:szCs w:val="21"/>
                    </w:rPr>
                  </w:pPr>
                  <w:r>
                    <w:rPr>
                      <w:color w:val="000000" w:themeColor="text1"/>
                      <w:szCs w:val="21"/>
                    </w:rPr>
                    <w:t>0</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347" w:type="pct"/>
                  <w:vMerge w:val="restart"/>
                  <w:vAlign w:val="center"/>
                </w:tcPr>
                <w:p>
                  <w:pPr>
                    <w:pStyle w:val="30"/>
                    <w:spacing w:line="360" w:lineRule="exact"/>
                    <w:rPr>
                      <w:color w:val="000000" w:themeColor="text1"/>
                      <w:szCs w:val="21"/>
                    </w:rPr>
                  </w:pPr>
                  <w:r>
                    <w:rPr>
                      <w:color w:val="000000" w:themeColor="text1"/>
                      <w:szCs w:val="21"/>
                    </w:rPr>
                    <w:t>固废</w:t>
                  </w:r>
                </w:p>
              </w:tc>
              <w:tc>
                <w:tcPr>
                  <w:tcW w:w="476" w:type="pct"/>
                  <w:vAlign w:val="center"/>
                </w:tcPr>
                <w:p>
                  <w:pPr>
                    <w:pStyle w:val="30"/>
                    <w:spacing w:line="360" w:lineRule="exact"/>
                    <w:rPr>
                      <w:color w:val="000000" w:themeColor="text1"/>
                      <w:szCs w:val="21"/>
                    </w:rPr>
                  </w:pPr>
                  <w:r>
                    <w:rPr>
                      <w:color w:val="000000" w:themeColor="text1"/>
                      <w:szCs w:val="21"/>
                    </w:rPr>
                    <w:t>危险废物</w:t>
                  </w:r>
                </w:p>
              </w:tc>
              <w:tc>
                <w:tcPr>
                  <w:tcW w:w="742" w:type="pct"/>
                  <w:vAlign w:val="center"/>
                </w:tcPr>
                <w:p>
                  <w:pPr>
                    <w:pStyle w:val="30"/>
                    <w:spacing w:line="360" w:lineRule="exact"/>
                    <w:rPr>
                      <w:color w:val="000000" w:themeColor="text1"/>
                      <w:szCs w:val="21"/>
                    </w:rPr>
                  </w:pPr>
                  <w:r>
                    <w:rPr>
                      <w:color w:val="000000" w:themeColor="text1"/>
                      <w:szCs w:val="21"/>
                    </w:rPr>
                    <w:t>危险废物贮存间</w:t>
                  </w:r>
                </w:p>
              </w:tc>
              <w:tc>
                <w:tcPr>
                  <w:tcW w:w="1563" w:type="pct"/>
                  <w:vAlign w:val="center"/>
                </w:tcPr>
                <w:p>
                  <w:pPr>
                    <w:pStyle w:val="30"/>
                    <w:spacing w:line="360" w:lineRule="exact"/>
                    <w:ind w:firstLine="210" w:firstLineChars="100"/>
                    <w:jc w:val="left"/>
                    <w:rPr>
                      <w:color w:val="000000" w:themeColor="text1"/>
                      <w:szCs w:val="21"/>
                    </w:rPr>
                  </w:pPr>
                  <w:r>
                    <w:rPr>
                      <w:color w:val="000000" w:themeColor="text1"/>
                      <w:szCs w:val="21"/>
                    </w:rPr>
                    <w:t>1个6m²</w:t>
                  </w:r>
                </w:p>
              </w:tc>
              <w:tc>
                <w:tcPr>
                  <w:tcW w:w="415" w:type="pct"/>
                  <w:vAlign w:val="center"/>
                </w:tcPr>
                <w:p>
                  <w:pPr>
                    <w:pStyle w:val="30"/>
                    <w:spacing w:line="360" w:lineRule="exact"/>
                    <w:rPr>
                      <w:color w:val="000000" w:themeColor="text1"/>
                      <w:szCs w:val="21"/>
                    </w:rPr>
                  </w:pPr>
                  <w:r>
                    <w:rPr>
                      <w:rFonts w:hint="eastAsia"/>
                      <w:color w:val="000000" w:themeColor="text1"/>
                      <w:szCs w:val="21"/>
                    </w:rPr>
                    <w:t>1.5</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color w:val="000000" w:themeColor="text1"/>
                      <w:szCs w:val="21"/>
                    </w:rPr>
                  </w:pPr>
                  <w:r>
                    <w:rPr>
                      <w:rFonts w:hint="eastAsia"/>
                      <w:color w:val="000000" w:themeColor="text1"/>
                      <w:szCs w:val="21"/>
                    </w:rPr>
                    <w:t>3</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000000" w:themeColor="text1"/>
                      <w:szCs w:val="21"/>
                    </w:rPr>
                  </w:pPr>
                </w:p>
              </w:tc>
              <w:tc>
                <w:tcPr>
                  <w:tcW w:w="347" w:type="pct"/>
                  <w:vMerge w:val="continue"/>
                  <w:vAlign w:val="center"/>
                </w:tcPr>
                <w:p>
                  <w:pPr>
                    <w:pStyle w:val="30"/>
                    <w:spacing w:line="360" w:lineRule="exact"/>
                    <w:rPr>
                      <w:color w:val="000000" w:themeColor="text1"/>
                      <w:szCs w:val="21"/>
                    </w:rPr>
                  </w:pPr>
                </w:p>
              </w:tc>
              <w:tc>
                <w:tcPr>
                  <w:tcW w:w="476" w:type="pct"/>
                  <w:vAlign w:val="center"/>
                </w:tcPr>
                <w:p>
                  <w:pPr>
                    <w:pStyle w:val="30"/>
                    <w:spacing w:line="360" w:lineRule="exact"/>
                    <w:rPr>
                      <w:color w:val="000000" w:themeColor="text1"/>
                      <w:szCs w:val="21"/>
                    </w:rPr>
                  </w:pPr>
                  <w:r>
                    <w:rPr>
                      <w:rFonts w:hint="eastAsia"/>
                      <w:color w:val="000000" w:themeColor="text1"/>
                      <w:szCs w:val="21"/>
                    </w:rPr>
                    <w:t>废包装袋</w:t>
                  </w:r>
                </w:p>
              </w:tc>
              <w:tc>
                <w:tcPr>
                  <w:tcW w:w="742" w:type="pct"/>
                  <w:vAlign w:val="center"/>
                </w:tcPr>
                <w:p>
                  <w:pPr>
                    <w:pStyle w:val="30"/>
                    <w:spacing w:line="360" w:lineRule="exact"/>
                    <w:rPr>
                      <w:color w:val="000000" w:themeColor="text1"/>
                      <w:szCs w:val="21"/>
                    </w:rPr>
                  </w:pPr>
                  <w:r>
                    <w:rPr>
                      <w:rFonts w:hint="eastAsia"/>
                      <w:color w:val="000000" w:themeColor="text1"/>
                      <w:szCs w:val="21"/>
                    </w:rPr>
                    <w:t>废包装袋贮存区</w:t>
                  </w:r>
                </w:p>
              </w:tc>
              <w:tc>
                <w:tcPr>
                  <w:tcW w:w="1563" w:type="pct"/>
                  <w:vAlign w:val="center"/>
                </w:tcPr>
                <w:p>
                  <w:pPr>
                    <w:pStyle w:val="30"/>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10</w:t>
                  </w:r>
                  <w:r>
                    <w:rPr>
                      <w:color w:val="000000" w:themeColor="text1"/>
                      <w:szCs w:val="21"/>
                    </w:rPr>
                    <w:t>m²</w:t>
                  </w:r>
                </w:p>
              </w:tc>
              <w:tc>
                <w:tcPr>
                  <w:tcW w:w="415" w:type="pct"/>
                  <w:vAlign w:val="center"/>
                </w:tcPr>
                <w:p>
                  <w:pPr>
                    <w:pStyle w:val="30"/>
                    <w:spacing w:line="360" w:lineRule="exact"/>
                    <w:rPr>
                      <w:color w:val="000000" w:themeColor="text1"/>
                      <w:szCs w:val="21"/>
                    </w:rPr>
                  </w:pPr>
                  <w:r>
                    <w:rPr>
                      <w:color w:val="000000" w:themeColor="text1"/>
                      <w:szCs w:val="21"/>
                    </w:rPr>
                    <w:t>0.0</w:t>
                  </w:r>
                  <w:r>
                    <w:rPr>
                      <w:rFonts w:hint="eastAsia"/>
                      <w:color w:val="000000" w:themeColor="text1"/>
                      <w:szCs w:val="21"/>
                    </w:rPr>
                    <w:t>2</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color w:val="000000" w:themeColor="text1"/>
                      <w:szCs w:val="21"/>
                    </w:rPr>
                  </w:pPr>
                  <w:r>
                    <w:rPr>
                      <w:rFonts w:hint="eastAsia"/>
                      <w:color w:val="000000" w:themeColor="text1"/>
                      <w:szCs w:val="21"/>
                    </w:rPr>
                    <w:t>0.1</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0"/>
                    <w:spacing w:line="360" w:lineRule="exact"/>
                    <w:rPr>
                      <w:color w:val="000000" w:themeColor="text1"/>
                      <w:szCs w:val="21"/>
                    </w:rPr>
                  </w:pPr>
                </w:p>
              </w:tc>
              <w:tc>
                <w:tcPr>
                  <w:tcW w:w="347" w:type="pct"/>
                  <w:vAlign w:val="center"/>
                </w:tcPr>
                <w:p>
                  <w:pPr>
                    <w:pStyle w:val="30"/>
                    <w:spacing w:line="360" w:lineRule="exact"/>
                    <w:rPr>
                      <w:color w:val="000000" w:themeColor="text1"/>
                      <w:szCs w:val="21"/>
                    </w:rPr>
                  </w:pPr>
                  <w:r>
                    <w:rPr>
                      <w:color w:val="000000" w:themeColor="text1"/>
                      <w:szCs w:val="21"/>
                    </w:rPr>
                    <w:t>其他</w:t>
                  </w:r>
                </w:p>
              </w:tc>
              <w:tc>
                <w:tcPr>
                  <w:tcW w:w="1217" w:type="pct"/>
                  <w:gridSpan w:val="2"/>
                  <w:vAlign w:val="center"/>
                </w:tcPr>
                <w:p>
                  <w:pPr>
                    <w:pStyle w:val="30"/>
                    <w:spacing w:line="360" w:lineRule="exact"/>
                    <w:rPr>
                      <w:color w:val="000000" w:themeColor="text1"/>
                      <w:szCs w:val="21"/>
                    </w:rPr>
                  </w:pPr>
                  <w:r>
                    <w:rPr>
                      <w:color w:val="000000" w:themeColor="text1"/>
                      <w:szCs w:val="21"/>
                    </w:rPr>
                    <w:t>标识牌</w:t>
                  </w:r>
                </w:p>
              </w:tc>
              <w:tc>
                <w:tcPr>
                  <w:tcW w:w="1563" w:type="pct"/>
                  <w:vAlign w:val="center"/>
                </w:tcPr>
                <w:p>
                  <w:pPr>
                    <w:pStyle w:val="30"/>
                    <w:spacing w:line="360" w:lineRule="exact"/>
                    <w:ind w:firstLine="210" w:firstLineChars="100"/>
                    <w:jc w:val="left"/>
                    <w:rPr>
                      <w:color w:val="000000" w:themeColor="text1"/>
                      <w:szCs w:val="21"/>
                    </w:rPr>
                  </w:pPr>
                  <w:r>
                    <w:rPr>
                      <w:color w:val="000000" w:themeColor="text1"/>
                      <w:szCs w:val="21"/>
                    </w:rPr>
                    <w:t>--</w:t>
                  </w:r>
                </w:p>
              </w:tc>
              <w:tc>
                <w:tcPr>
                  <w:tcW w:w="415" w:type="pct"/>
                  <w:vAlign w:val="center"/>
                </w:tcPr>
                <w:p>
                  <w:pPr>
                    <w:pStyle w:val="30"/>
                    <w:spacing w:line="360" w:lineRule="exact"/>
                    <w:rPr>
                      <w:color w:val="000000" w:themeColor="text1"/>
                      <w:szCs w:val="21"/>
                    </w:rPr>
                  </w:pPr>
                  <w:r>
                    <w:rPr>
                      <w:color w:val="000000" w:themeColor="text1"/>
                      <w:szCs w:val="21"/>
                    </w:rPr>
                    <w:t>0.1</w:t>
                  </w:r>
                </w:p>
              </w:tc>
              <w:tc>
                <w:tcPr>
                  <w:tcW w:w="411" w:type="pct"/>
                  <w:vMerge w:val="continue"/>
                  <w:vAlign w:val="center"/>
                </w:tcPr>
                <w:p>
                  <w:pPr>
                    <w:pStyle w:val="30"/>
                    <w:spacing w:line="360" w:lineRule="exact"/>
                    <w:rPr>
                      <w:color w:val="000000" w:themeColor="text1"/>
                      <w:szCs w:val="21"/>
                    </w:rPr>
                  </w:pPr>
                </w:p>
              </w:tc>
              <w:tc>
                <w:tcPr>
                  <w:tcW w:w="374" w:type="pct"/>
                  <w:vAlign w:val="center"/>
                </w:tcPr>
                <w:p>
                  <w:pPr>
                    <w:pStyle w:val="30"/>
                    <w:spacing w:line="360" w:lineRule="exact"/>
                    <w:rPr>
                      <w:color w:val="000000" w:themeColor="text1"/>
                      <w:szCs w:val="21"/>
                    </w:rPr>
                  </w:pPr>
                  <w:r>
                    <w:rPr>
                      <w:color w:val="000000" w:themeColor="text1"/>
                      <w:szCs w:val="21"/>
                    </w:rPr>
                    <w:t>0</w:t>
                  </w:r>
                </w:p>
              </w:tc>
              <w:tc>
                <w:tcPr>
                  <w:tcW w:w="407"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3" w:type="pct"/>
                  <w:gridSpan w:val="5"/>
                  <w:vAlign w:val="center"/>
                </w:tcPr>
                <w:p>
                  <w:pPr>
                    <w:pStyle w:val="30"/>
                    <w:spacing w:line="360" w:lineRule="exact"/>
                    <w:rPr>
                      <w:color w:val="000000" w:themeColor="text1"/>
                      <w:szCs w:val="21"/>
                    </w:rPr>
                  </w:pPr>
                  <w:r>
                    <w:rPr>
                      <w:color w:val="000000" w:themeColor="text1"/>
                      <w:szCs w:val="21"/>
                    </w:rPr>
                    <w:t>管理相关费用</w:t>
                  </w:r>
                </w:p>
              </w:tc>
              <w:tc>
                <w:tcPr>
                  <w:tcW w:w="1607" w:type="pct"/>
                  <w:gridSpan w:val="4"/>
                  <w:vAlign w:val="center"/>
                </w:tcPr>
                <w:p>
                  <w:pPr>
                    <w:pStyle w:val="30"/>
                    <w:spacing w:line="360" w:lineRule="exact"/>
                    <w:rPr>
                      <w:color w:val="000000" w:themeColor="text1"/>
                      <w:szCs w:val="21"/>
                    </w:rPr>
                  </w:pPr>
                  <w:r>
                    <w:rPr>
                      <w:color w:val="000000" w:themeColor="text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3" w:type="pct"/>
                  <w:gridSpan w:val="5"/>
                  <w:vAlign w:val="center"/>
                </w:tcPr>
                <w:p>
                  <w:pPr>
                    <w:pStyle w:val="30"/>
                    <w:spacing w:line="360" w:lineRule="exact"/>
                    <w:rPr>
                      <w:color w:val="000000" w:themeColor="text1"/>
                      <w:szCs w:val="21"/>
                    </w:rPr>
                  </w:pPr>
                  <w:r>
                    <w:rPr>
                      <w:color w:val="000000" w:themeColor="text1"/>
                      <w:szCs w:val="21"/>
                    </w:rPr>
                    <w:t>合计</w:t>
                  </w:r>
                </w:p>
              </w:tc>
              <w:tc>
                <w:tcPr>
                  <w:tcW w:w="415" w:type="pct"/>
                  <w:vAlign w:val="center"/>
                </w:tcPr>
                <w:p>
                  <w:pPr>
                    <w:pStyle w:val="30"/>
                    <w:spacing w:line="360" w:lineRule="exact"/>
                    <w:rPr>
                      <w:color w:val="000000" w:themeColor="text1"/>
                      <w:szCs w:val="21"/>
                    </w:rPr>
                  </w:pPr>
                  <w:r>
                    <w:rPr>
                      <w:color w:val="000000" w:themeColor="text1"/>
                      <w:szCs w:val="21"/>
                    </w:rPr>
                    <w:t>34.12</w:t>
                  </w:r>
                </w:p>
              </w:tc>
              <w:tc>
                <w:tcPr>
                  <w:tcW w:w="411" w:type="pct"/>
                  <w:vAlign w:val="center"/>
                </w:tcPr>
                <w:p>
                  <w:pPr>
                    <w:pStyle w:val="30"/>
                    <w:spacing w:line="360" w:lineRule="exact"/>
                    <w:rPr>
                      <w:color w:val="000000" w:themeColor="text1"/>
                      <w:szCs w:val="21"/>
                    </w:rPr>
                  </w:pPr>
                  <w:r>
                    <w:rPr>
                      <w:color w:val="000000" w:themeColor="text1"/>
                      <w:szCs w:val="21"/>
                    </w:rPr>
                    <w:t>--</w:t>
                  </w:r>
                </w:p>
              </w:tc>
              <w:tc>
                <w:tcPr>
                  <w:tcW w:w="374" w:type="pct"/>
                  <w:vAlign w:val="center"/>
                </w:tcPr>
                <w:p>
                  <w:pPr>
                    <w:pStyle w:val="30"/>
                    <w:spacing w:line="360" w:lineRule="exact"/>
                    <w:rPr>
                      <w:color w:val="000000" w:themeColor="text1"/>
                      <w:szCs w:val="21"/>
                    </w:rPr>
                  </w:pPr>
                  <w:r>
                    <w:rPr>
                      <w:color w:val="000000" w:themeColor="text1"/>
                      <w:szCs w:val="21"/>
                    </w:rPr>
                    <w:t>7.1</w:t>
                  </w:r>
                </w:p>
              </w:tc>
              <w:tc>
                <w:tcPr>
                  <w:tcW w:w="407" w:type="pct"/>
                  <w:vAlign w:val="center"/>
                </w:tcPr>
                <w:p>
                  <w:pPr>
                    <w:pStyle w:val="30"/>
                    <w:spacing w:line="360" w:lineRule="exact"/>
                    <w:rPr>
                      <w:color w:val="000000" w:themeColor="text1"/>
                      <w:szCs w:val="21"/>
                    </w:rPr>
                  </w:pPr>
                  <w:r>
                    <w:rPr>
                      <w:color w:val="000000" w:themeColor="text1"/>
                      <w:szCs w:val="21"/>
                    </w:rPr>
                    <w:t>--</w:t>
                  </w:r>
                </w:p>
              </w:tc>
            </w:tr>
          </w:tbl>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rFonts w:hint="eastAsia"/>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color w:val="000000" w:themeColor="text1"/>
                <w:szCs w:val="24"/>
              </w:rPr>
            </w:pPr>
          </w:p>
          <w:p>
            <w:pPr>
              <w:pStyle w:val="38"/>
              <w:ind w:firstLine="480"/>
              <w:rPr>
                <w:rFonts w:hint="eastAsia"/>
                <w:color w:val="000000" w:themeColor="text1"/>
                <w:szCs w:val="24"/>
              </w:rPr>
            </w:pPr>
          </w:p>
          <w:p>
            <w:pPr>
              <w:pStyle w:val="38"/>
              <w:ind w:firstLine="480"/>
              <w:rPr>
                <w:rFonts w:hint="eastAsia"/>
                <w:color w:val="000000" w:themeColor="text1"/>
                <w:szCs w:val="24"/>
              </w:rPr>
            </w:pPr>
          </w:p>
          <w:p>
            <w:pPr>
              <w:pStyle w:val="38"/>
              <w:ind w:firstLine="480"/>
              <w:rPr>
                <w:rFonts w:hint="eastAsia"/>
                <w:color w:val="000000" w:themeColor="text1"/>
                <w:szCs w:val="24"/>
              </w:rPr>
            </w:pPr>
          </w:p>
          <w:p>
            <w:pPr>
              <w:pStyle w:val="38"/>
              <w:ind w:firstLine="480"/>
              <w:rPr>
                <w:rFonts w:hint="eastAsia"/>
                <w:color w:val="000000" w:themeColor="text1"/>
                <w:szCs w:val="24"/>
              </w:rPr>
            </w:pPr>
          </w:p>
          <w:p>
            <w:pPr>
              <w:pStyle w:val="38"/>
              <w:ind w:firstLine="480"/>
              <w:rPr>
                <w:rFonts w:hint="eastAsia"/>
                <w:color w:val="000000" w:themeColor="text1"/>
                <w:szCs w:val="24"/>
              </w:rPr>
            </w:pPr>
          </w:p>
          <w:p>
            <w:pPr>
              <w:pStyle w:val="38"/>
              <w:ind w:firstLine="480"/>
              <w:rPr>
                <w:rFonts w:hint="eastAsia"/>
                <w:color w:val="000000" w:themeColor="text1"/>
                <w:szCs w:val="24"/>
              </w:rPr>
            </w:pPr>
          </w:p>
          <w:p>
            <w:pPr>
              <w:pStyle w:val="38"/>
              <w:ind w:firstLine="480"/>
              <w:rPr>
                <w:rFonts w:hint="eastAsia"/>
                <w:color w:val="000000" w:themeColor="text1"/>
                <w:szCs w:val="24"/>
              </w:rPr>
            </w:pPr>
          </w:p>
          <w:p>
            <w:pPr>
              <w:pStyle w:val="38"/>
              <w:ind w:firstLine="480"/>
              <w:rPr>
                <w:rFonts w:hint="eastAsia"/>
                <w:color w:val="000000" w:themeColor="text1"/>
                <w:szCs w:val="24"/>
              </w:rPr>
            </w:pPr>
          </w:p>
          <w:p>
            <w:pPr>
              <w:pStyle w:val="38"/>
              <w:ind w:firstLine="480"/>
              <w:rPr>
                <w:color w:val="000000" w:themeColor="text1"/>
                <w:szCs w:val="24"/>
              </w:rPr>
            </w:pPr>
          </w:p>
          <w:p>
            <w:pPr>
              <w:pStyle w:val="38"/>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851"/>
        <w:gridCol w:w="850"/>
        <w:gridCol w:w="1297"/>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51"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29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0" w:type="dxa"/>
            <w:vAlign w:val="center"/>
          </w:tcPr>
          <w:p>
            <w:pPr>
              <w:pStyle w:val="30"/>
              <w:spacing w:line="360" w:lineRule="exact"/>
              <w:rPr>
                <w:color w:val="000000" w:themeColor="text1"/>
                <w:szCs w:val="21"/>
              </w:rPr>
            </w:pPr>
            <w:r>
              <w:rPr>
                <w:color w:val="000000" w:themeColor="text1"/>
                <w:szCs w:val="21"/>
              </w:rPr>
              <w:t>原料车间</w:t>
            </w:r>
          </w:p>
        </w:tc>
        <w:tc>
          <w:tcPr>
            <w:tcW w:w="851" w:type="dxa"/>
            <w:vAlign w:val="center"/>
          </w:tcPr>
          <w:p>
            <w:pPr>
              <w:pStyle w:val="30"/>
              <w:spacing w:line="360" w:lineRule="exact"/>
              <w:rPr>
                <w:color w:val="000000" w:themeColor="text1"/>
                <w:szCs w:val="21"/>
              </w:rPr>
            </w:pPr>
            <w:r>
              <w:rPr>
                <w:rFonts w:hint="eastAsia"/>
                <w:color w:val="000000" w:themeColor="text1"/>
                <w:szCs w:val="21"/>
              </w:rPr>
              <w:t>装卸、暂存</w:t>
            </w:r>
          </w:p>
        </w:tc>
        <w:tc>
          <w:tcPr>
            <w:tcW w:w="850" w:type="dxa"/>
            <w:vAlign w:val="center"/>
          </w:tcPr>
          <w:p>
            <w:pPr>
              <w:pStyle w:val="30"/>
              <w:spacing w:line="360" w:lineRule="exact"/>
              <w:rPr>
                <w:color w:val="000000" w:themeColor="text1"/>
                <w:szCs w:val="21"/>
              </w:rPr>
            </w:pPr>
            <w:r>
              <w:rPr>
                <w:rFonts w:hint="eastAsia"/>
                <w:color w:val="000000" w:themeColor="text1"/>
                <w:szCs w:val="21"/>
              </w:rPr>
              <w:t>无组织</w:t>
            </w:r>
          </w:p>
        </w:tc>
        <w:tc>
          <w:tcPr>
            <w:tcW w:w="1297" w:type="dxa"/>
            <w:vAlign w:val="center"/>
          </w:tcPr>
          <w:p>
            <w:pPr>
              <w:pStyle w:val="30"/>
              <w:rPr>
                <w:color w:val="000000" w:themeColor="text1"/>
                <w:szCs w:val="21"/>
              </w:rPr>
            </w:pPr>
            <w:r>
              <w:rPr>
                <w:rFonts w:hint="eastAsia"/>
                <w:color w:val="000000" w:themeColor="text1"/>
                <w:szCs w:val="21"/>
              </w:rPr>
              <w:t>颗粒物</w:t>
            </w:r>
          </w:p>
        </w:tc>
        <w:tc>
          <w:tcPr>
            <w:tcW w:w="2983"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项目原料车间位于全封闭厂房内，根据“固体物料堆存颗粒物产排污核算系数手册”，封闭厂房扬尘抑制率为99%。</w:t>
            </w:r>
          </w:p>
        </w:tc>
        <w:tc>
          <w:tcPr>
            <w:tcW w:w="1719" w:type="dxa"/>
            <w:vMerge w:val="restart"/>
            <w:vAlign w:val="center"/>
          </w:tcPr>
          <w:p>
            <w:pPr>
              <w:pStyle w:val="30"/>
              <w:spacing w:line="360" w:lineRule="exact"/>
              <w:ind w:firstLine="210" w:firstLineChars="100"/>
              <w:jc w:val="both"/>
              <w:rPr>
                <w:color w:val="000000" w:themeColor="text1"/>
                <w:szCs w:val="21"/>
              </w:rPr>
            </w:pPr>
            <w:r>
              <w:rPr>
                <w:color w:val="000000" w:themeColor="text1"/>
                <w:szCs w:val="21"/>
              </w:rPr>
              <w:t>《大气污染物综合排放标准》（GB</w:t>
            </w:r>
            <w:r>
              <w:rPr>
                <w:rFonts w:hint="eastAsia"/>
                <w:color w:val="000000" w:themeColor="text1"/>
                <w:szCs w:val="21"/>
                <w:lang w:eastAsia="zh-CN"/>
              </w:rPr>
              <w:t>*****</w:t>
            </w:r>
            <w:r>
              <w:rPr>
                <w:color w:val="000000" w:themeColor="text1"/>
                <w:szCs w:val="21"/>
              </w:rPr>
              <w:t>-1996）</w:t>
            </w:r>
            <w:r>
              <w:rPr>
                <w:rFonts w:hint="eastAsia"/>
                <w:color w:val="000000" w:themeColor="text1"/>
                <w:szCs w:val="21"/>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0"/>
              <w:spacing w:line="360" w:lineRule="exact"/>
              <w:rPr>
                <w:color w:val="000000" w:themeColor="text1"/>
                <w:szCs w:val="21"/>
              </w:rPr>
            </w:pPr>
            <w:r>
              <w:rPr>
                <w:color w:val="000000" w:themeColor="text1"/>
                <w:szCs w:val="21"/>
              </w:rPr>
              <w:t>水泥仓</w:t>
            </w:r>
          </w:p>
        </w:tc>
        <w:tc>
          <w:tcPr>
            <w:tcW w:w="851" w:type="dxa"/>
            <w:vAlign w:val="center"/>
          </w:tcPr>
          <w:p>
            <w:pPr>
              <w:pStyle w:val="30"/>
              <w:spacing w:line="360" w:lineRule="exact"/>
              <w:rPr>
                <w:rFonts w:hint="eastAsia"/>
                <w:color w:val="000000" w:themeColor="text1"/>
                <w:szCs w:val="21"/>
              </w:rPr>
            </w:pPr>
            <w:r>
              <w:rPr>
                <w:color w:val="000000" w:themeColor="text1"/>
                <w:szCs w:val="21"/>
              </w:rPr>
              <w:t>装卸、输送</w:t>
            </w:r>
          </w:p>
        </w:tc>
        <w:tc>
          <w:tcPr>
            <w:tcW w:w="850" w:type="dxa"/>
            <w:vAlign w:val="center"/>
          </w:tcPr>
          <w:p>
            <w:pPr>
              <w:pStyle w:val="30"/>
              <w:spacing w:line="360" w:lineRule="exact"/>
              <w:rPr>
                <w:color w:val="000000" w:themeColor="text1"/>
                <w:szCs w:val="21"/>
              </w:rPr>
            </w:pPr>
            <w:r>
              <w:rPr>
                <w:rFonts w:hint="eastAsia"/>
                <w:color w:val="000000" w:themeColor="text1"/>
                <w:szCs w:val="21"/>
              </w:rPr>
              <w:t>无组织</w:t>
            </w:r>
          </w:p>
        </w:tc>
        <w:tc>
          <w:tcPr>
            <w:tcW w:w="1297" w:type="dxa"/>
            <w:vAlign w:val="center"/>
          </w:tcPr>
          <w:p>
            <w:pPr>
              <w:pStyle w:val="30"/>
              <w:rPr>
                <w:color w:val="000000" w:themeColor="text1"/>
                <w:szCs w:val="21"/>
              </w:rPr>
            </w:pPr>
            <w:r>
              <w:rPr>
                <w:rFonts w:hint="eastAsia"/>
                <w:color w:val="000000" w:themeColor="text1"/>
                <w:szCs w:val="21"/>
              </w:rPr>
              <w:t>颗粒物</w:t>
            </w:r>
          </w:p>
        </w:tc>
        <w:tc>
          <w:tcPr>
            <w:tcW w:w="2983" w:type="dxa"/>
            <w:vAlign w:val="center"/>
          </w:tcPr>
          <w:p>
            <w:pPr>
              <w:pStyle w:val="30"/>
              <w:spacing w:line="360" w:lineRule="exact"/>
              <w:ind w:firstLine="210" w:firstLineChars="100"/>
              <w:jc w:val="both"/>
              <w:rPr>
                <w:rFonts w:hint="eastAsia"/>
                <w:color w:val="000000" w:themeColor="text1"/>
                <w:szCs w:val="21"/>
              </w:rPr>
            </w:pPr>
            <w:r>
              <w:rPr>
                <w:rFonts w:hint="eastAsia"/>
                <w:color w:val="000000" w:themeColor="text1"/>
                <w:szCs w:val="21"/>
              </w:rPr>
              <w:t>针对水泥仓粉尘，拟在水泥仓顶端配套设置2#袋式除尘器处理后无组织排放，根据“轻质建筑材料制品制造行业系数手册”，袋式除尘器的除尘效率为99.7%。</w:t>
            </w:r>
          </w:p>
        </w:tc>
        <w:tc>
          <w:tcPr>
            <w:tcW w:w="1719"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vAlign w:val="center"/>
          </w:tcPr>
          <w:p>
            <w:pPr>
              <w:pStyle w:val="30"/>
              <w:spacing w:line="360" w:lineRule="exact"/>
              <w:rPr>
                <w:color w:val="000000" w:themeColor="text1"/>
                <w:szCs w:val="21"/>
              </w:rPr>
            </w:pPr>
            <w:r>
              <w:rPr>
                <w:rFonts w:hint="eastAsia"/>
                <w:color w:val="000000" w:themeColor="text1"/>
                <w:szCs w:val="21"/>
              </w:rPr>
              <w:t>生产线</w:t>
            </w:r>
          </w:p>
        </w:tc>
        <w:tc>
          <w:tcPr>
            <w:tcW w:w="851" w:type="dxa"/>
            <w:vMerge w:val="restart"/>
            <w:vAlign w:val="center"/>
          </w:tcPr>
          <w:p>
            <w:pPr>
              <w:pStyle w:val="30"/>
              <w:spacing w:line="360" w:lineRule="exact"/>
              <w:rPr>
                <w:color w:val="000000" w:themeColor="text1"/>
                <w:szCs w:val="21"/>
              </w:rPr>
            </w:pPr>
            <w:r>
              <w:rPr>
                <w:color w:val="000000" w:themeColor="text1"/>
                <w:szCs w:val="21"/>
              </w:rPr>
              <w:t>投料</w:t>
            </w:r>
          </w:p>
        </w:tc>
        <w:tc>
          <w:tcPr>
            <w:tcW w:w="850" w:type="dxa"/>
            <w:vAlign w:val="center"/>
          </w:tcPr>
          <w:p>
            <w:pPr>
              <w:pStyle w:val="30"/>
              <w:spacing w:line="360" w:lineRule="exact"/>
              <w:rPr>
                <w:rFonts w:hint="eastAsia"/>
                <w:color w:val="000000" w:themeColor="text1"/>
                <w:szCs w:val="21"/>
              </w:rPr>
            </w:pPr>
            <w:r>
              <w:rPr>
                <w:rFonts w:hint="eastAsia"/>
                <w:color w:val="000000" w:themeColor="text1"/>
                <w:szCs w:val="21"/>
              </w:rPr>
              <w:t>无组织</w:t>
            </w:r>
          </w:p>
        </w:tc>
        <w:tc>
          <w:tcPr>
            <w:tcW w:w="1297" w:type="dxa"/>
            <w:vAlign w:val="center"/>
          </w:tcPr>
          <w:p>
            <w:pPr>
              <w:pStyle w:val="30"/>
              <w:rPr>
                <w:rFonts w:hint="eastAsia"/>
                <w:color w:val="000000" w:themeColor="text1"/>
                <w:szCs w:val="21"/>
              </w:rPr>
            </w:pPr>
            <w:r>
              <w:rPr>
                <w:rFonts w:hint="eastAsia"/>
                <w:color w:val="000000" w:themeColor="text1"/>
                <w:szCs w:val="21"/>
              </w:rPr>
              <w:t>颗粒物</w:t>
            </w:r>
          </w:p>
        </w:tc>
        <w:tc>
          <w:tcPr>
            <w:tcW w:w="2983" w:type="dxa"/>
            <w:vAlign w:val="center"/>
          </w:tcPr>
          <w:p>
            <w:pPr>
              <w:pStyle w:val="30"/>
              <w:spacing w:line="360" w:lineRule="exact"/>
              <w:ind w:firstLine="210" w:firstLineChars="100"/>
              <w:jc w:val="both"/>
              <w:rPr>
                <w:rFonts w:hint="eastAsia"/>
                <w:color w:val="000000" w:themeColor="text1"/>
                <w:szCs w:val="21"/>
              </w:rPr>
            </w:pPr>
            <w:r>
              <w:rPr>
                <w:rFonts w:hint="eastAsia"/>
                <w:color w:val="000000" w:themeColor="text1"/>
                <w:szCs w:val="21"/>
              </w:rPr>
              <w:t>集气罩未未收集部分（10%），呈无组织排放。</w:t>
            </w:r>
          </w:p>
        </w:tc>
        <w:tc>
          <w:tcPr>
            <w:tcW w:w="1719" w:type="dxa"/>
            <w:vMerge w:val="continue"/>
            <w:tcBorders>
              <w:bottom w:val="single" w:color="auto" w:sz="4" w:space="0"/>
            </w:tcBorders>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0"/>
              <w:spacing w:line="360" w:lineRule="exact"/>
              <w:rPr>
                <w:color w:val="000000" w:themeColor="text1"/>
                <w:szCs w:val="21"/>
              </w:rPr>
            </w:pPr>
          </w:p>
        </w:tc>
        <w:tc>
          <w:tcPr>
            <w:tcW w:w="851" w:type="dxa"/>
            <w:vMerge w:val="continue"/>
            <w:vAlign w:val="center"/>
          </w:tcPr>
          <w:p>
            <w:pPr>
              <w:pStyle w:val="30"/>
              <w:spacing w:line="360" w:lineRule="exact"/>
              <w:rPr>
                <w:rFonts w:hint="eastAsia"/>
                <w:color w:val="000000" w:themeColor="text1"/>
                <w:szCs w:val="21"/>
              </w:rPr>
            </w:pPr>
          </w:p>
        </w:tc>
        <w:tc>
          <w:tcPr>
            <w:tcW w:w="850" w:type="dxa"/>
            <w:vAlign w:val="center"/>
          </w:tcPr>
          <w:p>
            <w:pPr>
              <w:pStyle w:val="30"/>
              <w:spacing w:line="360" w:lineRule="exact"/>
              <w:rPr>
                <w:rFonts w:hint="eastAsia"/>
                <w:color w:val="000000" w:themeColor="text1"/>
                <w:szCs w:val="21"/>
              </w:rPr>
            </w:pPr>
            <w:r>
              <w:rPr>
                <w:rFonts w:hint="eastAsia"/>
                <w:color w:val="000000" w:themeColor="text1"/>
                <w:szCs w:val="21"/>
              </w:rPr>
              <w:t>有组织</w:t>
            </w:r>
          </w:p>
        </w:tc>
        <w:tc>
          <w:tcPr>
            <w:tcW w:w="1297" w:type="dxa"/>
            <w:vAlign w:val="center"/>
          </w:tcPr>
          <w:p>
            <w:pPr>
              <w:pStyle w:val="30"/>
              <w:rPr>
                <w:rFonts w:hint="eastAsia"/>
                <w:color w:val="000000" w:themeColor="text1"/>
                <w:szCs w:val="21"/>
              </w:rPr>
            </w:pPr>
            <w:r>
              <w:rPr>
                <w:rFonts w:hint="eastAsia"/>
                <w:color w:val="000000" w:themeColor="text1"/>
                <w:szCs w:val="21"/>
              </w:rPr>
              <w:t>颗粒物</w:t>
            </w:r>
          </w:p>
        </w:tc>
        <w:tc>
          <w:tcPr>
            <w:tcW w:w="2983" w:type="dxa"/>
            <w:vMerge w:val="restart"/>
            <w:vAlign w:val="center"/>
          </w:tcPr>
          <w:p>
            <w:pPr>
              <w:pStyle w:val="30"/>
              <w:spacing w:line="360" w:lineRule="exact"/>
              <w:ind w:firstLine="210" w:firstLineChars="100"/>
              <w:jc w:val="both"/>
              <w:rPr>
                <w:rFonts w:hint="eastAsia"/>
                <w:color w:val="000000" w:themeColor="text1"/>
                <w:szCs w:val="21"/>
              </w:rPr>
            </w:pPr>
            <w:r>
              <w:rPr>
                <w:rFonts w:hint="eastAsia"/>
                <w:color w:val="000000" w:themeColor="text1"/>
                <w:szCs w:val="21"/>
              </w:rPr>
              <w:t>针对</w:t>
            </w:r>
            <w:r>
              <w:rPr>
                <w:color w:val="000000" w:themeColor="text1"/>
                <w:szCs w:val="21"/>
              </w:rPr>
              <w:t>投料</w:t>
            </w:r>
            <w:r>
              <w:rPr>
                <w:rFonts w:hint="eastAsia"/>
                <w:color w:val="000000" w:themeColor="text1"/>
                <w:szCs w:val="21"/>
              </w:rPr>
              <w:t>粉尘，</w:t>
            </w:r>
            <w:r>
              <w:rPr>
                <w:color w:val="000000" w:themeColor="text1"/>
                <w:szCs w:val="21"/>
              </w:rPr>
              <w:t>拟对3个给料料斗设置半封闭集气罩，将该过程产生的粉尘进行收集，各集气罩集气效率约为90%，经各集气罩（集气效率约为90%）收集后进入1#袋式除尘器对其进行处理</w:t>
            </w:r>
            <w:r>
              <w:rPr>
                <w:rFonts w:hint="eastAsia"/>
                <w:color w:val="000000" w:themeColor="text1"/>
                <w:szCs w:val="21"/>
              </w:rPr>
              <w:t>；该搅拌机属于密闭式搅拌机，搅拌混合粉尘通过密闭管道收集至1#袋式除尘器处理；经1#袋式除尘器处理后的粉尘通过DA001外排。</w:t>
            </w:r>
          </w:p>
          <w:p>
            <w:pPr>
              <w:pStyle w:val="30"/>
              <w:spacing w:line="360" w:lineRule="exact"/>
              <w:ind w:firstLine="210" w:firstLineChars="100"/>
              <w:jc w:val="both"/>
              <w:rPr>
                <w:rFonts w:hint="eastAsia"/>
                <w:color w:val="000000" w:themeColor="text1"/>
                <w:szCs w:val="21"/>
              </w:rPr>
            </w:pPr>
            <w:r>
              <w:rPr>
                <w:rFonts w:hint="eastAsia"/>
                <w:color w:val="000000" w:themeColor="text1"/>
                <w:szCs w:val="21"/>
              </w:rPr>
              <w:t>根据“轻质建筑材料制品制造行业系数手册”，袋式除尘器的除尘效率为99.7%。</w:t>
            </w:r>
          </w:p>
        </w:tc>
        <w:tc>
          <w:tcPr>
            <w:tcW w:w="1719" w:type="dxa"/>
            <w:vMerge w:val="restart"/>
            <w:vAlign w:val="center"/>
          </w:tcPr>
          <w:p>
            <w:pPr>
              <w:pStyle w:val="30"/>
              <w:spacing w:line="360" w:lineRule="exact"/>
              <w:ind w:firstLine="210" w:firstLineChars="100"/>
              <w:jc w:val="both"/>
              <w:rPr>
                <w:color w:val="000000" w:themeColor="text1"/>
                <w:szCs w:val="21"/>
              </w:rPr>
            </w:pPr>
            <w:r>
              <w:rPr>
                <w:color w:val="000000" w:themeColor="text1"/>
                <w:szCs w:val="21"/>
              </w:rPr>
              <w:t>《大气污染物综合排放标准》（GB</w:t>
            </w:r>
            <w:r>
              <w:rPr>
                <w:rFonts w:hint="eastAsia"/>
                <w:color w:val="000000" w:themeColor="text1"/>
                <w:szCs w:val="21"/>
                <w:lang w:eastAsia="zh-CN"/>
              </w:rPr>
              <w:t>*****</w:t>
            </w:r>
            <w:r>
              <w:rPr>
                <w:color w:val="000000" w:themeColor="text1"/>
                <w:szCs w:val="21"/>
              </w:rPr>
              <w:t>-1996）</w:t>
            </w:r>
            <w:r>
              <w:rPr>
                <w:rFonts w:hint="eastAsia"/>
                <w:color w:val="000000" w:themeColor="text1"/>
                <w:szCs w:val="21"/>
              </w:rPr>
              <w:t>二级排放标准。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0"/>
              <w:spacing w:line="360" w:lineRule="exact"/>
              <w:rPr>
                <w:rFonts w:hint="eastAsia"/>
                <w:color w:val="000000" w:themeColor="text1"/>
                <w:szCs w:val="21"/>
              </w:rPr>
            </w:pPr>
          </w:p>
        </w:tc>
        <w:tc>
          <w:tcPr>
            <w:tcW w:w="851" w:type="dxa"/>
            <w:vAlign w:val="center"/>
          </w:tcPr>
          <w:p>
            <w:pPr>
              <w:pStyle w:val="30"/>
              <w:spacing w:line="360" w:lineRule="exact"/>
              <w:rPr>
                <w:rFonts w:hint="eastAsia"/>
                <w:color w:val="000000" w:themeColor="text1"/>
                <w:szCs w:val="21"/>
              </w:rPr>
            </w:pPr>
            <w:r>
              <w:rPr>
                <w:rFonts w:hint="eastAsia"/>
                <w:color w:val="000000" w:themeColor="text1"/>
                <w:szCs w:val="21"/>
              </w:rPr>
              <w:t>搅拌混合</w:t>
            </w:r>
          </w:p>
        </w:tc>
        <w:tc>
          <w:tcPr>
            <w:tcW w:w="850" w:type="dxa"/>
            <w:vAlign w:val="center"/>
          </w:tcPr>
          <w:p>
            <w:pPr>
              <w:pStyle w:val="30"/>
              <w:spacing w:line="360" w:lineRule="exact"/>
              <w:rPr>
                <w:rFonts w:hint="eastAsia"/>
                <w:color w:val="000000" w:themeColor="text1"/>
                <w:szCs w:val="21"/>
              </w:rPr>
            </w:pPr>
            <w:r>
              <w:rPr>
                <w:rFonts w:hint="eastAsia"/>
                <w:color w:val="000000" w:themeColor="text1"/>
                <w:szCs w:val="21"/>
              </w:rPr>
              <w:t>有组织</w:t>
            </w:r>
          </w:p>
        </w:tc>
        <w:tc>
          <w:tcPr>
            <w:tcW w:w="1297" w:type="dxa"/>
            <w:vAlign w:val="center"/>
          </w:tcPr>
          <w:p>
            <w:pPr>
              <w:pStyle w:val="30"/>
              <w:rPr>
                <w:rFonts w:hint="eastAsia"/>
                <w:color w:val="000000" w:themeColor="text1"/>
                <w:szCs w:val="21"/>
              </w:rPr>
            </w:pPr>
            <w:r>
              <w:rPr>
                <w:rFonts w:hint="eastAsia"/>
                <w:color w:val="000000" w:themeColor="text1"/>
                <w:szCs w:val="21"/>
              </w:rPr>
              <w:t>颗粒物</w:t>
            </w:r>
          </w:p>
        </w:tc>
        <w:tc>
          <w:tcPr>
            <w:tcW w:w="2983" w:type="dxa"/>
            <w:vMerge w:val="continue"/>
            <w:vAlign w:val="center"/>
          </w:tcPr>
          <w:p>
            <w:pPr>
              <w:pStyle w:val="30"/>
              <w:spacing w:line="360" w:lineRule="exact"/>
              <w:ind w:firstLine="210" w:firstLineChars="100"/>
              <w:jc w:val="both"/>
              <w:rPr>
                <w:rFonts w:hint="eastAsia"/>
                <w:color w:val="000000" w:themeColor="text1"/>
                <w:szCs w:val="21"/>
              </w:rPr>
            </w:pPr>
          </w:p>
        </w:tc>
        <w:tc>
          <w:tcPr>
            <w:tcW w:w="1719" w:type="dxa"/>
            <w:vMerge w:val="continue"/>
            <w:tcBorders>
              <w:bottom w:val="single" w:color="auto" w:sz="4" w:space="0"/>
            </w:tcBorders>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0" w:type="dxa"/>
            <w:vMerge w:val="restart"/>
            <w:vAlign w:val="center"/>
          </w:tcPr>
          <w:p>
            <w:pPr>
              <w:pStyle w:val="30"/>
              <w:spacing w:line="360" w:lineRule="exact"/>
              <w:rPr>
                <w:color w:val="000000" w:themeColor="text1"/>
              </w:rPr>
            </w:pPr>
            <w:r>
              <w:rPr>
                <w:rFonts w:hint="eastAsia"/>
                <w:color w:val="000000" w:themeColor="text1"/>
              </w:rPr>
              <w:t>轻集料混凝土生产线</w:t>
            </w:r>
          </w:p>
        </w:tc>
        <w:tc>
          <w:tcPr>
            <w:tcW w:w="1701" w:type="dxa"/>
            <w:gridSpan w:val="2"/>
            <w:vAlign w:val="center"/>
          </w:tcPr>
          <w:p>
            <w:pPr>
              <w:pStyle w:val="30"/>
              <w:spacing w:line="360" w:lineRule="exact"/>
              <w:rPr>
                <w:color w:val="000000" w:themeColor="text1"/>
              </w:rPr>
            </w:pPr>
            <w:r>
              <w:rPr>
                <w:color w:val="000000" w:themeColor="text1"/>
              </w:rPr>
              <w:t>多功能给料</w:t>
            </w:r>
            <w:r>
              <w:rPr>
                <w:rFonts w:hint="eastAsia"/>
                <w:color w:val="000000" w:themeColor="text1"/>
              </w:rPr>
              <w:t>斗</w:t>
            </w:r>
          </w:p>
        </w:tc>
        <w:tc>
          <w:tcPr>
            <w:tcW w:w="1297"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w:t>
            </w:r>
            <w:r>
              <w:rPr>
                <w:rFonts w:hint="eastAsia" w:eastAsiaTheme="minorEastAsia"/>
                <w:color w:val="000000" w:themeColor="text1"/>
                <w:szCs w:val="21"/>
                <w:lang w:eastAsia="zh-CN"/>
              </w:rPr>
              <w:t>*****</w:t>
            </w:r>
            <w:r>
              <w:rPr>
                <w:rFonts w:eastAsiaTheme="minorEastAsia"/>
                <w:color w:val="000000" w:themeColor="text1"/>
                <w:szCs w:val="21"/>
              </w:rPr>
              <w:t>-2008）3类</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0"/>
              <w:spacing w:line="360" w:lineRule="exact"/>
              <w:rPr>
                <w:color w:val="000000" w:themeColor="text1"/>
              </w:rPr>
            </w:pPr>
          </w:p>
        </w:tc>
        <w:tc>
          <w:tcPr>
            <w:tcW w:w="1701" w:type="dxa"/>
            <w:gridSpan w:val="2"/>
            <w:vAlign w:val="center"/>
          </w:tcPr>
          <w:p>
            <w:pPr>
              <w:pStyle w:val="30"/>
              <w:spacing w:line="360" w:lineRule="exact"/>
              <w:rPr>
                <w:color w:val="000000" w:themeColor="text1"/>
              </w:rPr>
            </w:pPr>
            <w:r>
              <w:rPr>
                <w:color w:val="000000" w:themeColor="text1"/>
              </w:rPr>
              <w:t>多功能混合搅拌机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0"/>
              <w:spacing w:line="360" w:lineRule="exact"/>
              <w:rPr>
                <w:color w:val="000000" w:themeColor="text1"/>
              </w:rPr>
            </w:pPr>
            <w:r>
              <w:rPr>
                <w:rFonts w:hint="eastAsia"/>
                <w:color w:val="000000" w:themeColor="text1"/>
              </w:rPr>
              <w:t>原料贮存</w:t>
            </w:r>
          </w:p>
        </w:tc>
        <w:tc>
          <w:tcPr>
            <w:tcW w:w="1701" w:type="dxa"/>
            <w:gridSpan w:val="2"/>
            <w:vAlign w:val="center"/>
          </w:tcPr>
          <w:p>
            <w:pPr>
              <w:pStyle w:val="30"/>
              <w:spacing w:line="360" w:lineRule="exact"/>
              <w:rPr>
                <w:color w:val="000000" w:themeColor="text1"/>
              </w:rPr>
            </w:pPr>
            <w:r>
              <w:rPr>
                <w:rFonts w:hint="eastAsia"/>
                <w:color w:val="000000" w:themeColor="text1"/>
              </w:rPr>
              <w:t>水泥仓</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0"/>
              <w:spacing w:line="360" w:lineRule="exact"/>
              <w:rPr>
                <w:color w:val="000000" w:themeColor="text1"/>
              </w:rPr>
            </w:pPr>
            <w:r>
              <w:rPr>
                <w:rFonts w:hint="eastAsia"/>
                <w:color w:val="000000" w:themeColor="text1"/>
              </w:rPr>
              <w:t>运输</w:t>
            </w:r>
          </w:p>
        </w:tc>
        <w:tc>
          <w:tcPr>
            <w:tcW w:w="1701" w:type="dxa"/>
            <w:gridSpan w:val="2"/>
            <w:vAlign w:val="center"/>
          </w:tcPr>
          <w:p>
            <w:pPr>
              <w:pStyle w:val="30"/>
              <w:spacing w:line="360" w:lineRule="exact"/>
              <w:rPr>
                <w:color w:val="000000" w:themeColor="text1"/>
              </w:rPr>
            </w:pPr>
            <w:r>
              <w:rPr>
                <w:rFonts w:hint="eastAsia"/>
                <w:color w:val="000000" w:themeColor="text1"/>
              </w:rPr>
              <w:t>叉车</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551" w:type="dxa"/>
            <w:gridSpan w:val="3"/>
            <w:vAlign w:val="center"/>
          </w:tcPr>
          <w:p>
            <w:pPr>
              <w:pStyle w:val="30"/>
              <w:spacing w:line="360" w:lineRule="exact"/>
              <w:rPr>
                <w:color w:val="000000" w:themeColor="text1"/>
              </w:rPr>
            </w:pPr>
            <w:r>
              <w:rPr>
                <w:rFonts w:hint="eastAsia"/>
                <w:color w:val="000000" w:themeColor="text1"/>
              </w:rPr>
              <w:t>原料车间</w:t>
            </w:r>
          </w:p>
        </w:tc>
        <w:tc>
          <w:tcPr>
            <w:tcW w:w="1297" w:type="dxa"/>
            <w:tcBorders>
              <w:bottom w:val="single" w:color="auto" w:sz="4" w:space="0"/>
            </w:tcBorders>
            <w:vAlign w:val="center"/>
          </w:tcPr>
          <w:p>
            <w:pPr>
              <w:pStyle w:val="30"/>
              <w:spacing w:line="360" w:lineRule="exact"/>
              <w:rPr>
                <w:color w:val="000000" w:themeColor="text1"/>
              </w:rPr>
            </w:pPr>
            <w:r>
              <w:rPr>
                <w:rFonts w:hint="eastAsia"/>
                <w:color w:val="000000" w:themeColor="text1"/>
              </w:rPr>
              <w:t>废包装袋</w:t>
            </w:r>
          </w:p>
        </w:tc>
        <w:tc>
          <w:tcPr>
            <w:tcW w:w="2983" w:type="dxa"/>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kern w:val="2"/>
                <w:szCs w:val="21"/>
              </w:rPr>
              <w:t>项目统一收集贮存于</w:t>
            </w:r>
            <w:r>
              <w:rPr>
                <w:color w:val="000000" w:themeColor="text1"/>
                <w:szCs w:val="21"/>
              </w:rPr>
              <w:t>厂区拟建设1个</w:t>
            </w:r>
            <w:r>
              <w:rPr>
                <w:rFonts w:hint="eastAsia"/>
                <w:color w:val="000000" w:themeColor="text1"/>
                <w:szCs w:val="21"/>
              </w:rPr>
              <w:t>10</w:t>
            </w:r>
            <w:r>
              <w:rPr>
                <w:color w:val="000000" w:themeColor="text1"/>
                <w:szCs w:val="21"/>
              </w:rPr>
              <w:t>m²的</w:t>
            </w:r>
            <w:r>
              <w:rPr>
                <w:rFonts w:hint="eastAsia"/>
                <w:color w:val="000000" w:themeColor="text1"/>
                <w:szCs w:val="21"/>
              </w:rPr>
              <w:t>废包装袋贮存区，贮存后可回收利用（未破损）部分交原料供应单位回收利用，破损部分委托环卫部门处置。</w:t>
            </w:r>
          </w:p>
        </w:tc>
        <w:tc>
          <w:tcPr>
            <w:tcW w:w="1719"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tcBorders>
              <w:top w:val="single" w:color="auto" w:sz="4" w:space="0"/>
            </w:tcBorders>
            <w:vAlign w:val="center"/>
          </w:tcPr>
          <w:p>
            <w:pPr>
              <w:pStyle w:val="30"/>
              <w:spacing w:line="360" w:lineRule="exact"/>
              <w:rPr>
                <w:color w:val="000000" w:themeColor="text1"/>
              </w:rPr>
            </w:pPr>
            <w:r>
              <w:rPr>
                <w:color w:val="000000" w:themeColor="text1"/>
              </w:rPr>
              <w:t>废气处理设施</w:t>
            </w:r>
          </w:p>
        </w:tc>
        <w:tc>
          <w:tcPr>
            <w:tcW w:w="1297" w:type="dxa"/>
            <w:tcBorders>
              <w:bottom w:val="single" w:color="auto" w:sz="4" w:space="0"/>
            </w:tcBorders>
            <w:vAlign w:val="center"/>
          </w:tcPr>
          <w:p>
            <w:pPr>
              <w:pStyle w:val="30"/>
              <w:spacing w:line="360" w:lineRule="exact"/>
              <w:rPr>
                <w:color w:val="000000" w:themeColor="text1"/>
              </w:rPr>
            </w:pPr>
            <w:r>
              <w:rPr>
                <w:color w:val="000000" w:themeColor="text1"/>
              </w:rPr>
              <w:t>袋式除尘器收集粉尘</w:t>
            </w:r>
          </w:p>
        </w:tc>
        <w:tc>
          <w:tcPr>
            <w:tcW w:w="2983"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1#</w:t>
            </w:r>
            <w:r>
              <w:rPr>
                <w:rFonts w:eastAsiaTheme="minorEastAsia"/>
                <w:color w:val="000000" w:themeColor="text1"/>
                <w:szCs w:val="24"/>
              </w:rPr>
              <w:t>袋式除尘器收集粉尘</w:t>
            </w:r>
            <w:r>
              <w:rPr>
                <w:rFonts w:hint="eastAsia" w:eastAsiaTheme="minorEastAsia"/>
                <w:color w:val="000000" w:themeColor="text1"/>
                <w:szCs w:val="24"/>
              </w:rPr>
              <w:t>的主要成分为轻集料混凝土，收集后返回搅拌混合工序作为原料使用；</w:t>
            </w:r>
            <w:r>
              <w:rPr>
                <w:rFonts w:eastAsiaTheme="minorEastAsia"/>
                <w:color w:val="000000" w:themeColor="text1"/>
                <w:szCs w:val="24"/>
              </w:rPr>
              <w:t>2#袋式除尘器收集粉尘</w:t>
            </w:r>
            <w:r>
              <w:rPr>
                <w:rFonts w:hint="eastAsia" w:eastAsiaTheme="minorEastAsia"/>
                <w:color w:val="000000" w:themeColor="text1"/>
                <w:szCs w:val="24"/>
              </w:rPr>
              <w:t>主要成分为水泥，直接进入水泥仓作为原料使用。</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29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废机油</w:t>
            </w:r>
          </w:p>
        </w:tc>
        <w:tc>
          <w:tcPr>
            <w:tcW w:w="2983"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厂区拟建设1个6m²的危险废物贮存间</w:t>
            </w:r>
            <w:r>
              <w:rPr>
                <w:rFonts w:eastAsiaTheme="minorEastAsia"/>
                <w:color w:val="000000" w:themeColor="text1"/>
                <w:szCs w:val="24"/>
              </w:rPr>
              <w:t>对项目区废机油等危险废物进行暂存</w:t>
            </w:r>
            <w:r>
              <w:rPr>
                <w:rFonts w:hint="eastAsia" w:eastAsiaTheme="minorEastAsia"/>
                <w:color w:val="000000" w:themeColor="text1"/>
                <w:szCs w:val="24"/>
              </w:rPr>
              <w:t>，部分用于生产设备润滑使用，无法使用部分委托有资质的单位处置</w:t>
            </w:r>
            <w:r>
              <w:rPr>
                <w:rFonts w:eastAsiaTheme="minorEastAsia"/>
                <w:color w:val="000000" w:themeColor="text1"/>
                <w:szCs w:val="24"/>
              </w:rPr>
              <w:t>。</w:t>
            </w:r>
          </w:p>
        </w:tc>
        <w:tc>
          <w:tcPr>
            <w:tcW w:w="1719"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w:t>
            </w:r>
            <w:r>
              <w:rPr>
                <w:rFonts w:hint="eastAsia" w:eastAsiaTheme="minorEastAsia"/>
                <w:color w:val="000000" w:themeColor="text1"/>
                <w:szCs w:val="21"/>
                <w:lang w:eastAsia="zh-CN"/>
              </w:rPr>
              <w:t>*****</w:t>
            </w:r>
            <w:r>
              <w:rPr>
                <w:rFonts w:eastAsiaTheme="minorEastAsia"/>
                <w:color w:val="000000" w:themeColor="text1"/>
                <w:szCs w:val="21"/>
              </w:rPr>
              <w:t>-2023）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29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83" w:type="dxa"/>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w:t>
            </w:r>
            <w:r>
              <w:rPr>
                <w:rFonts w:hint="eastAsia" w:eastAsiaTheme="minorEastAsia"/>
                <w:color w:val="000000" w:themeColor="text1"/>
                <w:szCs w:val="24"/>
              </w:rPr>
              <w:t>，</w:t>
            </w: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1719" w:type="dxa"/>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0"/>
              <w:spacing w:beforeLines="50"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项目重点防渗区为危险废物贮存间：危险废物贮存间地面</w:t>
            </w:r>
            <w:r>
              <w:rPr>
                <w:rFonts w:hint="eastAsia" w:eastAsiaTheme="minorEastAsia"/>
                <w:color w:val="000000" w:themeColor="text1"/>
                <w:sz w:val="24"/>
                <w:szCs w:val="21"/>
              </w:rPr>
              <w:t>采用2mm厚的HDPE膜进行了防渗，而</w:t>
            </w:r>
            <w:r>
              <w:rPr>
                <w:rFonts w:eastAsiaTheme="minorEastAsia"/>
                <w:color w:val="000000" w:themeColor="text1"/>
                <w:sz w:val="24"/>
                <w:szCs w:val="21"/>
              </w:rPr>
              <w:t>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根据分区防渗规范要求，项目原料车间、生产车间和产品车间均为一般防渗区，根据调查，项目拟租用厂房地面基础已采用2mm厚的HDPE膜进行了防渗</w:t>
            </w:r>
            <w:r>
              <w:rPr>
                <w:rFonts w:eastAsiaTheme="minorEastAsia"/>
                <w:color w:val="000000" w:themeColor="text1"/>
                <w:sz w:val="24"/>
                <w:szCs w:val="21"/>
              </w:rPr>
              <w:t>；其渗透系数≤1.0×10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0"/>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根据该项目环境影响途经，提出以下风险防范措施：</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①废机油应储存于规范的危险废物贮存间；</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②项目区配备相应品种的消防器材；</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③严格按照安全、消防部门以及安全预评价的要求存储区出入口处设置消防设备。</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④强化禁火区域安全管理，严禁烟火，将生产、储存装置区域列为禁火区，区内加强火源管理，严禁吸烟。</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eastAsiaTheme="minorEastAsia"/>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0"/>
              <w:spacing w:beforeLines="50"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0"/>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hint="eastAsia" w:eastAsiaTheme="minorEastAsia"/>
                <w:color w:val="000000" w:themeColor="text1"/>
                <w:sz w:val="24"/>
                <w:szCs w:val="21"/>
              </w:rPr>
            </w:pPr>
          </w:p>
          <w:p>
            <w:pPr>
              <w:pStyle w:val="30"/>
              <w:spacing w:line="360" w:lineRule="auto"/>
              <w:ind w:firstLine="240" w:firstLineChars="100"/>
              <w:jc w:val="both"/>
              <w:rPr>
                <w:rFonts w:hint="eastAsia" w:eastAsiaTheme="minorEastAsia"/>
                <w:color w:val="000000" w:themeColor="text1"/>
                <w:sz w:val="24"/>
                <w:szCs w:val="21"/>
              </w:rPr>
            </w:pPr>
          </w:p>
          <w:p>
            <w:pPr>
              <w:pStyle w:val="30"/>
              <w:spacing w:line="360" w:lineRule="auto"/>
              <w:ind w:firstLine="240" w:firstLineChars="100"/>
              <w:jc w:val="both"/>
              <w:rPr>
                <w:rFonts w:hint="eastAsia" w:eastAsiaTheme="minorEastAsia"/>
                <w:color w:val="000000" w:themeColor="text1"/>
                <w:sz w:val="24"/>
                <w:szCs w:val="21"/>
              </w:rPr>
            </w:pPr>
          </w:p>
          <w:p>
            <w:pPr>
              <w:pStyle w:val="30"/>
              <w:spacing w:line="360" w:lineRule="auto"/>
              <w:ind w:firstLine="240" w:firstLineChars="100"/>
              <w:jc w:val="both"/>
              <w:rPr>
                <w:rFonts w:hint="eastAsia" w:eastAsiaTheme="minorEastAsia"/>
                <w:color w:val="000000" w:themeColor="text1"/>
                <w:sz w:val="24"/>
                <w:szCs w:val="21"/>
              </w:rPr>
            </w:pPr>
          </w:p>
          <w:p>
            <w:pPr>
              <w:pStyle w:val="30"/>
              <w:spacing w:line="360" w:lineRule="auto"/>
              <w:ind w:firstLine="240" w:firstLineChars="100"/>
              <w:jc w:val="both"/>
              <w:rPr>
                <w:rFonts w:hint="eastAsia" w:eastAsiaTheme="minorEastAsia"/>
                <w:color w:val="000000" w:themeColor="text1"/>
                <w:sz w:val="24"/>
                <w:szCs w:val="21"/>
              </w:rPr>
            </w:pPr>
          </w:p>
          <w:p>
            <w:pPr>
              <w:pStyle w:val="30"/>
              <w:spacing w:line="360" w:lineRule="auto"/>
              <w:ind w:firstLine="240" w:firstLineChars="100"/>
              <w:jc w:val="both"/>
              <w:rPr>
                <w:rFonts w:hint="eastAsia" w:eastAsiaTheme="minorEastAsia"/>
                <w:color w:val="000000" w:themeColor="text1"/>
                <w:sz w:val="24"/>
                <w:szCs w:val="21"/>
              </w:rPr>
            </w:pPr>
          </w:p>
          <w:p>
            <w:pPr>
              <w:pStyle w:val="30"/>
              <w:spacing w:line="360" w:lineRule="auto"/>
              <w:ind w:firstLine="240" w:firstLineChars="100"/>
              <w:jc w:val="both"/>
              <w:rPr>
                <w:rFonts w:hint="eastAsia" w:eastAsiaTheme="minorEastAsia"/>
                <w:color w:val="000000" w:themeColor="text1"/>
                <w:sz w:val="24"/>
                <w:szCs w:val="21"/>
              </w:rPr>
            </w:pPr>
          </w:p>
          <w:p>
            <w:pPr>
              <w:pStyle w:val="30"/>
              <w:spacing w:line="360" w:lineRule="auto"/>
              <w:ind w:firstLine="240" w:firstLineChars="100"/>
              <w:jc w:val="both"/>
              <w:rPr>
                <w:rFonts w:hint="eastAsia"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祥闳环保科技有限公司拟建设的云南祥闳环保科技有限公司生产轻集料混凝土建设项目的建设符合国家产业政策，符合相关规划，选址合理，项目建设满足“三线一单”的管理要求，项目选址区域环境空气、地表水环境和声环境质量现状均可达到相应的质量标准要求，该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颗粒物（有组织）</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0.015</w:t>
            </w:r>
            <w:r>
              <w:rPr>
                <w:rFonts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0.015</w:t>
            </w:r>
            <w:r>
              <w:rPr>
                <w:rFonts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颗粒物（无组织）</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0.208</w:t>
            </w:r>
            <w:r>
              <w:rPr>
                <w:rFonts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0.208</w:t>
            </w:r>
            <w:r>
              <w:rPr>
                <w:rFonts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废水</w:t>
            </w: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废包装袋</w:t>
            </w:r>
          </w:p>
        </w:tc>
        <w:tc>
          <w:tcPr>
            <w:tcW w:w="155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0.3t/a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0.3t/a</w:t>
            </w:r>
          </w:p>
        </w:tc>
        <w:tc>
          <w:tcPr>
            <w:tcW w:w="1308" w:type="dxa"/>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1559"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6.037t/a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6.037t/a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59</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sv2+vSfRve9S97I6FwhKyd4Iceo=" w:salt="R3kp+RJB834k25245CiHq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1M2VhNWI3Y2NlNTRmOTViMzQ3N2IwZDJiZGVlNWMifQ=="/>
  </w:docVars>
  <w:rsids>
    <w:rsidRoot w:val="0062045F"/>
    <w:rsid w:val="0000037C"/>
    <w:rsid w:val="00001460"/>
    <w:rsid w:val="00001C9A"/>
    <w:rsid w:val="00002314"/>
    <w:rsid w:val="00004C85"/>
    <w:rsid w:val="00010518"/>
    <w:rsid w:val="0001072D"/>
    <w:rsid w:val="00010A49"/>
    <w:rsid w:val="00010CB7"/>
    <w:rsid w:val="00010E27"/>
    <w:rsid w:val="00012C80"/>
    <w:rsid w:val="00013833"/>
    <w:rsid w:val="00020BF9"/>
    <w:rsid w:val="00021721"/>
    <w:rsid w:val="000220FE"/>
    <w:rsid w:val="0002285A"/>
    <w:rsid w:val="0002600C"/>
    <w:rsid w:val="00031A59"/>
    <w:rsid w:val="00032B08"/>
    <w:rsid w:val="000344EF"/>
    <w:rsid w:val="00034809"/>
    <w:rsid w:val="00034BCB"/>
    <w:rsid w:val="00035576"/>
    <w:rsid w:val="00035E53"/>
    <w:rsid w:val="0003626F"/>
    <w:rsid w:val="00037A96"/>
    <w:rsid w:val="00040A28"/>
    <w:rsid w:val="00040D66"/>
    <w:rsid w:val="00040D99"/>
    <w:rsid w:val="00041527"/>
    <w:rsid w:val="00041801"/>
    <w:rsid w:val="00042762"/>
    <w:rsid w:val="000438CA"/>
    <w:rsid w:val="00044769"/>
    <w:rsid w:val="000464AC"/>
    <w:rsid w:val="00046D9B"/>
    <w:rsid w:val="00050973"/>
    <w:rsid w:val="00050E55"/>
    <w:rsid w:val="00051E67"/>
    <w:rsid w:val="00052BD5"/>
    <w:rsid w:val="00053C3A"/>
    <w:rsid w:val="00054F28"/>
    <w:rsid w:val="00055DB8"/>
    <w:rsid w:val="00055F97"/>
    <w:rsid w:val="00057208"/>
    <w:rsid w:val="0005744F"/>
    <w:rsid w:val="000607FD"/>
    <w:rsid w:val="00062FAD"/>
    <w:rsid w:val="00063347"/>
    <w:rsid w:val="0006358B"/>
    <w:rsid w:val="0006500E"/>
    <w:rsid w:val="00065728"/>
    <w:rsid w:val="00067BF4"/>
    <w:rsid w:val="00070F66"/>
    <w:rsid w:val="000740ED"/>
    <w:rsid w:val="00075FFD"/>
    <w:rsid w:val="000760FE"/>
    <w:rsid w:val="00077A07"/>
    <w:rsid w:val="00080287"/>
    <w:rsid w:val="000816EB"/>
    <w:rsid w:val="00082602"/>
    <w:rsid w:val="00086577"/>
    <w:rsid w:val="000874EA"/>
    <w:rsid w:val="000937C3"/>
    <w:rsid w:val="000944A1"/>
    <w:rsid w:val="00094A5C"/>
    <w:rsid w:val="000954A9"/>
    <w:rsid w:val="00096181"/>
    <w:rsid w:val="00096EF1"/>
    <w:rsid w:val="000A300A"/>
    <w:rsid w:val="000A68EF"/>
    <w:rsid w:val="000B04E4"/>
    <w:rsid w:val="000B1397"/>
    <w:rsid w:val="000B35C4"/>
    <w:rsid w:val="000B5F10"/>
    <w:rsid w:val="000B6EE8"/>
    <w:rsid w:val="000B7436"/>
    <w:rsid w:val="000B7547"/>
    <w:rsid w:val="000C1A95"/>
    <w:rsid w:val="000C3E43"/>
    <w:rsid w:val="000D1B94"/>
    <w:rsid w:val="000D4915"/>
    <w:rsid w:val="000D4A13"/>
    <w:rsid w:val="000D4A25"/>
    <w:rsid w:val="000D4D91"/>
    <w:rsid w:val="000D6372"/>
    <w:rsid w:val="000D6CBC"/>
    <w:rsid w:val="000D758D"/>
    <w:rsid w:val="000E0211"/>
    <w:rsid w:val="000E0AA4"/>
    <w:rsid w:val="000E2BC7"/>
    <w:rsid w:val="000E500A"/>
    <w:rsid w:val="000E6F05"/>
    <w:rsid w:val="000F27DA"/>
    <w:rsid w:val="000F28F6"/>
    <w:rsid w:val="000F2BCA"/>
    <w:rsid w:val="000F5394"/>
    <w:rsid w:val="000F5DE9"/>
    <w:rsid w:val="000F6FB2"/>
    <w:rsid w:val="0010241D"/>
    <w:rsid w:val="00103773"/>
    <w:rsid w:val="00106B47"/>
    <w:rsid w:val="00106BF5"/>
    <w:rsid w:val="00111F14"/>
    <w:rsid w:val="00113083"/>
    <w:rsid w:val="00116200"/>
    <w:rsid w:val="00121AAE"/>
    <w:rsid w:val="00122036"/>
    <w:rsid w:val="001250CA"/>
    <w:rsid w:val="00125B5D"/>
    <w:rsid w:val="00126836"/>
    <w:rsid w:val="00127ECB"/>
    <w:rsid w:val="001307E7"/>
    <w:rsid w:val="00134859"/>
    <w:rsid w:val="00135F33"/>
    <w:rsid w:val="00137165"/>
    <w:rsid w:val="00141A1D"/>
    <w:rsid w:val="001463C7"/>
    <w:rsid w:val="0015464F"/>
    <w:rsid w:val="00154741"/>
    <w:rsid w:val="001603DF"/>
    <w:rsid w:val="00160E25"/>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89D"/>
    <w:rsid w:val="00182D5B"/>
    <w:rsid w:val="00182E34"/>
    <w:rsid w:val="00183565"/>
    <w:rsid w:val="00183AD8"/>
    <w:rsid w:val="001864CE"/>
    <w:rsid w:val="00186A34"/>
    <w:rsid w:val="00187B44"/>
    <w:rsid w:val="00187D74"/>
    <w:rsid w:val="00197070"/>
    <w:rsid w:val="001977B7"/>
    <w:rsid w:val="00197A97"/>
    <w:rsid w:val="00197C78"/>
    <w:rsid w:val="001A023F"/>
    <w:rsid w:val="001A6330"/>
    <w:rsid w:val="001A70EF"/>
    <w:rsid w:val="001B071C"/>
    <w:rsid w:val="001B0D06"/>
    <w:rsid w:val="001B0D8D"/>
    <w:rsid w:val="001B3F75"/>
    <w:rsid w:val="001B4D27"/>
    <w:rsid w:val="001B54B8"/>
    <w:rsid w:val="001B55D0"/>
    <w:rsid w:val="001C04D4"/>
    <w:rsid w:val="001C0A81"/>
    <w:rsid w:val="001C139F"/>
    <w:rsid w:val="001C3FC6"/>
    <w:rsid w:val="001D1348"/>
    <w:rsid w:val="001D1DBF"/>
    <w:rsid w:val="001D22F6"/>
    <w:rsid w:val="001D29FB"/>
    <w:rsid w:val="001D36CB"/>
    <w:rsid w:val="001D3CCB"/>
    <w:rsid w:val="001D510D"/>
    <w:rsid w:val="001E143D"/>
    <w:rsid w:val="001E1551"/>
    <w:rsid w:val="001E1D94"/>
    <w:rsid w:val="001E35E6"/>
    <w:rsid w:val="001E5F00"/>
    <w:rsid w:val="001E68D7"/>
    <w:rsid w:val="001E6DE2"/>
    <w:rsid w:val="001E6F65"/>
    <w:rsid w:val="001F03FE"/>
    <w:rsid w:val="001F0A05"/>
    <w:rsid w:val="001F2DED"/>
    <w:rsid w:val="001F348B"/>
    <w:rsid w:val="001F522D"/>
    <w:rsid w:val="001F6029"/>
    <w:rsid w:val="001F720F"/>
    <w:rsid w:val="002003B8"/>
    <w:rsid w:val="002010C8"/>
    <w:rsid w:val="00203A93"/>
    <w:rsid w:val="00203E7C"/>
    <w:rsid w:val="00204DBF"/>
    <w:rsid w:val="0021020E"/>
    <w:rsid w:val="0021516A"/>
    <w:rsid w:val="002210A0"/>
    <w:rsid w:val="00224AFE"/>
    <w:rsid w:val="002320D4"/>
    <w:rsid w:val="0024013D"/>
    <w:rsid w:val="0024363B"/>
    <w:rsid w:val="002449EE"/>
    <w:rsid w:val="00245CA3"/>
    <w:rsid w:val="0024786E"/>
    <w:rsid w:val="00252D41"/>
    <w:rsid w:val="0025475F"/>
    <w:rsid w:val="002552FB"/>
    <w:rsid w:val="00257C11"/>
    <w:rsid w:val="00262006"/>
    <w:rsid w:val="00262823"/>
    <w:rsid w:val="00264DB3"/>
    <w:rsid w:val="002666BE"/>
    <w:rsid w:val="00271EF2"/>
    <w:rsid w:val="002735A4"/>
    <w:rsid w:val="00275CD2"/>
    <w:rsid w:val="00277862"/>
    <w:rsid w:val="00281AA2"/>
    <w:rsid w:val="00282347"/>
    <w:rsid w:val="00283425"/>
    <w:rsid w:val="00283568"/>
    <w:rsid w:val="00283E7B"/>
    <w:rsid w:val="0029185D"/>
    <w:rsid w:val="00292D0B"/>
    <w:rsid w:val="002931E6"/>
    <w:rsid w:val="002963A7"/>
    <w:rsid w:val="00296512"/>
    <w:rsid w:val="00296E3C"/>
    <w:rsid w:val="002A06FF"/>
    <w:rsid w:val="002A1028"/>
    <w:rsid w:val="002A17DA"/>
    <w:rsid w:val="002A1BFA"/>
    <w:rsid w:val="002A1DB1"/>
    <w:rsid w:val="002A1EAA"/>
    <w:rsid w:val="002A736A"/>
    <w:rsid w:val="002A7A00"/>
    <w:rsid w:val="002B2BE4"/>
    <w:rsid w:val="002B40E5"/>
    <w:rsid w:val="002B4C32"/>
    <w:rsid w:val="002B5B05"/>
    <w:rsid w:val="002B62FB"/>
    <w:rsid w:val="002B7A5A"/>
    <w:rsid w:val="002C07C0"/>
    <w:rsid w:val="002C1E30"/>
    <w:rsid w:val="002C2FBC"/>
    <w:rsid w:val="002C3853"/>
    <w:rsid w:val="002C4F59"/>
    <w:rsid w:val="002D2352"/>
    <w:rsid w:val="002D4D58"/>
    <w:rsid w:val="002D6140"/>
    <w:rsid w:val="002E21DE"/>
    <w:rsid w:val="002E25DE"/>
    <w:rsid w:val="002E3C02"/>
    <w:rsid w:val="002E3E71"/>
    <w:rsid w:val="002E3F5D"/>
    <w:rsid w:val="002E4EE2"/>
    <w:rsid w:val="002E5628"/>
    <w:rsid w:val="002E75FC"/>
    <w:rsid w:val="002F1C37"/>
    <w:rsid w:val="002F37F6"/>
    <w:rsid w:val="003012BB"/>
    <w:rsid w:val="003015F8"/>
    <w:rsid w:val="0030385F"/>
    <w:rsid w:val="00304186"/>
    <w:rsid w:val="003041C9"/>
    <w:rsid w:val="00305EB9"/>
    <w:rsid w:val="0031189D"/>
    <w:rsid w:val="00314239"/>
    <w:rsid w:val="003163E0"/>
    <w:rsid w:val="00317F26"/>
    <w:rsid w:val="00320146"/>
    <w:rsid w:val="00320B3A"/>
    <w:rsid w:val="00322356"/>
    <w:rsid w:val="00322C23"/>
    <w:rsid w:val="00322DCE"/>
    <w:rsid w:val="00322E15"/>
    <w:rsid w:val="00323170"/>
    <w:rsid w:val="003240D1"/>
    <w:rsid w:val="003251CD"/>
    <w:rsid w:val="00325224"/>
    <w:rsid w:val="003268A6"/>
    <w:rsid w:val="00327766"/>
    <w:rsid w:val="00332BCA"/>
    <w:rsid w:val="00332E06"/>
    <w:rsid w:val="003339F9"/>
    <w:rsid w:val="00335DAA"/>
    <w:rsid w:val="00335E70"/>
    <w:rsid w:val="003372E0"/>
    <w:rsid w:val="00340DCE"/>
    <w:rsid w:val="0034317D"/>
    <w:rsid w:val="0034429D"/>
    <w:rsid w:val="00344B4D"/>
    <w:rsid w:val="00345066"/>
    <w:rsid w:val="00354B52"/>
    <w:rsid w:val="00361C1A"/>
    <w:rsid w:val="00361CF9"/>
    <w:rsid w:val="0036211A"/>
    <w:rsid w:val="00362B10"/>
    <w:rsid w:val="0036783D"/>
    <w:rsid w:val="00371986"/>
    <w:rsid w:val="00371B13"/>
    <w:rsid w:val="00372641"/>
    <w:rsid w:val="00372FF4"/>
    <w:rsid w:val="00377A08"/>
    <w:rsid w:val="00377DC3"/>
    <w:rsid w:val="00384096"/>
    <w:rsid w:val="003852E6"/>
    <w:rsid w:val="00385DE6"/>
    <w:rsid w:val="00387588"/>
    <w:rsid w:val="003879AF"/>
    <w:rsid w:val="003900EB"/>
    <w:rsid w:val="00390401"/>
    <w:rsid w:val="00394E91"/>
    <w:rsid w:val="003A1A97"/>
    <w:rsid w:val="003A2C94"/>
    <w:rsid w:val="003A4F39"/>
    <w:rsid w:val="003A593B"/>
    <w:rsid w:val="003A69BA"/>
    <w:rsid w:val="003B149E"/>
    <w:rsid w:val="003B3E08"/>
    <w:rsid w:val="003B69D3"/>
    <w:rsid w:val="003B6B9D"/>
    <w:rsid w:val="003C01B9"/>
    <w:rsid w:val="003C4D0F"/>
    <w:rsid w:val="003D03A2"/>
    <w:rsid w:val="003D15BD"/>
    <w:rsid w:val="003D25E7"/>
    <w:rsid w:val="003D4831"/>
    <w:rsid w:val="003D587A"/>
    <w:rsid w:val="003D6EFF"/>
    <w:rsid w:val="003D7B53"/>
    <w:rsid w:val="003D7D56"/>
    <w:rsid w:val="003E0E2B"/>
    <w:rsid w:val="003E1314"/>
    <w:rsid w:val="003E1A39"/>
    <w:rsid w:val="003E1A96"/>
    <w:rsid w:val="003E24A1"/>
    <w:rsid w:val="003E2878"/>
    <w:rsid w:val="003E35D9"/>
    <w:rsid w:val="003E4647"/>
    <w:rsid w:val="003F03B7"/>
    <w:rsid w:val="003F0CB4"/>
    <w:rsid w:val="003F4B40"/>
    <w:rsid w:val="003F5310"/>
    <w:rsid w:val="003F6BE4"/>
    <w:rsid w:val="00400041"/>
    <w:rsid w:val="00405DB9"/>
    <w:rsid w:val="00406521"/>
    <w:rsid w:val="00407D01"/>
    <w:rsid w:val="00412056"/>
    <w:rsid w:val="00412478"/>
    <w:rsid w:val="00412CB6"/>
    <w:rsid w:val="0042165D"/>
    <w:rsid w:val="0042477E"/>
    <w:rsid w:val="0042483F"/>
    <w:rsid w:val="00431D91"/>
    <w:rsid w:val="0043268F"/>
    <w:rsid w:val="004329BC"/>
    <w:rsid w:val="00432FCA"/>
    <w:rsid w:val="004339F6"/>
    <w:rsid w:val="004369B4"/>
    <w:rsid w:val="00442410"/>
    <w:rsid w:val="004429ED"/>
    <w:rsid w:val="004431BA"/>
    <w:rsid w:val="004459AB"/>
    <w:rsid w:val="00445CD5"/>
    <w:rsid w:val="004521CF"/>
    <w:rsid w:val="00452F00"/>
    <w:rsid w:val="00460B11"/>
    <w:rsid w:val="00465080"/>
    <w:rsid w:val="004662C7"/>
    <w:rsid w:val="004670AB"/>
    <w:rsid w:val="00471AD5"/>
    <w:rsid w:val="00471FA3"/>
    <w:rsid w:val="004726FA"/>
    <w:rsid w:val="00472B5A"/>
    <w:rsid w:val="004757A1"/>
    <w:rsid w:val="00476210"/>
    <w:rsid w:val="00477A89"/>
    <w:rsid w:val="004826AA"/>
    <w:rsid w:val="00482E80"/>
    <w:rsid w:val="004840C4"/>
    <w:rsid w:val="00484777"/>
    <w:rsid w:val="00486CFE"/>
    <w:rsid w:val="00490019"/>
    <w:rsid w:val="0049067C"/>
    <w:rsid w:val="00490ECA"/>
    <w:rsid w:val="00491554"/>
    <w:rsid w:val="004922A1"/>
    <w:rsid w:val="00492E0F"/>
    <w:rsid w:val="004A0E4C"/>
    <w:rsid w:val="004A1EEA"/>
    <w:rsid w:val="004A2FFF"/>
    <w:rsid w:val="004A30C2"/>
    <w:rsid w:val="004A37C5"/>
    <w:rsid w:val="004A4E36"/>
    <w:rsid w:val="004A5C36"/>
    <w:rsid w:val="004A7486"/>
    <w:rsid w:val="004A78E1"/>
    <w:rsid w:val="004B2C95"/>
    <w:rsid w:val="004B47E3"/>
    <w:rsid w:val="004C20CF"/>
    <w:rsid w:val="004C343F"/>
    <w:rsid w:val="004C7D2E"/>
    <w:rsid w:val="004D004C"/>
    <w:rsid w:val="004D07B2"/>
    <w:rsid w:val="004D164D"/>
    <w:rsid w:val="004D2751"/>
    <w:rsid w:val="004D3DA8"/>
    <w:rsid w:val="004D5133"/>
    <w:rsid w:val="004E0B6A"/>
    <w:rsid w:val="004E7972"/>
    <w:rsid w:val="004F046C"/>
    <w:rsid w:val="004F243F"/>
    <w:rsid w:val="004F5E7C"/>
    <w:rsid w:val="004F79F0"/>
    <w:rsid w:val="004F7D4D"/>
    <w:rsid w:val="004F7ED7"/>
    <w:rsid w:val="00504E95"/>
    <w:rsid w:val="00505002"/>
    <w:rsid w:val="0050780B"/>
    <w:rsid w:val="00511B6E"/>
    <w:rsid w:val="005123D3"/>
    <w:rsid w:val="005164B3"/>
    <w:rsid w:val="00516F69"/>
    <w:rsid w:val="00520AED"/>
    <w:rsid w:val="00522BBF"/>
    <w:rsid w:val="0052679C"/>
    <w:rsid w:val="00527BC5"/>
    <w:rsid w:val="00531AD8"/>
    <w:rsid w:val="00531E5D"/>
    <w:rsid w:val="0053286F"/>
    <w:rsid w:val="00533467"/>
    <w:rsid w:val="005340F1"/>
    <w:rsid w:val="005342CF"/>
    <w:rsid w:val="005344D8"/>
    <w:rsid w:val="00534EF3"/>
    <w:rsid w:val="005356B8"/>
    <w:rsid w:val="00535FDC"/>
    <w:rsid w:val="00536875"/>
    <w:rsid w:val="00540530"/>
    <w:rsid w:val="00541EAE"/>
    <w:rsid w:val="00542078"/>
    <w:rsid w:val="005420E0"/>
    <w:rsid w:val="00543C10"/>
    <w:rsid w:val="00544F28"/>
    <w:rsid w:val="00551B30"/>
    <w:rsid w:val="00551E76"/>
    <w:rsid w:val="0055254C"/>
    <w:rsid w:val="005528F5"/>
    <w:rsid w:val="00552B40"/>
    <w:rsid w:val="0055331A"/>
    <w:rsid w:val="0055687A"/>
    <w:rsid w:val="005568AC"/>
    <w:rsid w:val="005571AA"/>
    <w:rsid w:val="00560C22"/>
    <w:rsid w:val="00561BEF"/>
    <w:rsid w:val="0056408D"/>
    <w:rsid w:val="00570AC5"/>
    <w:rsid w:val="00570B7C"/>
    <w:rsid w:val="00570F48"/>
    <w:rsid w:val="00570FC3"/>
    <w:rsid w:val="005719DF"/>
    <w:rsid w:val="00572A09"/>
    <w:rsid w:val="0057365C"/>
    <w:rsid w:val="00582D37"/>
    <w:rsid w:val="00582E9E"/>
    <w:rsid w:val="00586942"/>
    <w:rsid w:val="00593696"/>
    <w:rsid w:val="00595DFB"/>
    <w:rsid w:val="00595DFF"/>
    <w:rsid w:val="005A040B"/>
    <w:rsid w:val="005A0B8C"/>
    <w:rsid w:val="005A0E87"/>
    <w:rsid w:val="005A2427"/>
    <w:rsid w:val="005A390C"/>
    <w:rsid w:val="005A468F"/>
    <w:rsid w:val="005A4F7F"/>
    <w:rsid w:val="005A7C25"/>
    <w:rsid w:val="005B19F5"/>
    <w:rsid w:val="005B5075"/>
    <w:rsid w:val="005B60E2"/>
    <w:rsid w:val="005C270F"/>
    <w:rsid w:val="005C3240"/>
    <w:rsid w:val="005C358A"/>
    <w:rsid w:val="005C38F9"/>
    <w:rsid w:val="005C3B39"/>
    <w:rsid w:val="005C5209"/>
    <w:rsid w:val="005C6ECF"/>
    <w:rsid w:val="005C780A"/>
    <w:rsid w:val="005D1BB5"/>
    <w:rsid w:val="005D2878"/>
    <w:rsid w:val="005D2DAC"/>
    <w:rsid w:val="005D40A7"/>
    <w:rsid w:val="005D6D94"/>
    <w:rsid w:val="005E43DF"/>
    <w:rsid w:val="005E63BE"/>
    <w:rsid w:val="005E7578"/>
    <w:rsid w:val="005F1128"/>
    <w:rsid w:val="005F486D"/>
    <w:rsid w:val="006002DA"/>
    <w:rsid w:val="00603BAF"/>
    <w:rsid w:val="00606ED5"/>
    <w:rsid w:val="00607B6F"/>
    <w:rsid w:val="0061026D"/>
    <w:rsid w:val="00611305"/>
    <w:rsid w:val="00613C50"/>
    <w:rsid w:val="00614617"/>
    <w:rsid w:val="00616F4F"/>
    <w:rsid w:val="006179D4"/>
    <w:rsid w:val="00617A01"/>
    <w:rsid w:val="0062045F"/>
    <w:rsid w:val="0062070A"/>
    <w:rsid w:val="00621929"/>
    <w:rsid w:val="006237D0"/>
    <w:rsid w:val="00623A6B"/>
    <w:rsid w:val="006247CC"/>
    <w:rsid w:val="0063411E"/>
    <w:rsid w:val="00634AB7"/>
    <w:rsid w:val="0063583F"/>
    <w:rsid w:val="00636BF7"/>
    <w:rsid w:val="006379C6"/>
    <w:rsid w:val="006411B3"/>
    <w:rsid w:val="006420B7"/>
    <w:rsid w:val="00642BBC"/>
    <w:rsid w:val="00645F0B"/>
    <w:rsid w:val="0064649D"/>
    <w:rsid w:val="00647C5E"/>
    <w:rsid w:val="0065215D"/>
    <w:rsid w:val="0066259B"/>
    <w:rsid w:val="00663A36"/>
    <w:rsid w:val="00663F4D"/>
    <w:rsid w:val="006641F1"/>
    <w:rsid w:val="006641FE"/>
    <w:rsid w:val="0066506A"/>
    <w:rsid w:val="00667E93"/>
    <w:rsid w:val="00670600"/>
    <w:rsid w:val="006826DF"/>
    <w:rsid w:val="00685451"/>
    <w:rsid w:val="0068738A"/>
    <w:rsid w:val="00687932"/>
    <w:rsid w:val="00687D0A"/>
    <w:rsid w:val="00690E0F"/>
    <w:rsid w:val="00692CEC"/>
    <w:rsid w:val="006936A4"/>
    <w:rsid w:val="006946BA"/>
    <w:rsid w:val="006952FD"/>
    <w:rsid w:val="006956DC"/>
    <w:rsid w:val="006A0148"/>
    <w:rsid w:val="006A1718"/>
    <w:rsid w:val="006A2739"/>
    <w:rsid w:val="006A310F"/>
    <w:rsid w:val="006A5256"/>
    <w:rsid w:val="006A7586"/>
    <w:rsid w:val="006B30E2"/>
    <w:rsid w:val="006B737C"/>
    <w:rsid w:val="006C0272"/>
    <w:rsid w:val="006C0B93"/>
    <w:rsid w:val="006C1364"/>
    <w:rsid w:val="006C1666"/>
    <w:rsid w:val="006C1D02"/>
    <w:rsid w:val="006C1F44"/>
    <w:rsid w:val="006C34B9"/>
    <w:rsid w:val="006C4E6A"/>
    <w:rsid w:val="006C52A7"/>
    <w:rsid w:val="006C58DC"/>
    <w:rsid w:val="006C5FFB"/>
    <w:rsid w:val="006C640B"/>
    <w:rsid w:val="006C7124"/>
    <w:rsid w:val="006D1F47"/>
    <w:rsid w:val="006D449A"/>
    <w:rsid w:val="006D469B"/>
    <w:rsid w:val="006D4F2D"/>
    <w:rsid w:val="006D56E9"/>
    <w:rsid w:val="006D6463"/>
    <w:rsid w:val="006D7038"/>
    <w:rsid w:val="006D705B"/>
    <w:rsid w:val="006E079D"/>
    <w:rsid w:val="006E20AC"/>
    <w:rsid w:val="006E20DA"/>
    <w:rsid w:val="006E2C47"/>
    <w:rsid w:val="006E3BBE"/>
    <w:rsid w:val="006E4148"/>
    <w:rsid w:val="006E5D90"/>
    <w:rsid w:val="006E69D9"/>
    <w:rsid w:val="006F2742"/>
    <w:rsid w:val="006F31A9"/>
    <w:rsid w:val="006F404F"/>
    <w:rsid w:val="006F6817"/>
    <w:rsid w:val="007015CA"/>
    <w:rsid w:val="00702658"/>
    <w:rsid w:val="00702A5D"/>
    <w:rsid w:val="00710575"/>
    <w:rsid w:val="00711E6E"/>
    <w:rsid w:val="00712452"/>
    <w:rsid w:val="0071387B"/>
    <w:rsid w:val="0071455A"/>
    <w:rsid w:val="0071455D"/>
    <w:rsid w:val="00715081"/>
    <w:rsid w:val="007205B9"/>
    <w:rsid w:val="00720B5F"/>
    <w:rsid w:val="00723E20"/>
    <w:rsid w:val="007242B2"/>
    <w:rsid w:val="00734F3E"/>
    <w:rsid w:val="00735AFD"/>
    <w:rsid w:val="00736B7D"/>
    <w:rsid w:val="00740A4F"/>
    <w:rsid w:val="007411A2"/>
    <w:rsid w:val="007431C8"/>
    <w:rsid w:val="00745C1E"/>
    <w:rsid w:val="00746002"/>
    <w:rsid w:val="00747147"/>
    <w:rsid w:val="00751732"/>
    <w:rsid w:val="00751969"/>
    <w:rsid w:val="00755489"/>
    <w:rsid w:val="0075551E"/>
    <w:rsid w:val="00756F3F"/>
    <w:rsid w:val="00760397"/>
    <w:rsid w:val="00761524"/>
    <w:rsid w:val="007620A6"/>
    <w:rsid w:val="0076339E"/>
    <w:rsid w:val="0076372A"/>
    <w:rsid w:val="00764286"/>
    <w:rsid w:val="007653A3"/>
    <w:rsid w:val="00766209"/>
    <w:rsid w:val="00766AE0"/>
    <w:rsid w:val="00766D22"/>
    <w:rsid w:val="0077006B"/>
    <w:rsid w:val="00771B0E"/>
    <w:rsid w:val="00771C0E"/>
    <w:rsid w:val="007721B1"/>
    <w:rsid w:val="007725F6"/>
    <w:rsid w:val="007752A9"/>
    <w:rsid w:val="00775FC8"/>
    <w:rsid w:val="007809B0"/>
    <w:rsid w:val="00782109"/>
    <w:rsid w:val="00782A8E"/>
    <w:rsid w:val="00785FBC"/>
    <w:rsid w:val="00786210"/>
    <w:rsid w:val="00786705"/>
    <w:rsid w:val="00786DA9"/>
    <w:rsid w:val="0079096A"/>
    <w:rsid w:val="007923CD"/>
    <w:rsid w:val="00793033"/>
    <w:rsid w:val="00793C8B"/>
    <w:rsid w:val="007958EA"/>
    <w:rsid w:val="00797D3A"/>
    <w:rsid w:val="007A00E2"/>
    <w:rsid w:val="007A17E9"/>
    <w:rsid w:val="007A1811"/>
    <w:rsid w:val="007A4B48"/>
    <w:rsid w:val="007A6586"/>
    <w:rsid w:val="007B0225"/>
    <w:rsid w:val="007B296B"/>
    <w:rsid w:val="007B31C4"/>
    <w:rsid w:val="007B5DB7"/>
    <w:rsid w:val="007B6A3A"/>
    <w:rsid w:val="007B741C"/>
    <w:rsid w:val="007C037E"/>
    <w:rsid w:val="007C0DE2"/>
    <w:rsid w:val="007C32DA"/>
    <w:rsid w:val="007C48B8"/>
    <w:rsid w:val="007D01C3"/>
    <w:rsid w:val="007D01EC"/>
    <w:rsid w:val="007D04D8"/>
    <w:rsid w:val="007D180E"/>
    <w:rsid w:val="007D28A1"/>
    <w:rsid w:val="007D3FF0"/>
    <w:rsid w:val="007D440B"/>
    <w:rsid w:val="007D66D8"/>
    <w:rsid w:val="007E0A1C"/>
    <w:rsid w:val="007E2B38"/>
    <w:rsid w:val="007E3B83"/>
    <w:rsid w:val="007E58CE"/>
    <w:rsid w:val="007E62B8"/>
    <w:rsid w:val="007E7373"/>
    <w:rsid w:val="007F1017"/>
    <w:rsid w:val="007F4217"/>
    <w:rsid w:val="007F4C63"/>
    <w:rsid w:val="007F60A3"/>
    <w:rsid w:val="007F7111"/>
    <w:rsid w:val="007F72CF"/>
    <w:rsid w:val="007F7E77"/>
    <w:rsid w:val="00800713"/>
    <w:rsid w:val="0080313A"/>
    <w:rsid w:val="008037FF"/>
    <w:rsid w:val="00804005"/>
    <w:rsid w:val="00804BBD"/>
    <w:rsid w:val="008104AE"/>
    <w:rsid w:val="0081079E"/>
    <w:rsid w:val="00811780"/>
    <w:rsid w:val="008122FD"/>
    <w:rsid w:val="0081398F"/>
    <w:rsid w:val="00813D79"/>
    <w:rsid w:val="00814387"/>
    <w:rsid w:val="00820EEF"/>
    <w:rsid w:val="00821B76"/>
    <w:rsid w:val="00824DEA"/>
    <w:rsid w:val="00824EC0"/>
    <w:rsid w:val="008278FC"/>
    <w:rsid w:val="00827D2F"/>
    <w:rsid w:val="008325C5"/>
    <w:rsid w:val="0083260C"/>
    <w:rsid w:val="00834257"/>
    <w:rsid w:val="008400C8"/>
    <w:rsid w:val="00840A79"/>
    <w:rsid w:val="00844558"/>
    <w:rsid w:val="008468FB"/>
    <w:rsid w:val="00847A3B"/>
    <w:rsid w:val="00850229"/>
    <w:rsid w:val="00850DAA"/>
    <w:rsid w:val="0085166B"/>
    <w:rsid w:val="00853681"/>
    <w:rsid w:val="00854B7E"/>
    <w:rsid w:val="00857DB7"/>
    <w:rsid w:val="008610E2"/>
    <w:rsid w:val="00861F57"/>
    <w:rsid w:val="00862A78"/>
    <w:rsid w:val="0086307C"/>
    <w:rsid w:val="00866FD9"/>
    <w:rsid w:val="008710F5"/>
    <w:rsid w:val="00872FEB"/>
    <w:rsid w:val="0087341F"/>
    <w:rsid w:val="00876278"/>
    <w:rsid w:val="0087758A"/>
    <w:rsid w:val="00877DC6"/>
    <w:rsid w:val="00884880"/>
    <w:rsid w:val="008902AE"/>
    <w:rsid w:val="00892FB6"/>
    <w:rsid w:val="00893EF2"/>
    <w:rsid w:val="0089429D"/>
    <w:rsid w:val="008948EB"/>
    <w:rsid w:val="00897E97"/>
    <w:rsid w:val="008A1159"/>
    <w:rsid w:val="008A1A5F"/>
    <w:rsid w:val="008A4A10"/>
    <w:rsid w:val="008A6FD6"/>
    <w:rsid w:val="008A7883"/>
    <w:rsid w:val="008B0590"/>
    <w:rsid w:val="008B06C1"/>
    <w:rsid w:val="008B21E0"/>
    <w:rsid w:val="008B3268"/>
    <w:rsid w:val="008B702B"/>
    <w:rsid w:val="008C08AB"/>
    <w:rsid w:val="008C10CD"/>
    <w:rsid w:val="008C1FB7"/>
    <w:rsid w:val="008C343F"/>
    <w:rsid w:val="008C3FD5"/>
    <w:rsid w:val="008C50F0"/>
    <w:rsid w:val="008C6990"/>
    <w:rsid w:val="008C7652"/>
    <w:rsid w:val="008D15CE"/>
    <w:rsid w:val="008D164F"/>
    <w:rsid w:val="008D19D5"/>
    <w:rsid w:val="008D1CB6"/>
    <w:rsid w:val="008D35CB"/>
    <w:rsid w:val="008D63D5"/>
    <w:rsid w:val="008D71B5"/>
    <w:rsid w:val="008E150B"/>
    <w:rsid w:val="008E2D86"/>
    <w:rsid w:val="008E375A"/>
    <w:rsid w:val="008E56A4"/>
    <w:rsid w:val="008E608D"/>
    <w:rsid w:val="008F4139"/>
    <w:rsid w:val="008F4CE6"/>
    <w:rsid w:val="008F5F3E"/>
    <w:rsid w:val="008F74C5"/>
    <w:rsid w:val="008F7660"/>
    <w:rsid w:val="008F778C"/>
    <w:rsid w:val="008F7AE0"/>
    <w:rsid w:val="009020D0"/>
    <w:rsid w:val="0090277F"/>
    <w:rsid w:val="00903A8B"/>
    <w:rsid w:val="009050A1"/>
    <w:rsid w:val="00906511"/>
    <w:rsid w:val="00913BBF"/>
    <w:rsid w:val="00915356"/>
    <w:rsid w:val="009206AC"/>
    <w:rsid w:val="009252EF"/>
    <w:rsid w:val="009255E0"/>
    <w:rsid w:val="00925E63"/>
    <w:rsid w:val="00927433"/>
    <w:rsid w:val="00927438"/>
    <w:rsid w:val="00927C70"/>
    <w:rsid w:val="00931F67"/>
    <w:rsid w:val="00935E07"/>
    <w:rsid w:val="00936AFA"/>
    <w:rsid w:val="009371D8"/>
    <w:rsid w:val="00942EAF"/>
    <w:rsid w:val="00945C5E"/>
    <w:rsid w:val="00954268"/>
    <w:rsid w:val="009545F8"/>
    <w:rsid w:val="00955FBB"/>
    <w:rsid w:val="00961096"/>
    <w:rsid w:val="00966221"/>
    <w:rsid w:val="0096793E"/>
    <w:rsid w:val="009712DE"/>
    <w:rsid w:val="0097199A"/>
    <w:rsid w:val="00972136"/>
    <w:rsid w:val="00973DC5"/>
    <w:rsid w:val="00974646"/>
    <w:rsid w:val="00975BD1"/>
    <w:rsid w:val="0097785B"/>
    <w:rsid w:val="009800F5"/>
    <w:rsid w:val="00981D79"/>
    <w:rsid w:val="009867EC"/>
    <w:rsid w:val="00986814"/>
    <w:rsid w:val="00987D4A"/>
    <w:rsid w:val="00992423"/>
    <w:rsid w:val="00994933"/>
    <w:rsid w:val="0099505A"/>
    <w:rsid w:val="00997075"/>
    <w:rsid w:val="00997EBB"/>
    <w:rsid w:val="009A28F3"/>
    <w:rsid w:val="009A570D"/>
    <w:rsid w:val="009A5AE9"/>
    <w:rsid w:val="009A6B88"/>
    <w:rsid w:val="009A7332"/>
    <w:rsid w:val="009A76FF"/>
    <w:rsid w:val="009B4A69"/>
    <w:rsid w:val="009B4CB9"/>
    <w:rsid w:val="009B75EA"/>
    <w:rsid w:val="009B7740"/>
    <w:rsid w:val="009C091A"/>
    <w:rsid w:val="009C166B"/>
    <w:rsid w:val="009C5216"/>
    <w:rsid w:val="009D27CC"/>
    <w:rsid w:val="009D3066"/>
    <w:rsid w:val="009D368A"/>
    <w:rsid w:val="009D41A3"/>
    <w:rsid w:val="009E0D00"/>
    <w:rsid w:val="009E1F4B"/>
    <w:rsid w:val="009E20A5"/>
    <w:rsid w:val="009E33D7"/>
    <w:rsid w:val="009E461F"/>
    <w:rsid w:val="009E4666"/>
    <w:rsid w:val="009E5130"/>
    <w:rsid w:val="009E69BE"/>
    <w:rsid w:val="009E7949"/>
    <w:rsid w:val="009F0187"/>
    <w:rsid w:val="009F11FE"/>
    <w:rsid w:val="009F1793"/>
    <w:rsid w:val="009F2273"/>
    <w:rsid w:val="009F2D07"/>
    <w:rsid w:val="009F3906"/>
    <w:rsid w:val="00A0047A"/>
    <w:rsid w:val="00A05998"/>
    <w:rsid w:val="00A06B38"/>
    <w:rsid w:val="00A100F9"/>
    <w:rsid w:val="00A13648"/>
    <w:rsid w:val="00A13F7C"/>
    <w:rsid w:val="00A14CAB"/>
    <w:rsid w:val="00A158CC"/>
    <w:rsid w:val="00A20C12"/>
    <w:rsid w:val="00A22965"/>
    <w:rsid w:val="00A23664"/>
    <w:rsid w:val="00A23BE2"/>
    <w:rsid w:val="00A264E8"/>
    <w:rsid w:val="00A268CC"/>
    <w:rsid w:val="00A26A8F"/>
    <w:rsid w:val="00A27475"/>
    <w:rsid w:val="00A32548"/>
    <w:rsid w:val="00A35FB8"/>
    <w:rsid w:val="00A3685D"/>
    <w:rsid w:val="00A378E7"/>
    <w:rsid w:val="00A37D8D"/>
    <w:rsid w:val="00A37D9B"/>
    <w:rsid w:val="00A402CD"/>
    <w:rsid w:val="00A408DD"/>
    <w:rsid w:val="00A40F4A"/>
    <w:rsid w:val="00A4202F"/>
    <w:rsid w:val="00A4354F"/>
    <w:rsid w:val="00A44C6C"/>
    <w:rsid w:val="00A457BA"/>
    <w:rsid w:val="00A4616E"/>
    <w:rsid w:val="00A46859"/>
    <w:rsid w:val="00A46F3A"/>
    <w:rsid w:val="00A475BE"/>
    <w:rsid w:val="00A52AFE"/>
    <w:rsid w:val="00A53A9D"/>
    <w:rsid w:val="00A53E67"/>
    <w:rsid w:val="00A645DD"/>
    <w:rsid w:val="00A65141"/>
    <w:rsid w:val="00A66E67"/>
    <w:rsid w:val="00A67B2E"/>
    <w:rsid w:val="00A707E4"/>
    <w:rsid w:val="00A719DE"/>
    <w:rsid w:val="00A71FE6"/>
    <w:rsid w:val="00A74B4A"/>
    <w:rsid w:val="00A77714"/>
    <w:rsid w:val="00A809E1"/>
    <w:rsid w:val="00A80A3E"/>
    <w:rsid w:val="00A80C65"/>
    <w:rsid w:val="00A853F5"/>
    <w:rsid w:val="00A923EE"/>
    <w:rsid w:val="00A92F34"/>
    <w:rsid w:val="00A9542C"/>
    <w:rsid w:val="00A96334"/>
    <w:rsid w:val="00A9765C"/>
    <w:rsid w:val="00A97D54"/>
    <w:rsid w:val="00AA024D"/>
    <w:rsid w:val="00AA1BE8"/>
    <w:rsid w:val="00AA1FA5"/>
    <w:rsid w:val="00AA4DC1"/>
    <w:rsid w:val="00AA5A9C"/>
    <w:rsid w:val="00AA7709"/>
    <w:rsid w:val="00AA7855"/>
    <w:rsid w:val="00AB199B"/>
    <w:rsid w:val="00AB571D"/>
    <w:rsid w:val="00AB68A8"/>
    <w:rsid w:val="00AB6D1E"/>
    <w:rsid w:val="00AC017B"/>
    <w:rsid w:val="00AC07DE"/>
    <w:rsid w:val="00AC0F20"/>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2C48"/>
    <w:rsid w:val="00AF5A82"/>
    <w:rsid w:val="00AF7020"/>
    <w:rsid w:val="00AF7529"/>
    <w:rsid w:val="00AF7CC5"/>
    <w:rsid w:val="00B007B5"/>
    <w:rsid w:val="00B01382"/>
    <w:rsid w:val="00B02F03"/>
    <w:rsid w:val="00B059C2"/>
    <w:rsid w:val="00B05F2B"/>
    <w:rsid w:val="00B11487"/>
    <w:rsid w:val="00B12184"/>
    <w:rsid w:val="00B12430"/>
    <w:rsid w:val="00B12986"/>
    <w:rsid w:val="00B13650"/>
    <w:rsid w:val="00B1473D"/>
    <w:rsid w:val="00B1487D"/>
    <w:rsid w:val="00B15497"/>
    <w:rsid w:val="00B1596E"/>
    <w:rsid w:val="00B20232"/>
    <w:rsid w:val="00B204D2"/>
    <w:rsid w:val="00B20653"/>
    <w:rsid w:val="00B20787"/>
    <w:rsid w:val="00B20ADE"/>
    <w:rsid w:val="00B20C7F"/>
    <w:rsid w:val="00B21A1E"/>
    <w:rsid w:val="00B21DB0"/>
    <w:rsid w:val="00B2328E"/>
    <w:rsid w:val="00B25CC2"/>
    <w:rsid w:val="00B26AB9"/>
    <w:rsid w:val="00B3109F"/>
    <w:rsid w:val="00B31882"/>
    <w:rsid w:val="00B32EBF"/>
    <w:rsid w:val="00B33013"/>
    <w:rsid w:val="00B33F22"/>
    <w:rsid w:val="00B36D8A"/>
    <w:rsid w:val="00B40F11"/>
    <w:rsid w:val="00B4575C"/>
    <w:rsid w:val="00B45819"/>
    <w:rsid w:val="00B45987"/>
    <w:rsid w:val="00B45CFC"/>
    <w:rsid w:val="00B46837"/>
    <w:rsid w:val="00B46E0F"/>
    <w:rsid w:val="00B5125D"/>
    <w:rsid w:val="00B514FB"/>
    <w:rsid w:val="00B53D4D"/>
    <w:rsid w:val="00B54312"/>
    <w:rsid w:val="00B55689"/>
    <w:rsid w:val="00B56333"/>
    <w:rsid w:val="00B56CF8"/>
    <w:rsid w:val="00B605C4"/>
    <w:rsid w:val="00B60665"/>
    <w:rsid w:val="00B620DD"/>
    <w:rsid w:val="00B62767"/>
    <w:rsid w:val="00B64B8F"/>
    <w:rsid w:val="00B658A9"/>
    <w:rsid w:val="00B71E97"/>
    <w:rsid w:val="00B7307D"/>
    <w:rsid w:val="00B7584C"/>
    <w:rsid w:val="00B77F51"/>
    <w:rsid w:val="00B80331"/>
    <w:rsid w:val="00B80C0C"/>
    <w:rsid w:val="00B8415E"/>
    <w:rsid w:val="00B8599C"/>
    <w:rsid w:val="00B85ADA"/>
    <w:rsid w:val="00B863DF"/>
    <w:rsid w:val="00B87833"/>
    <w:rsid w:val="00B9121B"/>
    <w:rsid w:val="00B935B0"/>
    <w:rsid w:val="00B9657F"/>
    <w:rsid w:val="00BA0DD2"/>
    <w:rsid w:val="00BA39DB"/>
    <w:rsid w:val="00BA4DC1"/>
    <w:rsid w:val="00BA79D2"/>
    <w:rsid w:val="00BB1999"/>
    <w:rsid w:val="00BB1AF9"/>
    <w:rsid w:val="00BB5F36"/>
    <w:rsid w:val="00BC42B9"/>
    <w:rsid w:val="00BC4C15"/>
    <w:rsid w:val="00BC5093"/>
    <w:rsid w:val="00BC545B"/>
    <w:rsid w:val="00BC5C9B"/>
    <w:rsid w:val="00BC78F6"/>
    <w:rsid w:val="00BD0523"/>
    <w:rsid w:val="00BD0FFC"/>
    <w:rsid w:val="00BD317E"/>
    <w:rsid w:val="00BD46AF"/>
    <w:rsid w:val="00BD4F4F"/>
    <w:rsid w:val="00BE0032"/>
    <w:rsid w:val="00BE0418"/>
    <w:rsid w:val="00BE2390"/>
    <w:rsid w:val="00BE3F4A"/>
    <w:rsid w:val="00BE4393"/>
    <w:rsid w:val="00BE6965"/>
    <w:rsid w:val="00BE716A"/>
    <w:rsid w:val="00BF0309"/>
    <w:rsid w:val="00BF0650"/>
    <w:rsid w:val="00BF0822"/>
    <w:rsid w:val="00BF117C"/>
    <w:rsid w:val="00BF35B2"/>
    <w:rsid w:val="00BF5489"/>
    <w:rsid w:val="00BF592F"/>
    <w:rsid w:val="00BF739D"/>
    <w:rsid w:val="00BF7C1F"/>
    <w:rsid w:val="00C01A74"/>
    <w:rsid w:val="00C023BF"/>
    <w:rsid w:val="00C06DC1"/>
    <w:rsid w:val="00C11EC6"/>
    <w:rsid w:val="00C13298"/>
    <w:rsid w:val="00C15E0E"/>
    <w:rsid w:val="00C20A2D"/>
    <w:rsid w:val="00C21282"/>
    <w:rsid w:val="00C229DA"/>
    <w:rsid w:val="00C23A0D"/>
    <w:rsid w:val="00C23DA0"/>
    <w:rsid w:val="00C2445F"/>
    <w:rsid w:val="00C24616"/>
    <w:rsid w:val="00C2765D"/>
    <w:rsid w:val="00C30954"/>
    <w:rsid w:val="00C31F22"/>
    <w:rsid w:val="00C337D6"/>
    <w:rsid w:val="00C36564"/>
    <w:rsid w:val="00C37163"/>
    <w:rsid w:val="00C37EB4"/>
    <w:rsid w:val="00C416AA"/>
    <w:rsid w:val="00C43DEB"/>
    <w:rsid w:val="00C458A2"/>
    <w:rsid w:val="00C458C4"/>
    <w:rsid w:val="00C45A52"/>
    <w:rsid w:val="00C466EA"/>
    <w:rsid w:val="00C46C54"/>
    <w:rsid w:val="00C479F1"/>
    <w:rsid w:val="00C51A7A"/>
    <w:rsid w:val="00C520B8"/>
    <w:rsid w:val="00C557EE"/>
    <w:rsid w:val="00C5657F"/>
    <w:rsid w:val="00C56BD4"/>
    <w:rsid w:val="00C5703D"/>
    <w:rsid w:val="00C5732C"/>
    <w:rsid w:val="00C62458"/>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7C13"/>
    <w:rsid w:val="00C85CB3"/>
    <w:rsid w:val="00C87811"/>
    <w:rsid w:val="00C92CDF"/>
    <w:rsid w:val="00C9314B"/>
    <w:rsid w:val="00C93733"/>
    <w:rsid w:val="00C959F8"/>
    <w:rsid w:val="00C9674D"/>
    <w:rsid w:val="00CA1213"/>
    <w:rsid w:val="00CA12C1"/>
    <w:rsid w:val="00CA2ECA"/>
    <w:rsid w:val="00CA4BB4"/>
    <w:rsid w:val="00CA4DD5"/>
    <w:rsid w:val="00CA5BCA"/>
    <w:rsid w:val="00CA6CE9"/>
    <w:rsid w:val="00CB0CAB"/>
    <w:rsid w:val="00CB20C7"/>
    <w:rsid w:val="00CB2F29"/>
    <w:rsid w:val="00CB6B6A"/>
    <w:rsid w:val="00CB7739"/>
    <w:rsid w:val="00CC060E"/>
    <w:rsid w:val="00CC2BD0"/>
    <w:rsid w:val="00CC3974"/>
    <w:rsid w:val="00CC5962"/>
    <w:rsid w:val="00CC600C"/>
    <w:rsid w:val="00CD0C29"/>
    <w:rsid w:val="00CD0F24"/>
    <w:rsid w:val="00CD10E5"/>
    <w:rsid w:val="00CD1F33"/>
    <w:rsid w:val="00CD42BA"/>
    <w:rsid w:val="00CD485D"/>
    <w:rsid w:val="00CD511C"/>
    <w:rsid w:val="00CE0F51"/>
    <w:rsid w:val="00CE2306"/>
    <w:rsid w:val="00CE3245"/>
    <w:rsid w:val="00CE32C0"/>
    <w:rsid w:val="00CE3876"/>
    <w:rsid w:val="00CE4D56"/>
    <w:rsid w:val="00CE707C"/>
    <w:rsid w:val="00CF1F6F"/>
    <w:rsid w:val="00CF2AC6"/>
    <w:rsid w:val="00CF31B0"/>
    <w:rsid w:val="00CF3D6D"/>
    <w:rsid w:val="00CF5DE2"/>
    <w:rsid w:val="00CF64FE"/>
    <w:rsid w:val="00CF7FB1"/>
    <w:rsid w:val="00D02159"/>
    <w:rsid w:val="00D02227"/>
    <w:rsid w:val="00D054A8"/>
    <w:rsid w:val="00D07345"/>
    <w:rsid w:val="00D11373"/>
    <w:rsid w:val="00D11CB4"/>
    <w:rsid w:val="00D11EC0"/>
    <w:rsid w:val="00D13852"/>
    <w:rsid w:val="00D13EA8"/>
    <w:rsid w:val="00D1449F"/>
    <w:rsid w:val="00D14861"/>
    <w:rsid w:val="00D2157C"/>
    <w:rsid w:val="00D21A6D"/>
    <w:rsid w:val="00D21E22"/>
    <w:rsid w:val="00D23738"/>
    <w:rsid w:val="00D2536F"/>
    <w:rsid w:val="00D26794"/>
    <w:rsid w:val="00D27F81"/>
    <w:rsid w:val="00D329B3"/>
    <w:rsid w:val="00D33433"/>
    <w:rsid w:val="00D33CC5"/>
    <w:rsid w:val="00D33F3C"/>
    <w:rsid w:val="00D347F2"/>
    <w:rsid w:val="00D426F0"/>
    <w:rsid w:val="00D428EC"/>
    <w:rsid w:val="00D441ED"/>
    <w:rsid w:val="00D47800"/>
    <w:rsid w:val="00D517AE"/>
    <w:rsid w:val="00D51EA8"/>
    <w:rsid w:val="00D52226"/>
    <w:rsid w:val="00D54364"/>
    <w:rsid w:val="00D554CF"/>
    <w:rsid w:val="00D55CD0"/>
    <w:rsid w:val="00D56234"/>
    <w:rsid w:val="00D62262"/>
    <w:rsid w:val="00D66B7D"/>
    <w:rsid w:val="00D6720B"/>
    <w:rsid w:val="00D707F7"/>
    <w:rsid w:val="00D708CF"/>
    <w:rsid w:val="00D71E9C"/>
    <w:rsid w:val="00D72434"/>
    <w:rsid w:val="00D731D2"/>
    <w:rsid w:val="00D73B45"/>
    <w:rsid w:val="00D74108"/>
    <w:rsid w:val="00D802C2"/>
    <w:rsid w:val="00D80E40"/>
    <w:rsid w:val="00D83485"/>
    <w:rsid w:val="00D84A5C"/>
    <w:rsid w:val="00D86B2B"/>
    <w:rsid w:val="00D87F06"/>
    <w:rsid w:val="00D911B2"/>
    <w:rsid w:val="00D91E59"/>
    <w:rsid w:val="00D965D5"/>
    <w:rsid w:val="00D97FE5"/>
    <w:rsid w:val="00DA1769"/>
    <w:rsid w:val="00DA2FBA"/>
    <w:rsid w:val="00DA4341"/>
    <w:rsid w:val="00DA465B"/>
    <w:rsid w:val="00DA4F63"/>
    <w:rsid w:val="00DA652C"/>
    <w:rsid w:val="00DA6C99"/>
    <w:rsid w:val="00DA707D"/>
    <w:rsid w:val="00DB017B"/>
    <w:rsid w:val="00DB0213"/>
    <w:rsid w:val="00DB378E"/>
    <w:rsid w:val="00DB3F8F"/>
    <w:rsid w:val="00DB6353"/>
    <w:rsid w:val="00DB680A"/>
    <w:rsid w:val="00DC06F8"/>
    <w:rsid w:val="00DC1D24"/>
    <w:rsid w:val="00DC20B6"/>
    <w:rsid w:val="00DC2EEA"/>
    <w:rsid w:val="00DC2F9F"/>
    <w:rsid w:val="00DC671C"/>
    <w:rsid w:val="00DC67B5"/>
    <w:rsid w:val="00DD0426"/>
    <w:rsid w:val="00DD2265"/>
    <w:rsid w:val="00DD2721"/>
    <w:rsid w:val="00DD3936"/>
    <w:rsid w:val="00DD7A9F"/>
    <w:rsid w:val="00DE4B23"/>
    <w:rsid w:val="00DF31E2"/>
    <w:rsid w:val="00DF389A"/>
    <w:rsid w:val="00DF42B8"/>
    <w:rsid w:val="00DF5A36"/>
    <w:rsid w:val="00DF7764"/>
    <w:rsid w:val="00E01BE9"/>
    <w:rsid w:val="00E01CDE"/>
    <w:rsid w:val="00E03CCC"/>
    <w:rsid w:val="00E03E1D"/>
    <w:rsid w:val="00E1063F"/>
    <w:rsid w:val="00E107DF"/>
    <w:rsid w:val="00E15577"/>
    <w:rsid w:val="00E16C03"/>
    <w:rsid w:val="00E17E36"/>
    <w:rsid w:val="00E2185D"/>
    <w:rsid w:val="00E25E37"/>
    <w:rsid w:val="00E264C8"/>
    <w:rsid w:val="00E27815"/>
    <w:rsid w:val="00E303D4"/>
    <w:rsid w:val="00E30FB6"/>
    <w:rsid w:val="00E349A9"/>
    <w:rsid w:val="00E35AAF"/>
    <w:rsid w:val="00E37DA1"/>
    <w:rsid w:val="00E41921"/>
    <w:rsid w:val="00E42FBC"/>
    <w:rsid w:val="00E447CF"/>
    <w:rsid w:val="00E463B2"/>
    <w:rsid w:val="00E473A2"/>
    <w:rsid w:val="00E475C4"/>
    <w:rsid w:val="00E47D8B"/>
    <w:rsid w:val="00E47DD5"/>
    <w:rsid w:val="00E519CE"/>
    <w:rsid w:val="00E51BFD"/>
    <w:rsid w:val="00E52093"/>
    <w:rsid w:val="00E536F0"/>
    <w:rsid w:val="00E53D2E"/>
    <w:rsid w:val="00E56B18"/>
    <w:rsid w:val="00E60D48"/>
    <w:rsid w:val="00E63B58"/>
    <w:rsid w:val="00E661F8"/>
    <w:rsid w:val="00E66A27"/>
    <w:rsid w:val="00E66D1F"/>
    <w:rsid w:val="00E6708D"/>
    <w:rsid w:val="00E67620"/>
    <w:rsid w:val="00E73632"/>
    <w:rsid w:val="00E73C73"/>
    <w:rsid w:val="00E7474A"/>
    <w:rsid w:val="00E75E2F"/>
    <w:rsid w:val="00E76FE5"/>
    <w:rsid w:val="00E80CD8"/>
    <w:rsid w:val="00E8453C"/>
    <w:rsid w:val="00E86ED5"/>
    <w:rsid w:val="00E87BC1"/>
    <w:rsid w:val="00E914AF"/>
    <w:rsid w:val="00E9156B"/>
    <w:rsid w:val="00E91797"/>
    <w:rsid w:val="00E92C24"/>
    <w:rsid w:val="00E964EA"/>
    <w:rsid w:val="00E9735A"/>
    <w:rsid w:val="00EA0CF8"/>
    <w:rsid w:val="00EA3639"/>
    <w:rsid w:val="00EA3913"/>
    <w:rsid w:val="00EA5A64"/>
    <w:rsid w:val="00EA5BB4"/>
    <w:rsid w:val="00EA7D37"/>
    <w:rsid w:val="00EB0DD5"/>
    <w:rsid w:val="00EB0E32"/>
    <w:rsid w:val="00EB160B"/>
    <w:rsid w:val="00EB1CB2"/>
    <w:rsid w:val="00EB297D"/>
    <w:rsid w:val="00EB2C43"/>
    <w:rsid w:val="00EB681D"/>
    <w:rsid w:val="00EB6CFB"/>
    <w:rsid w:val="00EC0172"/>
    <w:rsid w:val="00EC01DC"/>
    <w:rsid w:val="00EC0446"/>
    <w:rsid w:val="00EC04E3"/>
    <w:rsid w:val="00EC4FEC"/>
    <w:rsid w:val="00ED1DD8"/>
    <w:rsid w:val="00ED2D72"/>
    <w:rsid w:val="00ED2EC4"/>
    <w:rsid w:val="00ED35F4"/>
    <w:rsid w:val="00ED3A56"/>
    <w:rsid w:val="00ED71D0"/>
    <w:rsid w:val="00EE0F72"/>
    <w:rsid w:val="00EE14D0"/>
    <w:rsid w:val="00EE1F5D"/>
    <w:rsid w:val="00EE2861"/>
    <w:rsid w:val="00EE44A3"/>
    <w:rsid w:val="00EE65E6"/>
    <w:rsid w:val="00EE66D1"/>
    <w:rsid w:val="00EE6B20"/>
    <w:rsid w:val="00EE6FDE"/>
    <w:rsid w:val="00EF36F5"/>
    <w:rsid w:val="00EF3C0E"/>
    <w:rsid w:val="00EF4749"/>
    <w:rsid w:val="00EF5D4E"/>
    <w:rsid w:val="00EF62C3"/>
    <w:rsid w:val="00F003D2"/>
    <w:rsid w:val="00F020A5"/>
    <w:rsid w:val="00F02D22"/>
    <w:rsid w:val="00F05B9B"/>
    <w:rsid w:val="00F05E66"/>
    <w:rsid w:val="00F07E2C"/>
    <w:rsid w:val="00F12E9C"/>
    <w:rsid w:val="00F1433A"/>
    <w:rsid w:val="00F14388"/>
    <w:rsid w:val="00F153FF"/>
    <w:rsid w:val="00F234D9"/>
    <w:rsid w:val="00F249CA"/>
    <w:rsid w:val="00F2526D"/>
    <w:rsid w:val="00F3099E"/>
    <w:rsid w:val="00F31064"/>
    <w:rsid w:val="00F32629"/>
    <w:rsid w:val="00F33608"/>
    <w:rsid w:val="00F344C5"/>
    <w:rsid w:val="00F34579"/>
    <w:rsid w:val="00F41EA4"/>
    <w:rsid w:val="00F500E4"/>
    <w:rsid w:val="00F510F0"/>
    <w:rsid w:val="00F51F8E"/>
    <w:rsid w:val="00F53A6F"/>
    <w:rsid w:val="00F55261"/>
    <w:rsid w:val="00F600C0"/>
    <w:rsid w:val="00F60F88"/>
    <w:rsid w:val="00F615CE"/>
    <w:rsid w:val="00F6192B"/>
    <w:rsid w:val="00F624A7"/>
    <w:rsid w:val="00F63B25"/>
    <w:rsid w:val="00F66265"/>
    <w:rsid w:val="00F66966"/>
    <w:rsid w:val="00F744F4"/>
    <w:rsid w:val="00F754CE"/>
    <w:rsid w:val="00F772AB"/>
    <w:rsid w:val="00F80C21"/>
    <w:rsid w:val="00F81460"/>
    <w:rsid w:val="00F82262"/>
    <w:rsid w:val="00F827AD"/>
    <w:rsid w:val="00F82C79"/>
    <w:rsid w:val="00F83B32"/>
    <w:rsid w:val="00F83F93"/>
    <w:rsid w:val="00F90BD7"/>
    <w:rsid w:val="00F91ABB"/>
    <w:rsid w:val="00F91AD7"/>
    <w:rsid w:val="00F924C3"/>
    <w:rsid w:val="00F93088"/>
    <w:rsid w:val="00F97DC0"/>
    <w:rsid w:val="00FA0B2F"/>
    <w:rsid w:val="00FA1481"/>
    <w:rsid w:val="00FA5145"/>
    <w:rsid w:val="00FB01E5"/>
    <w:rsid w:val="00FB1246"/>
    <w:rsid w:val="00FB2A67"/>
    <w:rsid w:val="00FB37BE"/>
    <w:rsid w:val="00FB484A"/>
    <w:rsid w:val="00FB53CD"/>
    <w:rsid w:val="00FB5B45"/>
    <w:rsid w:val="00FB7E10"/>
    <w:rsid w:val="00FC09F8"/>
    <w:rsid w:val="00FC3E3A"/>
    <w:rsid w:val="00FC5C61"/>
    <w:rsid w:val="00FD2BFA"/>
    <w:rsid w:val="00FD675C"/>
    <w:rsid w:val="00FD7052"/>
    <w:rsid w:val="00FE0813"/>
    <w:rsid w:val="00FE1A1E"/>
    <w:rsid w:val="00FE27FD"/>
    <w:rsid w:val="00FE2E68"/>
    <w:rsid w:val="00FE3C6C"/>
    <w:rsid w:val="00FE4015"/>
    <w:rsid w:val="00FE596E"/>
    <w:rsid w:val="00FF2CDA"/>
    <w:rsid w:val="00FF3D00"/>
    <w:rsid w:val="00FF5C9B"/>
    <w:rsid w:val="00FF6DC3"/>
    <w:rsid w:val="00FF727E"/>
    <w:rsid w:val="6854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44"/>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8"/>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0"/>
    <w:qFormat/>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7"/>
    <w:semiHidden/>
    <w:unhideWhenUsed/>
    <w:qFormat/>
    <w:uiPriority w:val="99"/>
    <w:rPr>
      <w:rFonts w:ascii="宋体" w:eastAsia="宋体"/>
      <w:sz w:val="20"/>
      <w:szCs w:val="18"/>
    </w:rPr>
  </w:style>
  <w:style w:type="paragraph" w:styleId="7">
    <w:name w:val="annotation text"/>
    <w:basedOn w:val="1"/>
    <w:link w:val="34"/>
    <w:semiHidden/>
    <w:unhideWhenUsed/>
    <w:qFormat/>
    <w:uiPriority w:val="99"/>
    <w:pPr>
      <w:jc w:val="left"/>
    </w:pPr>
  </w:style>
  <w:style w:type="paragraph" w:styleId="8">
    <w:name w:val="Salutation"/>
    <w:basedOn w:val="1"/>
    <w:next w:val="1"/>
    <w:link w:val="56"/>
    <w:semiHidden/>
    <w:unhideWhenUsed/>
    <w:uiPriority w:val="99"/>
  </w:style>
  <w:style w:type="paragraph" w:styleId="9">
    <w:name w:val="Body Text"/>
    <w:basedOn w:val="1"/>
    <w:link w:val="43"/>
    <w:semiHidden/>
    <w:unhideWhenUsed/>
    <w:qFormat/>
    <w:uiPriority w:val="99"/>
    <w:pPr>
      <w:spacing w:after="120"/>
    </w:pPr>
  </w:style>
  <w:style w:type="paragraph" w:styleId="10">
    <w:name w:val="Plain Text"/>
    <w:basedOn w:val="1"/>
    <w:next w:val="8"/>
    <w:link w:val="54"/>
    <w:qFormat/>
    <w:uiPriority w:val="5"/>
    <w:pPr>
      <w:spacing w:line="360" w:lineRule="exact"/>
    </w:pPr>
    <w:rPr>
      <w:rFonts w:ascii="宋体" w:hAnsi="Courier New" w:eastAsia="宋体" w:cs="Times New Roman"/>
      <w:szCs w:val="20"/>
    </w:rPr>
  </w:style>
  <w:style w:type="paragraph" w:styleId="11">
    <w:name w:val="Balloon Text"/>
    <w:basedOn w:val="1"/>
    <w:link w:val="26"/>
    <w:unhideWhenUsed/>
    <w:qFormat/>
    <w:uiPriority w:val="99"/>
    <w:rPr>
      <w:sz w:val="18"/>
      <w:szCs w:val="18"/>
    </w:rPr>
  </w:style>
  <w:style w:type="paragraph" w:styleId="12">
    <w:name w:val="footer"/>
    <w:basedOn w:val="1"/>
    <w:link w:val="29"/>
    <w:semiHidden/>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64"/>
    <w:qFormat/>
    <w:uiPriority w:val="11"/>
    <w:pPr>
      <w:jc w:val="center"/>
    </w:pPr>
    <w:rPr>
      <w:rFonts w:ascii="Times New Roman" w:hAnsi="Times New Roman" w:eastAsia="宋体" w:cstheme="majorBidi"/>
      <w:b/>
      <w:bCs/>
      <w:kern w:val="28"/>
      <w:szCs w:val="32"/>
    </w:rPr>
  </w:style>
  <w:style w:type="paragraph" w:styleId="15">
    <w:name w:val="Body Text Indent 3"/>
    <w:basedOn w:val="1"/>
    <w:link w:val="31"/>
    <w:qFormat/>
    <w:uiPriority w:val="0"/>
    <w:pPr>
      <w:spacing w:after="120"/>
      <w:ind w:left="420" w:leftChars="200"/>
    </w:pPr>
    <w:rPr>
      <w:rFonts w:ascii="Times New Roman" w:hAnsi="Times New Roman" w:eastAsia="宋体" w:cs="Times New Roman"/>
      <w:sz w:val="16"/>
      <w:szCs w:val="16"/>
    </w:rPr>
  </w:style>
  <w:style w:type="paragraph" w:styleId="1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index 1"/>
    <w:basedOn w:val="1"/>
    <w:next w:val="1"/>
    <w:qFormat/>
    <w:uiPriority w:val="0"/>
    <w:pPr>
      <w:ind w:left="560" w:hanging="560"/>
    </w:pPr>
    <w:rPr>
      <w:rFonts w:ascii="Times New Roman" w:hAnsi="宋体" w:eastAsia="宋体" w:cs="Times New Roman"/>
      <w:spacing w:val="10"/>
      <w:szCs w:val="24"/>
    </w:rPr>
  </w:style>
  <w:style w:type="paragraph" w:styleId="18">
    <w:name w:val="annotation subject"/>
    <w:basedOn w:val="7"/>
    <w:next w:val="7"/>
    <w:link w:val="35"/>
    <w:semiHidden/>
    <w:unhideWhenUsed/>
    <w:qFormat/>
    <w:uiPriority w:val="99"/>
    <w:rPr>
      <w:b/>
      <w:bCs/>
    </w:rPr>
  </w:style>
  <w:style w:type="table" w:styleId="20">
    <w:name w:val="Table Grid"/>
    <w:basedOn w:val="1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basedOn w:val="21"/>
    <w:semiHidden/>
    <w:unhideWhenUsed/>
    <w:qFormat/>
    <w:uiPriority w:val="99"/>
    <w:rPr>
      <w:color w:val="0000FF"/>
      <w:u w:val="single"/>
    </w:rPr>
  </w:style>
  <w:style w:type="character" w:styleId="25">
    <w:name w:val="annotation reference"/>
    <w:basedOn w:val="21"/>
    <w:semiHidden/>
    <w:unhideWhenUsed/>
    <w:qFormat/>
    <w:uiPriority w:val="99"/>
    <w:rPr>
      <w:sz w:val="21"/>
      <w:szCs w:val="21"/>
    </w:rPr>
  </w:style>
  <w:style w:type="character" w:customStyle="1" w:styleId="26">
    <w:name w:val="批注框文本 Char"/>
    <w:basedOn w:val="21"/>
    <w:link w:val="11"/>
    <w:qFormat/>
    <w:uiPriority w:val="99"/>
    <w:rPr>
      <w:sz w:val="18"/>
      <w:szCs w:val="18"/>
    </w:rPr>
  </w:style>
  <w:style w:type="character" w:customStyle="1" w:styleId="27">
    <w:name w:val="文档结构图 Char"/>
    <w:basedOn w:val="21"/>
    <w:link w:val="6"/>
    <w:semiHidden/>
    <w:qFormat/>
    <w:uiPriority w:val="99"/>
    <w:rPr>
      <w:rFonts w:ascii="宋体" w:eastAsia="宋体"/>
      <w:sz w:val="20"/>
      <w:szCs w:val="18"/>
    </w:rPr>
  </w:style>
  <w:style w:type="character" w:customStyle="1" w:styleId="28">
    <w:name w:val="页眉 Char"/>
    <w:basedOn w:val="21"/>
    <w:link w:val="13"/>
    <w:qFormat/>
    <w:uiPriority w:val="0"/>
    <w:rPr>
      <w:sz w:val="18"/>
      <w:szCs w:val="18"/>
    </w:rPr>
  </w:style>
  <w:style w:type="character" w:customStyle="1" w:styleId="29">
    <w:name w:val="页脚 Char"/>
    <w:basedOn w:val="21"/>
    <w:link w:val="12"/>
    <w:semiHidden/>
    <w:qFormat/>
    <w:uiPriority w:val="99"/>
    <w:rPr>
      <w:sz w:val="18"/>
      <w:szCs w:val="18"/>
    </w:rPr>
  </w:style>
  <w:style w:type="paragraph" w:customStyle="1" w:styleId="30">
    <w:name w:val="表体"/>
    <w:basedOn w:val="1"/>
    <w:link w:val="42"/>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1">
    <w:name w:val="正文文本缩进 3 Char"/>
    <w:basedOn w:val="21"/>
    <w:link w:val="15"/>
    <w:qFormat/>
    <w:uiPriority w:val="0"/>
    <w:rPr>
      <w:rFonts w:ascii="Times New Roman" w:hAnsi="Times New Roman" w:eastAsia="宋体" w:cs="Times New Roman"/>
      <w:sz w:val="16"/>
      <w:szCs w:val="16"/>
    </w:rPr>
  </w:style>
  <w:style w:type="paragraph" w:customStyle="1" w:styleId="32">
    <w:name w:val="表头"/>
    <w:basedOn w:val="1"/>
    <w:link w:val="33"/>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3">
    <w:name w:val="表头 Char Char"/>
    <w:link w:val="32"/>
    <w:qFormat/>
    <w:uiPriority w:val="0"/>
    <w:rPr>
      <w:rFonts w:ascii="Times New Roman" w:hAnsi="宋体" w:eastAsia="FangSong_GB2312" w:cs="Times New Roman"/>
      <w:b/>
      <w:kern w:val="0"/>
      <w:sz w:val="28"/>
      <w:szCs w:val="28"/>
    </w:rPr>
  </w:style>
  <w:style w:type="character" w:customStyle="1" w:styleId="34">
    <w:name w:val="批注文字 Char"/>
    <w:basedOn w:val="21"/>
    <w:link w:val="7"/>
    <w:semiHidden/>
    <w:qFormat/>
    <w:uiPriority w:val="99"/>
  </w:style>
  <w:style w:type="character" w:customStyle="1" w:styleId="35">
    <w:name w:val="批注主题 Char"/>
    <w:basedOn w:val="34"/>
    <w:link w:val="18"/>
    <w:semiHidden/>
    <w:qFormat/>
    <w:uiPriority w:val="99"/>
    <w:rPr>
      <w:b/>
      <w:bCs/>
    </w:rPr>
  </w:style>
  <w:style w:type="character" w:customStyle="1" w:styleId="36">
    <w:name w:val="题注1 Char"/>
    <w:link w:val="37"/>
    <w:qFormat/>
    <w:uiPriority w:val="0"/>
    <w:rPr>
      <w:rFonts w:cs="宋体"/>
      <w:b/>
      <w:bCs/>
      <w:spacing w:val="10"/>
      <w:szCs w:val="24"/>
    </w:rPr>
  </w:style>
  <w:style w:type="paragraph" w:customStyle="1" w:styleId="37">
    <w:name w:val="题注1"/>
    <w:basedOn w:val="1"/>
    <w:link w:val="36"/>
    <w:qFormat/>
    <w:uiPriority w:val="0"/>
    <w:pPr>
      <w:spacing w:beforeLines="20" w:afterLines="20"/>
      <w:jc w:val="center"/>
    </w:pPr>
    <w:rPr>
      <w:rFonts w:cs="宋体"/>
      <w:b/>
      <w:bCs/>
      <w:spacing w:val="10"/>
      <w:szCs w:val="24"/>
    </w:rPr>
  </w:style>
  <w:style w:type="paragraph" w:customStyle="1" w:styleId="38">
    <w:name w:val="赵"/>
    <w:basedOn w:val="1"/>
    <w:link w:val="39"/>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9">
    <w:name w:val="赵 Char"/>
    <w:basedOn w:val="21"/>
    <w:link w:val="38"/>
    <w:qFormat/>
    <w:uiPriority w:val="0"/>
    <w:rPr>
      <w:rFonts w:ascii="Times New Roman" w:hAnsi="Times New Roman" w:eastAsia="宋体" w:cs="Times New Roman"/>
      <w:sz w:val="24"/>
      <w:szCs w:val="30"/>
    </w:rPr>
  </w:style>
  <w:style w:type="paragraph" w:customStyle="1" w:styleId="40">
    <w:name w:val="【表头】"/>
    <w:basedOn w:val="1"/>
    <w:link w:val="41"/>
    <w:qFormat/>
    <w:uiPriority w:val="0"/>
    <w:pPr>
      <w:jc w:val="center"/>
    </w:pPr>
    <w:rPr>
      <w:rFonts w:ascii="Times New Roman" w:hAnsi="Times New Roman" w:eastAsia="宋体" w:cs="Times New Roman"/>
      <w:b/>
      <w:szCs w:val="24"/>
    </w:rPr>
  </w:style>
  <w:style w:type="character" w:customStyle="1" w:styleId="41">
    <w:name w:val="【表头】 Char"/>
    <w:link w:val="40"/>
    <w:qFormat/>
    <w:uiPriority w:val="0"/>
    <w:rPr>
      <w:rFonts w:ascii="Times New Roman" w:hAnsi="Times New Roman" w:eastAsia="宋体" w:cs="Times New Roman"/>
      <w:b/>
      <w:szCs w:val="24"/>
    </w:rPr>
  </w:style>
  <w:style w:type="character" w:customStyle="1" w:styleId="42">
    <w:name w:val="表体 Char Char"/>
    <w:link w:val="30"/>
    <w:qFormat/>
    <w:locked/>
    <w:uiPriority w:val="0"/>
    <w:rPr>
      <w:rFonts w:ascii="Times New Roman" w:hAnsi="Times New Roman" w:eastAsia="宋体" w:cs="Times New Roman"/>
      <w:bCs/>
      <w:snapToGrid w:val="0"/>
      <w:color w:val="000000"/>
      <w:kern w:val="32"/>
      <w:szCs w:val="20"/>
      <w:lang w:val="zh-CN"/>
    </w:rPr>
  </w:style>
  <w:style w:type="character" w:customStyle="1" w:styleId="43">
    <w:name w:val="正文文本 Char"/>
    <w:basedOn w:val="21"/>
    <w:link w:val="9"/>
    <w:semiHidden/>
    <w:qFormat/>
    <w:uiPriority w:val="99"/>
  </w:style>
  <w:style w:type="character" w:customStyle="1" w:styleId="44">
    <w:name w:val="标题 2 Char"/>
    <w:basedOn w:val="21"/>
    <w:link w:val="2"/>
    <w:qFormat/>
    <w:uiPriority w:val="0"/>
    <w:rPr>
      <w:rFonts w:ascii="Times New Roman" w:hAnsi="Times New Roman" w:eastAsia="黑体" w:cs="Times New Roman"/>
      <w:color w:val="000000" w:themeColor="text1"/>
      <w:sz w:val="30"/>
      <w:szCs w:val="24"/>
    </w:rPr>
  </w:style>
  <w:style w:type="character" w:customStyle="1" w:styleId="45">
    <w:name w:val="表头 Char1"/>
    <w:basedOn w:val="21"/>
    <w:qFormat/>
    <w:uiPriority w:val="0"/>
    <w:rPr>
      <w:rFonts w:ascii="Times New Roman" w:hAnsi="Times New Roman" w:eastAsia="宋体" w:cs="Times New Roman"/>
      <w:b/>
      <w:bCs/>
      <w:kern w:val="0"/>
      <w:szCs w:val="28"/>
    </w:rPr>
  </w:style>
  <w:style w:type="character" w:customStyle="1" w:styleId="46">
    <w:name w:val="标题 3 Char"/>
    <w:basedOn w:val="21"/>
    <w:link w:val="3"/>
    <w:semiHidden/>
    <w:qFormat/>
    <w:uiPriority w:val="9"/>
    <w:rPr>
      <w:b/>
      <w:bCs/>
      <w:sz w:val="32"/>
      <w:szCs w:val="32"/>
    </w:rPr>
  </w:style>
  <w:style w:type="table" w:customStyle="1" w:styleId="47">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8">
    <w:name w:val="标题 8 Char"/>
    <w:basedOn w:val="21"/>
    <w:link w:val="4"/>
    <w:qFormat/>
    <w:uiPriority w:val="99"/>
    <w:rPr>
      <w:rFonts w:asciiTheme="majorHAnsi" w:hAnsiTheme="majorHAnsi" w:eastAsiaTheme="majorEastAsia" w:cstheme="majorBidi"/>
      <w:sz w:val="24"/>
      <w:szCs w:val="24"/>
    </w:rPr>
  </w:style>
  <w:style w:type="paragraph" w:customStyle="1" w:styleId="49">
    <w:name w:val="表格正文"/>
    <w:basedOn w:val="1"/>
    <w:link w:val="65"/>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0">
    <w:name w:val="正文缩进 Char1"/>
    <w:link w:val="5"/>
    <w:qFormat/>
    <w:uiPriority w:val="99"/>
    <w:rPr>
      <w:rFonts w:ascii="Calibri" w:hAnsi="Calibri" w:eastAsia="宋体" w:cs="Times New Roman"/>
      <w:sz w:val="28"/>
      <w:szCs w:val="20"/>
    </w:rPr>
  </w:style>
  <w:style w:type="paragraph" w:customStyle="1" w:styleId="51">
    <w:name w:val="样式1"/>
    <w:basedOn w:val="1"/>
    <w:link w:val="52"/>
    <w:qFormat/>
    <w:uiPriority w:val="0"/>
    <w:pPr>
      <w:spacing w:line="360" w:lineRule="auto"/>
      <w:ind w:firstLine="510"/>
    </w:pPr>
    <w:rPr>
      <w:rFonts w:ascii="Times New Roman" w:hAnsi="Times New Roman" w:eastAsia="宋体" w:cs="Times New Roman"/>
      <w:sz w:val="24"/>
      <w:szCs w:val="20"/>
    </w:rPr>
  </w:style>
  <w:style w:type="character" w:customStyle="1" w:styleId="52">
    <w:name w:val="样式1 Char"/>
    <w:link w:val="51"/>
    <w:locked/>
    <w:uiPriority w:val="0"/>
    <w:rPr>
      <w:rFonts w:ascii="Times New Roman" w:hAnsi="Times New Roman" w:eastAsia="宋体" w:cs="Times New Roman"/>
      <w:sz w:val="24"/>
      <w:szCs w:val="20"/>
    </w:rPr>
  </w:style>
  <w:style w:type="paragraph" w:customStyle="1" w:styleId="5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4">
    <w:name w:val="纯文本 Char"/>
    <w:basedOn w:val="21"/>
    <w:link w:val="10"/>
    <w:uiPriority w:val="5"/>
    <w:rPr>
      <w:rFonts w:ascii="宋体" w:hAnsi="Courier New" w:eastAsia="宋体" w:cs="Times New Roman"/>
      <w:szCs w:val="20"/>
    </w:rPr>
  </w:style>
  <w:style w:type="character" w:customStyle="1" w:styleId="55">
    <w:name w:val="15"/>
    <w:uiPriority w:val="0"/>
    <w:rPr>
      <w:rFonts w:hint="default" w:ascii="Calibri" w:hAnsi="Calibri"/>
      <w:sz w:val="21"/>
      <w:szCs w:val="21"/>
    </w:rPr>
  </w:style>
  <w:style w:type="character" w:customStyle="1" w:styleId="56">
    <w:name w:val="称呼 Char"/>
    <w:basedOn w:val="21"/>
    <w:link w:val="8"/>
    <w:semiHidden/>
    <w:uiPriority w:val="99"/>
  </w:style>
  <w:style w:type="paragraph" w:customStyle="1" w:styleId="57">
    <w:name w:val="Defaul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58">
    <w:name w:val="正文1"/>
    <w:basedOn w:val="1"/>
    <w:uiPriority w:val="0"/>
    <w:pPr>
      <w:widowControl/>
    </w:pPr>
    <w:rPr>
      <w:rFonts w:ascii="Calibri" w:hAnsi="Calibri" w:eastAsia="宋体" w:cs="宋体"/>
    </w:rPr>
  </w:style>
  <w:style w:type="paragraph" w:customStyle="1" w:styleId="59">
    <w:name w:val="表格内容"/>
    <w:basedOn w:val="5"/>
    <w:qFormat/>
    <w:uiPriority w:val="0"/>
    <w:pPr>
      <w:widowControl w:val="0"/>
      <w:ind w:firstLine="0" w:firstLineChars="0"/>
      <w:jc w:val="center"/>
    </w:pPr>
    <w:rPr>
      <w:rFonts w:ascii="Times New Roman" w:hAnsi="Times New Roman"/>
      <w:sz w:val="21"/>
      <w:szCs w:val="18"/>
    </w:rPr>
  </w:style>
  <w:style w:type="character" w:customStyle="1" w:styleId="60">
    <w:name w:val="表格文字 Char"/>
    <w:basedOn w:val="21"/>
    <w:link w:val="61"/>
    <w:uiPriority w:val="0"/>
    <w:rPr>
      <w:rFonts w:eastAsia="宋体"/>
      <w:kern w:val="24"/>
      <w:sz w:val="24"/>
    </w:rPr>
  </w:style>
  <w:style w:type="paragraph" w:customStyle="1" w:styleId="61">
    <w:name w:val="表格文字"/>
    <w:basedOn w:val="1"/>
    <w:link w:val="60"/>
    <w:qFormat/>
    <w:uiPriority w:val="0"/>
    <w:pPr>
      <w:adjustRightInd w:val="0"/>
      <w:spacing w:line="400" w:lineRule="atLeast"/>
      <w:jc w:val="center"/>
    </w:pPr>
    <w:rPr>
      <w:rFonts w:eastAsia="宋体"/>
      <w:kern w:val="24"/>
      <w:sz w:val="24"/>
    </w:rPr>
  </w:style>
  <w:style w:type="character" w:customStyle="1" w:styleId="62">
    <w:name w:val="表格 Char Char"/>
    <w:basedOn w:val="21"/>
    <w:uiPriority w:val="0"/>
    <w:rPr>
      <w:sz w:val="21"/>
      <w:szCs w:val="21"/>
      <w:lang w:bidi="ar-SA"/>
    </w:rPr>
  </w:style>
  <w:style w:type="paragraph" w:customStyle="1" w:styleId="63">
    <w:name w:val="_Style 17"/>
    <w:basedOn w:val="1"/>
    <w:qFormat/>
    <w:uiPriority w:val="0"/>
    <w:rPr>
      <w:rFonts w:ascii="Times New Roman" w:hAnsi="Times New Roman" w:eastAsia="宋体" w:cs="Times New Roman"/>
      <w:szCs w:val="24"/>
    </w:rPr>
  </w:style>
  <w:style w:type="character" w:customStyle="1" w:styleId="64">
    <w:name w:val="副标题 Char"/>
    <w:basedOn w:val="21"/>
    <w:link w:val="14"/>
    <w:uiPriority w:val="11"/>
    <w:rPr>
      <w:rFonts w:ascii="Times New Roman" w:hAnsi="Times New Roman" w:eastAsia="宋体" w:cstheme="majorBidi"/>
      <w:b/>
      <w:bCs/>
      <w:kern w:val="28"/>
      <w:szCs w:val="32"/>
    </w:rPr>
  </w:style>
  <w:style w:type="character" w:customStyle="1" w:styleId="65">
    <w:name w:val="表格正文 Char"/>
    <w:link w:val="49"/>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9300-5661-4E75-8CE8-81F9C0E227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37331</Words>
  <Characters>41558</Characters>
  <Lines>320</Lines>
  <Paragraphs>90</Paragraphs>
  <TotalTime>7092</TotalTime>
  <ScaleCrop>false</ScaleCrop>
  <LinksUpToDate>false</LinksUpToDate>
  <CharactersWithSpaces>41808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Administrator</cp:lastModifiedBy>
  <cp:lastPrinted>2021-08-10T03:45:00Z</cp:lastPrinted>
  <dcterms:modified xsi:type="dcterms:W3CDTF">2023-08-01T02:44:10Z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4469E06B6FD143B288A76D264A539668_12</vt:lpwstr>
  </property>
</Properties>
</file>