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52" w:name="_GoBack"/>
      <w:bookmarkEnd w:id="52"/>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bookmarkStart w:id="0" w:name="_Toc493"/>
      <w:bookmarkStart w:id="1" w:name="_Toc2642"/>
      <w:r>
        <w:rPr>
          <w:rFonts w:hint="eastAsia" w:ascii="方正小标宋_GBK" w:eastAsia="方正小标宋_GBK"/>
          <w:bCs/>
          <w:sz w:val="72"/>
          <w:szCs w:val="72"/>
        </w:rPr>
        <w:t>建设项目环境影响报告表</w:t>
      </w:r>
      <w:bookmarkEnd w:id="0"/>
      <w:bookmarkEnd w:id="1"/>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29"/>
        <w:spacing w:line="360" w:lineRule="auto"/>
        <w:ind w:firstLine="720" w:firstLineChars="200"/>
        <w:jc w:val="both"/>
        <w:rPr>
          <w:b w:val="0"/>
          <w:bCs/>
        </w:rPr>
      </w:pPr>
      <w:r>
        <w:rPr>
          <w:rFonts w:hint="eastAsia" w:ascii="仿宋_GB2312" w:eastAsia="仿宋_GB2312"/>
          <w:b w:val="0"/>
          <w:bCs/>
          <w:sz w:val="36"/>
          <w:szCs w:val="36"/>
        </w:rPr>
        <w:t>项目名称：</w:t>
      </w:r>
      <w:r>
        <w:rPr>
          <w:rFonts w:hint="eastAsia" w:ascii="仿宋_GB2312" w:eastAsia="仿宋_GB2312"/>
          <w:b w:val="0"/>
          <w:bCs/>
          <w:sz w:val="36"/>
          <w:szCs w:val="36"/>
          <w:u w:val="single"/>
        </w:rPr>
        <w:t xml:space="preserve">     多晶硅碎片综合利用项目     </w:t>
      </w:r>
    </w:p>
    <w:p>
      <w:pPr>
        <w:adjustRightInd w:val="0"/>
        <w:snapToGrid w:val="0"/>
        <w:spacing w:line="360" w:lineRule="auto"/>
        <w:ind w:firstLine="720" w:firstLineChars="2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昆明市东川区嘉粟科技有限责任公司</w:t>
      </w:r>
    </w:p>
    <w:p>
      <w:pPr>
        <w:adjustRightInd w:val="0"/>
        <w:snapToGrid w:val="0"/>
        <w:spacing w:line="360" w:lineRule="auto"/>
        <w:ind w:firstLine="720" w:firstLineChars="2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2023年</w:t>
      </w:r>
      <w:r>
        <w:rPr>
          <w:rFonts w:hint="eastAsia" w:ascii="仿宋_GB2312" w:eastAsia="仿宋_GB2312"/>
          <w:color w:val="000000" w:themeColor="text1"/>
          <w:sz w:val="36"/>
          <w:szCs w:val="36"/>
          <w:u w:val="single"/>
          <w14:textFill>
            <w14:solidFill>
              <w14:schemeClr w14:val="tx1"/>
            </w14:solidFill>
          </w14:textFill>
        </w:rPr>
        <w:t xml:space="preserve">7月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2"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2"/>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adjustRightInd w:val="0"/>
        <w:snapToGrid w:val="0"/>
        <w:spacing w:line="300" w:lineRule="auto"/>
        <w:rPr>
          <w:b/>
          <w:color w:val="000000"/>
          <w:sz w:val="24"/>
        </w:rPr>
      </w:pPr>
    </w:p>
    <w:p>
      <w:pPr>
        <w:adjustRightInd w:val="0"/>
        <w:snapToGrid w:val="0"/>
        <w:spacing w:line="300" w:lineRule="auto"/>
        <w:rPr>
          <w:b/>
          <w:color w:val="000000"/>
          <w:sz w:val="24"/>
        </w:rPr>
      </w:pPr>
    </w:p>
    <w:p>
      <w:pPr>
        <w:adjustRightInd w:val="0"/>
        <w:snapToGrid w:val="0"/>
        <w:jc w:val="center"/>
        <w:rPr>
          <w:b/>
          <w:color w:val="000000"/>
          <w:sz w:val="32"/>
        </w:rPr>
      </w:pPr>
      <w:r>
        <w:rPr>
          <w:b/>
          <w:color w:val="000000"/>
          <w:sz w:val="32"/>
        </w:rPr>
        <w:t>《建设项目环境影响报告表》编制说明</w:t>
      </w:r>
    </w:p>
    <w:p>
      <w:pPr>
        <w:adjustRightInd w:val="0"/>
        <w:snapToGrid w:val="0"/>
        <w:jc w:val="center"/>
        <w:rPr>
          <w:b/>
          <w:color w:val="000000"/>
          <w:sz w:val="32"/>
        </w:rPr>
      </w:pPr>
    </w:p>
    <w:p>
      <w:pPr>
        <w:adjustRightInd w:val="0"/>
        <w:snapToGrid w:val="0"/>
        <w:spacing w:line="660" w:lineRule="exact"/>
        <w:ind w:firstLine="482"/>
        <w:rPr>
          <w:color w:val="000000"/>
          <w:sz w:val="24"/>
        </w:rPr>
      </w:pPr>
      <w:r>
        <w:rPr>
          <w:color w:val="000000"/>
          <w:sz w:val="24"/>
        </w:rPr>
        <w:t>《建设项目环境影响报告表》由具有从事环境影响评价工作资质的单位编制。</w:t>
      </w:r>
    </w:p>
    <w:p>
      <w:pPr>
        <w:numPr>
          <w:ilvl w:val="0"/>
          <w:numId w:val="1"/>
        </w:numPr>
        <w:adjustRightInd w:val="0"/>
        <w:snapToGrid w:val="0"/>
        <w:spacing w:line="660" w:lineRule="exact"/>
        <w:rPr>
          <w:color w:val="000000"/>
          <w:sz w:val="24"/>
        </w:rPr>
      </w:pPr>
      <w:r>
        <w:rPr>
          <w:color w:val="000000"/>
          <w:sz w:val="24"/>
        </w:rPr>
        <w:t>项目名称──指项目立项批复时的名称，应不超过30个字（两个英文字段作一个汉字）。</w:t>
      </w:r>
    </w:p>
    <w:p>
      <w:pPr>
        <w:numPr>
          <w:ilvl w:val="0"/>
          <w:numId w:val="1"/>
        </w:numPr>
        <w:adjustRightInd w:val="0"/>
        <w:snapToGrid w:val="0"/>
        <w:spacing w:line="660" w:lineRule="exact"/>
        <w:rPr>
          <w:color w:val="000000"/>
          <w:sz w:val="24"/>
        </w:rPr>
      </w:pPr>
      <w:r>
        <w:rPr>
          <w:color w:val="000000"/>
          <w:sz w:val="24"/>
        </w:rPr>
        <w:t>建设地点──指项目所在地详细地址，公路、铁路应填写起止地点。</w:t>
      </w:r>
    </w:p>
    <w:p>
      <w:pPr>
        <w:numPr>
          <w:ilvl w:val="0"/>
          <w:numId w:val="1"/>
        </w:numPr>
        <w:adjustRightInd w:val="0"/>
        <w:snapToGrid w:val="0"/>
        <w:spacing w:line="660" w:lineRule="exact"/>
        <w:rPr>
          <w:color w:val="000000"/>
          <w:sz w:val="24"/>
        </w:rPr>
      </w:pPr>
      <w:r>
        <w:rPr>
          <w:color w:val="000000"/>
          <w:sz w:val="24"/>
        </w:rPr>
        <w:t>行业类别──按国标填写。</w:t>
      </w:r>
    </w:p>
    <w:p>
      <w:pPr>
        <w:numPr>
          <w:ilvl w:val="0"/>
          <w:numId w:val="1"/>
        </w:numPr>
        <w:adjustRightInd w:val="0"/>
        <w:snapToGrid w:val="0"/>
        <w:spacing w:line="660" w:lineRule="exact"/>
        <w:rPr>
          <w:color w:val="000000"/>
          <w:sz w:val="24"/>
        </w:rPr>
      </w:pPr>
      <w:r>
        <w:rPr>
          <w:color w:val="000000"/>
          <w:sz w:val="24"/>
        </w:rPr>
        <w:t>总投资──指项目投资总额。</w:t>
      </w:r>
    </w:p>
    <w:p>
      <w:pPr>
        <w:numPr>
          <w:ilvl w:val="0"/>
          <w:numId w:val="1"/>
        </w:numPr>
        <w:adjustRightInd w:val="0"/>
        <w:snapToGrid w:val="0"/>
        <w:spacing w:line="660" w:lineRule="exact"/>
        <w:rPr>
          <w:color w:val="000000"/>
          <w:sz w:val="24"/>
        </w:rPr>
      </w:pPr>
      <w:r>
        <w:rPr>
          <w:color w:val="000000"/>
          <w:sz w:val="24"/>
        </w:rPr>
        <w:t>主要环境保护目标──指项目区周围一定范围内集中居民住宅区、学校、</w:t>
      </w:r>
      <w:r>
        <w:rPr>
          <w:rFonts w:hint="eastAsia"/>
          <w:color w:val="000000"/>
          <w:sz w:val="24"/>
        </w:rPr>
        <w:t>卫生院</w:t>
      </w:r>
      <w:r>
        <w:rPr>
          <w:color w:val="000000"/>
          <w:sz w:val="24"/>
        </w:rPr>
        <w:t>、保护文物、风景名胜区、水源地和生态敏感点等，应尽可能给出保护目标、性质、规模和距厂界距离等。</w:t>
      </w:r>
    </w:p>
    <w:p>
      <w:pPr>
        <w:numPr>
          <w:ilvl w:val="0"/>
          <w:numId w:val="1"/>
        </w:numPr>
        <w:adjustRightInd w:val="0"/>
        <w:snapToGrid w:val="0"/>
        <w:spacing w:line="660" w:lineRule="exact"/>
        <w:rPr>
          <w:color w:val="000000"/>
          <w:sz w:val="24"/>
        </w:rPr>
      </w:pPr>
      <w:r>
        <w:rPr>
          <w:color w:val="000000"/>
          <w:sz w:val="24"/>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Pr>
        <w:adjustRightInd w:val="0"/>
        <w:snapToGrid w:val="0"/>
        <w:spacing w:line="660" w:lineRule="exact"/>
        <w:rPr>
          <w:color w:val="000000"/>
          <w:sz w:val="24"/>
        </w:rPr>
      </w:pPr>
      <w:r>
        <w:rPr>
          <w:color w:val="000000"/>
          <w:sz w:val="24"/>
        </w:rPr>
        <w:t>预审意见──由行业主管部门填写答复意见，无主管部门项目，可不填。</w:t>
      </w:r>
    </w:p>
    <w:p>
      <w:pPr>
        <w:numPr>
          <w:ilvl w:val="0"/>
          <w:numId w:val="1"/>
        </w:numPr>
        <w:adjustRightInd w:val="0"/>
        <w:snapToGrid w:val="0"/>
        <w:spacing w:line="660" w:lineRule="exact"/>
        <w:rPr>
          <w:color w:val="000000"/>
          <w:sz w:val="24"/>
        </w:rPr>
      </w:pPr>
      <w:r>
        <w:rPr>
          <w:color w:val="000000"/>
          <w:sz w:val="24"/>
        </w:rPr>
        <w:t>审批意见──由负责审批该项目的环境保护行政主管部门批复。</w:t>
      </w:r>
    </w:p>
    <w:p>
      <w:pPr>
        <w:adjustRightInd w:val="0"/>
        <w:snapToGrid w:val="0"/>
        <w:spacing w:line="300" w:lineRule="auto"/>
        <w:rPr>
          <w:color w:val="000000"/>
          <w:sz w:val="24"/>
        </w:rPr>
      </w:pPr>
    </w:p>
    <w:p>
      <w:pPr>
        <w:pStyle w:val="29"/>
        <w:jc w:val="center"/>
        <w:rPr>
          <w:bCs/>
          <w:sz w:val="30"/>
          <w:szCs w:val="30"/>
        </w:rPr>
      </w:pPr>
    </w:p>
    <w:p>
      <w:pPr>
        <w:pStyle w:val="29"/>
        <w:jc w:val="center"/>
        <w:rPr>
          <w:bCs/>
          <w:sz w:val="30"/>
          <w:szCs w:val="30"/>
        </w:rPr>
      </w:pPr>
    </w:p>
    <w:p>
      <w:pPr>
        <w:rPr>
          <w:b/>
          <w:color w:val="000000"/>
          <w:sz w:val="24"/>
        </w:rPr>
      </w:pPr>
    </w:p>
    <w:p>
      <w:pPr>
        <w:rPr>
          <w:b/>
          <w:color w:val="000000"/>
          <w:sz w:val="24"/>
        </w:rPr>
      </w:pPr>
    </w:p>
    <w:p>
      <w:pPr>
        <w:rPr>
          <w:b/>
          <w:color w:val="000000"/>
          <w:sz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4261" w:type="dxa"/>
          </w:tcPr>
          <w:p>
            <w:pPr>
              <w:jc w:val="center"/>
              <w:rPr>
                <w:rFonts w:ascii="Calibri" w:hAnsi="Calibri"/>
              </w:rPr>
            </w:pPr>
            <w:r>
              <w:rPr>
                <w:rFonts w:ascii="Calibri" w:hAnsi="Calibri"/>
              </w:rPr>
              <w:drawing>
                <wp:inline distT="0" distB="0" distL="114300" distR="114300">
                  <wp:extent cx="2560320" cy="1811655"/>
                  <wp:effectExtent l="0" t="0" r="11430" b="17145"/>
                  <wp:docPr id="5" name="图片 5" descr="fda426e03ff5c24fc837444d766c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a426e03ff5c24fc837444d766c3be"/>
                          <pic:cNvPicPr>
                            <a:picLocks noChangeAspect="1"/>
                          </pic:cNvPicPr>
                        </pic:nvPicPr>
                        <pic:blipFill>
                          <a:blip r:embed="rId10"/>
                          <a:stretch>
                            <a:fillRect/>
                          </a:stretch>
                        </pic:blipFill>
                        <pic:spPr>
                          <a:xfrm>
                            <a:off x="0" y="0"/>
                            <a:ext cx="2560320" cy="1811655"/>
                          </a:xfrm>
                          <a:prstGeom prst="rect">
                            <a:avLst/>
                          </a:prstGeom>
                        </pic:spPr>
                      </pic:pic>
                    </a:graphicData>
                  </a:graphic>
                </wp:inline>
              </w:drawing>
            </w:r>
          </w:p>
        </w:tc>
        <w:tc>
          <w:tcPr>
            <w:tcW w:w="4261" w:type="dxa"/>
          </w:tcPr>
          <w:p>
            <w:pPr>
              <w:jc w:val="center"/>
              <w:rPr>
                <w:rFonts w:ascii="Calibri" w:hAnsi="Calibri"/>
              </w:rPr>
            </w:pPr>
            <w:r>
              <w:rPr>
                <w:rFonts w:ascii="Calibri" w:hAnsi="Calibri"/>
              </w:rPr>
              <w:drawing>
                <wp:inline distT="0" distB="0" distL="114300" distR="114300">
                  <wp:extent cx="2567940" cy="1781175"/>
                  <wp:effectExtent l="0" t="0" r="3810" b="9525"/>
                  <wp:docPr id="4" name="图片 4" descr="5573256fcdfe2af0135d37069cac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73256fcdfe2af0135d37069cacc03"/>
                          <pic:cNvPicPr>
                            <a:picLocks noChangeAspect="1"/>
                          </pic:cNvPicPr>
                        </pic:nvPicPr>
                        <pic:blipFill>
                          <a:blip r:embed="rId11"/>
                          <a:stretch>
                            <a:fillRect/>
                          </a:stretch>
                        </pic:blipFill>
                        <pic:spPr>
                          <a:xfrm>
                            <a:off x="0" y="0"/>
                            <a:ext cx="2567940" cy="1781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hint="eastAsia" w:ascii="Calibri" w:hAnsi="Calibri"/>
              </w:rPr>
              <w:t>东川园区正门照片</w:t>
            </w:r>
          </w:p>
        </w:tc>
        <w:tc>
          <w:tcPr>
            <w:tcW w:w="4261" w:type="dxa"/>
          </w:tcPr>
          <w:p>
            <w:pPr>
              <w:spacing w:line="360" w:lineRule="auto"/>
              <w:jc w:val="center"/>
              <w:rPr>
                <w:rFonts w:ascii="Calibri" w:hAnsi="Calibri"/>
              </w:rPr>
            </w:pPr>
            <w:r>
              <w:t>项目</w:t>
            </w:r>
            <w:r>
              <w:rPr>
                <w:rFonts w:hint="eastAsia"/>
              </w:rPr>
              <w:t>东</w:t>
            </w:r>
            <w:r>
              <w:t>侧华新水泥厂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ascii="Calibri" w:hAnsi="Calibri"/>
              </w:rPr>
              <w:drawing>
                <wp:inline distT="0" distB="0" distL="114300" distR="114300">
                  <wp:extent cx="2567940" cy="1811655"/>
                  <wp:effectExtent l="0" t="0" r="3810" b="17145"/>
                  <wp:docPr id="6" name="图片 6" descr="d1b034c23113539034d7a702c5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b034c23113539034d7a702c542045"/>
                          <pic:cNvPicPr>
                            <a:picLocks noChangeAspect="1"/>
                          </pic:cNvPicPr>
                        </pic:nvPicPr>
                        <pic:blipFill>
                          <a:blip r:embed="rId12"/>
                          <a:stretch>
                            <a:fillRect/>
                          </a:stretch>
                        </pic:blipFill>
                        <pic:spPr>
                          <a:xfrm>
                            <a:off x="0" y="0"/>
                            <a:ext cx="2567940" cy="1811655"/>
                          </a:xfrm>
                          <a:prstGeom prst="rect">
                            <a:avLst/>
                          </a:prstGeom>
                        </pic:spPr>
                      </pic:pic>
                    </a:graphicData>
                  </a:graphic>
                </wp:inline>
              </w:drawing>
            </w:r>
          </w:p>
        </w:tc>
        <w:tc>
          <w:tcPr>
            <w:tcW w:w="4261" w:type="dxa"/>
          </w:tcPr>
          <w:p>
            <w:pPr>
              <w:spacing w:line="360" w:lineRule="auto"/>
              <w:jc w:val="center"/>
              <w:rPr>
                <w:rFonts w:ascii="Calibri" w:hAnsi="Calibri"/>
              </w:rPr>
            </w:pPr>
            <w:r>
              <w:rPr>
                <w:rFonts w:ascii="Calibri" w:hAnsi="Calibri"/>
              </w:rPr>
              <w:drawing>
                <wp:inline distT="0" distB="0" distL="114300" distR="114300">
                  <wp:extent cx="2567940" cy="1805940"/>
                  <wp:effectExtent l="0" t="0" r="3810" b="3810"/>
                  <wp:docPr id="7" name="图片 7" descr="10a0ccbaabf2e7c570173e8b97fa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a0ccbaabf2e7c570173e8b97fa105"/>
                          <pic:cNvPicPr>
                            <a:picLocks noChangeAspect="1"/>
                          </pic:cNvPicPr>
                        </pic:nvPicPr>
                        <pic:blipFill>
                          <a:blip r:embed="rId13"/>
                          <a:stretch>
                            <a:fillRect/>
                          </a:stretch>
                        </pic:blipFill>
                        <pic:spPr>
                          <a:xfrm>
                            <a:off x="0" y="0"/>
                            <a:ext cx="2567940" cy="1805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hint="eastAsia"/>
                <w:bCs/>
                <w:color w:val="000000"/>
                <w:szCs w:val="21"/>
              </w:rPr>
              <w:t>项目北侧368m大龙潭村</w:t>
            </w:r>
          </w:p>
        </w:tc>
        <w:tc>
          <w:tcPr>
            <w:tcW w:w="4261" w:type="dxa"/>
          </w:tcPr>
          <w:p>
            <w:pPr>
              <w:spacing w:line="360" w:lineRule="auto"/>
              <w:jc w:val="center"/>
              <w:rPr>
                <w:rFonts w:ascii="Calibri" w:hAnsi="Calibri"/>
              </w:rPr>
            </w:pPr>
            <w:r>
              <w:t>项目</w:t>
            </w:r>
            <w:r>
              <w:rPr>
                <w:rFonts w:hint="eastAsia"/>
              </w:rPr>
              <w:t>北侧</w:t>
            </w:r>
            <w:r>
              <w:t>2</w:t>
            </w:r>
            <w:r>
              <w:rPr>
                <w:rFonts w:hint="eastAsia"/>
              </w:rPr>
              <w:t>30</w:t>
            </w:r>
            <w:r>
              <w:t>m驾校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ascii="Calibri" w:hAnsi="Calibri"/>
              </w:rPr>
              <w:drawing>
                <wp:inline distT="0" distB="0" distL="114300" distR="114300">
                  <wp:extent cx="2567940" cy="1748790"/>
                  <wp:effectExtent l="0" t="0" r="3810" b="3810"/>
                  <wp:docPr id="8" name="图片 8" descr="71e89d0b6fb6b725d9b3b071058e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e89d0b6fb6b725d9b3b071058ece0"/>
                          <pic:cNvPicPr>
                            <a:picLocks noChangeAspect="1"/>
                          </pic:cNvPicPr>
                        </pic:nvPicPr>
                        <pic:blipFill>
                          <a:blip r:embed="rId14"/>
                          <a:stretch>
                            <a:fillRect/>
                          </a:stretch>
                        </pic:blipFill>
                        <pic:spPr>
                          <a:xfrm>
                            <a:off x="0" y="0"/>
                            <a:ext cx="2567940" cy="1748790"/>
                          </a:xfrm>
                          <a:prstGeom prst="rect">
                            <a:avLst/>
                          </a:prstGeom>
                        </pic:spPr>
                      </pic:pic>
                    </a:graphicData>
                  </a:graphic>
                </wp:inline>
              </w:drawing>
            </w:r>
          </w:p>
        </w:tc>
        <w:tc>
          <w:tcPr>
            <w:tcW w:w="4261" w:type="dxa"/>
          </w:tcPr>
          <w:p>
            <w:pPr>
              <w:spacing w:line="360" w:lineRule="auto"/>
              <w:jc w:val="center"/>
              <w:rPr>
                <w:rFonts w:ascii="Calibri" w:hAnsi="Calibri"/>
              </w:rPr>
            </w:pPr>
            <w:r>
              <w:rPr>
                <w:rFonts w:ascii="Calibri" w:hAnsi="Calibri"/>
              </w:rPr>
              <w:drawing>
                <wp:inline distT="0" distB="0" distL="114300" distR="114300">
                  <wp:extent cx="2560320" cy="1766570"/>
                  <wp:effectExtent l="0" t="0" r="11430" b="5080"/>
                  <wp:docPr id="10" name="图片 10" descr="26e863d48b1bfed2bbd671adf6b5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e863d48b1bfed2bbd671adf6b5a2d"/>
                          <pic:cNvPicPr>
                            <a:picLocks noChangeAspect="1"/>
                          </pic:cNvPicPr>
                        </pic:nvPicPr>
                        <pic:blipFill>
                          <a:blip r:embed="rId15"/>
                          <a:stretch>
                            <a:fillRect/>
                          </a:stretch>
                        </pic:blipFill>
                        <pic:spPr>
                          <a:xfrm>
                            <a:off x="0" y="0"/>
                            <a:ext cx="2560320" cy="1766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hint="eastAsia" w:ascii="Calibri" w:hAnsi="Calibri"/>
              </w:rPr>
              <w:t>厂房现状照片</w:t>
            </w:r>
          </w:p>
        </w:tc>
        <w:tc>
          <w:tcPr>
            <w:tcW w:w="4261" w:type="dxa"/>
          </w:tcPr>
          <w:p>
            <w:pPr>
              <w:spacing w:line="360" w:lineRule="auto"/>
              <w:jc w:val="center"/>
              <w:rPr>
                <w:rFonts w:ascii="Calibri" w:hAnsi="Calibri"/>
              </w:rPr>
            </w:pPr>
            <w:r>
              <w:rPr>
                <w:rFonts w:hint="eastAsia" w:ascii="Calibri" w:hAnsi="Calibri"/>
              </w:rPr>
              <w:t>厂房现状照片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rPr>
            </w:pPr>
            <w:r>
              <w:rPr>
                <w:rFonts w:hint="eastAsia" w:ascii="Calibri" w:hAnsi="Calibri"/>
              </w:rPr>
              <w:drawing>
                <wp:inline distT="0" distB="0" distL="114300" distR="114300">
                  <wp:extent cx="2567940" cy="1473835"/>
                  <wp:effectExtent l="0" t="0" r="3810" b="12065"/>
                  <wp:docPr id="11" name="图片 11" descr="460ffe955ff4db0b48d0b231d5d2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60ffe955ff4db0b48d0b231d5d2c08"/>
                          <pic:cNvPicPr>
                            <a:picLocks noChangeAspect="1"/>
                          </pic:cNvPicPr>
                        </pic:nvPicPr>
                        <pic:blipFill>
                          <a:blip r:embed="rId16"/>
                          <a:stretch>
                            <a:fillRect/>
                          </a:stretch>
                        </pic:blipFill>
                        <pic:spPr>
                          <a:xfrm>
                            <a:off x="0" y="0"/>
                            <a:ext cx="2567940" cy="1473835"/>
                          </a:xfrm>
                          <a:prstGeom prst="rect">
                            <a:avLst/>
                          </a:prstGeom>
                        </pic:spPr>
                      </pic:pic>
                    </a:graphicData>
                  </a:graphic>
                </wp:inline>
              </w:drawing>
            </w:r>
          </w:p>
        </w:tc>
        <w:tc>
          <w:tcPr>
            <w:tcW w:w="4261" w:type="dxa"/>
          </w:tcPr>
          <w:p>
            <w:pPr>
              <w:spacing w:line="360" w:lineRule="auto"/>
              <w:jc w:val="center"/>
              <w:rPr>
                <w:rFonts w:ascii="Calibri" w:hAnsi="Calibri"/>
              </w:rPr>
            </w:pPr>
            <w:r>
              <w:rPr>
                <w:rFonts w:hint="eastAsia" w:ascii="Calibri" w:hAnsi="Calibri"/>
              </w:rPr>
              <w:drawing>
                <wp:inline distT="0" distB="0" distL="114300" distR="114300">
                  <wp:extent cx="2560320" cy="1500505"/>
                  <wp:effectExtent l="0" t="0" r="11430" b="4445"/>
                  <wp:docPr id="12" name="图片 12" descr="21029b12dc39c4db4d4b75c92e1a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029b12dc39c4db4d4b75c92e1ae8b"/>
                          <pic:cNvPicPr>
                            <a:picLocks noChangeAspect="1"/>
                          </pic:cNvPicPr>
                        </pic:nvPicPr>
                        <pic:blipFill>
                          <a:blip r:embed="rId17"/>
                          <a:stretch>
                            <a:fillRect/>
                          </a:stretch>
                        </pic:blipFill>
                        <pic:spPr>
                          <a:xfrm>
                            <a:off x="0" y="0"/>
                            <a:ext cx="2560320" cy="1500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61" w:type="dxa"/>
          </w:tcPr>
          <w:p>
            <w:pPr>
              <w:spacing w:line="360" w:lineRule="auto"/>
              <w:jc w:val="center"/>
              <w:rPr>
                <w:rFonts w:ascii="Calibri" w:hAnsi="Calibri"/>
              </w:rPr>
            </w:pPr>
            <w:r>
              <w:rPr>
                <w:rFonts w:hint="eastAsia" w:ascii="Calibri" w:hAnsi="Calibri"/>
              </w:rPr>
              <w:t>厂区道路</w:t>
            </w:r>
          </w:p>
        </w:tc>
        <w:tc>
          <w:tcPr>
            <w:tcW w:w="4261" w:type="dxa"/>
          </w:tcPr>
          <w:p>
            <w:pPr>
              <w:spacing w:line="360" w:lineRule="auto"/>
              <w:jc w:val="center"/>
              <w:rPr>
                <w:rFonts w:ascii="Calibri" w:hAnsi="Calibri"/>
              </w:rPr>
            </w:pPr>
            <w:r>
              <w:rPr>
                <w:rFonts w:hint="eastAsia" w:ascii="Calibri" w:hAnsi="Calibri"/>
              </w:rPr>
              <w:t>厂房现状照片</w:t>
            </w:r>
          </w:p>
        </w:tc>
      </w:tr>
    </w:tbl>
    <w:p>
      <w:pPr>
        <w:pStyle w:val="74"/>
        <w:tabs>
          <w:tab w:val="right" w:leader="dot" w:pos="8306"/>
        </w:tabs>
        <w:spacing w:line="360" w:lineRule="auto"/>
        <w:jc w:val="center"/>
        <w:rPr>
          <w:rFonts w:hint="default" w:eastAsia="宋体"/>
          <w:b/>
          <w:color w:val="000000"/>
          <w:sz w:val="24"/>
          <w:szCs w:val="24"/>
          <w:lang w:val="en-US" w:eastAsia="zh-CN"/>
        </w:rPr>
      </w:pPr>
      <w:r>
        <w:rPr>
          <w:rFonts w:hint="eastAsia" w:ascii="Calibri" w:hAnsi="Calibri" w:eastAsia="宋体"/>
          <w:b/>
          <w:bCs/>
          <w:sz w:val="24"/>
          <w:szCs w:val="24"/>
        </w:rPr>
        <w:t>项目现场照片</w:t>
      </w:r>
      <w:r>
        <w:rPr>
          <w:rStyle w:val="28"/>
          <w:rFonts w:hint="eastAsia" w:ascii="Times New Roman" w:hAnsi="Times New Roman" w:eastAsia="宋体"/>
          <w:highlight w:val="none"/>
          <w:lang w:eastAsia="zh-CN"/>
        </w:rPr>
        <w:t>（</w:t>
      </w:r>
      <w:r>
        <w:rPr>
          <w:rStyle w:val="28"/>
          <w:rFonts w:hint="eastAsia" w:ascii="Times New Roman" w:hAnsi="Times New Roman" w:eastAsia="宋体"/>
          <w:highlight w:val="none"/>
          <w:lang w:val="en-US" w:eastAsia="zh-CN"/>
        </w:rPr>
        <w:t>2023年6月10号拍摄）</w:t>
      </w:r>
    </w:p>
    <w:sdt>
      <w:sdtPr>
        <w:rPr>
          <w:rFonts w:ascii="宋体" w:hAnsi="宋体" w:eastAsia="等线"/>
          <w:kern w:val="0"/>
          <w:sz w:val="20"/>
          <w:szCs w:val="20"/>
        </w:rPr>
        <w:id w:val="147454235"/>
        <w:docPartObj>
          <w:docPartGallery w:val="Table of Contents"/>
          <w:docPartUnique/>
        </w:docPartObj>
      </w:sdtPr>
      <w:sdtEndPr>
        <w:rPr>
          <w:rFonts w:ascii="等线" w:hAnsi="等线" w:eastAsia="等线"/>
          <w:color w:val="000000"/>
          <w:kern w:val="0"/>
          <w:sz w:val="20"/>
          <w:szCs w:val="20"/>
        </w:rPr>
      </w:sdtEndPr>
      <w:sdtContent>
        <w:p>
          <w:pPr>
            <w:spacing w:line="360" w:lineRule="auto"/>
            <w:jc w:val="center"/>
            <w:rPr>
              <w:szCs w:val="21"/>
            </w:rPr>
          </w:pPr>
          <w:r>
            <w:rPr>
              <w:b/>
              <w:bCs/>
              <w:szCs w:val="21"/>
            </w:rPr>
            <w:t>目录</w:t>
          </w:r>
        </w:p>
        <w:p>
          <w:pPr>
            <w:pStyle w:val="74"/>
            <w:tabs>
              <w:tab w:val="right" w:leader="dot" w:pos="8844"/>
            </w:tabs>
            <w:spacing w:line="360" w:lineRule="auto"/>
            <w:rPr>
              <w:rFonts w:ascii="Times New Roman" w:hAnsi="Times New Roman"/>
              <w:sz w:val="21"/>
              <w:szCs w:val="21"/>
            </w:rPr>
          </w:pPr>
          <w:r>
            <w:rPr>
              <w:rFonts w:ascii="Times New Roman" w:hAnsi="Times New Roman"/>
              <w:b/>
              <w:color w:val="000000"/>
              <w:sz w:val="21"/>
              <w:szCs w:val="21"/>
            </w:rPr>
            <w:fldChar w:fldCharType="begin"/>
          </w:r>
          <w:r>
            <w:rPr>
              <w:rFonts w:ascii="Times New Roman" w:hAnsi="Times New Roman"/>
              <w:b/>
              <w:color w:val="000000"/>
              <w:sz w:val="21"/>
              <w:szCs w:val="21"/>
            </w:rPr>
            <w:instrText xml:space="preserve">TOC \o "1-1" \h \u </w:instrText>
          </w:r>
          <w:r>
            <w:rPr>
              <w:rFonts w:ascii="Times New Roman" w:hAnsi="Times New Roman"/>
              <w:b/>
              <w:color w:val="000000"/>
              <w:sz w:val="21"/>
              <w:szCs w:val="21"/>
            </w:rPr>
            <w:fldChar w:fldCharType="separate"/>
          </w:r>
          <w:r>
            <w:fldChar w:fldCharType="begin"/>
          </w:r>
          <w:r>
            <w:instrText xml:space="preserve"> HYPERLINK \l "_Toc9028" </w:instrText>
          </w:r>
          <w:r>
            <w:fldChar w:fldCharType="separate"/>
          </w:r>
          <w:r>
            <w:rPr>
              <w:rFonts w:ascii="Times New Roman" w:hAnsi="Times New Roman" w:eastAsia="黑体"/>
              <w:snapToGrid w:val="0"/>
              <w:sz w:val="21"/>
              <w:szCs w:val="21"/>
            </w:rPr>
            <w:t>一、建设项目基本情况</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_Toc9028 \h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"_Toc21316" </w:instrText>
          </w:r>
          <w:r>
            <w:fldChar w:fldCharType="separate"/>
          </w:r>
          <w:r>
            <w:rPr>
              <w:rFonts w:ascii="Times New Roman" w:hAnsi="Times New Roman" w:eastAsia="黑体"/>
              <w:snapToGrid w:val="0"/>
              <w:sz w:val="21"/>
              <w:szCs w:val="21"/>
            </w:rPr>
            <w:t>二、建设项目工程分析</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_Toc21316 \h </w:instrText>
          </w:r>
          <w:r>
            <w:rPr>
              <w:rFonts w:ascii="Times New Roman" w:hAnsi="Times New Roman"/>
              <w:sz w:val="21"/>
              <w:szCs w:val="21"/>
            </w:rPr>
            <w:fldChar w:fldCharType="separate"/>
          </w:r>
          <w:r>
            <w:rPr>
              <w:rFonts w:ascii="Times New Roman" w:hAnsi="Times New Roman"/>
              <w:sz w:val="21"/>
              <w:szCs w:val="21"/>
            </w:rPr>
            <w:t>18</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"_Toc797" </w:instrText>
          </w:r>
          <w:r>
            <w:fldChar w:fldCharType="separate"/>
          </w:r>
          <w:r>
            <w:rPr>
              <w:rFonts w:ascii="Times New Roman" w:hAnsi="Times New Roman" w:eastAsia="黑体"/>
              <w:snapToGrid w:val="0"/>
              <w:sz w:val="21"/>
              <w:szCs w:val="21"/>
            </w:rPr>
            <w:t>三、区域环境质量现状、环境保护目标及评价标准</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_Toc797 \h </w:instrText>
          </w:r>
          <w:r>
            <w:rPr>
              <w:rFonts w:ascii="Times New Roman" w:hAnsi="Times New Roman"/>
              <w:sz w:val="21"/>
              <w:szCs w:val="21"/>
            </w:rPr>
            <w:fldChar w:fldCharType="separate"/>
          </w:r>
          <w:r>
            <w:rPr>
              <w:rFonts w:ascii="Times New Roman" w:hAnsi="Times New Roman"/>
              <w:sz w:val="21"/>
              <w:szCs w:val="21"/>
            </w:rPr>
            <w:t>27</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"_Toc2666" </w:instrText>
          </w:r>
          <w:r>
            <w:fldChar w:fldCharType="separate"/>
          </w:r>
          <w:r>
            <w:rPr>
              <w:rFonts w:ascii="Times New Roman" w:hAnsi="Times New Roman" w:eastAsia="黑体"/>
              <w:snapToGrid w:val="0"/>
              <w:sz w:val="21"/>
              <w:szCs w:val="21"/>
            </w:rPr>
            <w:t>四、主要环境影响和保护措施</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_Toc2666 \h </w:instrText>
          </w:r>
          <w:r>
            <w:rPr>
              <w:rFonts w:ascii="Times New Roman" w:hAnsi="Times New Roman"/>
              <w:sz w:val="21"/>
              <w:szCs w:val="21"/>
            </w:rPr>
            <w:fldChar w:fldCharType="separate"/>
          </w:r>
          <w:r>
            <w:rPr>
              <w:rFonts w:ascii="Times New Roman" w:hAnsi="Times New Roman"/>
              <w:sz w:val="21"/>
              <w:szCs w:val="21"/>
            </w:rPr>
            <w:t>32</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"_Toc24163" </w:instrText>
          </w:r>
          <w:r>
            <w:fldChar w:fldCharType="separate"/>
          </w:r>
          <w:r>
            <w:rPr>
              <w:rFonts w:ascii="Times New Roman" w:hAnsi="Times New Roman" w:eastAsia="黑体"/>
              <w:snapToGrid w:val="0"/>
              <w:sz w:val="21"/>
              <w:szCs w:val="21"/>
            </w:rPr>
            <w:t>五、环境保护措施监督检查清单</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_Toc24163 \h </w:instrText>
          </w:r>
          <w:r>
            <w:rPr>
              <w:rFonts w:ascii="Times New Roman" w:hAnsi="Times New Roman"/>
              <w:sz w:val="21"/>
              <w:szCs w:val="21"/>
            </w:rPr>
            <w:fldChar w:fldCharType="separate"/>
          </w:r>
          <w:r>
            <w:rPr>
              <w:rFonts w:ascii="Times New Roman" w:hAnsi="Times New Roman"/>
              <w:sz w:val="21"/>
              <w:szCs w:val="21"/>
            </w:rPr>
            <w:t>57</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"_Toc10118" </w:instrText>
          </w:r>
          <w:r>
            <w:fldChar w:fldCharType="separate"/>
          </w:r>
          <w:r>
            <w:rPr>
              <w:rFonts w:ascii="Times New Roman" w:hAnsi="Times New Roman" w:eastAsia="黑体"/>
              <w:snapToGrid w:val="0"/>
              <w:sz w:val="21"/>
              <w:szCs w:val="21"/>
            </w:rPr>
            <w:t>六、结论</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_Toc10118 \h </w:instrText>
          </w:r>
          <w:r>
            <w:rPr>
              <w:rFonts w:ascii="Times New Roman" w:hAnsi="Times New Roman"/>
              <w:sz w:val="21"/>
              <w:szCs w:val="21"/>
            </w:rPr>
            <w:fldChar w:fldCharType="separate"/>
          </w:r>
          <w:r>
            <w:rPr>
              <w:rFonts w:ascii="Times New Roman" w:hAnsi="Times New Roman"/>
              <w:sz w:val="21"/>
              <w:szCs w:val="21"/>
            </w:rPr>
            <w:t>59</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844"/>
            </w:tabs>
            <w:spacing w:line="360" w:lineRule="auto"/>
            <w:rPr>
              <w:rFonts w:ascii="Times New Roman" w:hAnsi="Times New Roman"/>
              <w:sz w:val="21"/>
              <w:szCs w:val="21"/>
            </w:rPr>
          </w:pPr>
          <w:r>
            <w:fldChar w:fldCharType="begin"/>
          </w:r>
          <w:r>
            <w:instrText xml:space="preserve"> HYPERLINK \l "_Toc13543" </w:instrText>
          </w:r>
          <w:r>
            <w:fldChar w:fldCharType="separate"/>
          </w:r>
          <w:r>
            <w:rPr>
              <w:rFonts w:ascii="Times New Roman" w:hAnsi="Times New Roman" w:eastAsia="黑体"/>
              <w:snapToGrid w:val="0"/>
              <w:sz w:val="21"/>
              <w:szCs w:val="21"/>
            </w:rPr>
            <w:t>附表</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_Toc13543 \h </w:instrText>
          </w:r>
          <w:r>
            <w:rPr>
              <w:rFonts w:ascii="Times New Roman" w:hAnsi="Times New Roman"/>
              <w:sz w:val="21"/>
              <w:szCs w:val="21"/>
            </w:rPr>
            <w:fldChar w:fldCharType="separate"/>
          </w:r>
          <w:r>
            <w:rPr>
              <w:rFonts w:ascii="Times New Roman" w:hAnsi="Times New Roman"/>
              <w:sz w:val="21"/>
              <w:szCs w:val="21"/>
            </w:rPr>
            <w:t>60</w:t>
          </w:r>
          <w:r>
            <w:rPr>
              <w:rFonts w:ascii="Times New Roman" w:hAnsi="Times New Roman"/>
              <w:sz w:val="21"/>
              <w:szCs w:val="21"/>
            </w:rPr>
            <w:fldChar w:fldCharType="end"/>
          </w:r>
          <w:r>
            <w:rPr>
              <w:rFonts w:ascii="Times New Roman" w:hAnsi="Times New Roman"/>
              <w:sz w:val="21"/>
              <w:szCs w:val="21"/>
            </w:rPr>
            <w:fldChar w:fldCharType="end"/>
          </w:r>
        </w:p>
        <w:p>
          <w:pPr>
            <w:pStyle w:val="74"/>
            <w:tabs>
              <w:tab w:val="right" w:leader="dot" w:pos="8306"/>
            </w:tabs>
            <w:rPr>
              <w:color w:val="000000"/>
              <w:szCs w:val="24"/>
            </w:rPr>
          </w:pPr>
          <w:r>
            <w:rPr>
              <w:rFonts w:ascii="Times New Roman" w:hAnsi="Times New Roman"/>
              <w:color w:val="000000"/>
              <w:sz w:val="21"/>
              <w:szCs w:val="21"/>
            </w:rPr>
            <w:fldChar w:fldCharType="end"/>
          </w:r>
        </w:p>
      </w:sdtContent>
    </w:sdt>
    <w:p>
      <w:pPr>
        <w:pStyle w:val="74"/>
        <w:tabs>
          <w:tab w:val="right" w:leader="dot" w:pos="8306"/>
        </w:tabs>
        <w:spacing w:line="360" w:lineRule="auto"/>
        <w:rPr>
          <w:rFonts w:ascii="Times New Roman" w:hAnsi="Times New Roman" w:eastAsia="宋体"/>
          <w:b/>
          <w:bCs/>
          <w:sz w:val="21"/>
          <w:szCs w:val="21"/>
        </w:rPr>
      </w:pPr>
      <w:bookmarkStart w:id="3" w:name="_Toc2359"/>
      <w:bookmarkStart w:id="4" w:name="_Toc2611"/>
      <w:r>
        <w:rPr>
          <w:rFonts w:ascii="Times New Roman" w:hAnsi="Times New Roman" w:eastAsia="宋体"/>
          <w:b/>
          <w:bCs/>
          <w:sz w:val="21"/>
          <w:szCs w:val="21"/>
        </w:rPr>
        <w:t>附图：</w:t>
      </w:r>
    </w:p>
    <w:p>
      <w:pPr>
        <w:adjustRightInd w:val="0"/>
        <w:snapToGrid w:val="0"/>
        <w:spacing w:line="360" w:lineRule="auto"/>
        <w:outlineLvl w:val="0"/>
        <w:rPr>
          <w:szCs w:val="21"/>
        </w:rPr>
      </w:pPr>
      <w:bookmarkStart w:id="5" w:name="_Toc31744"/>
      <w:bookmarkStart w:id="6" w:name="_Toc4298"/>
      <w:r>
        <w:rPr>
          <w:szCs w:val="21"/>
        </w:rPr>
        <w:t>附图1</w:t>
      </w:r>
      <w:r>
        <w:rPr>
          <w:rFonts w:hint="eastAsia"/>
          <w:szCs w:val="21"/>
        </w:rPr>
        <w:t>：项目地理位置</w:t>
      </w:r>
      <w:r>
        <w:rPr>
          <w:szCs w:val="21"/>
        </w:rPr>
        <w:t>图；</w:t>
      </w:r>
      <w:bookmarkEnd w:id="5"/>
      <w:bookmarkEnd w:id="6"/>
    </w:p>
    <w:p>
      <w:pPr>
        <w:adjustRightInd w:val="0"/>
        <w:snapToGrid w:val="0"/>
        <w:spacing w:line="360" w:lineRule="auto"/>
        <w:outlineLvl w:val="0"/>
        <w:rPr>
          <w:szCs w:val="21"/>
        </w:rPr>
      </w:pPr>
      <w:bookmarkStart w:id="7" w:name="_Toc32700"/>
      <w:bookmarkStart w:id="8" w:name="_Toc17125"/>
      <w:r>
        <w:rPr>
          <w:szCs w:val="21"/>
        </w:rPr>
        <w:t>附图2</w:t>
      </w:r>
      <w:r>
        <w:rPr>
          <w:rFonts w:hint="eastAsia"/>
          <w:szCs w:val="21"/>
        </w:rPr>
        <w:t>：项目区域水系图；</w:t>
      </w:r>
    </w:p>
    <w:p>
      <w:pPr>
        <w:adjustRightInd w:val="0"/>
        <w:snapToGrid w:val="0"/>
        <w:spacing w:line="360" w:lineRule="auto"/>
        <w:outlineLvl w:val="0"/>
        <w:rPr>
          <w:szCs w:val="21"/>
        </w:rPr>
      </w:pPr>
      <w:r>
        <w:rPr>
          <w:rFonts w:hint="eastAsia"/>
          <w:szCs w:val="21"/>
        </w:rPr>
        <w:t>附图3：项目周边环境关系示意图；</w:t>
      </w:r>
      <w:bookmarkEnd w:id="7"/>
      <w:bookmarkEnd w:id="8"/>
    </w:p>
    <w:p>
      <w:pPr>
        <w:adjustRightInd w:val="0"/>
        <w:snapToGrid w:val="0"/>
        <w:spacing w:line="360" w:lineRule="auto"/>
        <w:outlineLvl w:val="0"/>
        <w:rPr>
          <w:szCs w:val="21"/>
        </w:rPr>
      </w:pPr>
      <w:bookmarkStart w:id="9" w:name="_Toc10902"/>
      <w:bookmarkStart w:id="10" w:name="_Toc9410"/>
      <w:r>
        <w:rPr>
          <w:szCs w:val="21"/>
        </w:rPr>
        <w:t>附图</w:t>
      </w:r>
      <w:r>
        <w:rPr>
          <w:rFonts w:hint="eastAsia"/>
          <w:szCs w:val="21"/>
        </w:rPr>
        <w:t>4</w:t>
      </w:r>
      <w:r>
        <w:rPr>
          <w:szCs w:val="21"/>
        </w:rPr>
        <w:t>：</w:t>
      </w:r>
      <w:r>
        <w:rPr>
          <w:rFonts w:hint="eastAsia"/>
          <w:szCs w:val="21"/>
        </w:rPr>
        <w:t>园区总平面布置图；</w:t>
      </w:r>
    </w:p>
    <w:p>
      <w:pPr>
        <w:adjustRightInd w:val="0"/>
        <w:snapToGrid w:val="0"/>
        <w:spacing w:line="360" w:lineRule="auto"/>
        <w:outlineLvl w:val="0"/>
        <w:rPr>
          <w:szCs w:val="21"/>
        </w:rPr>
      </w:pPr>
      <w:r>
        <w:rPr>
          <w:rFonts w:hint="eastAsia"/>
          <w:szCs w:val="21"/>
        </w:rPr>
        <w:t>附图5：项目</w:t>
      </w:r>
      <w:r>
        <w:rPr>
          <w:szCs w:val="21"/>
        </w:rPr>
        <w:t>总平面布置图；</w:t>
      </w:r>
      <w:bookmarkEnd w:id="9"/>
      <w:bookmarkEnd w:id="10"/>
    </w:p>
    <w:p>
      <w:pPr>
        <w:adjustRightInd w:val="0"/>
        <w:snapToGrid w:val="0"/>
        <w:spacing w:line="360" w:lineRule="auto"/>
        <w:outlineLvl w:val="0"/>
        <w:rPr>
          <w:szCs w:val="21"/>
        </w:rPr>
      </w:pPr>
      <w:bookmarkStart w:id="11" w:name="_Toc26855"/>
      <w:bookmarkStart w:id="12" w:name="_Toc31033"/>
      <w:r>
        <w:rPr>
          <w:szCs w:val="21"/>
        </w:rPr>
        <w:t>附图</w:t>
      </w:r>
      <w:r>
        <w:rPr>
          <w:rFonts w:hint="eastAsia"/>
          <w:szCs w:val="21"/>
        </w:rPr>
        <w:t>6</w:t>
      </w:r>
      <w:r>
        <w:rPr>
          <w:szCs w:val="21"/>
        </w:rPr>
        <w:t>：</w:t>
      </w:r>
      <w:r>
        <w:rPr>
          <w:rFonts w:hint="eastAsia"/>
          <w:szCs w:val="21"/>
        </w:rPr>
        <w:t>项目所在地生态功能区划图</w:t>
      </w:r>
      <w:r>
        <w:rPr>
          <w:szCs w:val="21"/>
        </w:rPr>
        <w:t>；</w:t>
      </w:r>
      <w:bookmarkEnd w:id="11"/>
      <w:bookmarkEnd w:id="12"/>
    </w:p>
    <w:p>
      <w:pPr>
        <w:adjustRightInd w:val="0"/>
        <w:snapToGrid w:val="0"/>
        <w:spacing w:line="360" w:lineRule="auto"/>
        <w:outlineLvl w:val="0"/>
        <w:rPr>
          <w:szCs w:val="21"/>
        </w:rPr>
      </w:pPr>
      <w:r>
        <w:rPr>
          <w:rFonts w:hint="eastAsia"/>
          <w:szCs w:val="21"/>
        </w:rPr>
        <w:t>附图7：项目所在地碧谷工业片区给排水规划图；</w:t>
      </w:r>
    </w:p>
    <w:p>
      <w:pPr>
        <w:adjustRightInd w:val="0"/>
        <w:snapToGrid w:val="0"/>
        <w:spacing w:line="360" w:lineRule="auto"/>
        <w:outlineLvl w:val="0"/>
      </w:pPr>
      <w:r>
        <w:rPr>
          <w:rFonts w:hint="eastAsia"/>
          <w:szCs w:val="21"/>
        </w:rPr>
        <w:t>附图8：项目所在碧谷工业片区用地规划图。</w:t>
      </w:r>
    </w:p>
    <w:p>
      <w:pPr>
        <w:adjustRightInd w:val="0"/>
        <w:snapToGrid w:val="0"/>
        <w:spacing w:line="360" w:lineRule="auto"/>
        <w:outlineLvl w:val="0"/>
        <w:rPr>
          <w:b/>
          <w:bCs/>
          <w:szCs w:val="21"/>
        </w:rPr>
      </w:pPr>
      <w:bookmarkStart w:id="13" w:name="_Toc16267"/>
      <w:bookmarkStart w:id="14" w:name="_Toc29854"/>
      <w:r>
        <w:rPr>
          <w:b/>
          <w:bCs/>
          <w:szCs w:val="21"/>
        </w:rPr>
        <w:t>附件：</w:t>
      </w:r>
      <w:bookmarkEnd w:id="13"/>
      <w:bookmarkEnd w:id="14"/>
      <w:r>
        <w:rPr>
          <w:b/>
          <w:bCs/>
          <w:szCs w:val="21"/>
        </w:rPr>
        <w:t xml:space="preserve"> </w:t>
      </w:r>
    </w:p>
    <w:p>
      <w:pPr>
        <w:adjustRightInd w:val="0"/>
        <w:snapToGrid w:val="0"/>
        <w:spacing w:line="360" w:lineRule="auto"/>
        <w:rPr>
          <w:szCs w:val="21"/>
        </w:rPr>
      </w:pPr>
      <w:r>
        <w:rPr>
          <w:szCs w:val="21"/>
        </w:rPr>
        <w:t>附件</w:t>
      </w:r>
      <w:r>
        <w:rPr>
          <w:rFonts w:hint="eastAsia"/>
          <w:szCs w:val="21"/>
        </w:rPr>
        <w:t xml:space="preserve">1 </w:t>
      </w:r>
      <w:r>
        <w:rPr>
          <w:szCs w:val="21"/>
        </w:rPr>
        <w:t>委托书；</w:t>
      </w:r>
    </w:p>
    <w:p>
      <w:pPr>
        <w:adjustRightInd w:val="0"/>
        <w:snapToGrid w:val="0"/>
        <w:spacing w:line="360" w:lineRule="auto"/>
        <w:rPr>
          <w:szCs w:val="21"/>
        </w:rPr>
      </w:pPr>
      <w:r>
        <w:rPr>
          <w:szCs w:val="21"/>
        </w:rPr>
        <w:t>附件</w:t>
      </w:r>
      <w:r>
        <w:rPr>
          <w:rFonts w:hint="eastAsia"/>
          <w:szCs w:val="21"/>
        </w:rPr>
        <w:t>2 声明确认书；</w:t>
      </w:r>
    </w:p>
    <w:p>
      <w:pPr>
        <w:adjustRightInd w:val="0"/>
        <w:snapToGrid w:val="0"/>
        <w:spacing w:line="360" w:lineRule="auto"/>
        <w:rPr>
          <w:szCs w:val="21"/>
        </w:rPr>
      </w:pPr>
      <w:r>
        <w:rPr>
          <w:szCs w:val="21"/>
        </w:rPr>
        <w:t>附件</w:t>
      </w:r>
      <w:r>
        <w:rPr>
          <w:rFonts w:hint="eastAsia"/>
          <w:szCs w:val="21"/>
        </w:rPr>
        <w:t xml:space="preserve">3 </w:t>
      </w:r>
      <w:r>
        <w:rPr>
          <w:szCs w:val="21"/>
        </w:rPr>
        <w:t>投资项目备案证</w:t>
      </w:r>
      <w:r>
        <w:rPr>
          <w:rFonts w:hint="eastAsia"/>
          <w:szCs w:val="21"/>
        </w:rPr>
        <w:t>；</w:t>
      </w:r>
    </w:p>
    <w:p>
      <w:pPr>
        <w:adjustRightInd w:val="0"/>
        <w:snapToGrid w:val="0"/>
        <w:spacing w:line="360" w:lineRule="auto"/>
        <w:rPr>
          <w:szCs w:val="21"/>
        </w:rPr>
      </w:pPr>
      <w:r>
        <w:rPr>
          <w:szCs w:val="21"/>
        </w:rPr>
        <w:t>附件</w:t>
      </w:r>
      <w:r>
        <w:rPr>
          <w:rFonts w:hint="eastAsia"/>
          <w:szCs w:val="21"/>
        </w:rPr>
        <w:t>4 营业执照；</w:t>
      </w:r>
    </w:p>
    <w:p>
      <w:pPr>
        <w:adjustRightInd w:val="0"/>
        <w:snapToGrid w:val="0"/>
        <w:spacing w:line="360" w:lineRule="auto"/>
        <w:rPr>
          <w:szCs w:val="21"/>
        </w:rPr>
      </w:pPr>
      <w:r>
        <w:rPr>
          <w:rFonts w:hint="eastAsia"/>
          <w:szCs w:val="21"/>
        </w:rPr>
        <w:t>附件5 入园批复；</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附件6 云南东川产业园区总体规划修编联审联评意见（2021-2035年）；</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附件7 </w:t>
      </w:r>
      <w:r>
        <w:rPr>
          <w:rFonts w:hint="eastAsia"/>
          <w:color w:val="000000" w:themeColor="text1"/>
          <w:szCs w:val="21"/>
          <w:highlight w:val="none"/>
          <w:u w:val="none"/>
          <w14:textFill>
            <w14:solidFill>
              <w14:schemeClr w14:val="tx1"/>
            </w14:solidFill>
          </w14:textFill>
        </w:rPr>
        <w:t>昆明市人民政府关于云南东川产业园区总体规划修编（2021—2035年）的批复（昆政复[2023]37号）；</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附件8 昆明市生态环境局关于《云南东川产业园区总体规划修编（2021-2035）环境影响报告书》的审查意见；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附件9 《多晶硅碎片综合利用项目》节能审查的意见；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附件10 厂房租赁合同；</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附件11 绿化带冷却循环水池用地证明文件；</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附件12 招商引资协议书；</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附件13 土地证；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附件14 法人身份证复印件；</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附件15 </w:t>
      </w:r>
      <w:bookmarkEnd w:id="3"/>
      <w:bookmarkEnd w:id="4"/>
      <w:r>
        <w:rPr>
          <w:rFonts w:hint="eastAsia"/>
          <w:color w:val="000000" w:themeColor="text1"/>
          <w:szCs w:val="21"/>
          <w14:textFill>
            <w14:solidFill>
              <w14:schemeClr w14:val="tx1"/>
            </w14:solidFill>
          </w14:textFill>
        </w:rPr>
        <w:t>原料采购合同；</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附件16 产品销售协议；</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附件17 变更经营投资主体文件；</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附件18 原料厂商环评批复（九顺科技环评批复—饶环督字[2010]255号）；</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附件19 资料核实说明；</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附件20 《一种硅锭开方固定结构》CN207014585U；</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附件21 园区污水处理厂污水接纳证明</w:t>
      </w:r>
      <w:r>
        <w:rPr>
          <w:rFonts w:hint="eastAsia"/>
          <w:color w:val="000000" w:themeColor="text1"/>
          <w:szCs w:val="21"/>
          <w:lang w:eastAsia="zh-CN"/>
          <w14:textFill>
            <w14:solidFill>
              <w14:schemeClr w14:val="tx1"/>
            </w14:solidFill>
          </w14:textFill>
        </w:rPr>
        <w:t>；</w:t>
      </w:r>
    </w:p>
    <w:p>
      <w:pPr>
        <w:adjustRightInd w:val="0"/>
        <w:snapToGrid w:val="0"/>
        <w:spacing w:line="360" w:lineRule="auto"/>
        <w:rPr>
          <w:color w:val="000000" w:themeColor="text1"/>
          <w14:textFill>
            <w14:solidFill>
              <w14:schemeClr w14:val="tx1"/>
            </w14:solidFill>
          </w14:textFill>
        </w:rPr>
        <w:sectPr>
          <w:headerReference r:id="rId5" w:type="default"/>
          <w:footerReference r:id="rId6" w:type="default"/>
          <w:pgSz w:w="11906" w:h="16838"/>
          <w:pgMar w:top="1701" w:right="1531" w:bottom="1701" w:left="1531" w:header="851" w:footer="1077" w:gutter="0"/>
          <w:pgNumType w:start="3"/>
          <w:cols w:space="720" w:num="1"/>
          <w:docGrid w:linePitch="312" w:charSpace="0"/>
        </w:sectPr>
      </w:pPr>
      <w:r>
        <w:rPr>
          <w:rFonts w:hint="eastAsia"/>
          <w:color w:val="000000" w:themeColor="text1"/>
          <w:szCs w:val="21"/>
          <w:lang w:val="en-US" w:eastAsia="zh-CN"/>
          <w14:textFill>
            <w14:solidFill>
              <w14:schemeClr w14:val="tx1"/>
            </w14:solidFill>
          </w14:textFill>
        </w:rPr>
        <w:t>附件22 沉淀池沉渣处理协议</w:t>
      </w:r>
      <w:r>
        <w:rPr>
          <w:rFonts w:hint="eastAsia"/>
          <w:color w:val="000000" w:themeColor="text1"/>
          <w:szCs w:val="21"/>
          <w14:textFill>
            <w14:solidFill>
              <w14:schemeClr w14:val="tx1"/>
            </w14:solidFill>
          </w14:textFill>
        </w:rPr>
        <w:t>。</w:t>
      </w:r>
    </w:p>
    <w:p>
      <w:pPr>
        <w:pStyle w:val="19"/>
        <w:jc w:val="center"/>
        <w:outlineLvl w:val="0"/>
        <w:rPr>
          <w:rFonts w:ascii="黑体" w:hAnsi="黑体" w:eastAsia="黑体"/>
          <w:snapToGrid w:val="0"/>
          <w:sz w:val="30"/>
          <w:szCs w:val="30"/>
        </w:rPr>
      </w:pPr>
      <w:bookmarkStart w:id="15" w:name="_Toc9028"/>
      <w:bookmarkStart w:id="16" w:name="_Toc23627"/>
      <w:r>
        <w:rPr>
          <w:rFonts w:hint="eastAsia" w:ascii="黑体" w:hAnsi="黑体" w:eastAsia="黑体"/>
          <w:snapToGrid w:val="0"/>
          <w:sz w:val="30"/>
          <w:szCs w:val="30"/>
        </w:rPr>
        <w:t>一、建设项目基本情况</w:t>
      </w:r>
      <w:bookmarkEnd w:id="15"/>
      <w:bookmarkEnd w:id="1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9"/>
        <w:gridCol w:w="792"/>
        <w:gridCol w:w="2338"/>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建设项目名称</w:t>
            </w:r>
          </w:p>
        </w:tc>
        <w:tc>
          <w:tcPr>
            <w:tcW w:w="7189"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多晶硅碎片综合利用项目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项目代码</w:t>
            </w:r>
          </w:p>
        </w:tc>
        <w:tc>
          <w:tcPr>
            <w:tcW w:w="7189" w:type="dxa"/>
            <w:gridSpan w:val="3"/>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-04-01-</w:t>
            </w:r>
            <w:r>
              <w:rPr>
                <w:rFonts w:hint="eastAsia"/>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建设单位联系人</w:t>
            </w:r>
          </w:p>
        </w:tc>
        <w:tc>
          <w:tcPr>
            <w:tcW w:w="2338"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张</w:t>
            </w:r>
            <w:r>
              <w:rPr>
                <w:rFonts w:hint="eastAsia"/>
                <w:color w:val="000000" w:themeColor="text1"/>
                <w:szCs w:val="21"/>
                <w:lang w:eastAsia="zh-CN"/>
                <w14:textFill>
                  <w14:solidFill>
                    <w14:schemeClr w14:val="tx1"/>
                  </w14:solidFill>
                </w14:textFill>
              </w:rPr>
              <w:t>**</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2639"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135</w:t>
            </w:r>
            <w:r>
              <w:rPr>
                <w:rFonts w:hint="eastAsia"/>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建设地点</w:t>
            </w:r>
          </w:p>
        </w:tc>
        <w:tc>
          <w:tcPr>
            <w:tcW w:w="7189"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u w:val="single"/>
                <w14:textFill>
                  <w14:solidFill>
                    <w14:schemeClr w14:val="tx1"/>
                  </w14:solidFill>
                </w14:textFill>
              </w:rPr>
              <w:t>云南</w:t>
            </w:r>
            <w:r>
              <w:rPr>
                <w:color w:val="000000" w:themeColor="text1"/>
                <w:szCs w:val="21"/>
                <w14:textFill>
                  <w14:solidFill>
                    <w14:schemeClr w14:val="tx1"/>
                  </w14:solidFill>
                </w14:textFill>
              </w:rPr>
              <w:t>省（自治区）</w:t>
            </w:r>
            <w:r>
              <w:rPr>
                <w:rFonts w:hint="eastAsia"/>
                <w:color w:val="000000" w:themeColor="text1"/>
                <w:szCs w:val="21"/>
                <w:u w:val="single"/>
                <w14:textFill>
                  <w14:solidFill>
                    <w14:schemeClr w14:val="tx1"/>
                  </w14:solidFill>
                </w14:textFill>
              </w:rPr>
              <w:t>昆明</w:t>
            </w:r>
            <w:r>
              <w:rPr>
                <w:color w:val="000000" w:themeColor="text1"/>
                <w:szCs w:val="21"/>
                <w14:textFill>
                  <w14:solidFill>
                    <w14:schemeClr w14:val="tx1"/>
                  </w14:solidFill>
                </w14:textFill>
              </w:rPr>
              <w:t>市</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东川</w:t>
            </w:r>
            <w:r>
              <w:rPr>
                <w:color w:val="000000" w:themeColor="text1"/>
                <w:szCs w:val="21"/>
                <w14:textFill>
                  <w14:solidFill>
                    <w14:schemeClr w14:val="tx1"/>
                  </w14:solidFill>
                </w14:textFill>
              </w:rPr>
              <w:t>县（区）</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乡（街道）</w:t>
            </w:r>
            <w:r>
              <w:rPr>
                <w:rFonts w:hint="eastAsia"/>
                <w:color w:val="000000" w:themeColor="text1"/>
                <w:szCs w:val="21"/>
                <w:u w:val="single"/>
                <w14:textFill>
                  <w14:solidFill>
                    <w14:schemeClr w14:val="tx1"/>
                  </w14:solidFill>
                </w14:textFill>
              </w:rPr>
              <w:t>碧谷工业园区（标准化厂房内）</w:t>
            </w:r>
            <w:r>
              <w:rPr>
                <w:color w:val="000000" w:themeColor="text1"/>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地理坐标</w:t>
            </w:r>
          </w:p>
        </w:tc>
        <w:tc>
          <w:tcPr>
            <w:tcW w:w="7189"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E：</w:t>
            </w:r>
            <w:r>
              <w:rPr>
                <w:rFonts w:hint="eastAsia"/>
                <w:color w:val="000000" w:themeColor="text1"/>
                <w:szCs w:val="21"/>
                <w:u w:val="single"/>
                <w14:textFill>
                  <w14:solidFill>
                    <w14:schemeClr w14:val="tx1"/>
                  </w14:solidFill>
                </w14:textFill>
              </w:rPr>
              <w:t>103</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9</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42.653</w:t>
            </w:r>
            <w:r>
              <w:rPr>
                <w:color w:val="000000" w:themeColor="text1"/>
                <w:szCs w:val="21"/>
                <w14:textFill>
                  <w14:solidFill>
                    <w14:schemeClr w14:val="tx1"/>
                  </w14:solidFill>
                </w14:textFill>
              </w:rPr>
              <w:t>秒，</w:t>
            </w:r>
            <w:r>
              <w:rPr>
                <w:rFonts w:hint="eastAsia"/>
                <w:color w:val="000000" w:themeColor="text1"/>
                <w:szCs w:val="21"/>
                <w14:textFill>
                  <w14:solidFill>
                    <w14:schemeClr w14:val="tx1"/>
                  </w14:solidFill>
                </w14:textFill>
              </w:rPr>
              <w:t>N：</w:t>
            </w:r>
            <w:r>
              <w:rPr>
                <w:rFonts w:hint="eastAsia"/>
                <w:color w:val="000000" w:themeColor="text1"/>
                <w:szCs w:val="21"/>
                <w:u w:val="single"/>
                <w14:textFill>
                  <w14:solidFill>
                    <w14:schemeClr w14:val="tx1"/>
                  </w14:solidFill>
                </w14:textFill>
              </w:rPr>
              <w:t>26</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7</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42.545</w:t>
            </w:r>
            <w:r>
              <w:rPr>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23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3099其他非金属矿物制品制造</w:t>
            </w:r>
          </w:p>
        </w:tc>
        <w:tc>
          <w:tcPr>
            <w:tcW w:w="2212" w:type="dxa"/>
            <w:vAlign w:val="center"/>
          </w:tcPr>
          <w:p>
            <w:pPr>
              <w:adjustRightInd w:val="0"/>
              <w:snapToGrid w:val="0"/>
              <w:jc w:val="center"/>
              <w:rPr>
                <w:color w:val="000000" w:themeColor="text1"/>
                <w:szCs w:val="21"/>
                <w14:textFill>
                  <w14:solidFill>
                    <w14:schemeClr w14:val="tx1"/>
                  </w14:solidFill>
                </w14:textFill>
              </w:rPr>
            </w:pPr>
            <w:bookmarkStart w:id="17" w:name="_Hlk49843745"/>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bookmarkEnd w:id="17"/>
          </w:p>
        </w:tc>
        <w:tc>
          <w:tcPr>
            <w:tcW w:w="2639"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二十七、非金属矿物制品业 30——</w:t>
            </w:r>
            <w:r>
              <w:rPr>
                <w:rFonts w:hint="eastAsia"/>
                <w:color w:val="000000" w:themeColor="text1"/>
                <w:szCs w:val="21"/>
                <w14:textFill>
                  <w14:solidFill>
                    <w14:schemeClr w14:val="tx1"/>
                  </w14:solidFill>
                </w14:textFill>
              </w:rPr>
              <w:t>60石墨及其他非金 属矿物制品制造309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建设性质</w:t>
            </w:r>
          </w:p>
        </w:tc>
        <w:tc>
          <w:tcPr>
            <w:tcW w:w="2338" w:type="dxa"/>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新建（迁建）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□改建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□扩建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□技术改造</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2639" w:type="dxa"/>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 xml:space="preserve">首次申报项目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□不予批准后再次申报项目</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□超五年重新审核项目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23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昆明市东川区发展和改革局</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2639"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-04-01-</w:t>
            </w:r>
            <w:r>
              <w:rPr>
                <w:rFonts w:hint="eastAsia"/>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总投资（万元）</w:t>
            </w:r>
          </w:p>
        </w:tc>
        <w:tc>
          <w:tcPr>
            <w:tcW w:w="23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6698</w:t>
            </w:r>
          </w:p>
        </w:tc>
        <w:tc>
          <w:tcPr>
            <w:tcW w:w="2212" w:type="dxa"/>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26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环保投资占比（%）</w:t>
            </w:r>
          </w:p>
        </w:tc>
        <w:tc>
          <w:tcPr>
            <w:tcW w:w="23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1.24</w:t>
            </w:r>
          </w:p>
        </w:tc>
        <w:tc>
          <w:tcPr>
            <w:tcW w:w="2212" w:type="dxa"/>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26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5个月（2023年7月~12月）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szCs w:val="21"/>
              </w:rPr>
            </w:pPr>
            <w:r>
              <w:rPr>
                <w:szCs w:val="21"/>
              </w:rPr>
              <w:t>是否开工建设</w:t>
            </w:r>
          </w:p>
        </w:tc>
        <w:tc>
          <w:tcPr>
            <w:tcW w:w="2338" w:type="dxa"/>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vAlign w:val="center"/>
          </w:tcPr>
          <w:p>
            <w:pPr>
              <w:adjustRightInd w:val="0"/>
              <w:snapToGrid w:val="0"/>
              <w:jc w:val="center"/>
              <w:rPr>
                <w:szCs w:val="21"/>
              </w:rPr>
            </w:pPr>
            <w:r>
              <w:rPr>
                <w:rFonts w:hint="eastAsia"/>
                <w:szCs w:val="21"/>
              </w:rPr>
              <w:t>3500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81" w:type="dxa"/>
            <w:gridSpan w:val="2"/>
            <w:vAlign w:val="center"/>
          </w:tcPr>
          <w:p>
            <w:pPr>
              <w:autoSpaceDE w:val="0"/>
              <w:autoSpaceDN w:val="0"/>
              <w:adjustRightInd w:val="0"/>
              <w:snapToGrid w:val="0"/>
              <w:jc w:val="center"/>
              <w:rPr>
                <w:kern w:val="0"/>
                <w:szCs w:val="21"/>
              </w:rPr>
            </w:pPr>
            <w:r>
              <w:rPr>
                <w:kern w:val="0"/>
                <w:szCs w:val="21"/>
              </w:rPr>
              <w:t>专项评价设置情况</w:t>
            </w:r>
          </w:p>
        </w:tc>
        <w:tc>
          <w:tcPr>
            <w:tcW w:w="7189" w:type="dxa"/>
            <w:gridSpan w:val="3"/>
            <w:vAlign w:val="center"/>
          </w:tcPr>
          <w:p>
            <w:pPr>
              <w:autoSpaceDE w:val="0"/>
              <w:autoSpaceDN w:val="0"/>
              <w:adjustRightInd w:val="0"/>
              <w:snapToGrid w:val="0"/>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1681" w:type="dxa"/>
            <w:gridSpan w:val="2"/>
            <w:vAlign w:val="center"/>
          </w:tcPr>
          <w:p>
            <w:pPr>
              <w:autoSpaceDE w:val="0"/>
              <w:autoSpaceDN w:val="0"/>
              <w:adjustRightInd w:val="0"/>
              <w:snapToGrid w:val="0"/>
              <w:spacing w:line="360" w:lineRule="auto"/>
              <w:jc w:val="center"/>
              <w:rPr>
                <w:kern w:val="0"/>
                <w:szCs w:val="21"/>
              </w:rPr>
            </w:pPr>
            <w:r>
              <w:rPr>
                <w:szCs w:val="21"/>
              </w:rPr>
              <w:t>规划情况</w:t>
            </w:r>
          </w:p>
        </w:tc>
        <w:tc>
          <w:tcPr>
            <w:tcW w:w="7189" w:type="dxa"/>
            <w:gridSpan w:val="3"/>
            <w:vAlign w:val="center"/>
          </w:tcPr>
          <w:p>
            <w:pPr>
              <w:autoSpaceDE w:val="0"/>
              <w:autoSpaceDN w:val="0"/>
              <w:adjustRightInd w:val="0"/>
              <w:snapToGrid w:val="0"/>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规划名称：</w:t>
            </w:r>
            <w:r>
              <w:rPr>
                <w:color w:val="000000" w:themeColor="text1"/>
                <w:kern w:val="0"/>
                <w:szCs w:val="21"/>
                <w14:textFill>
                  <w14:solidFill>
                    <w14:schemeClr w14:val="tx1"/>
                  </w14:solidFill>
                </w14:textFill>
              </w:rPr>
              <w:t>《云南东川产业园</w:t>
            </w:r>
            <w:r>
              <w:rPr>
                <w:rFonts w:hint="eastAsia"/>
                <w:color w:val="000000" w:themeColor="text1"/>
                <w:kern w:val="0"/>
                <w:szCs w:val="21"/>
                <w14:textFill>
                  <w14:solidFill>
                    <w14:schemeClr w14:val="tx1"/>
                  </w14:solidFill>
                </w14:textFill>
              </w:rPr>
              <w:t>区</w:t>
            </w:r>
            <w:r>
              <w:rPr>
                <w:color w:val="000000" w:themeColor="text1"/>
                <w:kern w:val="0"/>
                <w:szCs w:val="21"/>
                <w14:textFill>
                  <w14:solidFill>
                    <w14:schemeClr w14:val="tx1"/>
                  </w14:solidFill>
                </w14:textFill>
              </w:rPr>
              <w:t>总体规划修编（20</w:t>
            </w:r>
            <w:r>
              <w:rPr>
                <w:rFonts w:hint="eastAsia"/>
                <w:color w:val="000000" w:themeColor="text1"/>
                <w:kern w:val="0"/>
                <w:szCs w:val="21"/>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p>
          <w:p>
            <w:pPr>
              <w:autoSpaceDE w:val="0"/>
              <w:autoSpaceDN w:val="0"/>
              <w:adjustRightInd w:val="0"/>
              <w:snapToGrid w:val="0"/>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审批机关：昆明市人民政府</w:t>
            </w:r>
          </w:p>
          <w:p>
            <w:pPr>
              <w:autoSpaceDE w:val="0"/>
              <w:autoSpaceDN w:val="0"/>
              <w:adjustRightInd w:val="0"/>
              <w:snapToGrid w:val="0"/>
              <w:spacing w:line="360" w:lineRule="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14:textFill>
                  <w14:solidFill>
                    <w14:schemeClr w14:val="tx1"/>
                  </w14:solidFill>
                </w14:textFill>
              </w:rPr>
              <w:t>审批文件名称及文号：</w:t>
            </w:r>
            <w:r>
              <w:rPr>
                <w:rFonts w:hint="eastAsia"/>
                <w:color w:val="000000" w:themeColor="text1"/>
                <w:kern w:val="0"/>
                <w:szCs w:val="21"/>
                <w:highlight w:val="none"/>
                <w14:textFill>
                  <w14:solidFill>
                    <w14:schemeClr w14:val="tx1"/>
                  </w14:solidFill>
                </w14:textFill>
              </w:rPr>
              <w:t>昆明市人民政府关于云南东川产业园区总体规划修编</w:t>
            </w:r>
          </w:p>
          <w:p>
            <w:pPr>
              <w:autoSpaceDE w:val="0"/>
              <w:autoSpaceDN w:val="0"/>
              <w:adjustRightInd w:val="0"/>
              <w:snapToGrid w:val="0"/>
              <w:spacing w:line="360" w:lineRule="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（2021—2035年）的批复</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昆政复[2023]37号）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1681" w:type="dxa"/>
            <w:gridSpan w:val="2"/>
            <w:vAlign w:val="center"/>
          </w:tcPr>
          <w:p>
            <w:pPr>
              <w:adjustRightInd w:val="0"/>
              <w:snapToGrid w:val="0"/>
              <w:spacing w:line="360" w:lineRule="auto"/>
              <w:jc w:val="center"/>
              <w:rPr>
                <w:szCs w:val="21"/>
              </w:rPr>
            </w:pPr>
            <w:r>
              <w:rPr>
                <w:szCs w:val="21"/>
              </w:rPr>
              <w:t>规划环境影响</w:t>
            </w:r>
          </w:p>
          <w:p>
            <w:pPr>
              <w:adjustRightInd w:val="0"/>
              <w:snapToGrid w:val="0"/>
              <w:spacing w:line="360" w:lineRule="auto"/>
              <w:jc w:val="center"/>
              <w:rPr>
                <w:szCs w:val="21"/>
              </w:rPr>
            </w:pPr>
            <w:r>
              <w:rPr>
                <w:szCs w:val="21"/>
              </w:rPr>
              <w:t>评价情况</w:t>
            </w:r>
          </w:p>
          <w:p>
            <w:pPr>
              <w:adjustRightInd w:val="0"/>
              <w:snapToGrid w:val="0"/>
              <w:spacing w:line="360" w:lineRule="auto"/>
              <w:jc w:val="center"/>
            </w:pPr>
          </w:p>
          <w:p>
            <w:pPr>
              <w:pStyle w:val="8"/>
            </w:pPr>
          </w:p>
        </w:tc>
        <w:tc>
          <w:tcPr>
            <w:tcW w:w="7189" w:type="dxa"/>
            <w:gridSpan w:val="3"/>
            <w:vAlign w:val="center"/>
          </w:tcPr>
          <w:p>
            <w:pPr>
              <w:autoSpaceDE w:val="0"/>
              <w:autoSpaceDN w:val="0"/>
              <w:adjustRightInd w:val="0"/>
              <w:snapToGrid w:val="0"/>
              <w:spacing w:line="360" w:lineRule="auto"/>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规划环境影响评价文件名称：《云南东川产业园</w:t>
            </w:r>
            <w:r>
              <w:rPr>
                <w:rFonts w:hint="eastAsia"/>
                <w:color w:val="000000" w:themeColor="text1"/>
                <w:kern w:val="0"/>
                <w:szCs w:val="21"/>
                <w14:textFill>
                  <w14:solidFill>
                    <w14:schemeClr w14:val="tx1"/>
                  </w14:solidFill>
                </w14:textFill>
              </w:rPr>
              <w:t>区总体规划修编（</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环境影响报告书》</w:t>
            </w:r>
          </w:p>
          <w:p>
            <w:pPr>
              <w:autoSpaceDE w:val="0"/>
              <w:autoSpaceDN w:val="0"/>
              <w:adjustRightInd w:val="0"/>
              <w:snapToGrid w:val="0"/>
              <w:spacing w:line="36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审批机关：昆明市生态环境局</w:t>
            </w:r>
          </w:p>
          <w:p>
            <w:pPr>
              <w:autoSpaceDE w:val="0"/>
              <w:autoSpaceDN w:val="0"/>
              <w:adjustRightInd w:val="0"/>
              <w:snapToGrid w:val="0"/>
              <w:spacing w:line="36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审批文件名称及文号：昆明市生态环境局</w:t>
            </w:r>
            <w:r>
              <w:rPr>
                <w:color w:val="000000" w:themeColor="text1"/>
                <w:kern w:val="0"/>
                <w:szCs w:val="21"/>
                <w14:textFill>
                  <w14:solidFill>
                    <w14:schemeClr w14:val="tx1"/>
                  </w14:solidFill>
                </w14:textFill>
              </w:rPr>
              <w:t>关于《云南东川产业园</w:t>
            </w:r>
            <w:r>
              <w:rPr>
                <w:rFonts w:hint="eastAsia"/>
                <w:color w:val="000000" w:themeColor="text1"/>
                <w:kern w:val="0"/>
                <w:szCs w:val="21"/>
                <w14:textFill>
                  <w14:solidFill>
                    <w14:schemeClr w14:val="tx1"/>
                  </w14:solidFill>
                </w14:textFill>
              </w:rPr>
              <w:t>区总体规划修编（</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环境影响报告书》</w:t>
            </w:r>
            <w:r>
              <w:rPr>
                <w:rFonts w:hint="eastAsia"/>
                <w:color w:val="000000" w:themeColor="text1"/>
                <w:kern w:val="0"/>
                <w:szCs w:val="21"/>
                <w14:textFill>
                  <w14:solidFill>
                    <w14:schemeClr w14:val="tx1"/>
                  </w14:solidFill>
                </w14:textFill>
              </w:rPr>
              <w:t>的审查意见（昆环函[2023]1号）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pPr>
              <w:autoSpaceDE w:val="0"/>
              <w:autoSpaceDN w:val="0"/>
              <w:adjustRightInd w:val="0"/>
              <w:snapToGrid w:val="0"/>
              <w:jc w:val="center"/>
              <w:rPr>
                <w:kern w:val="0"/>
                <w:szCs w:val="21"/>
              </w:rPr>
            </w:pPr>
            <w:r>
              <w:rPr>
                <w:kern w:val="0"/>
                <w:szCs w:val="21"/>
              </w:rPr>
              <w:t>规划及规划环境影响评价符合性分析</w:t>
            </w:r>
          </w:p>
        </w:tc>
        <w:tc>
          <w:tcPr>
            <w:tcW w:w="7981" w:type="dxa"/>
            <w:gridSpan w:val="4"/>
            <w:vAlign w:val="center"/>
          </w:tcPr>
          <w:p>
            <w:pPr>
              <w:autoSpaceDE w:val="0"/>
              <w:autoSpaceDN w:val="0"/>
              <w:adjustRightInd w:val="0"/>
              <w:snapToGrid w:val="0"/>
              <w:spacing w:line="360" w:lineRule="auto"/>
              <w:ind w:firstLine="422" w:firstLineChars="200"/>
              <w:rPr>
                <w:color w:val="000000" w:themeColor="text1"/>
                <w:kern w:val="0"/>
                <w:szCs w:val="21"/>
                <w14:textFill>
                  <w14:solidFill>
                    <w14:schemeClr w14:val="tx1"/>
                  </w14:solidFill>
                </w14:textFill>
              </w:rPr>
            </w:pPr>
            <w:r>
              <w:rPr>
                <w:rFonts w:hint="eastAsia"/>
                <w:b/>
                <w:bCs/>
                <w:kern w:val="0"/>
                <w:szCs w:val="21"/>
              </w:rPr>
              <w:t>1、</w:t>
            </w:r>
            <w:r>
              <w:rPr>
                <w:rFonts w:hint="eastAsia"/>
                <w:b/>
                <w:bCs/>
                <w:color w:val="000000" w:themeColor="text1"/>
                <w:kern w:val="0"/>
                <w:szCs w:val="21"/>
                <w14:textFill>
                  <w14:solidFill>
                    <w14:schemeClr w14:val="tx1"/>
                  </w14:solidFill>
                </w14:textFill>
              </w:rPr>
              <w:t>与《云南东川产业园区总体规划修编（2021-2035）》的相符性分析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根据《云南东川产业园区总体规划修编（2021-2035）》，园区空间布局为“一园三片区”，规划总面积13.7087km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，其中四方地片区5.4699km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、碧谷片区6.6795km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、天生桥片区1.5593km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，总规划面积较上版规划减少22.5313km</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《规划》以</w:t>
            </w:r>
            <w:r>
              <w:rPr>
                <w:rFonts w:hint="eastAsia"/>
                <w:b/>
                <w:bCs/>
                <w:color w:val="000000" w:themeColor="text1"/>
                <w:kern w:val="0"/>
                <w:szCs w:val="21"/>
                <w14:textFill>
                  <w14:solidFill>
                    <w14:schemeClr w14:val="tx1"/>
                  </w14:solidFill>
                </w14:textFill>
              </w:rPr>
              <w:t>新材料</w:t>
            </w:r>
            <w:r>
              <w:rPr>
                <w:rFonts w:hint="eastAsia"/>
                <w:color w:val="000000" w:themeColor="text1"/>
                <w:kern w:val="0"/>
                <w:szCs w:val="21"/>
                <w14:textFill>
                  <w14:solidFill>
                    <w14:schemeClr w14:val="tx1"/>
                  </w14:solidFill>
                </w14:textFill>
              </w:rPr>
              <w:t>为主导产业，冶金、消费品与食品产业为辅助产业。其中，四方地片区重点布局先进有色金属材料及稀贵金属材料、化工新材料、新型建材产业、新能源材料产业；碧谷片区以先进有色金属材料、</w:t>
            </w:r>
            <w:r>
              <w:rPr>
                <w:rFonts w:hint="eastAsia"/>
                <w:b/>
                <w:bCs/>
                <w:color w:val="000000" w:themeColor="text1"/>
                <w:kern w:val="0"/>
                <w:szCs w:val="21"/>
                <w14:textFill>
                  <w14:solidFill>
                    <w14:schemeClr w14:val="tx1"/>
                  </w14:solidFill>
                </w14:textFill>
              </w:rPr>
              <w:t>新能源材料产业</w:t>
            </w:r>
            <w:r>
              <w:rPr>
                <w:rFonts w:hint="eastAsia"/>
                <w:color w:val="000000" w:themeColor="text1"/>
                <w:kern w:val="0"/>
                <w:szCs w:val="21"/>
                <w14:textFill>
                  <w14:solidFill>
                    <w14:schemeClr w14:val="tx1"/>
                  </w14:solidFill>
                </w14:textFill>
              </w:rPr>
              <w:t>、建筑建材产业和消费品（含再生纸回收利用）与食品加工产业（非烟轻工）为主导；天生桥片区重点发展以“城市矿产”为主的循环经济、新能源和新型建材产业。</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《规划》营业收入目标为1000亿，规划期限为2021-2035年。</w:t>
            </w:r>
          </w:p>
          <w:p>
            <w:pPr>
              <w:autoSpaceDE w:val="0"/>
              <w:autoSpaceDN w:val="0"/>
              <w:adjustRightInd w:val="0"/>
              <w:snapToGrid w:val="0"/>
              <w:spacing w:line="360" w:lineRule="auto"/>
              <w:ind w:firstLine="420" w:firstLineChars="200"/>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本项目位于云南省昆明市东川区碧谷工业园区（新格路与碧龙路交叉口南上段标准化厂房内），属于碧谷工业片区；本项目属于C3099其他非金属矿物制品制造，</w:t>
            </w:r>
            <w:r>
              <w:rPr>
                <w:rFonts w:hint="eastAsia"/>
                <w:b/>
                <w:bCs/>
                <w:color w:val="000000" w:themeColor="text1"/>
                <w:kern w:val="0"/>
                <w:szCs w:val="21"/>
                <w14:textFill>
                  <w14:solidFill>
                    <w14:schemeClr w14:val="tx1"/>
                  </w14:solidFill>
                </w14:textFill>
              </w:rPr>
              <w:t>产品为多晶硅，用于光伏太阳能板，属于光伏新能源材料，是园区规划主导产业</w:t>
            </w:r>
            <w:r>
              <w:rPr>
                <w:rFonts w:hint="eastAsia"/>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本项目符合园区的未来发展规划。</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为此，东川再就业特色产业园区管理委员会于2022年10月26日下发了《东川再就业特色产业园区管理委员会关于昆明市东川区嘉粟科技有限责任公司多晶硅碎片综合利用项目入驻碧谷工业园区标准化厂房的批复》（东特发[2022]75号）（详见附件5），同意该项目入驻东川区碧谷工业园区。因此，该项目符合东川区碧谷工业园区的管理规划及管理要求。</w:t>
            </w:r>
          </w:p>
          <w:p>
            <w:pPr>
              <w:autoSpaceDE w:val="0"/>
              <w:autoSpaceDN w:val="0"/>
              <w:adjustRightInd w:val="0"/>
              <w:snapToGrid w:val="0"/>
              <w:spacing w:line="360" w:lineRule="auto"/>
              <w:ind w:firstLine="422" w:firstLineChars="200"/>
              <w:rPr>
                <w:b/>
                <w:bCs/>
                <w:kern w:val="0"/>
                <w:szCs w:val="21"/>
              </w:rPr>
            </w:pPr>
            <w:r>
              <w:rPr>
                <w:rFonts w:hint="eastAsia"/>
                <w:b/>
                <w:bCs/>
                <w:kern w:val="0"/>
                <w:szCs w:val="21"/>
              </w:rPr>
              <w:t>2、与《云南东川产业园区总体规划修编（2021-2035）环境影响报告书》及其审查意见相符性分析</w:t>
            </w:r>
          </w:p>
          <w:p>
            <w:pPr>
              <w:autoSpaceDE w:val="0"/>
              <w:autoSpaceDN w:val="0"/>
              <w:adjustRightInd w:val="0"/>
              <w:snapToGrid w:val="0"/>
              <w:spacing w:line="360" w:lineRule="auto"/>
              <w:ind w:firstLine="422" w:firstLineChars="200"/>
              <w:rPr>
                <w:b/>
                <w:bCs/>
                <w:kern w:val="0"/>
                <w:szCs w:val="21"/>
              </w:rPr>
            </w:pPr>
            <w:r>
              <w:rPr>
                <w:rFonts w:hint="eastAsia"/>
                <w:b/>
                <w:bCs/>
                <w:kern w:val="0"/>
                <w:szCs w:val="21"/>
              </w:rPr>
              <w:t>2.1、与报告书相符性分析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本项目位于碧谷片区，因此本次环评仅对</w:t>
            </w:r>
            <w:r>
              <w:rPr>
                <w:rFonts w:hint="eastAsia"/>
                <w:b/>
                <w:bCs/>
                <w:color w:val="000000" w:themeColor="text1"/>
                <w:kern w:val="0"/>
                <w:szCs w:val="21"/>
                <w14:textFill>
                  <w14:solidFill>
                    <w14:schemeClr w14:val="tx1"/>
                  </w14:solidFill>
                </w14:textFill>
              </w:rPr>
              <w:t>碧谷片区</w:t>
            </w:r>
            <w:r>
              <w:rPr>
                <w:rFonts w:hint="eastAsia"/>
                <w:color w:val="000000" w:themeColor="text1"/>
                <w:kern w:val="0"/>
                <w:szCs w:val="21"/>
                <w14:textFill>
                  <w14:solidFill>
                    <w14:schemeClr w14:val="tx1"/>
                  </w14:solidFill>
                </w14:textFill>
              </w:rPr>
              <w:t>进行相关介绍和符合性分析。</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规划范围</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碧谷片区位于东川中心城区北部，规划面积782.52公顷，规划范围东至东起路大寨村级道路一线、南至老干沟一线、西至小新村铁路沿线凯通公司、北至龙潭社区小龙潭小组。</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规划期限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本次规划的期限为2021~2035年。分近期、中期和远期建设，其中：近期2021-2025年、中期2026-2030年、远期2031-2035年。</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规划定位</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根据相关规划要求，结合东川产业园区位条件和本身的产业优势和发展潜力，园区定位为:</w:t>
            </w:r>
          </w:p>
          <w:p>
            <w:pPr>
              <w:autoSpaceDE w:val="0"/>
              <w:autoSpaceDN w:val="0"/>
              <w:adjustRightInd w:val="0"/>
              <w:snapToGrid w:val="0"/>
              <w:spacing w:line="360" w:lineRule="auto"/>
              <w:ind w:firstLine="422" w:firstLineChars="200"/>
              <w:rPr>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国家资源枯竭型城市产业转型发展示范区</w:t>
            </w:r>
            <w:r>
              <w:rPr>
                <w:rFonts w:hint="eastAsia"/>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国家工业资源综合利用示范基地</w:t>
            </w:r>
            <w:r>
              <w:rPr>
                <w:rFonts w:hint="eastAsia"/>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云南有色及稀贵金属新材料产业示范基地</w:t>
            </w:r>
            <w:r>
              <w:rPr>
                <w:rFonts w:hint="eastAsia"/>
                <w:color w:val="000000" w:themeColor="text1"/>
                <w:kern w:val="0"/>
                <w:szCs w:val="21"/>
                <w14:textFill>
                  <w14:solidFill>
                    <w14:schemeClr w14:val="tx1"/>
                  </w14:solidFill>
                </w14:textFill>
              </w:rPr>
              <w:t>。</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材料产业园区，依托东川工业资源综合利用基地（国家级），以现状产业升级为主，建设成为有色及稀贵金属、精细磷化工、新材料产业区。</w:t>
            </w:r>
          </w:p>
          <w:p>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碧谷片区定位：</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易地扶贫搬迁创业就业区和产城融合带动区，利用交通区位优势和东川北部新城发展机遇，打造兼具园区和城市功能的产城一体区。</w:t>
            </w:r>
          </w:p>
          <w:p>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碧谷片区定位：</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主导产业：重点发展以矿山机械设备、环保专用设备、新能源设备、电子元器件、家电生产等为重点的装备制造业；</w:t>
            </w:r>
          </w:p>
          <w:p>
            <w:pPr>
              <w:autoSpaceDE w:val="0"/>
              <w:autoSpaceDN w:val="0"/>
              <w:adjustRightInd w:val="0"/>
              <w:snapToGrid w:val="0"/>
              <w:spacing w:line="360" w:lineRule="auto"/>
              <w:ind w:firstLine="420" w:firstLineChars="200"/>
              <w:rPr>
                <w:color w:val="FF0000"/>
                <w:kern w:val="0"/>
                <w:szCs w:val="21"/>
              </w:rPr>
            </w:pPr>
            <w:r>
              <w:rPr>
                <w:rFonts w:hint="eastAsia"/>
                <w:color w:val="000000" w:themeColor="text1"/>
                <w:kern w:val="0"/>
                <w:szCs w:val="21"/>
                <w14:textFill>
                  <w14:solidFill>
                    <w14:schemeClr w14:val="tx1"/>
                  </w14:solidFill>
                </w14:textFill>
              </w:rPr>
              <w:t>配套产业：配套发展铜基新材料、建筑建材产业、商贸物流、</w:t>
            </w:r>
            <w:r>
              <w:rPr>
                <w:rFonts w:hint="eastAsia"/>
                <w:b/>
                <w:bCs/>
                <w:color w:val="000000" w:themeColor="text1"/>
                <w:kern w:val="0"/>
                <w:szCs w:val="21"/>
                <w14:textFill>
                  <w14:solidFill>
                    <w14:schemeClr w14:val="tx1"/>
                  </w14:solidFill>
                </w14:textFill>
              </w:rPr>
              <w:t>新能源产业、</w:t>
            </w:r>
            <w:r>
              <w:rPr>
                <w:rFonts w:hint="eastAsia"/>
                <w:color w:val="000000" w:themeColor="text1"/>
                <w:kern w:val="0"/>
                <w:szCs w:val="21"/>
                <w14:textFill>
                  <w14:solidFill>
                    <w14:schemeClr w14:val="tx1"/>
                  </w14:solidFill>
                </w14:textFill>
              </w:rPr>
              <w:t>轻工消费品制造及食品生产加工产业，辅助发展其他耦合轻工业和生产性服务业等。</w:t>
            </w:r>
          </w:p>
          <w:p>
            <w:pPr>
              <w:autoSpaceDE w:val="0"/>
              <w:autoSpaceDN w:val="0"/>
              <w:adjustRightInd w:val="0"/>
              <w:snapToGrid w:val="0"/>
              <w:spacing w:line="360" w:lineRule="auto"/>
              <w:ind w:firstLine="422" w:firstLineChars="200"/>
              <w:rPr>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环境准入负面清单：</w:t>
            </w:r>
          </w:p>
          <w:p>
            <w:pPr>
              <w:pStyle w:val="61"/>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表1-1 碧谷片区管控单元及管控要求</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739"/>
              <w:gridCol w:w="761"/>
              <w:gridCol w:w="3012"/>
              <w:gridCol w:w="25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2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管控单元</w:t>
                  </w:r>
                </w:p>
              </w:tc>
              <w:tc>
                <w:tcPr>
                  <w:tcW w:w="739"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单元范围</w:t>
                  </w:r>
                </w:p>
              </w:tc>
              <w:tc>
                <w:tcPr>
                  <w:tcW w:w="761"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管控类别</w:t>
                  </w:r>
                </w:p>
              </w:tc>
              <w:tc>
                <w:tcPr>
                  <w:tcW w:w="301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管控要求</w:t>
                  </w:r>
                </w:p>
              </w:tc>
              <w:tc>
                <w:tcPr>
                  <w:tcW w:w="2597"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相符性分析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1" w:hRule="atLeast"/>
                <w:jc w:val="center"/>
              </w:trPr>
              <w:tc>
                <w:tcPr>
                  <w:tcW w:w="820" w:type="dxa"/>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重点管控单元</w:t>
                  </w:r>
                </w:p>
              </w:tc>
              <w:tc>
                <w:tcPr>
                  <w:tcW w:w="739" w:type="dxa"/>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碧谷片区</w:t>
                  </w:r>
                </w:p>
              </w:tc>
              <w:tc>
                <w:tcPr>
                  <w:tcW w:w="761" w:type="dxa"/>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产业布局约束</w:t>
                  </w: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1、入驻项目须符合国家及云南省相关产业政策、符合园区规划产业布局</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严禁《产业结构调整指导目录》</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2019年本</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中淘汰类及限制类项目入驻</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严禁《环境保护综合名录</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2021年版</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 中高风险高污染行业入驻</w:t>
                  </w:r>
                  <w:r>
                    <w:rPr>
                      <w:rFonts w:hint="eastAsia"/>
                      <w:color w:val="000000" w:themeColor="text1"/>
                      <w:spacing w:val="4"/>
                      <w:kern w:val="24"/>
                      <w:szCs w:val="21"/>
                      <w14:textFill>
                        <w14:solidFill>
                          <w14:schemeClr w14:val="tx1"/>
                        </w14:solidFill>
                      </w14:textFill>
                    </w:rPr>
                    <w:t>。</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根据《产业结构调整指导目录（2019年本）》，项目属于鼓励类中“二十八、信息产业—51、先进的各类太阳能光伏电池及高纯晶体硅材料”</w:t>
                  </w:r>
                  <w:r>
                    <w:rPr>
                      <w:rFonts w:hint="eastAsia"/>
                      <w:color w:val="000000" w:themeColor="text1"/>
                      <w:spacing w:val="4"/>
                      <w:kern w:val="24"/>
                      <w:szCs w:val="21"/>
                      <w14:textFill>
                        <w14:solidFill>
                          <w14:schemeClr w14:val="tx1"/>
                        </w14:solidFill>
                      </w14:textFill>
                    </w:rPr>
                    <w:t>，符合国家和云南省的产业政策；不属于</w:t>
                  </w:r>
                  <w:r>
                    <w:rPr>
                      <w:color w:val="000000" w:themeColor="text1"/>
                      <w:spacing w:val="4"/>
                      <w:kern w:val="24"/>
                      <w:szCs w:val="21"/>
                      <w14:textFill>
                        <w14:solidFill>
                          <w14:schemeClr w14:val="tx1"/>
                        </w14:solidFill>
                      </w14:textFill>
                    </w:rPr>
                    <w:t>《环境保护综合名录</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2021年版</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 中高风险高污染行业</w:t>
                  </w:r>
                  <w:r>
                    <w:rPr>
                      <w:rFonts w:hint="eastAsia"/>
                      <w:color w:val="000000" w:themeColor="text1"/>
                      <w:spacing w:val="4"/>
                      <w:kern w:val="24"/>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14:textFill>
                        <w14:solidFill>
                          <w14:schemeClr w14:val="tx1"/>
                        </w14:solidFill>
                      </w14:textFill>
                    </w:rPr>
                  </w:pP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2、严禁排放国家《有毒有害大气污染物名录》废气污染物的企业、不符合园区产业规划的企业入园</w:t>
                  </w:r>
                  <w:r>
                    <w:rPr>
                      <w:rFonts w:hint="eastAsia"/>
                      <w:color w:val="000000" w:themeColor="text1"/>
                      <w:spacing w:val="4"/>
                      <w:kern w:val="24"/>
                      <w:szCs w:val="21"/>
                      <w14:textFill>
                        <w14:solidFill>
                          <w14:schemeClr w14:val="tx1"/>
                        </w14:solidFill>
                      </w14:textFill>
                    </w:rPr>
                    <w:t>。</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本项目不排放</w:t>
                  </w:r>
                  <w:r>
                    <w:rPr>
                      <w:color w:val="000000" w:themeColor="text1"/>
                      <w:spacing w:val="4"/>
                      <w:kern w:val="24"/>
                      <w:szCs w:val="21"/>
                      <w14:textFill>
                        <w14:solidFill>
                          <w14:schemeClr w14:val="tx1"/>
                        </w14:solidFill>
                      </w14:textFill>
                    </w:rPr>
                    <w:t>《有毒有害大气污染物名录》废气污染物</w:t>
                  </w:r>
                  <w:r>
                    <w:rPr>
                      <w:rFonts w:hint="eastAsia"/>
                      <w:color w:val="000000" w:themeColor="text1"/>
                      <w:spacing w:val="4"/>
                      <w:kern w:val="24"/>
                      <w:szCs w:val="21"/>
                      <w14:textFill>
                        <w14:solidFill>
                          <w14:schemeClr w14:val="tx1"/>
                        </w14:solidFill>
                      </w14:textFill>
                    </w:rPr>
                    <w:t>，符合园区产业规划。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1" w:hRule="atLeast"/>
                <w:jc w:val="center"/>
              </w:trPr>
              <w:tc>
                <w:tcPr>
                  <w:tcW w:w="820"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3、产生国家《有毒有害大气污染物名录》废气污染物及与园区产业规划不符的现有企业，不得技改扩建，远期根据产业定位逐步关停或报迁至合规片区或园区，满足区域的管控要求</w:t>
                  </w:r>
                  <w:r>
                    <w:rPr>
                      <w:rFonts w:hint="eastAsia"/>
                      <w:color w:val="000000" w:themeColor="text1"/>
                      <w:spacing w:val="4"/>
                      <w:kern w:val="24"/>
                      <w:szCs w:val="21"/>
                      <w14:textFill>
                        <w14:solidFill>
                          <w14:schemeClr w14:val="tx1"/>
                        </w14:solidFill>
                      </w14:textFill>
                    </w:rPr>
                    <w:t>。</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本项目不排放</w:t>
                  </w:r>
                  <w:r>
                    <w:rPr>
                      <w:color w:val="000000" w:themeColor="text1"/>
                      <w:spacing w:val="4"/>
                      <w:kern w:val="24"/>
                      <w:szCs w:val="21"/>
                      <w14:textFill>
                        <w14:solidFill>
                          <w14:schemeClr w14:val="tx1"/>
                        </w14:solidFill>
                      </w14:textFill>
                    </w:rPr>
                    <w:t>《有毒有害大气污染物名录》废气污染物</w:t>
                  </w:r>
                  <w:r>
                    <w:rPr>
                      <w:rFonts w:hint="eastAsia"/>
                      <w:color w:val="000000" w:themeColor="text1"/>
                      <w:spacing w:val="4"/>
                      <w:kern w:val="24"/>
                      <w:szCs w:val="21"/>
                      <w14:textFill>
                        <w14:solidFill>
                          <w14:schemeClr w14:val="tx1"/>
                        </w14:solidFill>
                      </w14:textFill>
                    </w:rPr>
                    <w:t>，符合园区产业规划。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20"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61" w:type="dxa"/>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污染物排放管控</w:t>
                  </w: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1、碧谷片区中水回用率</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25%</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zCs w:val="21"/>
                      <w14:textFill>
                        <w14:solidFill>
                          <w14:schemeClr w14:val="tx1"/>
                        </w14:solidFill>
                      </w14:textFill>
                    </w:rPr>
                    <w:t>严格按照</w:t>
                  </w:r>
                  <w:r>
                    <w:rPr>
                      <w:rFonts w:hint="eastAsia"/>
                      <w:color w:val="000000" w:themeColor="text1"/>
                      <w:szCs w:val="21"/>
                      <w:lang w:val="en-GB"/>
                      <w14:textFill>
                        <w14:solidFill>
                          <w14:schemeClr w14:val="tx1"/>
                        </w14:solidFill>
                      </w14:textFill>
                    </w:rPr>
                    <w:t>“雨污分流、一水多用、循环使用”的原则，</w:t>
                  </w:r>
                  <w:r>
                    <w:rPr>
                      <w:rFonts w:hint="eastAsia"/>
                      <w:color w:val="000000" w:themeColor="text1"/>
                      <w:szCs w:val="21"/>
                      <w14:textFill>
                        <w14:solidFill>
                          <w14:schemeClr w14:val="tx1"/>
                        </w14:solidFill>
                      </w14:textFill>
                    </w:rPr>
                    <w:t>仅排放生活污水，符合相关园区规划要求</w:t>
                  </w:r>
                  <w:r>
                    <w:rPr>
                      <w:rFonts w:hint="eastAsia"/>
                      <w:color w:val="000000" w:themeColor="text1"/>
                      <w:spacing w:val="4"/>
                      <w:kern w:val="24"/>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2、入驻企业工业废水须自行预处理后达《污水综合排放标准》</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GB</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-1996</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表1和表4三级标准及《污水排入城镇下水道水质标准》</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GB/T</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-2015</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表1</w:t>
                  </w:r>
                  <w:r>
                    <w:rPr>
                      <w:rFonts w:hint="eastAsia"/>
                      <w:color w:val="000000" w:themeColor="text1"/>
                      <w:spacing w:val="4"/>
                      <w:kern w:val="24"/>
                      <w:szCs w:val="21"/>
                      <w14:textFill>
                        <w14:solidFill>
                          <w14:schemeClr w14:val="tx1"/>
                        </w14:solidFill>
                      </w14:textFill>
                    </w:rPr>
                    <w:t>中</w:t>
                  </w:r>
                  <w:r>
                    <w:rPr>
                      <w:color w:val="000000" w:themeColor="text1"/>
                      <w:spacing w:val="4"/>
                      <w:kern w:val="24"/>
                      <w:szCs w:val="21"/>
                      <w14:textFill>
                        <w14:solidFill>
                          <w14:schemeClr w14:val="tx1"/>
                        </w14:solidFill>
                      </w14:textFill>
                    </w:rPr>
                    <w:t>A等级标准后方可排入园区污水处理处理</w:t>
                  </w:r>
                  <w:r>
                    <w:rPr>
                      <w:rFonts w:hint="eastAsia"/>
                      <w:color w:val="000000" w:themeColor="text1"/>
                      <w:spacing w:val="4"/>
                      <w:kern w:val="24"/>
                      <w:szCs w:val="21"/>
                      <w14:textFill>
                        <w14:solidFill>
                          <w14:schemeClr w14:val="tx1"/>
                        </w14:solidFill>
                      </w14:textFill>
                    </w:rPr>
                    <w:t>。</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kern w:val="0"/>
                      <w:szCs w:val="21"/>
                      <w14:textFill>
                        <w14:solidFill>
                          <w14:schemeClr w14:val="tx1"/>
                        </w14:solidFill>
                      </w14:textFill>
                    </w:rPr>
                    <w:t>生活污水经化粪池处理达</w:t>
                  </w:r>
                  <w:r>
                    <w:rPr>
                      <w:color w:val="000000" w:themeColor="text1"/>
                      <w:spacing w:val="4"/>
                      <w:kern w:val="24"/>
                      <w:szCs w:val="21"/>
                      <w14:textFill>
                        <w14:solidFill>
                          <w14:schemeClr w14:val="tx1"/>
                        </w14:solidFill>
                      </w14:textFill>
                    </w:rPr>
                    <w:t>《污水综合排放标准》</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GB</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-1996</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表1和表4三级标准及《污水排入城镇下水道水质标准》</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GB/T</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-2015</w:t>
                  </w:r>
                  <w:r>
                    <w:rPr>
                      <w:rFonts w:hint="eastAsia"/>
                      <w:color w:val="000000" w:themeColor="text1"/>
                      <w:spacing w:val="4"/>
                      <w:kern w:val="24"/>
                      <w:szCs w:val="21"/>
                      <w14:textFill>
                        <w14:solidFill>
                          <w14:schemeClr w14:val="tx1"/>
                        </w14:solidFill>
                      </w14:textFill>
                    </w:rPr>
                    <w:t>）</w:t>
                  </w:r>
                  <w:r>
                    <w:rPr>
                      <w:color w:val="000000" w:themeColor="text1"/>
                      <w:spacing w:val="4"/>
                      <w:kern w:val="24"/>
                      <w:szCs w:val="21"/>
                      <w14:textFill>
                        <w14:solidFill>
                          <w14:schemeClr w14:val="tx1"/>
                        </w14:solidFill>
                      </w14:textFill>
                    </w:rPr>
                    <w:t>表1</w:t>
                  </w:r>
                  <w:r>
                    <w:rPr>
                      <w:rFonts w:hint="eastAsia"/>
                      <w:color w:val="000000" w:themeColor="text1"/>
                      <w:spacing w:val="4"/>
                      <w:kern w:val="24"/>
                      <w:szCs w:val="21"/>
                      <w14:textFill>
                        <w14:solidFill>
                          <w14:schemeClr w14:val="tx1"/>
                        </w14:solidFill>
                      </w14:textFill>
                    </w:rPr>
                    <w:t>中</w:t>
                  </w:r>
                  <w:r>
                    <w:rPr>
                      <w:color w:val="000000" w:themeColor="text1"/>
                      <w:spacing w:val="4"/>
                      <w:kern w:val="24"/>
                      <w:szCs w:val="21"/>
                      <w14:textFill>
                        <w14:solidFill>
                          <w14:schemeClr w14:val="tx1"/>
                        </w14:solidFill>
                      </w14:textFill>
                    </w:rPr>
                    <w:t>A等级标准</w:t>
                  </w:r>
                  <w:r>
                    <w:rPr>
                      <w:rFonts w:hint="eastAsia"/>
                      <w:color w:val="000000" w:themeColor="text1"/>
                      <w:kern w:val="0"/>
                      <w:szCs w:val="21"/>
                      <w14:textFill>
                        <w14:solidFill>
                          <w14:schemeClr w14:val="tx1"/>
                        </w14:solidFill>
                      </w14:textFill>
                    </w:rPr>
                    <w:t>后纳管。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820"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61" w:type="dxa"/>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环境风险防控</w:t>
                  </w: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1、不得布置日常储量构成重大危险源的项目。</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本项目风险物质为机油，最大储量为1t，不构成重大危险源。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0"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14:textFill>
                        <w14:solidFill>
                          <w14:schemeClr w14:val="tx1"/>
                        </w14:solidFill>
                      </w14:textFill>
                    </w:rPr>
                  </w:pPr>
                </w:p>
              </w:tc>
              <w:tc>
                <w:tcPr>
                  <w:tcW w:w="301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2、入驻企业根据本评价地下水分区管控要求进行管控，严格管控项目的入驻，对洗马塘 每泉点、小新街1#泉点、小新街2#泉点、小龙潭村泉点、大龙潭村泉点等进行保护，严禁随意占用。</w:t>
                  </w:r>
                </w:p>
              </w:tc>
              <w:tc>
                <w:tcPr>
                  <w:tcW w:w="259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本项目不涉及上述的泉点。</w:t>
                  </w:r>
                </w:p>
              </w:tc>
            </w:tr>
          </w:tbl>
          <w:p>
            <w:pPr>
              <w:autoSpaceDE w:val="0"/>
              <w:autoSpaceDN w:val="0"/>
              <w:adjustRightInd w:val="0"/>
              <w:snapToGrid w:val="0"/>
              <w:spacing w:line="360" w:lineRule="auto"/>
              <w:ind w:firstLine="422" w:firstLineChars="200"/>
              <w:rPr>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相符性分析：</w:t>
            </w:r>
            <w:r>
              <w:rPr>
                <w:rFonts w:hint="eastAsia"/>
                <w:color w:val="000000" w:themeColor="text1"/>
                <w:kern w:val="0"/>
                <w:szCs w:val="21"/>
                <w14:textFill>
                  <w14:solidFill>
                    <w14:schemeClr w14:val="tx1"/>
                  </w14:solidFill>
                </w14:textFill>
              </w:rPr>
              <w:t>本项目位于碧谷片区，属于C3099其他非金属矿物制品制造，产品为多晶硅，用于光伏太阳能板，属于光伏新能源材料，</w:t>
            </w:r>
            <w:r>
              <w:rPr>
                <w:rFonts w:hint="eastAsia"/>
                <w:b/>
                <w:bCs/>
                <w:color w:val="000000" w:themeColor="text1"/>
                <w:kern w:val="0"/>
                <w:szCs w:val="21"/>
                <w14:textFill>
                  <w14:solidFill>
                    <w14:schemeClr w14:val="tx1"/>
                  </w14:solidFill>
                </w14:textFill>
              </w:rPr>
              <w:t>属于配套产业中的“新能源产业”，本项目符合园区发展规划。</w:t>
            </w:r>
            <w:r>
              <w:rPr>
                <w:rFonts w:hint="eastAsia"/>
                <w:color w:val="000000" w:themeColor="text1"/>
                <w:kern w:val="0"/>
                <w:szCs w:val="21"/>
                <w14:textFill>
                  <w14:solidFill>
                    <w14:schemeClr w14:val="tx1"/>
                  </w14:solidFill>
                </w14:textFill>
              </w:rPr>
              <w:t>对照表1-1，本项目符合园区产业定位及规划要求相关环保措施要求。</w:t>
            </w:r>
          </w:p>
          <w:p>
            <w:pPr>
              <w:autoSpaceDE w:val="0"/>
              <w:autoSpaceDN w:val="0"/>
              <w:adjustRightInd w:val="0"/>
              <w:snapToGrid w:val="0"/>
              <w:spacing w:line="360" w:lineRule="auto"/>
              <w:ind w:firstLine="422" w:firstLineChars="200"/>
              <w:rPr>
                <w:b/>
                <w:bCs/>
                <w:kern w:val="0"/>
                <w:szCs w:val="21"/>
              </w:rPr>
            </w:pPr>
            <w:r>
              <w:rPr>
                <w:rFonts w:hint="eastAsia"/>
                <w:b/>
                <w:bCs/>
                <w:kern w:val="0"/>
                <w:szCs w:val="21"/>
              </w:rPr>
              <w:t>2.2、与昆环函[2023]1号相符性分析</w:t>
            </w:r>
          </w:p>
          <w:p>
            <w:pPr>
              <w:pStyle w:val="61"/>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《云南东川产业园区总体规划修编（2021-2035）环境影响报告书》于2023年5月4日取得昆明市生态环境局审查意见（昆环函[2023]1号）。</w:t>
            </w:r>
          </w:p>
          <w:p>
            <w:pPr>
              <w:pStyle w:val="61"/>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表1-2 项目建设与审查意见及专家组意见的符合性分析</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4680"/>
              <w:gridCol w:w="1652"/>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b/>
                      <w:color w:val="000000" w:themeColor="text1"/>
                      <w:spacing w:val="4"/>
                      <w:kern w:val="24"/>
                      <w:szCs w:val="21"/>
                      <w14:textFill>
                        <w14:solidFill>
                          <w14:schemeClr w14:val="tx1"/>
                        </w14:solidFill>
                      </w14:textFill>
                    </w:rPr>
                    <w:t>序号</w:t>
                  </w:r>
                </w:p>
              </w:tc>
              <w:tc>
                <w:tcPr>
                  <w:tcW w:w="468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审查意见要求</w:t>
                  </w:r>
                </w:p>
              </w:tc>
              <w:tc>
                <w:tcPr>
                  <w:tcW w:w="165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项目情况</w:t>
                  </w:r>
                </w:p>
              </w:tc>
              <w:tc>
                <w:tcPr>
                  <w:tcW w:w="83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一）坚持绿色、低碳、高质量发展理念，完善和加强规划引导，落实生态环境分区管控要求，区域统筹保护好生态空间。根据区域发展战略，坚持生态优先、高效集约发展，加强与国土空间规划及产业园区优化提升工作的协调衔接，进一步优化发展定位、功能布局、产业结构和实施时序，布局开发应确保满足国土空间规划和“三区三线”管控要求。产业开发应符合国家产业政策和相关规划，有效控制园区开发强度。实现产业发展与生态环境保护、人居环境安全相协调，引导园区低碳化、绿色化、循环化发展。</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本项目位于碧谷片区，符合其产业定位、功能布局、产业结构和时序等，满足其空间规划的相关要求。</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4680" w:type="dxa"/>
                  <w:tcBorders>
                    <w:tl2br w:val="nil"/>
                    <w:tr2bl w:val="nil"/>
                  </w:tcBorders>
                  <w:vAlign w:val="center"/>
                </w:tcPr>
                <w:p>
                  <w:pP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（二）进一步优化空间布局，加强空间管控，严格对环境敏感区的保护，严禁不符合管控要求的各类开发和建设活动，协调好生产、生活、生态“三生”空间的关系。</w:t>
                  </w:r>
                </w:p>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区域大气环境容量，严格控制有色金属冶炼、化工发展规模，加快能源结构升级改造和使用清洁能源，促进区域环境质量改善。园区内现有冶炼、化工及传统建筑材料等重污染企业要开展技术升级改造和环保设施的提标改造，实现区域污染物减排和环境质量改善，为后续项目腾出环境容量。园区内现有与规划不符的企业应逐步搬迁。优化调整碧谷片区产业结构，不得布局排放《有毒有害大气污染物名录(2018年)》中污染物的企业。</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本项目不排放《有毒有害大气污染物名录(2018年)》中的污染物；不属于上述所列的重污染企业，符合园区产业规划。</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680" w:type="dxa"/>
                  <w:tcBorders>
                    <w:tl2br w:val="nil"/>
                    <w:tr2bl w:val="nil"/>
                  </w:tcBorders>
                  <w:vAlign w:val="center"/>
                </w:tcPr>
                <w:p>
                  <w:pP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（三）严守环境质量底线，严格落实环境管控单元管控要求。</w:t>
                  </w:r>
                </w:p>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国家、云南省和“三线一单”有关大气污染防治的相关要求，落实主要污染物区域削减方案，严格执行园区大气污染物管控要求，合理确定产业规模、布局、建设时序。有色金属冶炼、化工、建材等“两高”行业应实行主要污染物区域等量削减，重点行业重点重金属排放减量替代比例不得低于 1.2:1，铅锌冶炼和铜冶炼企业须执行颗粒物和重点重金属污染物特别排放限值。</w:t>
                  </w:r>
                </w:p>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入驻企业应采用先进的生产工艺、装备、清洁能源与原料，从源头上控制污染物的产生；采用先进高效的污染防治措施做好大气污染物的减排工作。</w:t>
                  </w:r>
                </w:p>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重视园区废水收集、处理、回用、排放的环境管理。全面实施“雨污分流”“清污分流”制度，提高入驻企业工业用水重复利用率和中水回用率，加快污水处理厂建设；根据小江水环境容量，适时对污水处理厂进行提标改造。结合水污染防治方案，加强摩洛河、功山河、响水河、黄水等、小清河、小江等河道严格执行《地下水管理条例》相关规定，严格水文地质工程地质勘察，合理规避岩溶发育区，做好地下水污染防治和监控，入驻企业按相关规范要求采取针对性防渗措施，确保区域地下水安全。进一步完善固体废物集中处置设施，做好工业固废的处置及监管等工作，确保入园企业的固废得到妥善处置加强土壤环境跟踪监测，确保满足土壤环境管控要求按照碳达峰、碳中和相关政策要求，积极开展减污降碳协同管控，推广园区能源梯级利用等节能低碳技术。做好产业布局、结构调整、节能审查与能耗双控的衔接，推动园区绿色低碳发展。</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根据质量公报，区域环境能够满足标准要求，且本项目不属于重污染企业和上述“两高”项目，为非金属加工项目，符合相关要求。</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项目不涉及地下水评价，仅提出相应的地下水防治措施。</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四）制定准入清单，严格入园项目生态环境准入管理。加强“两高”行业生态环境源头防控，引进的项目应采用先进适用的工艺技术和装备，单位产品物耗、能耗、水耗等应达到国内清洁生产先进水平。推进技术研发型、创新型产业发展，提升产业的技术水平和产业园区的绿色低碳化水平。入园项目需符合国家产业政策、产业布局规划要求，符合“三线一单”大气水、土壤等重点管控单元要求。</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根据表1-1，本项目满足碧谷片区管控单元及管控要求；且本项目不属于“两高”项目。根据业主提供的本项目节能报告，项目单位产品综合能耗0.983kgce/kg、单位产品铸锭炉电耗6.93kW.h /kg、单位产品综合水耗6.90m</w:t>
                  </w:r>
                  <w:r>
                    <w:rPr>
                      <w:rFonts w:hint="eastAsia"/>
                      <w:color w:val="000000" w:themeColor="text1"/>
                      <w:spacing w:val="4"/>
                      <w:kern w:val="24"/>
                      <w:szCs w:val="21"/>
                      <w:vertAlign w:val="superscript"/>
                      <w14:textFill>
                        <w14:solidFill>
                          <w14:schemeClr w14:val="tx1"/>
                        </w14:solidFill>
                      </w14:textFill>
                    </w:rPr>
                    <w:t>3</w:t>
                  </w:r>
                  <w:r>
                    <w:rPr>
                      <w:rFonts w:hint="eastAsia"/>
                      <w:color w:val="000000" w:themeColor="text1"/>
                      <w:spacing w:val="4"/>
                      <w:kern w:val="24"/>
                      <w:szCs w:val="21"/>
                      <w14:textFill>
                        <w14:solidFill>
                          <w14:schemeClr w14:val="tx1"/>
                        </w14:solidFill>
                      </w14:textFill>
                    </w:rPr>
                    <w:t>/t，对照《光伏电池行业清洁生产评价指标体系》，项目电耗满足Ⅰ级基准值，清洁生产水平为Ⅰ级（国际清洁生产领先水平）。</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5</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五）建立健全区域环境风险防范和生态安全保障体系加强园区内危险化学品的生产、使用、贮运等管理，统筹考虑园区污染防治、生态恢复与建设、环境风险防范、环境管理等事宜。建立企业-园区-区域环境风险防控体系，健全应急响应联动机制，强化预警能力建设，严格落实环境风险应急与防范措施，编制园区环境风险应急预案并加强演练，保障区域环境安全。</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项目不涉及危险化学品的生产、使用、贮运等。</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6</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六）建立环境质量监测网络并共享数据。根据园区功能分区、产业布局、重点企业分布、特征污染物排放、环境敏感目标分布等情况，统筹安排环境监测监控网络建设。四方地片区、天生桥片区应设置环境空气自动监测站，定期做好区域大气、地表水、地下水、土壤等环境要素的跟踪监测与管理。根据监测结果、实际环境影响、不良环境影响减缓措施的有效性完善环境管理并适时优化调整《规划》。</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项目拟制定监测计划。</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7</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（七）定期发布环境信息，建立畅通的公众参与平台。加强与周边公众的沟通，主动接受社会监督，及时解决公众关心的环境问题，满足公众合理的环境诉求。对涉及到的居民搬迁应制定搬迁方案，并尽快实施。</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项目不涉及居民搬迁。</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pStyle w:val="61"/>
              <w:ind w:firstLine="420"/>
              <w:jc w:val="both"/>
              <w:rPr>
                <w:sz w:val="21"/>
                <w:szCs w:val="21"/>
              </w:rPr>
            </w:pPr>
            <w:r>
              <w:rPr>
                <w:rFonts w:hint="eastAsia"/>
                <w:color w:val="000000" w:themeColor="text1"/>
                <w:sz w:val="21"/>
                <w:szCs w:val="21"/>
                <w14:textFill>
                  <w14:solidFill>
                    <w14:schemeClr w14:val="tx1"/>
                  </w14:solidFill>
                </w14:textFill>
              </w:rPr>
              <w:t>对照表1-2，本项目</w:t>
            </w:r>
            <w:r>
              <w:rPr>
                <w:rFonts w:hint="eastAsia"/>
                <w:color w:val="000000" w:themeColor="text1"/>
                <w:sz w:val="21"/>
                <w:szCs w:val="21"/>
                <w:lang w:val="en-GB"/>
                <w14:textFill>
                  <w14:solidFill>
                    <w14:schemeClr w14:val="tx1"/>
                  </w14:solidFill>
                </w14:textFill>
              </w:rPr>
              <w:t>符合</w:t>
            </w:r>
            <w:r>
              <w:rPr>
                <w:rFonts w:hint="eastAsia"/>
                <w:color w:val="000000" w:themeColor="text1"/>
                <w:sz w:val="21"/>
                <w:szCs w:val="21"/>
                <w14:textFill>
                  <w14:solidFill>
                    <w14:schemeClr w14:val="tx1"/>
                  </w14:solidFill>
                </w14:textFill>
              </w:rPr>
              <w:t>审查意见及</w:t>
            </w:r>
            <w:r>
              <w:rPr>
                <w:rFonts w:hint="eastAsia"/>
                <w:color w:val="000000" w:themeColor="text1"/>
                <w:sz w:val="21"/>
                <w:szCs w:val="21"/>
                <w:lang w:val="en-GB"/>
                <w14:textFill>
                  <w14:solidFill>
                    <w14:schemeClr w14:val="tx1"/>
                  </w14:solidFill>
                </w14:textFill>
              </w:rPr>
              <w:t>规划</w:t>
            </w:r>
            <w:r>
              <w:rPr>
                <w:rFonts w:hint="eastAsia"/>
                <w:color w:val="000000" w:themeColor="text1"/>
                <w:sz w:val="21"/>
                <w:szCs w:val="21"/>
                <w14:textFill>
                  <w14:solidFill>
                    <w14:schemeClr w14:val="tx1"/>
                  </w14:solidFill>
                </w14:textFill>
              </w:rPr>
              <w:t>的相关</w:t>
            </w:r>
            <w:r>
              <w:rPr>
                <w:rFonts w:hint="eastAsia"/>
                <w:color w:val="000000" w:themeColor="text1"/>
                <w:sz w:val="21"/>
                <w:szCs w:val="21"/>
                <w:lang w:val="en-GB"/>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89" w:type="dxa"/>
            <w:vAlign w:val="center"/>
          </w:tcPr>
          <w:p>
            <w:pPr>
              <w:autoSpaceDE w:val="0"/>
              <w:autoSpaceDN w:val="0"/>
              <w:adjustRightInd w:val="0"/>
              <w:snapToGrid w:val="0"/>
              <w:jc w:val="center"/>
              <w:rPr>
                <w:kern w:val="0"/>
                <w:szCs w:val="21"/>
              </w:rPr>
            </w:pPr>
            <w:r>
              <w:rPr>
                <w:kern w:val="0"/>
                <w:szCs w:val="21"/>
              </w:rPr>
              <w:t>其他符合性分析</w:t>
            </w:r>
          </w:p>
        </w:tc>
        <w:tc>
          <w:tcPr>
            <w:tcW w:w="7981" w:type="dxa"/>
            <w:gridSpan w:val="4"/>
            <w:vAlign w:val="center"/>
          </w:tcPr>
          <w:p>
            <w:pPr>
              <w:autoSpaceDE w:val="0"/>
              <w:autoSpaceDN w:val="0"/>
              <w:adjustRightInd w:val="0"/>
              <w:snapToGrid w:val="0"/>
              <w:spacing w:line="360" w:lineRule="auto"/>
              <w:rPr>
                <w:b/>
                <w:bCs/>
                <w:kern w:val="0"/>
                <w:szCs w:val="21"/>
              </w:rPr>
            </w:pPr>
            <w:r>
              <w:rPr>
                <w:rFonts w:hint="eastAsia"/>
                <w:b/>
                <w:bCs/>
                <w:kern w:val="0"/>
                <w:szCs w:val="21"/>
              </w:rPr>
              <w:t>1、“三线一单”符合性分析</w:t>
            </w:r>
          </w:p>
          <w:p>
            <w:pPr>
              <w:autoSpaceDE w:val="0"/>
              <w:autoSpaceDN w:val="0"/>
              <w:adjustRightInd w:val="0"/>
              <w:snapToGrid w:val="0"/>
              <w:spacing w:line="360" w:lineRule="auto"/>
              <w:ind w:firstLine="420" w:firstLineChars="200"/>
              <w:rPr>
                <w:kern w:val="0"/>
                <w:szCs w:val="21"/>
              </w:rPr>
            </w:pPr>
            <w:r>
              <w:rPr>
                <w:rFonts w:hint="eastAsia"/>
                <w:kern w:val="0"/>
                <w:szCs w:val="21"/>
              </w:rPr>
              <w:t>①“生态保护红线”符合性分析</w:t>
            </w:r>
          </w:p>
          <w:p>
            <w:pPr>
              <w:autoSpaceDE w:val="0"/>
              <w:autoSpaceDN w:val="0"/>
              <w:adjustRightInd w:val="0"/>
              <w:snapToGrid w:val="0"/>
              <w:spacing w:line="360" w:lineRule="auto"/>
              <w:ind w:firstLine="420" w:firstLineChars="200"/>
              <w:rPr>
                <w:kern w:val="0"/>
                <w:szCs w:val="21"/>
              </w:rPr>
            </w:pPr>
            <w:r>
              <w:rPr>
                <w:rFonts w:hint="eastAsia"/>
                <w:kern w:val="0"/>
                <w:szCs w:val="21"/>
              </w:rPr>
              <w:t>根据《云南省人民政府关于发布云南省生态保护红线的通知》（云政发[2018]32号），基本格局呈“三屏两带”。“三屏”：青藏高原南缘滇西北高山峡谷生态屏障、哀牢山—无量山山地生态屏障、南部边境热带森林生态屏障。“两带”：金沙江、澜沧江、红河干热河谷地带，东南部喀斯特地带。</w:t>
            </w:r>
          </w:p>
          <w:p>
            <w:pPr>
              <w:autoSpaceDE w:val="0"/>
              <w:autoSpaceDN w:val="0"/>
              <w:adjustRightInd w:val="0"/>
              <w:snapToGrid w:val="0"/>
              <w:spacing w:line="360" w:lineRule="auto"/>
              <w:ind w:firstLine="420" w:firstLineChars="200"/>
              <w:rPr>
                <w:kern w:val="0"/>
                <w:szCs w:val="21"/>
              </w:rPr>
            </w:pPr>
            <w:r>
              <w:rPr>
                <w:rFonts w:hint="eastAsia"/>
                <w:kern w:val="0"/>
                <w:szCs w:val="21"/>
              </w:rPr>
              <w:t>本项目位于云南省昆明市东川区碧谷工业园区，位于规划工业园区内，占地为工业用地，不在生态红线范围内，符合生态保护红线要求。</w:t>
            </w:r>
          </w:p>
          <w:p>
            <w:pPr>
              <w:autoSpaceDE w:val="0"/>
              <w:autoSpaceDN w:val="0"/>
              <w:adjustRightInd w:val="0"/>
              <w:snapToGrid w:val="0"/>
              <w:spacing w:line="360" w:lineRule="auto"/>
              <w:ind w:firstLine="420" w:firstLineChars="200"/>
              <w:rPr>
                <w:kern w:val="0"/>
                <w:szCs w:val="21"/>
              </w:rPr>
            </w:pPr>
            <w:r>
              <w:rPr>
                <w:rFonts w:hint="eastAsia"/>
                <w:kern w:val="0"/>
                <w:szCs w:val="21"/>
              </w:rPr>
              <w:t>②“环境质量底线”符合性分析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大气环境质量：根据《2022年度昆明市生态环境状况公报》，2022年，东川区环境空气质量总体达《环境空气质量标准》（GB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-2012）中的二级标准；</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地表水环境质量：根据《2022年度昆明市生态环境状况公报》，小江四级电站断面水质类别保持Ⅱ类不变；保持为优良水体，满足</w:t>
            </w:r>
            <w:r>
              <w:rPr>
                <w:color w:val="000000" w:themeColor="text1"/>
                <w:kern w:val="0"/>
                <w:szCs w:val="21"/>
                <w14:textFill>
                  <w14:solidFill>
                    <w14:schemeClr w14:val="tx1"/>
                  </w14:solidFill>
                </w14:textFill>
              </w:rPr>
              <w:t>《地表水环境质量标准》（GB</w:t>
            </w: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-2002）Ⅳ类</w:t>
            </w:r>
            <w:r>
              <w:rPr>
                <w:rFonts w:hint="eastAsia"/>
                <w:color w:val="000000" w:themeColor="text1"/>
                <w:kern w:val="0"/>
                <w:szCs w:val="21"/>
                <w14:textFill>
                  <w14:solidFill>
                    <w14:schemeClr w14:val="tx1"/>
                  </w14:solidFill>
                </w14:textFill>
              </w:rPr>
              <w:t>标准；</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质量：根据《2022年度昆明市生态环境状况公报》，2022年昆明市主城区各类功能区昼间、夜间声环境质量基本达标。主城区昼间区域环境噪声总体水平达二级（较好），主城区道路交通噪声强度等级为一级（好），各县（市）区区域环境噪声总体水平在一级（好）和二级（较好）之间。与2021年相比，东川区、石林县、寻甸县的昼间区域声环境质量平均等效声级上升。整体满足《声环境质量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-2008）中3类区标准要求。</w:t>
            </w:r>
          </w:p>
          <w:p>
            <w:pPr>
              <w:autoSpaceDE w:val="0"/>
              <w:autoSpaceDN w:val="0"/>
              <w:adjustRightInd w:val="0"/>
              <w:snapToGrid w:val="0"/>
              <w:spacing w:line="360" w:lineRule="auto"/>
              <w:ind w:firstLine="420" w:firstLineChars="200"/>
              <w:rPr>
                <w:kern w:val="0"/>
                <w:szCs w:val="21"/>
              </w:rPr>
            </w:pPr>
            <w:r>
              <w:rPr>
                <w:rFonts w:hint="eastAsia"/>
                <w:kern w:val="0"/>
                <w:szCs w:val="21"/>
              </w:rPr>
              <w:t>根据本项目所在地环境现状调查和污染物排放影响预测，项目实施后对区域内环境影响较小，环境质量可以保持现有水平，不会突破项目所在地的环境质量底线。因此项目的建设符合环境质量底线标准的要求。</w:t>
            </w:r>
          </w:p>
          <w:p>
            <w:pPr>
              <w:autoSpaceDE w:val="0"/>
              <w:autoSpaceDN w:val="0"/>
              <w:adjustRightInd w:val="0"/>
              <w:snapToGrid w:val="0"/>
              <w:spacing w:line="360" w:lineRule="auto"/>
              <w:ind w:firstLine="420" w:firstLineChars="200"/>
              <w:rPr>
                <w:kern w:val="0"/>
                <w:szCs w:val="21"/>
              </w:rPr>
            </w:pPr>
            <w:r>
              <w:rPr>
                <w:rFonts w:hint="eastAsia"/>
                <w:kern w:val="0"/>
                <w:szCs w:val="21"/>
              </w:rPr>
              <w:t>③“资源利用上线”符合性分析</w:t>
            </w:r>
          </w:p>
          <w:p>
            <w:pPr>
              <w:autoSpaceDE w:val="0"/>
              <w:autoSpaceDN w:val="0"/>
              <w:adjustRightInd w:val="0"/>
              <w:snapToGrid w:val="0"/>
              <w:spacing w:line="360" w:lineRule="auto"/>
              <w:ind w:firstLine="420" w:firstLineChars="200"/>
              <w:rPr>
                <w:kern w:val="0"/>
                <w:szCs w:val="21"/>
              </w:rPr>
            </w:pPr>
            <w:r>
              <w:rPr>
                <w:rFonts w:hint="eastAsia"/>
                <w:kern w:val="0"/>
                <w:szCs w:val="21"/>
              </w:rPr>
              <w:t>本项目用地为工业用地，不会突破当地资源利用上限。项目所需的原料均为外购，项目消耗水、电等均由市政供水公司、供电公司供应。根据工程分析、现场调查及环境影响分析，本项目实施后只要认真落实本评价提出的各项环保措施，并实施污染物排放总量控制要求，其周围环境质量基本能维持现有水平，符合项目所在地资源利用上线要求。</w:t>
            </w:r>
          </w:p>
          <w:p>
            <w:pPr>
              <w:autoSpaceDE w:val="0"/>
              <w:autoSpaceDN w:val="0"/>
              <w:adjustRightInd w:val="0"/>
              <w:snapToGrid w:val="0"/>
              <w:spacing w:line="360" w:lineRule="auto"/>
              <w:ind w:firstLine="420" w:firstLineChars="200"/>
              <w:rPr>
                <w:kern w:val="0"/>
                <w:szCs w:val="21"/>
              </w:rPr>
            </w:pPr>
            <w:r>
              <w:rPr>
                <w:rFonts w:hint="eastAsia"/>
                <w:kern w:val="0"/>
                <w:szCs w:val="21"/>
              </w:rPr>
              <w:t>④“环境准入负面清单”符合性分析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工业园区，对照《云南东川产业园区总体规划修编（2021-2035）环境影响报告书》环境准入负面清单-碧谷片区管控单元及管控要求（详见表1-1），本项目不在其负面清单内，属于配套产业中的“新能源产业”，符合园区规划。</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2、与《昆明市“三线一单”生态环境分区管控实施意见》符合性分析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对照《昆明市人民政府关于昆明市“三线一单”生态环境分区管控的实施意见》，本项目位于</w:t>
            </w:r>
            <w:r>
              <w:rPr>
                <w:rFonts w:hint="eastAsia"/>
                <w:color w:val="000000" w:themeColor="text1"/>
                <w:kern w:val="0"/>
                <w:szCs w:val="21"/>
                <w:highlight w:val="none"/>
                <w14:textFill>
                  <w14:solidFill>
                    <w14:schemeClr w14:val="tx1"/>
                  </w14:solidFill>
                </w14:textFill>
              </w:rPr>
              <w:t>云南东川产业园碧谷片区</w:t>
            </w:r>
            <w:r>
              <w:rPr>
                <w:rFonts w:hint="eastAsia"/>
                <w:color w:val="000000" w:themeColor="text1"/>
                <w:kern w:val="0"/>
                <w:szCs w:val="21"/>
                <w14:textFill>
                  <w14:solidFill>
                    <w14:schemeClr w14:val="tx1"/>
                  </w14:solidFill>
                </w14:textFill>
              </w:rPr>
              <w:t>，单元编码为：ZH</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20005，属重点管控单元。项目与其相符性如下。</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表1-3 与《昆明市“三线一单”生态环境分区管控的实施意见》符合性分析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69"/>
              <w:gridCol w:w="3424"/>
              <w:gridCol w:w="2250"/>
              <w:gridCol w:w="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11" w:type="pct"/>
                  <w:gridSpan w:val="2"/>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类别</w:t>
                  </w:r>
                </w:p>
              </w:tc>
              <w:tc>
                <w:tcPr>
                  <w:tcW w:w="2204"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文件要求</w:t>
                  </w:r>
                </w:p>
              </w:tc>
              <w:tc>
                <w:tcPr>
                  <w:tcW w:w="1448"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项目情况</w:t>
                  </w:r>
                </w:p>
              </w:tc>
              <w:tc>
                <w:tcPr>
                  <w:tcW w:w="535"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11" w:type="pct"/>
                  <w:gridSpan w:val="2"/>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生态保护红线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项目位于碧谷片区，用地类型为工业用地，不在生态红线范围内，项目符合生态保护红线的相关要求。</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环境质量底线</w:t>
                  </w: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生态</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质量</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到2025年，全市生态环境质量持续改善，生态空间得到优化和有效保护，区域生态安全屏障更加牢固。到2035年，全市生态环境质量实现根本好转，生态功能显著提升，区域生态安全得到全面保障。</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项目位于碧谷片区，用地类型为工业用地，对生态环境影响较小，不会突破当地生态环境质量底线。</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大气环境质量底线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到2025年，全市环境空气质量总体保持优良，主城建成区空气质量优良天数占比达99%以上，二氧化硫（SO</w:t>
                  </w:r>
                  <w:r>
                    <w:rPr>
                      <w:rFonts w:hint="eastAsia"/>
                      <w:color w:val="000000" w:themeColor="text1"/>
                      <w:spacing w:val="4"/>
                      <w:kern w:val="24"/>
                      <w:szCs w:val="21"/>
                      <w:vertAlign w:val="subscript"/>
                      <w14:textFill>
                        <w14:solidFill>
                          <w14:schemeClr w14:val="tx1"/>
                        </w14:solidFill>
                      </w14:textFill>
                    </w:rPr>
                    <w:t>2</w:t>
                  </w:r>
                  <w:r>
                    <w:rPr>
                      <w:rFonts w:hint="eastAsia"/>
                      <w:color w:val="000000" w:themeColor="text1"/>
                      <w:spacing w:val="4"/>
                      <w:kern w:val="24"/>
                      <w:szCs w:val="21"/>
                      <w14:textFill>
                        <w14:solidFill>
                          <w14:schemeClr w14:val="tx1"/>
                        </w14:solidFill>
                      </w14:textFill>
                    </w:rPr>
                    <w:t>）和氮氧化物（NOx）排放总量控制在省下达的目标以内，主城区空气中颗粒物（PM</w:t>
                  </w:r>
                  <w:r>
                    <w:rPr>
                      <w:rFonts w:hint="eastAsia"/>
                      <w:color w:val="000000" w:themeColor="text1"/>
                      <w:spacing w:val="4"/>
                      <w:kern w:val="24"/>
                      <w:szCs w:val="21"/>
                      <w:vertAlign w:val="subscript"/>
                      <w14:textFill>
                        <w14:solidFill>
                          <w14:schemeClr w14:val="tx1"/>
                        </w14:solidFill>
                      </w14:textFill>
                    </w:rPr>
                    <w:t>10</w:t>
                  </w:r>
                  <w:r>
                    <w:rPr>
                      <w:rFonts w:hint="eastAsia"/>
                      <w:color w:val="000000" w:themeColor="text1"/>
                      <w:spacing w:val="4"/>
                      <w:kern w:val="24"/>
                      <w:szCs w:val="21"/>
                      <w14:textFill>
                        <w14:solidFill>
                          <w14:schemeClr w14:val="tx1"/>
                        </w14:solidFill>
                      </w14:textFill>
                    </w:rPr>
                    <w:t>、PM</w:t>
                  </w:r>
                  <w:r>
                    <w:rPr>
                      <w:rFonts w:hint="eastAsia"/>
                      <w:color w:val="000000" w:themeColor="text1"/>
                      <w:spacing w:val="4"/>
                      <w:kern w:val="24"/>
                      <w:szCs w:val="21"/>
                      <w:vertAlign w:val="subscript"/>
                      <w14:textFill>
                        <w14:solidFill>
                          <w14:schemeClr w14:val="tx1"/>
                        </w14:solidFill>
                      </w14:textFill>
                    </w:rPr>
                    <w:t>2.5</w:t>
                  </w:r>
                  <w:r>
                    <w:rPr>
                      <w:rFonts w:hint="eastAsia"/>
                      <w:color w:val="000000" w:themeColor="text1"/>
                      <w:spacing w:val="4"/>
                      <w:kern w:val="24"/>
                      <w:szCs w:val="21"/>
                      <w14:textFill>
                        <w14:solidFill>
                          <w14:schemeClr w14:val="tx1"/>
                        </w14:solidFill>
                      </w14:textFill>
                    </w:rPr>
                    <w:t>）稳定达《环境空气质量标准》二级标准以上。到2035年，全市环境空气质量全面改善，各县（市）区、开发（度假）区环境空气质量稳定达到国家二级标准。</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项目区属于环境空气质量达标区，项目铸锭过程为物理变化，且为真空炉，切割会产生少量粉尘，经布袋除尘器处置后，对大气环境质量影响较小，不会突破当地环境质量底线。</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水环境质量底线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到2025年，纳入国家和省级考核的地表水监测断面水质优良率稳步提升，滇池流域、阳宗海流域水环境质量明显改善，水生态系统功能逐步恢复，滇池草海水质达IV类，滇池外海水质达 IV类（化学需氧量≤40毫克/升），阳宗海水质达Ⅲ类，集中式饮用水源水质巩固改善。到2035年，地表水体水质优良率全面提升，各监测断面水质达到水环境功能要求，消除劣V类水体，集中式饮用水水源水质稳定达标。</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项目实行雨污分流体制。项目生产用水循环使用，不外排，生活污水通过化粪池处理后排入园区污水管网进行纳管。项目废水不直接排放，对区域地表水环境影响不大。</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土壤</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风险</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防控</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底线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农用地和建设用地土壤环境安全得到有效保障，土壤环境风险得到全面管控。</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厂房采取分区防渗措施，危险废物设置危险废物暂存间暂存，并委托有资质单位定期清运处置。危废暂存间地面和四周墙裙进行重点防渗处理，并设置围堰等应急设施。项目采取了土壤污染防控措施，对土壤环境质量影响较小。</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01" w:hRule="atLeast"/>
                <w:jc w:val="center"/>
              </w:trPr>
              <w:tc>
                <w:tcPr>
                  <w:tcW w:w="316" w:type="pct"/>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资源利用上线</w:t>
                  </w: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水资源利用上线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按照国家、省、市有关要求和规划，按时完成全市用水总量、用水效率、限制纳污“三条红线”水资源上限控制指标。</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项目运营过程中用水主要为冷却用水及生活用水，冷却水循环使用。项目用水量较少，不属于高耗水项目。</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能源利用上线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按时完成单位GDP能耗下降率、能源消费总量等能源控制指标。</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项目生产过程中使用电能，能源消耗量相对区域能源利用总量较少，不属于高耗能项目。</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土地资源利用上线</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按时完成耕地保有量、基本农田保护面积、建设用地总规模等土地资源利用上限控制指标。</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项目不占用耕地及基本农田，用地类型为工业用地，不会突破当地土地资源利用上线。</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云南东川再就业特色产业园区</w:t>
                  </w: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空间布局约束</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重点发展重化工、有色冶金、铸造、有色金属和稀贵金属加工、机械制造、机电设备、黄金精加工、建筑建材以及食品加工、生物医药行业。</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本项目位于碧谷片区，产品</w:t>
                  </w:r>
                  <w:r>
                    <w:rPr>
                      <w:rFonts w:hint="eastAsia"/>
                      <w:color w:val="000000" w:themeColor="text1"/>
                      <w:kern w:val="0"/>
                      <w:szCs w:val="21"/>
                      <w14:textFill>
                        <w14:solidFill>
                          <w14:schemeClr w14:val="tx1"/>
                        </w14:solidFill>
                      </w14:textFill>
                    </w:rPr>
                    <w:t>属于园区配套产业中的“新能源产业”，</w:t>
                  </w:r>
                  <w:r>
                    <w:rPr>
                      <w:rFonts w:hint="eastAsia"/>
                      <w:color w:val="000000" w:themeColor="text1"/>
                      <w:spacing w:val="4"/>
                      <w:kern w:val="24"/>
                      <w:szCs w:val="21"/>
                      <w14:textFill>
                        <w14:solidFill>
                          <w14:schemeClr w14:val="tx1"/>
                        </w14:solidFill>
                      </w14:textFill>
                    </w:rPr>
                    <w:t>与空间产业布局不冲突。</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污染物排放管控</w:t>
                  </w:r>
                </w:p>
              </w:tc>
              <w:tc>
                <w:tcPr>
                  <w:tcW w:w="2204" w:type="pct"/>
                  <w:tcBorders>
                    <w:tl2br w:val="nil"/>
                    <w:tr2bl w:val="nil"/>
                  </w:tcBorders>
                  <w:vAlign w:val="center"/>
                </w:tcPr>
                <w:p>
                  <w:pPr>
                    <w:jc w:val="left"/>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1.四方地组团禁止再安排重污染企业，防止加重该区域的环境污染。</w:t>
                  </w:r>
                </w:p>
                <w:p>
                  <w:pPr>
                    <w:jc w:val="left"/>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2.碧谷片区靠近城区一侧安排居住及轻污染的工业项目，该地区地势较低，不得布置空气污染较重的项目。</w:t>
                  </w:r>
                </w:p>
                <w:p>
                  <w:pPr>
                    <w:jc w:val="left"/>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3.对门山片区不宜作为工业片区，作为城市服务功能区，靠近城区一侧应营造绿化带和布置低噪声影响项目。</w:t>
                  </w:r>
                </w:p>
                <w:p>
                  <w:pPr>
                    <w:jc w:val="left"/>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4.阿旺片区不宜布局空气污染大的项目。</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本项目为光伏铸锭项目，生产工艺为高温物理熔化后冷却结晶，产生的废气量较少，属于轻污染项目。</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16" w:hRule="atLeast"/>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环境风险防控</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对门山片区发展生物制药及食品加工业时不得使用氨冷冻方式，以免氨泄露造成风险。</w:t>
                  </w:r>
                </w:p>
                <w:p>
                  <w:pPr>
                    <w:jc w:val="center"/>
                    <w:rPr>
                      <w:color w:val="000000" w:themeColor="text1"/>
                      <w:spacing w:val="4"/>
                      <w:kern w:val="24"/>
                      <w:szCs w:val="21"/>
                      <w14:textFill>
                        <w14:solidFill>
                          <w14:schemeClr w14:val="tx1"/>
                        </w14:solidFill>
                      </w14:textFill>
                    </w:rPr>
                  </w:pP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本项目位于碧谷片区，不属于对门山片区。</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资源开发效率要求</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城市污水再生利用率在20%以上。工业污水处理达标率达到100%。</w:t>
                  </w:r>
                </w:p>
              </w:tc>
              <w:tc>
                <w:tcPr>
                  <w:tcW w:w="1448" w:type="pct"/>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本项目仅排放生活污水，废水处理达标率100%。</w:t>
                  </w:r>
                </w:p>
              </w:tc>
              <w:tc>
                <w:tcPr>
                  <w:tcW w:w="535"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autoSpaceDE w:val="0"/>
              <w:autoSpaceDN w:val="0"/>
              <w:adjustRightInd w:val="0"/>
              <w:snapToGrid w:val="0"/>
              <w:spacing w:line="360" w:lineRule="auto"/>
              <w:ind w:firstLine="420" w:firstLineChars="200"/>
              <w:rPr>
                <w:b/>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综上所述，本项目建设符合《昆明市人民政府关于昆明市“三线一单”生态环境分区管控的实施意见》要求。</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3、产业政策符合性分析</w:t>
            </w:r>
          </w:p>
          <w:p>
            <w:pPr>
              <w:autoSpaceDE w:val="0"/>
              <w:autoSpaceDN w:val="0"/>
              <w:adjustRightInd w:val="0"/>
              <w:snapToGrid w:val="0"/>
              <w:spacing w:line="360" w:lineRule="auto"/>
              <w:ind w:firstLine="480"/>
              <w:rPr>
                <w:color w:val="000000"/>
                <w:kern w:val="0"/>
                <w:szCs w:val="21"/>
              </w:rPr>
            </w:pPr>
            <w:r>
              <w:rPr>
                <w:rFonts w:hint="eastAsia"/>
                <w:color w:val="000000" w:themeColor="text1"/>
                <w:kern w:val="0"/>
                <w:szCs w:val="21"/>
                <w14:textFill>
                  <w14:solidFill>
                    <w14:schemeClr w14:val="tx1"/>
                  </w14:solidFill>
                </w14:textFill>
              </w:rPr>
              <w:t>本项目为多晶硅锭生产项目</w:t>
            </w:r>
            <w:r>
              <w:rPr>
                <w:rFonts w:hint="eastAsia"/>
                <w:color w:val="000000"/>
                <w:kern w:val="0"/>
                <w:szCs w:val="21"/>
              </w:rPr>
              <w:t>，对照《产业结构调整指导目录（2019年本）》、《促进产业结构调整暂行规定》、《云南省工业产业结构调整指导目录》（2006年本），项目属于鼓励类</w:t>
            </w:r>
            <w:r>
              <w:rPr>
                <w:rStyle w:val="28"/>
                <w:rFonts w:hint="eastAsia"/>
                <w:kern w:val="0"/>
                <w:szCs w:val="20"/>
              </w:rPr>
              <w:t>中“二十八、信息产业—</w:t>
            </w:r>
            <w:r>
              <w:rPr>
                <w:rStyle w:val="28"/>
                <w:kern w:val="0"/>
                <w:szCs w:val="20"/>
              </w:rPr>
              <w:t>51、先进的各类太阳能光伏电池及高纯晶体硅材料</w:t>
            </w:r>
            <w:r>
              <w:rPr>
                <w:rStyle w:val="28"/>
                <w:rFonts w:hint="eastAsia"/>
                <w:kern w:val="0"/>
                <w:szCs w:val="20"/>
              </w:rPr>
              <w:t>”</w:t>
            </w:r>
            <w:r>
              <w:rPr>
                <w:rFonts w:hint="eastAsia"/>
                <w:color w:val="000000"/>
                <w:kern w:val="0"/>
                <w:szCs w:val="21"/>
              </w:rPr>
              <w:t>，项目建设符合当前产业政策。</w:t>
            </w:r>
          </w:p>
          <w:p>
            <w:pPr>
              <w:autoSpaceDE w:val="0"/>
              <w:autoSpaceDN w:val="0"/>
              <w:adjustRightInd w:val="0"/>
              <w:snapToGrid w:val="0"/>
              <w:spacing w:line="360" w:lineRule="auto"/>
              <w:ind w:firstLine="480"/>
              <w:rPr>
                <w:color w:val="000000"/>
                <w:kern w:val="0"/>
                <w:szCs w:val="21"/>
              </w:rPr>
            </w:pPr>
            <w:r>
              <w:rPr>
                <w:rFonts w:hint="eastAsia"/>
                <w:color w:val="000000" w:themeColor="text1"/>
                <w:kern w:val="0"/>
                <w:szCs w:val="21"/>
                <w14:textFill>
                  <w14:solidFill>
                    <w14:schemeClr w14:val="tx1"/>
                  </w14:solidFill>
                </w14:textFill>
              </w:rPr>
              <w:t>本项目已取得昆明市东川区发展和改革局备案证，项目代码为：</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-04-01-</w:t>
            </w:r>
            <w:r>
              <w:rPr>
                <w:rFonts w:hint="eastAsia"/>
                <w:color w:val="000000" w:themeColor="text1"/>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w:t>
            </w:r>
            <w:r>
              <w:rPr>
                <w:rFonts w:hint="eastAsia"/>
                <w:color w:val="000000"/>
                <w:kern w:val="0"/>
                <w:szCs w:val="21"/>
              </w:rPr>
              <w:t>项目的建设符合昆明市产业政策。</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4、与《云南省长江经济带发展负面清单指南实施细则（试行，2022年版）》符合性分析</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表1-4 项目与《云南省长江经济带发展负面清单指南实施细则（试行，2022年版）》符合性分析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4533"/>
              <w:gridCol w:w="1857"/>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3"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序号</w:t>
                  </w:r>
                </w:p>
              </w:tc>
              <w:tc>
                <w:tcPr>
                  <w:tcW w:w="2917"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相关要求</w:t>
                  </w:r>
                </w:p>
              </w:tc>
              <w:tc>
                <w:tcPr>
                  <w:tcW w:w="1196"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本项目建设情况</w:t>
                  </w:r>
                </w:p>
              </w:tc>
              <w:tc>
                <w:tcPr>
                  <w:tcW w:w="512"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第一条 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本项目为光伏铸锭项目，属C3099其他非金属矿物制品制造，不属于上述港口规划码头项目。</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2</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第二条 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项目位于碧谷片区，用地性质属工业用地，项目的建设不涉及自然保护区。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76"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第三条 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项目位于碧谷片区，用地性质属工业用地，项目的建设不涉及风景名胜区。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04"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第四条 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项目位于碧谷片区，用地性质属工业用地，项目的建设不涉及饮用水源保护区。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7"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5</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项目位于碧谷片区，用地性质属工业用地，项目的建设不涉及水产种质资源保护区、国家湿地公园等保护区。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0"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6</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第六条 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项目位于碧谷片区，用地性质属工业用地，项目的建设不涉及长江流域河湖岸线、金沙江岸线保护区、金沙江干流、九大高原湖泊保护区等保护区。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62"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7</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第七条 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项目位于碧谷片区，用地性质属工业用地，项目不在金沙江干流、长江一级支流范围内。</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91"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8</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第八条 禁止在金沙江干流、长江一级支流、水生生物保护区和长江流域禁捕水域开展天然渔业资源生产性捕捞。</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项目位于碧谷片区，用地性质属工业用地，不涉及金沙江干流、长江一级支流、水生生物保护区和长江流域禁捕水域。</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670"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9</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第九条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项目位于碧谷片区，用地性质属工业用地，不在金沙江干流，长江一级支流和九大高原湖泊岸线一公里范围内。</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8"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10</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第十条 禁止在合规园区外新建、扩建钢铁、石化、化工、焦化、建材、有色、制浆造纸行业中的高污染项目。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项目位于碧谷片区，且不属于上述高污染项目。</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36"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11</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项目不属于列入《云南省城镇人口密集区危险化学品生产企业搬迁改造名单》的搬迁改造企业在原址新建、扩建危险化学品生产项目。</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8" w:hRule="atLeast"/>
                <w:jc w:val="center"/>
              </w:trPr>
              <w:tc>
                <w:tcPr>
                  <w:tcW w:w="373"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12</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第十二条 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按、电石、焦炭、黄磷、烧碱、纯碱、聚氯乙烯等行业新增产能。</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根据《产业结构调整指导目录（2019 年本）》，</w:t>
                  </w:r>
                  <w:r>
                    <w:rPr>
                      <w:rFonts w:hint="eastAsia"/>
                      <w:color w:val="000000" w:themeColor="text1"/>
                      <w:kern w:val="0"/>
                      <w:szCs w:val="21"/>
                      <w14:textFill>
                        <w14:solidFill>
                          <w14:schemeClr w14:val="tx1"/>
                        </w14:solidFill>
                      </w14:textFill>
                    </w:rPr>
                    <w:t>项目属于鼓励类</w:t>
                  </w:r>
                  <w:r>
                    <w:rPr>
                      <w:rStyle w:val="28"/>
                      <w:rFonts w:hint="eastAsia"/>
                      <w:color w:val="000000" w:themeColor="text1"/>
                      <w:kern w:val="0"/>
                      <w:szCs w:val="20"/>
                      <w14:textFill>
                        <w14:solidFill>
                          <w14:schemeClr w14:val="tx1"/>
                        </w14:solidFill>
                      </w14:textFill>
                    </w:rPr>
                    <w:t>中“二十八、信息产业—</w:t>
                  </w:r>
                  <w:r>
                    <w:rPr>
                      <w:rStyle w:val="28"/>
                      <w:color w:val="000000" w:themeColor="text1"/>
                      <w:kern w:val="0"/>
                      <w:szCs w:val="20"/>
                      <w14:textFill>
                        <w14:solidFill>
                          <w14:schemeClr w14:val="tx1"/>
                        </w14:solidFill>
                      </w14:textFill>
                    </w:rPr>
                    <w:t>51、先进的各类太阳能光伏电池及高纯晶体硅材料</w:t>
                  </w:r>
                  <w:r>
                    <w:rPr>
                      <w:rStyle w:val="28"/>
                      <w:rFonts w:hint="eastAsia"/>
                      <w:color w:val="000000" w:themeColor="text1"/>
                      <w:kern w:val="0"/>
                      <w:szCs w:val="20"/>
                      <w14:textFill>
                        <w14:solidFill>
                          <w14:schemeClr w14:val="tx1"/>
                        </w14:solidFill>
                      </w14:textFill>
                    </w:rPr>
                    <w:t>”</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根据上表，项目建设符合《云南省长江经济带发展负面清单指南实施细则（试行，2022年版）》的相关要求。</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5、与《昆明市大气污染防治条例》相符性分析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项目与《昆明市大气污染防治条例》相符性分析见表1-5。</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表1-5 与《昆明市大气污染防治条例》的符合性分析</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4992"/>
              <w:gridCol w:w="1340"/>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b/>
                      <w:color w:val="000000" w:themeColor="text1"/>
                      <w:spacing w:val="4"/>
                      <w:kern w:val="24"/>
                      <w:szCs w:val="21"/>
                      <w14:textFill>
                        <w14:solidFill>
                          <w14:schemeClr w14:val="tx1"/>
                        </w14:solidFill>
                      </w14:textFill>
                    </w:rPr>
                    <w:t>序号</w:t>
                  </w:r>
                </w:p>
              </w:tc>
              <w:tc>
                <w:tcPr>
                  <w:tcW w:w="499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昆明市大气污染防治条例要求</w:t>
                  </w:r>
                </w:p>
              </w:tc>
              <w:tc>
                <w:tcPr>
                  <w:tcW w:w="134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项目情况</w:t>
                  </w:r>
                </w:p>
              </w:tc>
              <w:tc>
                <w:tcPr>
                  <w:tcW w:w="83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4992"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本项目废气污染物为颗粒物，排放量较少。</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4992"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下列产生含挥发性有机物废气的生产和服务活动，应当在密闭空间或者设备中进行，并按照规定安装、使用污染防治设施；无法密闭的，应当采取高效处理措施减少废气排放：</w:t>
                  </w:r>
                </w:p>
                <w:p>
                  <w:pPr>
                    <w:numPr>
                      <w:ilvl w:val="0"/>
                      <w:numId w:val="3"/>
                    </w:num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石油炼制及有机化学品、合成树脂、合成纤维、合成橡胶等行业；</w:t>
                  </w:r>
                </w:p>
                <w:p>
                  <w:pPr>
                    <w:numPr>
                      <w:ilvl w:val="0"/>
                      <w:numId w:val="3"/>
                    </w:num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制药、农药、涂料、油墨、胶粘剂、橡胶和塑料加工等行业；</w:t>
                  </w:r>
                </w:p>
                <w:p>
                  <w:pPr>
                    <w:numPr>
                      <w:ilvl w:val="0"/>
                      <w:numId w:val="3"/>
                    </w:num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汽车、家具、集装箱、电子产品、工程机械等行业；</w:t>
                  </w:r>
                </w:p>
                <w:p>
                  <w:pPr>
                    <w:numPr>
                      <w:ilvl w:val="0"/>
                      <w:numId w:val="3"/>
                    </w:num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塑料软包装印刷、印铁制罐等行业；</w:t>
                  </w:r>
                </w:p>
                <w:p>
                  <w:pPr>
                    <w:numPr>
                      <w:ilvl w:val="0"/>
                      <w:numId w:val="3"/>
                    </w:num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其他产生挥发性有机物的生产和服务活动。</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本项目不涉及挥发性有机物废气排放。</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992"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本项目不涉及。</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autoSpaceDE w:val="0"/>
              <w:autoSpaceDN w:val="0"/>
              <w:adjustRightInd w:val="0"/>
              <w:snapToGrid w:val="0"/>
              <w:spacing w:line="360" w:lineRule="auto"/>
              <w:ind w:firstLine="420" w:firstLineChars="200"/>
            </w:pPr>
            <w:r>
              <w:rPr>
                <w:rFonts w:hint="eastAsia"/>
                <w:color w:val="000000" w:themeColor="text1"/>
                <w:kern w:val="0"/>
                <w:szCs w:val="21"/>
                <w14:textFill>
                  <w14:solidFill>
                    <w14:schemeClr w14:val="tx1"/>
                  </w14:solidFill>
                </w14:textFill>
              </w:rPr>
              <w:t>综上，项目符合《昆明市大气污染防治条例》相关要求。</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6、与《光伏制造行业规范条件（2021年本）》相符性分析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项目与《光伏制造行业规范条件（2021年本）》相符性分析见表1-6。</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表1-6 与《光伏制造行业规范条件（2021年本）》的符合性分析</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4186"/>
              <w:gridCol w:w="2372"/>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541"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b/>
                      <w:color w:val="000000" w:themeColor="text1"/>
                      <w:spacing w:val="4"/>
                      <w:kern w:val="24"/>
                      <w:szCs w:val="21"/>
                      <w14:textFill>
                        <w14:solidFill>
                          <w14:schemeClr w14:val="tx1"/>
                        </w14:solidFill>
                      </w14:textFill>
                    </w:rPr>
                    <w:t>序号</w:t>
                  </w:r>
                </w:p>
              </w:tc>
              <w:tc>
                <w:tcPr>
                  <w:tcW w:w="4186"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文件要求</w:t>
                  </w:r>
                </w:p>
              </w:tc>
              <w:tc>
                <w:tcPr>
                  <w:tcW w:w="237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项目情况</w:t>
                  </w:r>
                </w:p>
              </w:tc>
              <w:tc>
                <w:tcPr>
                  <w:tcW w:w="83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929" w:type="dxa"/>
                  <w:gridSpan w:val="4"/>
                  <w:tcBorders>
                    <w:tl2br w:val="nil"/>
                    <w:tr2bl w:val="nil"/>
                  </w:tcBorders>
                  <w:vAlign w:val="center"/>
                </w:tcPr>
                <w:p>
                  <w:pPr>
                    <w:rPr>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一、生产布局与项目设立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一）光伏制造企业及项目应符合国家资源开发利用、环境保护、节能管理等法律法规要求，符合国家产业政策和相关产业规划及布局要求，符合当地土地利用总体规划、城市总体规划、环境功能区划和环境保护规划等要求。</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本项目符合“三线一单”相关要求，已取得节能审查批复</w:t>
                  </w:r>
                  <w:r>
                    <w:rPr>
                      <w:rFonts w:hint="eastAsia"/>
                      <w:color w:val="000000" w:themeColor="text1"/>
                      <w:szCs w:val="21"/>
                      <w14:textFill>
                        <w14:solidFill>
                          <w14:schemeClr w14:val="tx1"/>
                        </w14:solidFill>
                      </w14:textFill>
                    </w:rPr>
                    <w:t>批复（东发改复 [2023]1号）；根据前文分析符合园区规划和国家产业政策、土地规划及环境保护的相关要求。</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二）在国家法律法规、规章及规划确定或省级以上人民政府批准的自然保护区、饮用水水源保护区、生态功能保护区，已划定的永久基本农田，以及法律、法规规定禁止建设工业企业的区域不得建设光伏制造项目。上述区域内的现有企业应按照法律法规要求拆除关闭，或严格控制规模、逐步迁出。</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本项目位于碧谷工业园区，不属于上述的保护区和基本农田；亦不属于禁止建设光伏制造项目的园区。</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三）引导光伏企业减少单纯扩大产能的光伏制造项目，加强技术创新、提高产品质量、降低生产成本。新建和改扩建多晶硅制造项目，最低资本金比例为30%，其他新建和改扩建光伏制造项目，最低资本金比例为20%。</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本项目为新建项目，不属于单纯扩大产能的项目；同时根据节能审查意见和对照《光伏电池行业清洁生产评价指标体系》，本项目清洁生产水平为Ⅰ级（国际清洁生产领先水平）。</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929" w:type="dxa"/>
                  <w:gridSpan w:val="4"/>
                  <w:tcBorders>
                    <w:tl2br w:val="nil"/>
                    <w:tr2bl w:val="nil"/>
                  </w:tcBorders>
                  <w:vAlign w:val="center"/>
                </w:tcPr>
                <w:p>
                  <w:pPr>
                    <w:rPr>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二、工艺技术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（一）光伏制造企业应采用工艺先进、安全可靠、节能环保、产品质量好、生产成本低的生产技术和设备，并实现高品质产品的批量化生产。</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本项目已取得节能审查意见，对照《光伏电池行业清洁生产评价指标体系》，本项目清洁生产水平为Ⅰ级（国际清洁生产领先水平）。</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2</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二）光伏制造企业应具备以下条件：在中华人民共和国境内依法注册成立，具有独立法人资格；具有太阳能光伏产品独立生产、供应和售后服务能力；每年用于研发及工艺改进的费用不低于总销售额的3%且不少于1000万元人民币，鼓励企业取得省级以上独立研发机构、技术中心或高新技术企业资质；申报符合规范名单时上一年实际产量不低于上一年实际产能的50%。</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本企业在中国国内成立，具有独立法人资格；具有独立生产、供应和售后服务的能力；暂不涉及技术研发和更新。</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（三）现有光伏制造企业及项目产品应满足以下要求：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1.多晶硅满足《太阳能级多晶硅》（GB/T</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）或《流化床法颗粒硅》（GB/T</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）特级品的要求。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2.多晶硅片（含准单晶硅片）少子寿命不低于2μs，碳、氧含量分别小于 10ppma和12ppma；P型单晶硅片少子寿命不低于50μs，N型单晶硅片少子寿命不低于500μs，碳、氧含量分别小于 1ppma和14ppma。</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3.多晶硅电池和单晶硅电池（双面电池按正面效率计算）的平均光电转换效率分别不低于19%和22.5%。</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4.多晶硅组件和单晶硅组件（双面组件按正面效率计算）的平均光电转换效率分别不低于17%和19.6%。</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5.硅基、铜铟镓硒（CIGS）、碲化镉（CdTe）及其他薄膜组件的平均光电转换效率分别不低于12%、15%、14%、14%。</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6.含变压器型的光伏逆变器中国加权效率不得低于96.5%，不含变压器型的光伏逆变器中国加权效率不得低于98%（单相二级拓扑结构的光伏逆变器相关指标分别不低于94.5%和97.3%），微型逆变器相关指标分别不低于95%和95.5%。</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本项目属于新建项目，不属于现有光伏制造企业。</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（四）新建和改扩建企业及项目产品应满足以下要求：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 xml:space="preserve">1.多晶硅满足《电子级多晶硅》（GB/T </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）3级品以上要求或《流化床法颗粒硅》（GB/T</w:t>
                  </w:r>
                  <w:r>
                    <w:rPr>
                      <w:rFonts w:hint="eastAsia"/>
                      <w:color w:val="000000" w:themeColor="text1"/>
                      <w:spacing w:val="4"/>
                      <w:kern w:val="24"/>
                      <w:szCs w:val="21"/>
                      <w:lang w:eastAsia="zh-CN"/>
                      <w14:textFill>
                        <w14:solidFill>
                          <w14:schemeClr w14:val="tx1"/>
                        </w14:solidFill>
                      </w14:textFill>
                    </w:rPr>
                    <w:t>*****</w:t>
                  </w:r>
                  <w:r>
                    <w:rPr>
                      <w:color w:val="000000" w:themeColor="text1"/>
                      <w:spacing w:val="4"/>
                      <w:kern w:val="24"/>
                      <w:szCs w:val="21"/>
                      <w14:textFill>
                        <w14:solidFill>
                          <w14:schemeClr w14:val="tx1"/>
                        </w14:solidFill>
                      </w14:textFill>
                    </w:rPr>
                    <w:t>）特级品的要求。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2.多晶硅片（含准单晶硅片）少子寿命不低于2.5μs，碳、氧含量分别小于 6ppma和ppma；P 型单晶硅片少子寿命不低于80μs，N 型单晶硅片少子寿命不低于700μs，碳、氧含量分别小于1ppma 和14ppma。</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3.多晶硅电池和单晶硅电池（双面电池按正面效率计算）的平均光电转换效率分别不低于20.5%和23%。</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4.多晶硅组件和单晶硅组件（双面组件按正面效率计算）的平均光电转换效率分别不低于18.4%和20%。</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5.硅基、CIGS、CdTe及其他薄膜组件的平均光电转换效率分别不低于 13%、16%、15%、15%。</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本项目产品为多晶硅铸锭，不生产多晶硅电池和单晶硅电池及其组件。</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产品质量标准执行</w:t>
                  </w:r>
                  <w:r>
                    <w:rPr>
                      <w:color w:val="000000" w:themeColor="text1"/>
                      <w:spacing w:val="4"/>
                      <w:kern w:val="24"/>
                      <w:szCs w:val="21"/>
                      <w14:textFill>
                        <w14:solidFill>
                          <w14:schemeClr w14:val="tx1"/>
                        </w14:solidFill>
                      </w14:textFill>
                    </w:rPr>
                    <w:t>《电子级多晶硅》（GB/T</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-2014</w:t>
                  </w:r>
                  <w:r>
                    <w:rPr>
                      <w:color w:val="000000" w:themeColor="text1"/>
                      <w:spacing w:val="4"/>
                      <w:kern w:val="24"/>
                      <w:szCs w:val="21"/>
                      <w14:textFill>
                        <w14:solidFill>
                          <w14:schemeClr w14:val="tx1"/>
                        </w14:solidFill>
                      </w14:textFill>
                    </w:rPr>
                    <w:t>）3级要求</w:t>
                  </w:r>
                  <w:r>
                    <w:rPr>
                      <w:rFonts w:hint="eastAsia"/>
                      <w:color w:val="000000" w:themeColor="text1"/>
                      <w:spacing w:val="4"/>
                      <w:kern w:val="24"/>
                      <w:szCs w:val="21"/>
                      <w14:textFill>
                        <w14:solidFill>
                          <w14:schemeClr w14:val="tx1"/>
                        </w14:solidFill>
                      </w14:textFill>
                    </w:rPr>
                    <w:t>，尺寸由顾客制定。</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5</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（五）晶硅组件衰减率首年不高于 2.5%，后续每年不高于0.6%，25年内不高于17%；薄膜组件衰减率首年不高于5%，后续每年不高于0.4%，25年内不高于15%。</w:t>
                  </w:r>
                </w:p>
              </w:tc>
              <w:tc>
                <w:tcPr>
                  <w:tcW w:w="237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本项目多晶硅铸锭返回江西久顺进行再加工生产晶硅组件，本项目不生产。</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929" w:type="dxa"/>
                  <w:gridSpan w:val="4"/>
                  <w:tcBorders>
                    <w:tl2br w:val="nil"/>
                    <w:tr2bl w:val="nil"/>
                  </w:tcBorders>
                  <w:vAlign w:val="center"/>
                </w:tcPr>
                <w:p>
                  <w:pPr>
                    <w:rPr>
                      <w:color w:val="000000" w:themeColor="text1"/>
                      <w:spacing w:val="4"/>
                      <w:kern w:val="24"/>
                      <w:szCs w:val="21"/>
                      <w14:textFill>
                        <w14:solidFill>
                          <w14:schemeClr w14:val="tx1"/>
                        </w14:solidFill>
                      </w14:textFill>
                    </w:rPr>
                  </w:pPr>
                  <w:r>
                    <w:rPr>
                      <w:b/>
                      <w:bCs/>
                      <w:color w:val="000000" w:themeColor="text1"/>
                      <w:spacing w:val="4"/>
                      <w:kern w:val="24"/>
                      <w:szCs w:val="21"/>
                      <w14:textFill>
                        <w14:solidFill>
                          <w14:schemeClr w14:val="tx1"/>
                        </w14:solidFill>
                      </w14:textFill>
                    </w:rPr>
                    <w:t>三、资源综合利用及能耗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41"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w:t>
                  </w:r>
                </w:p>
              </w:tc>
              <w:tc>
                <w:tcPr>
                  <w:tcW w:w="4186" w:type="dxa"/>
                  <w:tcBorders>
                    <w:tl2br w:val="nil"/>
                    <w:tr2bl w:val="nil"/>
                  </w:tcBorders>
                  <w:vAlign w:val="center"/>
                </w:tcPr>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（一）光伏制造企业和项目用地应符合国家已出台的土地使用标准，严格保护耕地，节约集约用地。</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（二）光伏制造项目电耗应满足以下要求：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1.现有多晶硅项目还原电耗小于 60千瓦时/千克，综合电耗小于80千瓦时/千克；新建和改扩建项目还原电耗小于50千瓦时/千克，综合电耗小于70千瓦时/千克。</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2.现有硅锭项目平均综合电耗小于 7.5千瓦时/千克，新建和改扩建项目小于6.5千瓦时/千克；如采用多晶铸锭炉生产准单晶或高效多晶产品，项目平均综合电耗的增加幅度不得超过0.5千瓦时/千克。</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3.现有硅棒项目平均综合电耗小于 30千瓦时/千克，新建和改扩建项目小于 28千瓦时/千克。</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4.现有多晶硅片项目平均综合电耗小于25万千瓦时/百万片，新建和改扩建项目小于 20 万千瓦时/百万片；现有单晶硅片项目平均综合电耗小于20万千瓦时/百万片，新建和改扩建项目小于15万千瓦时/百万片。</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5.晶硅电池项目平均综合电耗小于 8 万千瓦时/MWp。</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6.晶硅组件项目平均综合电耗小于 4万千瓦时/MWp，薄膜组件项目平均电耗小于50万千瓦时/MWp。</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（三）光伏制造项目生产水耗应满足以下要求：</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1.多晶硅项目水循环利用率不低于 95%；</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2.硅片项目水耗低于1300吨/百万片；</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3.P型晶硅电池项目水耗低于 750 吨/MWp，N型晶硅电池项目水耗低于 900吨/MWp。</w:t>
                  </w:r>
                </w:p>
                <w:p>
                  <w:pPr>
                    <w:ind w:firstLine="436" w:firstLineChars="200"/>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（四）其他生产单耗需满足国家相关标准。</w:t>
                  </w:r>
                </w:p>
              </w:tc>
              <w:tc>
                <w:tcPr>
                  <w:tcW w:w="23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本项目在园区内，不占用耕地，全部为工业用地；本项目使用多晶铸锭炉生产多晶硅块锭，单位产品铸锭炉电耗6.93kW.h /kg，＜7.0kW.h /kg。</w:t>
                  </w:r>
                </w:p>
                <w:p>
                  <w:pPr>
                    <w:pStyle w:val="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本项目仅排放生活污水，生产用水全部循环使用。</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综上，项目符合《光伏制造行业规范条件（2021年本）》相关要求。</w:t>
            </w:r>
          </w:p>
          <w:p>
            <w:pPr>
              <w:autoSpaceDE w:val="0"/>
              <w:autoSpaceDN w:val="0"/>
              <w:adjustRightInd w:val="0"/>
              <w:snapToGrid w:val="0"/>
              <w:spacing w:line="360" w:lineRule="auto"/>
              <w:rPr>
                <w:b/>
                <w:bCs/>
                <w:kern w:val="0"/>
                <w:szCs w:val="21"/>
              </w:rPr>
            </w:pPr>
            <w:r>
              <w:rPr>
                <w:rFonts w:hint="eastAsia"/>
                <w:b/>
                <w:bCs/>
                <w:kern w:val="0"/>
                <w:szCs w:val="21"/>
              </w:rPr>
              <w:t>7、选址合理性分析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本项目位于碧谷工业园区，为光伏铸锭项目，属于光伏新能源新材料产业，符合园区主导产业及规划定位。根据企业提供的土地证，云（2021）东川区不动产权第0000</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号，用地性质为工业用地，对照“附图8项目所在碧谷工业片区用地规划图”，本项目规划用地性质为工业用地，用地性质与规划相符。</w:t>
            </w:r>
          </w:p>
          <w:p>
            <w:pPr>
              <w:autoSpaceDE w:val="0"/>
              <w:autoSpaceDN w:val="0"/>
              <w:adjustRightInd w:val="0"/>
              <w:snapToGrid w:val="0"/>
              <w:spacing w:line="360" w:lineRule="auto"/>
              <w:ind w:firstLine="480"/>
              <w:rPr>
                <w:kern w:val="0"/>
                <w:szCs w:val="21"/>
              </w:rPr>
            </w:pPr>
            <w:r>
              <w:rPr>
                <w:rFonts w:hint="eastAsia"/>
                <w:kern w:val="0"/>
                <w:szCs w:val="21"/>
              </w:rPr>
              <w:t>项目选址未建立在自然保护区、风景名胜区、饮用水源地和其他需要特殊保护的区域，选址不在环境敏感区域。此外项目周边500米无自然保护区、文物保护等敏感目标。项目位于工业园区，区域大气环境质量达标，经治理后的废气、废水、噪声均可达标排放，固废得到有效处置，对周围环境影响较小。综上所述，项目选址是合理可行的。</w:t>
            </w:r>
          </w:p>
          <w:p>
            <w:pPr>
              <w:autoSpaceDE w:val="0"/>
              <w:autoSpaceDN w:val="0"/>
              <w:adjustRightInd w:val="0"/>
              <w:snapToGrid w:val="0"/>
              <w:spacing w:line="360" w:lineRule="auto"/>
              <w:rPr>
                <w:b/>
                <w:bCs/>
                <w:kern w:val="0"/>
                <w:szCs w:val="21"/>
              </w:rPr>
            </w:pPr>
            <w:r>
              <w:rPr>
                <w:rFonts w:hint="eastAsia"/>
                <w:b/>
                <w:bCs/>
                <w:kern w:val="0"/>
                <w:szCs w:val="21"/>
              </w:rPr>
              <w:t>8、平面布置合理性分析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平面布置根据功能、工艺流程、物流特点设计。整个项目功能分区明确，布局紧凑，工艺线路清晰流畅，噪声较大的铸锭炉布置于在厂房中部，办公区布置在厂房北侧，循环冷却池布置在厂房外北侧的空地上，原料区和产品区位于厂房南侧，厂房入口位于东侧。从功能分区上，办公区、成品区与生产区（铸锭区）位置分开，相对独立，减少车间噪声对职工的影响。出入口位于厂房东侧，出入口与外部道路相通，以方便物资和人员进出。项目整体布局紧凑，功能分区明确。项目总平面布置图见附图5。</w:t>
            </w:r>
          </w:p>
          <w:p>
            <w:pPr>
              <w:autoSpaceDE w:val="0"/>
              <w:autoSpaceDN w:val="0"/>
              <w:adjustRightInd w:val="0"/>
              <w:snapToGrid w:val="0"/>
              <w:spacing w:line="360" w:lineRule="auto"/>
              <w:rPr>
                <w:b/>
                <w:bCs/>
                <w:kern w:val="0"/>
                <w:szCs w:val="21"/>
              </w:rPr>
            </w:pPr>
            <w:r>
              <w:rPr>
                <w:rFonts w:hint="eastAsia"/>
                <w:b/>
                <w:bCs/>
                <w:kern w:val="0"/>
                <w:szCs w:val="21"/>
              </w:rPr>
              <w:t>9、环境相容性分析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拟建项目位于东川区碧谷工业园区（标准化厂房内），项目场地现状为空置标准化厂房，东侧195m为华新水泥厂，西侧、南侧均为园区空置厂房，北侧230m为驾校。本项目不产生废水，周边100米范围内无环境敏感点。另外项目区域内无文物保护区、风景名胜区和自然保护区，周围环境对拟建项目无环境制约因素影响。</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因此，从环境影响评价角度分析，拟建项目选址与周边企业布局是相容的。</w:t>
            </w: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ind w:firstLine="480"/>
              <w:rPr>
                <w:kern w:val="0"/>
                <w:szCs w:val="21"/>
              </w:rPr>
            </w:pPr>
          </w:p>
          <w:p>
            <w:pPr>
              <w:autoSpaceDE w:val="0"/>
              <w:autoSpaceDN w:val="0"/>
              <w:adjustRightInd w:val="0"/>
              <w:snapToGrid w:val="0"/>
              <w:spacing w:line="360" w:lineRule="auto"/>
              <w:rPr>
                <w:kern w:val="0"/>
                <w:szCs w:val="21"/>
              </w:rPr>
            </w:pPr>
          </w:p>
        </w:tc>
      </w:tr>
    </w:tbl>
    <w:p>
      <w:pPr>
        <w:spacing w:line="360" w:lineRule="auto"/>
        <w:rPr>
          <w:rFonts w:eastAsia="黑体"/>
          <w:sz w:val="30"/>
        </w:rPr>
        <w:sectPr>
          <w:footerReference r:id="rId7" w:type="default"/>
          <w:pgSz w:w="11906" w:h="16838"/>
          <w:pgMar w:top="1701" w:right="1531" w:bottom="1701" w:left="1531" w:header="851" w:footer="1077" w:gutter="0"/>
          <w:pgNumType w:start="1"/>
          <w:cols w:space="720" w:num="1"/>
          <w:docGrid w:linePitch="312" w:charSpace="0"/>
        </w:sectPr>
      </w:pPr>
    </w:p>
    <w:p>
      <w:pPr>
        <w:pStyle w:val="19"/>
        <w:jc w:val="center"/>
        <w:outlineLvl w:val="0"/>
        <w:rPr>
          <w:rFonts w:ascii="黑体" w:hAnsi="黑体" w:eastAsia="黑体"/>
          <w:snapToGrid w:val="0"/>
          <w:sz w:val="30"/>
          <w:szCs w:val="30"/>
        </w:rPr>
      </w:pPr>
      <w:bookmarkStart w:id="18" w:name="_Toc25526"/>
      <w:bookmarkStart w:id="19" w:name="_Toc21316"/>
      <w:r>
        <w:rPr>
          <w:rFonts w:hint="eastAsia" w:ascii="黑体" w:hAnsi="黑体" w:eastAsia="黑体"/>
          <w:snapToGrid w:val="0"/>
          <w:sz w:val="30"/>
          <w:szCs w:val="30"/>
        </w:rPr>
        <w:t>二、建设项目工程分析</w:t>
      </w:r>
      <w:bookmarkEnd w:id="18"/>
      <w:bookmarkEnd w:id="1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53"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tcPr>
          <w:p>
            <w:pPr>
              <w:spacing w:line="360" w:lineRule="auto"/>
              <w:rPr>
                <w:b/>
                <w:bCs/>
                <w:color w:val="000000"/>
                <w:szCs w:val="21"/>
              </w:rPr>
            </w:pPr>
            <w:r>
              <w:rPr>
                <w:rFonts w:hint="eastAsia"/>
                <w:b/>
                <w:bCs/>
                <w:color w:val="000000"/>
                <w:szCs w:val="21"/>
              </w:rPr>
              <w:t>1、项目由来</w:t>
            </w:r>
          </w:p>
          <w:p>
            <w:pPr>
              <w:autoSpaceDE w:val="0"/>
              <w:autoSpaceDN w:val="0"/>
              <w:spacing w:line="360" w:lineRule="auto"/>
              <w:ind w:firstLine="420" w:firstLineChars="200"/>
              <w:rPr>
                <w:color w:val="000000"/>
                <w:szCs w:val="21"/>
              </w:rPr>
            </w:pPr>
            <w:r>
              <w:rPr>
                <w:rFonts w:hint="eastAsia"/>
                <w:color w:val="000000"/>
                <w:szCs w:val="21"/>
              </w:rPr>
              <w:t>昆明市东川区嘉粟科技有限责任公司成立于2022年10月21日，是一家进行多晶硅生产加工的企业。公司拟投资6698万元租赁昆明市东川工业投资开发有限公司位于昆明市东川区碧谷工业片区的空置厂房建设“多晶硅碎片综合利用项目”，拟购置多晶硅铸锭炉20套，行车2台，上料设备8套等，</w:t>
            </w:r>
            <w:r>
              <w:rPr>
                <w:rFonts w:hint="eastAsia"/>
                <w:color w:val="000000" w:themeColor="text1"/>
                <w:szCs w:val="21"/>
                <w14:textFill>
                  <w14:solidFill>
                    <w14:schemeClr w14:val="tx1"/>
                  </w14:solidFill>
                </w14:textFill>
              </w:rPr>
              <w:t>项目建成后可形成年处置2000t光伏材料多晶硅碎屑，同时年产1800吨高纯度硅材料生产线一条。</w:t>
            </w:r>
          </w:p>
          <w:p>
            <w:pPr>
              <w:spacing w:line="360" w:lineRule="auto"/>
              <w:ind w:firstLine="420" w:firstLineChars="200"/>
              <w:rPr>
                <w:color w:val="000000"/>
                <w:szCs w:val="21"/>
              </w:rPr>
            </w:pPr>
            <w:r>
              <w:rPr>
                <w:rFonts w:hint="eastAsia"/>
                <w:color w:val="000000"/>
                <w:szCs w:val="21"/>
              </w:rPr>
              <w:t>根据中华人民共和国国务院第682号令《建设项目环境保护管理条例》及《中华人民共和国环境影响评价法》等的有关规定，该项目建设需开展环境影响评价工作。根据《建设项目环境影响评价分类管理名录》（2021年版）等有关法律、法规的要求，项目属于“二十七、非金属矿物制品业30—60石墨及其他非金属矿物制品制造309—其他”</w:t>
            </w:r>
            <w:r>
              <w:rPr>
                <w:color w:val="000000" w:themeColor="text1"/>
                <w:szCs w:val="21"/>
                <w14:textFill>
                  <w14:solidFill>
                    <w14:schemeClr w14:val="tx1"/>
                  </w14:solidFill>
                </w14:textFill>
              </w:rPr>
              <w:t>，应该编制环境影响报告表。</w:t>
            </w:r>
          </w:p>
          <w:p>
            <w:pPr>
              <w:spacing w:line="360" w:lineRule="auto"/>
              <w:ind w:firstLine="420" w:firstLineChars="200"/>
              <w:rPr>
                <w:color w:val="000000"/>
                <w:szCs w:val="21"/>
              </w:rPr>
            </w:pPr>
            <w:r>
              <w:rPr>
                <w:rFonts w:hint="eastAsia"/>
                <w:color w:val="000000"/>
                <w:szCs w:val="21"/>
              </w:rPr>
              <w:t>受昆明市东川区嘉粟科技有限责任公司的委托（附件1），我司承担本建设项目的环境影响报告表的编制。我公司接受委托后，按照环境影响评价技术导则的要求，通过现场踏勘、资料收集，在工程分析的基础上，对本项目可能造成的环境影响进行分析评价，编制了《多晶硅碎片综合利用项目环境影响报告表》，供建设单位上报审批。</w:t>
            </w:r>
          </w:p>
          <w:p>
            <w:pPr>
              <w:spacing w:line="360" w:lineRule="auto"/>
              <w:rPr>
                <w:b/>
                <w:color w:val="000000"/>
                <w:szCs w:val="21"/>
              </w:rPr>
            </w:pPr>
            <w:r>
              <w:rPr>
                <w:rFonts w:hint="eastAsia"/>
                <w:b/>
                <w:color w:val="000000"/>
                <w:szCs w:val="21"/>
              </w:rPr>
              <w:t>2、建设项目基本概况</w:t>
            </w:r>
          </w:p>
          <w:p>
            <w:pPr>
              <w:spacing w:line="360" w:lineRule="auto"/>
              <w:ind w:firstLine="420" w:firstLineChars="200"/>
              <w:rPr>
                <w:szCs w:val="21"/>
              </w:rPr>
            </w:pPr>
            <w:r>
              <w:rPr>
                <w:szCs w:val="21"/>
              </w:rPr>
              <w:t>项目名称：</w:t>
            </w:r>
            <w:r>
              <w:rPr>
                <w:rFonts w:hint="eastAsia"/>
                <w:szCs w:val="21"/>
              </w:rPr>
              <w:t>多晶硅碎片综合利用项目</w:t>
            </w:r>
          </w:p>
          <w:p>
            <w:pPr>
              <w:spacing w:line="360" w:lineRule="auto"/>
              <w:ind w:firstLine="420" w:firstLineChars="200"/>
              <w:rPr>
                <w:szCs w:val="21"/>
              </w:rPr>
            </w:pPr>
            <w:r>
              <w:rPr>
                <w:rFonts w:hint="eastAsia"/>
                <w:szCs w:val="21"/>
              </w:rPr>
              <w:t>建设单位：</w:t>
            </w:r>
            <w:r>
              <w:rPr>
                <w:rFonts w:hint="eastAsia" w:ascii="宋体" w:hAnsi="宋体"/>
                <w:szCs w:val="21"/>
              </w:rPr>
              <w:t>昆明市东川区嘉粟科技有限责任公司</w:t>
            </w:r>
          </w:p>
          <w:p>
            <w:pPr>
              <w:spacing w:line="360" w:lineRule="auto"/>
              <w:ind w:firstLine="420" w:firstLineChars="200"/>
              <w:rPr>
                <w:color w:val="000000"/>
                <w:szCs w:val="21"/>
              </w:rPr>
            </w:pPr>
            <w:r>
              <w:rPr>
                <w:rFonts w:hint="eastAsia"/>
                <w:szCs w:val="21"/>
              </w:rPr>
              <w:t>建设地点：</w:t>
            </w:r>
            <w:r>
              <w:rPr>
                <w:rFonts w:hint="eastAsia"/>
                <w:color w:val="000000"/>
                <w:szCs w:val="21"/>
              </w:rPr>
              <w:t>云南省昆明市东川区碧谷工业园区（新格路与碧龙路交叉口南上段标准化厂房内）（E：103度9分42.653秒，N：26度7分42.545秒）</w:t>
            </w:r>
          </w:p>
          <w:p>
            <w:pPr>
              <w:autoSpaceDE w:val="0"/>
              <w:autoSpaceDN w:val="0"/>
              <w:spacing w:line="360" w:lineRule="auto"/>
              <w:ind w:firstLine="420" w:firstLineChars="200"/>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生产规模：</w:t>
            </w:r>
            <w:r>
              <w:rPr>
                <w:rFonts w:hint="eastAsia"/>
                <w:color w:val="000000" w:themeColor="text1"/>
                <w:szCs w:val="21"/>
                <w14:textFill>
                  <w14:solidFill>
                    <w14:schemeClr w14:val="tx1"/>
                  </w14:solidFill>
                </w14:textFill>
              </w:rPr>
              <w:t>年处置2000t光伏材料多晶硅碎屑，同时年产1800吨高纯度硅材料生产线一条。</w:t>
            </w:r>
            <w:r>
              <w:rPr>
                <w:rFonts w:hint="eastAsia"/>
                <w:color w:val="000000" w:themeColor="text1"/>
                <w:szCs w:val="21"/>
                <w:lang w:val="en-US" w:eastAsia="zh-CN"/>
                <w14:textFill>
                  <w14:solidFill>
                    <w14:schemeClr w14:val="tx1"/>
                  </w14:solidFill>
                </w14:textFill>
              </w:rPr>
              <w:t>本项目产品为多晶硅锭，外售至江西久顺公司用于生产单晶硅棒。</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建设性质：新建</w:t>
            </w:r>
          </w:p>
          <w:p>
            <w:pPr>
              <w:spacing w:line="360" w:lineRule="auto"/>
              <w:ind w:firstLine="420" w:firstLineChars="200"/>
              <w:rPr>
                <w:bCs/>
                <w:color w:val="000000" w:themeColor="text1"/>
                <w:kern w:val="24"/>
                <w:szCs w:val="21"/>
                <w14:textFill>
                  <w14:solidFill>
                    <w14:schemeClr w14:val="tx1"/>
                  </w14:solidFill>
                </w14:textFill>
              </w:rPr>
            </w:pPr>
            <w:r>
              <w:rPr>
                <w:rFonts w:hint="eastAsia"/>
                <w:color w:val="000000" w:themeColor="text1"/>
                <w:szCs w:val="21"/>
                <w14:textFill>
                  <w14:solidFill>
                    <w14:schemeClr w14:val="tx1"/>
                  </w14:solidFill>
                </w14:textFill>
              </w:rPr>
              <w:t>建设项目投资：6698万元，资金来源为企业自筹</w:t>
            </w:r>
          </w:p>
          <w:p>
            <w:pPr>
              <w:spacing w:line="360" w:lineRule="auto"/>
              <w:rPr>
                <w:rFonts w:hAnsi="宋体"/>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w:t>
            </w:r>
            <w:r>
              <w:rPr>
                <w:rFonts w:hAnsi="宋体"/>
                <w:b/>
                <w:color w:val="000000" w:themeColor="text1"/>
                <w:szCs w:val="21"/>
                <w14:textFill>
                  <w14:solidFill>
                    <w14:schemeClr w14:val="tx1"/>
                  </w14:solidFill>
                </w14:textFill>
              </w:rPr>
              <w:t>工程</w:t>
            </w:r>
            <w:r>
              <w:rPr>
                <w:rFonts w:hint="eastAsia" w:hAnsi="宋体"/>
                <w:b/>
                <w:color w:val="000000" w:themeColor="text1"/>
                <w:szCs w:val="21"/>
                <w14:textFill>
                  <w14:solidFill>
                    <w14:schemeClr w14:val="tx1"/>
                  </w14:solidFill>
                </w14:textFill>
              </w:rPr>
              <w:t>内容及规模</w:t>
            </w:r>
          </w:p>
          <w:p>
            <w:pPr>
              <w:pStyle w:val="75"/>
              <w:spacing w:line="360" w:lineRule="auto"/>
              <w:ind w:firstLine="420"/>
              <w:jc w:val="both"/>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本项目总投资6698万元，位于云南省昆明市东川区碧谷工业园区，租用园区建设标准厂房7栋1楼，总建筑面积为3500m</w:t>
            </w:r>
            <w:r>
              <w:rPr>
                <w:rFonts w:hint="eastAsia" w:eastAsia="宋体"/>
                <w:bCs/>
                <w:color w:val="000000" w:themeColor="text1"/>
                <w:sz w:val="21"/>
                <w:szCs w:val="21"/>
                <w:vertAlign w:val="superscript"/>
                <w14:textFill>
                  <w14:solidFill>
                    <w14:schemeClr w14:val="tx1"/>
                  </w14:solidFill>
                </w14:textFill>
              </w:rPr>
              <w:t>2</w:t>
            </w:r>
            <w:r>
              <w:rPr>
                <w:rFonts w:hint="eastAsia" w:eastAsia="宋体"/>
                <w:bCs/>
                <w:color w:val="000000" w:themeColor="text1"/>
                <w:sz w:val="21"/>
                <w:szCs w:val="21"/>
                <w14:textFill>
                  <w14:solidFill>
                    <w14:schemeClr w14:val="tx1"/>
                  </w14:solidFill>
                </w14:textFill>
              </w:rPr>
              <w:t>。</w:t>
            </w:r>
            <w:r>
              <w:rPr>
                <w:rFonts w:hint="eastAsia" w:eastAsia="宋体"/>
                <w:bCs/>
                <w:color w:val="000000" w:themeColor="text1"/>
                <w:sz w:val="21"/>
                <w:szCs w:val="21"/>
                <w:lang w:val="en-US" w:eastAsia="zh-CN"/>
                <w14:textFill>
                  <w14:solidFill>
                    <w14:schemeClr w14:val="tx1"/>
                  </w14:solidFill>
                </w14:textFill>
              </w:rPr>
              <w:t>设有1个生产车间，车间内布设有原料区、成品区、切割区、检测区、办公区等。</w:t>
            </w:r>
            <w:r>
              <w:rPr>
                <w:rFonts w:hint="eastAsia" w:eastAsia="宋体"/>
                <w:bCs/>
                <w:color w:val="000000" w:themeColor="text1"/>
                <w:sz w:val="21"/>
                <w:szCs w:val="21"/>
                <w14:textFill>
                  <w14:solidFill>
                    <w14:schemeClr w14:val="tx1"/>
                  </w14:solidFill>
                </w14:textFill>
              </w:rPr>
              <w:t>具体工程组成见表2-1。</w:t>
            </w:r>
          </w:p>
          <w:p>
            <w:pPr>
              <w:pStyle w:val="75"/>
              <w:spacing w:line="240" w:lineRule="auto"/>
              <w:ind w:firstLine="0" w:firstLineChars="0"/>
              <w:jc w:val="center"/>
              <w:rPr>
                <w:rFonts w:eastAsia="宋体"/>
                <w:b/>
                <w:sz w:val="21"/>
                <w:szCs w:val="21"/>
              </w:rPr>
            </w:pPr>
            <w:r>
              <w:rPr>
                <w:rFonts w:hint="eastAsia" w:eastAsia="宋体"/>
                <w:b/>
                <w:sz w:val="21"/>
                <w:szCs w:val="21"/>
              </w:rPr>
              <w:t>表2-1项目工程组成一览表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79"/>
              <w:gridCol w:w="1060"/>
              <w:gridCol w:w="4224"/>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tcBorders>
                    <w:tl2br w:val="nil"/>
                    <w:tr2bl w:val="nil"/>
                  </w:tcBorders>
                  <w:vAlign w:val="center"/>
                </w:tcPr>
                <w:p>
                  <w:pPr>
                    <w:snapToGrid w:val="0"/>
                    <w:jc w:val="center"/>
                    <w:rPr>
                      <w:b/>
                      <w:bCs/>
                      <w:szCs w:val="21"/>
                    </w:rPr>
                  </w:pPr>
                  <w:r>
                    <w:rPr>
                      <w:rFonts w:hint="eastAsia"/>
                      <w:b/>
                      <w:bCs/>
                      <w:szCs w:val="21"/>
                    </w:rPr>
                    <w:t>工程分类</w:t>
                  </w:r>
                </w:p>
              </w:tc>
              <w:tc>
                <w:tcPr>
                  <w:tcW w:w="553" w:type="pct"/>
                  <w:tcBorders>
                    <w:tl2br w:val="nil"/>
                    <w:tr2bl w:val="nil"/>
                  </w:tcBorders>
                  <w:vAlign w:val="center"/>
                </w:tcPr>
                <w:p>
                  <w:pPr>
                    <w:snapToGrid w:val="0"/>
                    <w:jc w:val="center"/>
                    <w:rPr>
                      <w:b/>
                      <w:bCs/>
                      <w:szCs w:val="21"/>
                    </w:rPr>
                  </w:pPr>
                  <w:r>
                    <w:rPr>
                      <w:rFonts w:hint="eastAsia"/>
                      <w:b/>
                      <w:bCs/>
                      <w:szCs w:val="21"/>
                    </w:rPr>
                    <w:t>建设内容</w:t>
                  </w:r>
                </w:p>
              </w:tc>
              <w:tc>
                <w:tcPr>
                  <w:tcW w:w="667" w:type="pct"/>
                  <w:tcBorders>
                    <w:tl2br w:val="nil"/>
                    <w:tr2bl w:val="nil"/>
                  </w:tcBorders>
                  <w:vAlign w:val="center"/>
                </w:tcPr>
                <w:p>
                  <w:pPr>
                    <w:snapToGrid w:val="0"/>
                    <w:jc w:val="center"/>
                    <w:rPr>
                      <w:b/>
                      <w:bCs/>
                      <w:szCs w:val="21"/>
                    </w:rPr>
                  </w:pPr>
                  <w:r>
                    <w:rPr>
                      <w:rFonts w:hint="eastAsia"/>
                      <w:b/>
                      <w:bCs/>
                      <w:szCs w:val="21"/>
                    </w:rPr>
                    <w:t>建筑面积</w:t>
                  </w:r>
                </w:p>
              </w:tc>
              <w:tc>
                <w:tcPr>
                  <w:tcW w:w="2656" w:type="pct"/>
                  <w:tcBorders>
                    <w:tl2br w:val="nil"/>
                    <w:tr2bl w:val="nil"/>
                  </w:tcBorders>
                  <w:vAlign w:val="center"/>
                </w:tcPr>
                <w:p>
                  <w:pPr>
                    <w:snapToGrid w:val="0"/>
                    <w:jc w:val="center"/>
                    <w:rPr>
                      <w:b/>
                      <w:bCs/>
                      <w:szCs w:val="21"/>
                    </w:rPr>
                  </w:pPr>
                  <w:r>
                    <w:rPr>
                      <w:rFonts w:hint="eastAsia"/>
                      <w:b/>
                      <w:bCs/>
                      <w:szCs w:val="21"/>
                    </w:rPr>
                    <w:t>规模及主要内容</w:t>
                  </w:r>
                </w:p>
              </w:tc>
              <w:tc>
                <w:tcPr>
                  <w:tcW w:w="684" w:type="pct"/>
                  <w:tcBorders>
                    <w:tl2br w:val="nil"/>
                    <w:tr2bl w:val="nil"/>
                  </w:tcBorders>
                  <w:vAlign w:val="center"/>
                </w:tcPr>
                <w:p>
                  <w:pPr>
                    <w:snapToGrid w:val="0"/>
                    <w:jc w:val="center"/>
                    <w:rPr>
                      <w:b/>
                      <w:bCs/>
                      <w:szCs w:val="21"/>
                    </w:rPr>
                  </w:pPr>
                  <w:r>
                    <w:rPr>
                      <w:rFonts w:hint="eastAsia"/>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3" w:hRule="atLeast"/>
                <w:jc w:val="center"/>
              </w:trPr>
              <w:tc>
                <w:tcPr>
                  <w:tcW w:w="437" w:type="pct"/>
                  <w:tcBorders>
                    <w:tl2br w:val="nil"/>
                    <w:tr2bl w:val="nil"/>
                  </w:tcBorders>
                  <w:vAlign w:val="center"/>
                </w:tcPr>
                <w:p>
                  <w:pPr>
                    <w:snapToGrid w:val="0"/>
                    <w:jc w:val="center"/>
                    <w:rPr>
                      <w:szCs w:val="21"/>
                    </w:rPr>
                  </w:pPr>
                  <w:r>
                    <w:rPr>
                      <w:rFonts w:hint="eastAsia"/>
                      <w:szCs w:val="21"/>
                    </w:rPr>
                    <w:t>主体工程</w:t>
                  </w:r>
                </w:p>
              </w:tc>
              <w:tc>
                <w:tcPr>
                  <w:tcW w:w="553" w:type="pct"/>
                  <w:tcBorders>
                    <w:tl2br w:val="nil"/>
                    <w:tr2bl w:val="nil"/>
                  </w:tcBorders>
                  <w:vAlign w:val="center"/>
                </w:tcPr>
                <w:p>
                  <w:pPr>
                    <w:snapToGrid w:val="0"/>
                    <w:jc w:val="center"/>
                    <w:rPr>
                      <w:szCs w:val="21"/>
                    </w:rPr>
                  </w:pPr>
                  <w:r>
                    <w:rPr>
                      <w:rFonts w:hint="eastAsia"/>
                      <w:szCs w:val="21"/>
                    </w:rPr>
                    <w:t>生产车间</w:t>
                  </w:r>
                </w:p>
              </w:tc>
              <w:tc>
                <w:tcPr>
                  <w:tcW w:w="667" w:type="pct"/>
                  <w:tcBorders>
                    <w:tl2br w:val="nil"/>
                    <w:tr2bl w:val="nil"/>
                  </w:tcBorders>
                  <w:vAlign w:val="center"/>
                </w:tcPr>
                <w:p>
                  <w:pPr>
                    <w:snapToGrid w:val="0"/>
                    <w:jc w:val="center"/>
                    <w:rPr>
                      <w:szCs w:val="21"/>
                    </w:rPr>
                  </w:pPr>
                  <w:r>
                    <w:rPr>
                      <w:rFonts w:hint="eastAsia"/>
                      <w:szCs w:val="21"/>
                    </w:rPr>
                    <w:t>3500m</w:t>
                  </w:r>
                  <w:r>
                    <w:rPr>
                      <w:rFonts w:hint="eastAsia"/>
                      <w:szCs w:val="21"/>
                      <w:vertAlign w:val="superscript"/>
                    </w:rPr>
                    <w:t>2</w:t>
                  </w:r>
                </w:p>
              </w:tc>
              <w:tc>
                <w:tcPr>
                  <w:tcW w:w="2656" w:type="pct"/>
                  <w:tcBorders>
                    <w:tl2br w:val="nil"/>
                    <w:tr2bl w:val="nil"/>
                  </w:tcBorders>
                  <w:vAlign w:val="center"/>
                </w:tcPr>
                <w:p>
                  <w:pPr>
                    <w:snapToGrid w:val="0"/>
                    <w:jc w:val="center"/>
                    <w:rPr>
                      <w:szCs w:val="21"/>
                    </w:rPr>
                  </w:pPr>
                  <w:r>
                    <w:rPr>
                      <w:rFonts w:hint="eastAsia"/>
                      <w:szCs w:val="21"/>
                    </w:rPr>
                    <w:t>1F，高12m，砖混结构，设有20套多晶硅铸锭炉，配备20台冷水机等。</w:t>
                  </w:r>
                </w:p>
              </w:tc>
              <w:tc>
                <w:tcPr>
                  <w:tcW w:w="684" w:type="pct"/>
                  <w:tcBorders>
                    <w:tl2br w:val="nil"/>
                    <w:tr2bl w:val="nil"/>
                  </w:tcBorders>
                  <w:vAlign w:val="center"/>
                </w:tcPr>
                <w:p>
                  <w:pPr>
                    <w:snapToGrid w:val="0"/>
                    <w:jc w:val="center"/>
                    <w:rPr>
                      <w:szCs w:val="21"/>
                    </w:rPr>
                  </w:pPr>
                  <w:r>
                    <w:rPr>
                      <w:rFonts w:hint="eastAsia"/>
                      <w:szCs w:val="21"/>
                      <w:highlight w:val="none"/>
                    </w:rPr>
                    <w:t>租赁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2" w:hRule="atLeast"/>
                <w:jc w:val="center"/>
              </w:trPr>
              <w:tc>
                <w:tcPr>
                  <w:tcW w:w="437" w:type="pct"/>
                  <w:vMerge w:val="restart"/>
                  <w:tcBorders>
                    <w:tl2br w:val="nil"/>
                    <w:tr2bl w:val="nil"/>
                  </w:tcBorders>
                  <w:vAlign w:val="center"/>
                </w:tcPr>
                <w:p>
                  <w:pPr>
                    <w:snapToGrid w:val="0"/>
                    <w:jc w:val="center"/>
                    <w:rPr>
                      <w:szCs w:val="21"/>
                    </w:rPr>
                  </w:pPr>
                  <w:r>
                    <w:rPr>
                      <w:rFonts w:hint="eastAsia"/>
                      <w:szCs w:val="21"/>
                    </w:rPr>
                    <w:t>辅助工程</w:t>
                  </w: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原料区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1F，高12m，位于生产车间内-南侧，主要用于存放外购的硅边角料材料。</w:t>
                  </w:r>
                </w:p>
              </w:tc>
              <w:tc>
                <w:tcPr>
                  <w:tcW w:w="684" w:type="pct"/>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/（位于生产车间内）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1" w:hRule="atLeast"/>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 xml:space="preserve">成品区 </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1F，高12m，位于生产车间内-东南角，主要用于存放成品。</w:t>
                  </w:r>
                </w:p>
              </w:tc>
              <w:tc>
                <w:tcPr>
                  <w:tcW w:w="684"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1" w:hRule="atLeast"/>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切割区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1F，高12m，位于生产车间内-东侧，主要用于切割和打磨铸锭好的硅锭。</w:t>
                  </w:r>
                </w:p>
              </w:tc>
              <w:tc>
                <w:tcPr>
                  <w:tcW w:w="684"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1" w:hRule="atLeast"/>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检测区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1F，高12m，位于生产车间内-东侧，主要用于物理检测硅锭是否损伤，坑洼。</w:t>
                  </w:r>
                </w:p>
              </w:tc>
              <w:tc>
                <w:tcPr>
                  <w:tcW w:w="684"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color w:val="FF0000"/>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办公区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1F，高12m，位于生产车间内-北侧，用于接待顾客及日常的办公。</w:t>
                  </w:r>
                </w:p>
              </w:tc>
              <w:tc>
                <w:tcPr>
                  <w:tcW w:w="684"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64" w:hRule="atLeast"/>
                <w:jc w:val="center"/>
              </w:trPr>
              <w:tc>
                <w:tcPr>
                  <w:tcW w:w="437" w:type="pct"/>
                  <w:vMerge w:val="continue"/>
                  <w:tcBorders>
                    <w:tl2br w:val="nil"/>
                    <w:tr2bl w:val="nil"/>
                  </w:tcBorders>
                  <w:vAlign w:val="center"/>
                </w:tcPr>
                <w:p>
                  <w:pPr>
                    <w:snapToGrid w:val="0"/>
                    <w:jc w:val="center"/>
                    <w:rPr>
                      <w:color w:val="FF0000"/>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循环冷却塔</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位于车间北侧，共2个循环冷却塔，单个容积100m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。用于铸锭炉冷却水循环。</w:t>
                  </w:r>
                </w:p>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冷却塔形式为</w:t>
                  </w:r>
                  <w:r>
                    <w:rPr>
                      <w:rFonts w:hint="eastAsia"/>
                      <w:b/>
                      <w:bCs/>
                      <w:color w:val="000000" w:themeColor="text1"/>
                      <w:szCs w:val="21"/>
                      <w14:textFill>
                        <w14:solidFill>
                          <w14:schemeClr w14:val="tx1"/>
                        </w14:solidFill>
                      </w14:textFill>
                    </w:rPr>
                    <w:t>玻璃钢100吨圆柱形冷却塔</w:t>
                  </w:r>
                  <w:r>
                    <w:rPr>
                      <w:rFonts w:hint="eastAsia"/>
                      <w:color w:val="000000" w:themeColor="text1"/>
                      <w:szCs w:val="21"/>
                      <w14:textFill>
                        <w14:solidFill>
                          <w14:schemeClr w14:val="tx1"/>
                        </w14:solidFill>
                      </w14:textFill>
                    </w:rPr>
                    <w:t>，循环水量为1.3m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/h（10.5m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p>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冷却塔用水采用自来水，进水20℃先进入铸锭炉降温换热，换热后进入冷却塔温度为35℃，经冷却塔降温后水温为20℃再进入冷却循环水池，完成一个循环。</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color w:val="FF0000"/>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冷却循环水池</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1个，容积200m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池顶板底部、水池内壁、底板及池中各构件均刷有机硅防水，一布三涂；塔体柱子、梁、构造柱、顶板底面等均采用海灰色氰凝PA-103混凝土专用防水防腐涂料防腐，防腐前基底要求干燥、平整，不平处腻子找平。</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437" w:type="pct"/>
                  <w:vMerge w:val="restart"/>
                  <w:tcBorders>
                    <w:tl2br w:val="nil"/>
                    <w:tr2bl w:val="nil"/>
                  </w:tcBorders>
                  <w:vAlign w:val="center"/>
                </w:tcPr>
                <w:p>
                  <w:pPr>
                    <w:snapToGrid w:val="0"/>
                    <w:jc w:val="center"/>
                    <w:rPr>
                      <w:szCs w:val="21"/>
                    </w:rPr>
                  </w:pPr>
                  <w:r>
                    <w:rPr>
                      <w:rFonts w:hint="eastAsia"/>
                      <w:szCs w:val="21"/>
                    </w:rPr>
                    <w:t>公用工程</w:t>
                  </w: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供电</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由园区供电管网供电</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供水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由园区市政管网供水</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排水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采用雨、污分流制。雨水经收集后排入雨水管网；根据调查，目前四方地碧谷污水处理厂及项目区域市政污水管网已建成，生活污水经化粪池处理后，通过市政污水管网进入四方地碧谷污水处理厂处理；冷却循环水定期补水，不外排；生产废水经沉淀池处理后循环使用，定期补水，不外排</w:t>
                  </w:r>
                  <w:r>
                    <w:rPr>
                      <w:color w:val="000000" w:themeColor="text1"/>
                      <w:szCs w:val="21"/>
                      <w:highlight w:val="none"/>
                      <w14:textFill>
                        <w14:solidFill>
                          <w14:schemeClr w14:val="tx1"/>
                        </w14:solidFill>
                      </w14:textFill>
                    </w:rPr>
                    <w:t>。</w:t>
                  </w:r>
                </w:p>
              </w:tc>
              <w:tc>
                <w:tcPr>
                  <w:tcW w:w="684"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雨水管网依托；</w:t>
                  </w:r>
                  <w:r>
                    <w:rPr>
                      <w:rFonts w:hint="eastAsia"/>
                      <w:color w:val="000000" w:themeColor="text1"/>
                      <w:szCs w:val="21"/>
                      <w:highlight w:val="none"/>
                      <w:lang w:val="en-US" w:eastAsia="zh-CN"/>
                      <w14:textFill>
                        <w14:solidFill>
                          <w14:schemeClr w14:val="tx1"/>
                        </w14:solidFill>
                      </w14:textFill>
                    </w:rPr>
                    <w:t>依托园区</w:t>
                  </w:r>
                  <w:r>
                    <w:rPr>
                      <w:rFonts w:hint="eastAsia"/>
                      <w:color w:val="000000" w:themeColor="text1"/>
                      <w:szCs w:val="21"/>
                      <w:highlight w:val="none"/>
                      <w14:textFill>
                        <w14:solidFill>
                          <w14:schemeClr w14:val="tx1"/>
                        </w14:solidFill>
                      </w14:textFill>
                    </w:rPr>
                    <w:t>化粪池、</w:t>
                  </w:r>
                  <w:r>
                    <w:rPr>
                      <w:rFonts w:hint="eastAsia"/>
                      <w:color w:val="000000" w:themeColor="text1"/>
                      <w:szCs w:val="21"/>
                      <w:highlight w:val="none"/>
                      <w:lang w:val="en-US" w:eastAsia="zh-CN"/>
                      <w14:textFill>
                        <w14:solidFill>
                          <w14:schemeClr w14:val="tx1"/>
                        </w14:solidFill>
                      </w14:textFill>
                    </w:rPr>
                    <w:t>新建</w:t>
                  </w:r>
                  <w:r>
                    <w:rPr>
                      <w:rFonts w:hint="eastAsia"/>
                      <w:color w:val="000000" w:themeColor="text1"/>
                      <w:szCs w:val="21"/>
                      <w:highlight w:val="none"/>
                      <w14:textFill>
                        <w14:solidFill>
                          <w14:schemeClr w14:val="tx1"/>
                        </w14:solidFill>
                      </w14:textFill>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氩气站</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5m</w:t>
                  </w:r>
                  <w:r>
                    <w:rPr>
                      <w:rFonts w:hint="eastAsia"/>
                      <w:color w:val="000000" w:themeColor="text1"/>
                      <w:szCs w:val="21"/>
                      <w:vertAlign w:val="superscript"/>
                      <w14:textFill>
                        <w14:solidFill>
                          <w14:schemeClr w14:val="tx1"/>
                        </w14:solidFill>
                      </w14:textFill>
                    </w:rPr>
                    <w:t>2</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用于铸锭过程吹真空，约10t容量。</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437" w:type="pct"/>
                  <w:vMerge w:val="restart"/>
                  <w:tcBorders>
                    <w:tl2br w:val="nil"/>
                    <w:tr2bl w:val="nil"/>
                  </w:tcBorders>
                  <w:vAlign w:val="center"/>
                </w:tcPr>
                <w:p>
                  <w:pPr>
                    <w:snapToGrid w:val="0"/>
                    <w:jc w:val="center"/>
                    <w:rPr>
                      <w:szCs w:val="21"/>
                    </w:rPr>
                  </w:pPr>
                  <w:r>
                    <w:rPr>
                      <w:rFonts w:hint="eastAsia"/>
                      <w:szCs w:val="21"/>
                    </w:rPr>
                    <w:t>环保工程</w:t>
                  </w: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废气</w:t>
                  </w:r>
                </w:p>
              </w:tc>
              <w:tc>
                <w:tcPr>
                  <w:tcW w:w="667"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切割和磨面工序采用湿法作业，极少量粉尘产生后，被水流给携带走，不会散逸到空气中，不定量评价；拆炉废气经移动吸尘器处理后，车间无组织排放</w:t>
                  </w:r>
                </w:p>
              </w:tc>
              <w:tc>
                <w:tcPr>
                  <w:tcW w:w="684"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8" w:hRule="atLeast"/>
                <w:jc w:val="center"/>
              </w:trPr>
              <w:tc>
                <w:tcPr>
                  <w:tcW w:w="437" w:type="pct"/>
                  <w:vMerge w:val="continue"/>
                  <w:tcBorders>
                    <w:tl2br w:val="nil"/>
                    <w:tr2bl w:val="nil"/>
                  </w:tcBorders>
                  <w:vAlign w:val="center"/>
                </w:tcPr>
                <w:p>
                  <w:pPr>
                    <w:snapToGrid w:val="0"/>
                    <w:jc w:val="center"/>
                    <w:rPr>
                      <w:szCs w:val="21"/>
                    </w:rPr>
                  </w:pPr>
                </w:p>
              </w:tc>
              <w:tc>
                <w:tcPr>
                  <w:tcW w:w="553" w:type="pct"/>
                  <w:vMerge w:val="restar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废水</w:t>
                  </w:r>
                </w:p>
              </w:tc>
              <w:tc>
                <w:tcPr>
                  <w:tcW w:w="667" w:type="pct"/>
                  <w:tcBorders>
                    <w:tl2br w:val="nil"/>
                    <w:tr2bl w:val="nil"/>
                  </w:tcBorders>
                  <w:vAlign w:val="center"/>
                </w:tcPr>
                <w:p>
                  <w:pPr>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化粪池</w:t>
                  </w:r>
                  <w:r>
                    <w:rPr>
                      <w:rFonts w:hint="eastAsia" w:hAnsi="宋体"/>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1个，容积30m</w:t>
                  </w:r>
                  <w:r>
                    <w:rPr>
                      <w:rFonts w:hint="eastAsia"/>
                      <w:color w:val="000000" w:themeColor="text1"/>
                      <w:szCs w:val="21"/>
                      <w:highlight w:val="none"/>
                      <w:vertAlign w:val="superscript"/>
                      <w14:textFill>
                        <w14:solidFill>
                          <w14:schemeClr w14:val="tx1"/>
                        </w14:solidFill>
                      </w14:textFill>
                    </w:rPr>
                    <w:t>3</w:t>
                  </w:r>
                </w:p>
              </w:tc>
              <w:tc>
                <w:tcPr>
                  <w:tcW w:w="684" w:type="pct"/>
                  <w:tcBorders>
                    <w:tl2br w:val="nil"/>
                    <w:tr2bl w:val="nil"/>
                  </w:tcBorders>
                  <w:vAlign w:val="center"/>
                </w:tcPr>
                <w:p>
                  <w:pPr>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jc w:val="center"/>
              </w:trPr>
              <w:tc>
                <w:tcPr>
                  <w:tcW w:w="437" w:type="pct"/>
                  <w:vMerge w:val="continue"/>
                  <w:tcBorders>
                    <w:tl2br w:val="nil"/>
                    <w:tr2bl w:val="nil"/>
                  </w:tcBorders>
                  <w:vAlign w:val="center"/>
                </w:tcPr>
                <w:p>
                  <w:pPr>
                    <w:snapToGrid w:val="0"/>
                    <w:jc w:val="center"/>
                    <w:rPr>
                      <w:szCs w:val="21"/>
                    </w:rPr>
                  </w:pPr>
                </w:p>
              </w:tc>
              <w:tc>
                <w:tcPr>
                  <w:tcW w:w="553" w:type="pct"/>
                  <w:vMerge w:val="continue"/>
                  <w:tcBorders>
                    <w:tl2br w:val="nil"/>
                    <w:tr2bl w:val="nil"/>
                  </w:tcBorders>
                  <w:vAlign w:val="center"/>
                </w:tcPr>
                <w:p>
                  <w:pPr>
                    <w:snapToGrid w:val="0"/>
                    <w:jc w:val="center"/>
                    <w:rPr>
                      <w:rFonts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rFonts w:hint="default" w:hAnsi="宋体" w:eastAsia="宋体"/>
                      <w:color w:val="000000" w:themeColor="text1"/>
                      <w:szCs w:val="21"/>
                      <w:highlight w:val="none"/>
                      <w:lang w:val="en-US" w:eastAsia="zh-CN"/>
                      <w14:textFill>
                        <w14:solidFill>
                          <w14:schemeClr w14:val="tx1"/>
                        </w14:solidFill>
                      </w14:textFill>
                    </w:rPr>
                  </w:pPr>
                  <w:r>
                    <w:rPr>
                      <w:rFonts w:hint="eastAsia" w:hAnsi="宋体"/>
                      <w:color w:val="000000" w:themeColor="text1"/>
                      <w:szCs w:val="21"/>
                      <w:highlight w:val="none"/>
                      <w:lang w:val="en-US" w:eastAsia="zh-CN"/>
                      <w14:textFill>
                        <w14:solidFill>
                          <w14:schemeClr w14:val="tx1"/>
                        </w14:solidFill>
                      </w14:textFill>
                    </w:rPr>
                    <w:t>/</w:t>
                  </w:r>
                </w:p>
              </w:tc>
              <w:tc>
                <w:tcPr>
                  <w:tcW w:w="2656"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沉淀池</w:t>
                  </w:r>
                  <w:r>
                    <w:rPr>
                      <w:rFonts w:hint="eastAsia" w:hAnsi="宋体"/>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1个，容积60m</w:t>
                  </w:r>
                  <w:r>
                    <w:rPr>
                      <w:rFonts w:hint="eastAsia"/>
                      <w:color w:val="000000" w:themeColor="text1"/>
                      <w:szCs w:val="21"/>
                      <w:highlight w:val="none"/>
                      <w:vertAlign w:val="superscript"/>
                      <w14:textFill>
                        <w14:solidFill>
                          <w14:schemeClr w14:val="tx1"/>
                        </w14:solidFill>
                      </w14:textFill>
                    </w:rPr>
                    <w:t>3</w:t>
                  </w:r>
                </w:p>
              </w:tc>
              <w:tc>
                <w:tcPr>
                  <w:tcW w:w="684"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szCs w:val="21"/>
                    </w:rPr>
                  </w:pPr>
                </w:p>
              </w:tc>
              <w:tc>
                <w:tcPr>
                  <w:tcW w:w="553" w:type="pct"/>
                  <w:vMerge w:val="restart"/>
                  <w:tcBorders>
                    <w:tl2br w:val="nil"/>
                    <w:tr2bl w:val="nil"/>
                  </w:tcBorders>
                  <w:vAlign w:val="center"/>
                </w:tcPr>
                <w:p>
                  <w:pPr>
                    <w:snapToGrid w:val="0"/>
                    <w:jc w:val="center"/>
                    <w:rPr>
                      <w:rFonts w:hAnsi="宋体"/>
                      <w:szCs w:val="21"/>
                    </w:rPr>
                  </w:pPr>
                  <w:r>
                    <w:rPr>
                      <w:rFonts w:hint="eastAsia" w:hAnsi="宋体"/>
                      <w:szCs w:val="21"/>
                    </w:rPr>
                    <w:t>固废</w:t>
                  </w:r>
                </w:p>
              </w:tc>
              <w:tc>
                <w:tcPr>
                  <w:tcW w:w="667" w:type="pct"/>
                  <w:tcBorders>
                    <w:tl2br w:val="nil"/>
                    <w:tr2bl w:val="nil"/>
                  </w:tcBorders>
                  <w:vAlign w:val="center"/>
                </w:tcPr>
                <w:p>
                  <w:pPr>
                    <w:snapToGrid w:val="0"/>
                    <w:jc w:val="center"/>
                    <w:rPr>
                      <w:szCs w:val="21"/>
                      <w:highlight w:val="none"/>
                    </w:rPr>
                  </w:pPr>
                </w:p>
              </w:tc>
              <w:tc>
                <w:tcPr>
                  <w:tcW w:w="2656" w:type="pct"/>
                  <w:tcBorders>
                    <w:tl2br w:val="nil"/>
                    <w:tr2bl w:val="nil"/>
                  </w:tcBorders>
                  <w:vAlign w:val="center"/>
                </w:tcPr>
                <w:p>
                  <w:pPr>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一般固废存放间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占地面积20m</w:t>
                  </w:r>
                  <w:r>
                    <w:rPr>
                      <w:rFonts w:hint="eastAsia"/>
                      <w:color w:val="000000" w:themeColor="text1"/>
                      <w:szCs w:val="21"/>
                      <w:highlight w:val="none"/>
                      <w:vertAlign w:val="superscript"/>
                      <w14:textFill>
                        <w14:solidFill>
                          <w14:schemeClr w14:val="tx1"/>
                        </w14:solidFill>
                      </w14:textFill>
                    </w:rPr>
                    <w:t>2</w:t>
                  </w:r>
                </w:p>
              </w:tc>
              <w:tc>
                <w:tcPr>
                  <w:tcW w:w="684" w:type="pct"/>
                  <w:tcBorders>
                    <w:tl2br w:val="nil"/>
                    <w:tr2bl w:val="nil"/>
                  </w:tcBorders>
                  <w:vAlign w:val="center"/>
                </w:tcPr>
                <w:p>
                  <w:pPr>
                    <w:snapToGrid w:val="0"/>
                    <w:jc w:val="center"/>
                    <w:rPr>
                      <w:szCs w:val="21"/>
                      <w:highlight w:val="none"/>
                    </w:rPr>
                  </w:pPr>
                  <w:r>
                    <w:rPr>
                      <w:rFonts w:hint="eastAsia"/>
                      <w:szCs w:val="21"/>
                      <w:highlight w:val="none"/>
                    </w:rPr>
                    <w:t>环评提出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szCs w:val="21"/>
                    </w:rPr>
                  </w:pPr>
                </w:p>
              </w:tc>
              <w:tc>
                <w:tcPr>
                  <w:tcW w:w="553" w:type="pct"/>
                  <w:vMerge w:val="continue"/>
                  <w:tcBorders>
                    <w:tl2br w:val="nil"/>
                    <w:tr2bl w:val="nil"/>
                  </w:tcBorders>
                  <w:vAlign w:val="center"/>
                </w:tcPr>
                <w:p>
                  <w:pPr>
                    <w:snapToGrid w:val="0"/>
                    <w:jc w:val="center"/>
                    <w:rPr>
                      <w:rFonts w:hAnsi="宋体"/>
                      <w:szCs w:val="21"/>
                    </w:rPr>
                  </w:pPr>
                </w:p>
              </w:tc>
              <w:tc>
                <w:tcPr>
                  <w:tcW w:w="667" w:type="pct"/>
                  <w:tcBorders>
                    <w:tl2br w:val="nil"/>
                    <w:tr2bl w:val="nil"/>
                  </w:tcBorders>
                  <w:vAlign w:val="center"/>
                </w:tcPr>
                <w:p>
                  <w:pPr>
                    <w:snapToGrid w:val="0"/>
                    <w:jc w:val="center"/>
                    <w:rPr>
                      <w:rFonts w:hint="eastAsia" w:eastAsia="宋体"/>
                      <w:szCs w:val="21"/>
                      <w:highlight w:val="none"/>
                      <w:lang w:val="en-US" w:eastAsia="zh-CN"/>
                    </w:rPr>
                  </w:pPr>
                  <w:r>
                    <w:rPr>
                      <w:rFonts w:hint="eastAsia"/>
                      <w:szCs w:val="21"/>
                      <w:highlight w:val="none"/>
                      <w:lang w:val="en-US" w:eastAsia="zh-CN"/>
                    </w:rPr>
                    <w:t>/</w:t>
                  </w:r>
                </w:p>
              </w:tc>
              <w:tc>
                <w:tcPr>
                  <w:tcW w:w="2656" w:type="pct"/>
                  <w:tcBorders>
                    <w:tl2br w:val="nil"/>
                    <w:tr2bl w:val="nil"/>
                  </w:tcBorders>
                  <w:vAlign w:val="center"/>
                </w:tcPr>
                <w:p>
                  <w:pPr>
                    <w:keepNext/>
                    <w:widowControl/>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危废暂存间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占地面积10m</w:t>
                  </w:r>
                  <w:r>
                    <w:rPr>
                      <w:rFonts w:hint="eastAsia"/>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bidi="ar"/>
                      <w14:textFill>
                        <w14:solidFill>
                          <w14:schemeClr w14:val="tx1"/>
                        </w14:solidFill>
                      </w14:textFill>
                    </w:rPr>
                    <w:t>危险废物暂存间，基础采取防渗，防渗层为2毫米厚HDPE防渗膜（渗透系数≤10</w:t>
                  </w:r>
                  <w:r>
                    <w:rPr>
                      <w:rFonts w:hint="eastAsia"/>
                      <w:color w:val="000000" w:themeColor="text1"/>
                      <w:szCs w:val="21"/>
                      <w:highlight w:val="none"/>
                      <w:vertAlign w:val="superscript"/>
                      <w:lang w:bidi="ar"/>
                      <w14:textFill>
                        <w14:solidFill>
                          <w14:schemeClr w14:val="tx1"/>
                        </w14:solidFill>
                      </w14:textFill>
                    </w:rPr>
                    <w:t>-10</w:t>
                  </w:r>
                  <w:r>
                    <w:rPr>
                      <w:rFonts w:hint="eastAsia"/>
                      <w:color w:val="000000" w:themeColor="text1"/>
                      <w:szCs w:val="21"/>
                      <w:highlight w:val="none"/>
                      <w:lang w:bidi="ar"/>
                      <w14:textFill>
                        <w14:solidFill>
                          <w14:schemeClr w14:val="tx1"/>
                        </w14:solidFill>
                      </w14:textFill>
                    </w:rPr>
                    <w:t>cm/s）及防渗混凝土面层，使防渗层渗透系数≤10</w:t>
                  </w:r>
                  <w:r>
                    <w:rPr>
                      <w:rFonts w:hint="eastAsia"/>
                      <w:color w:val="000000" w:themeColor="text1"/>
                      <w:szCs w:val="21"/>
                      <w:highlight w:val="none"/>
                      <w:vertAlign w:val="superscript"/>
                      <w:lang w:bidi="ar"/>
                      <w14:textFill>
                        <w14:solidFill>
                          <w14:schemeClr w14:val="tx1"/>
                        </w14:solidFill>
                      </w14:textFill>
                    </w:rPr>
                    <w:t>-10</w:t>
                  </w:r>
                  <w:r>
                    <w:rPr>
                      <w:rFonts w:hint="eastAsia"/>
                      <w:color w:val="000000" w:themeColor="text1"/>
                      <w:szCs w:val="21"/>
                      <w:highlight w:val="none"/>
                      <w:lang w:bidi="ar"/>
                      <w14:textFill>
                        <w14:solidFill>
                          <w14:schemeClr w14:val="tx1"/>
                        </w14:solidFill>
                      </w14:textFill>
                    </w:rPr>
                    <w:t>cm/s。</w:t>
                  </w:r>
                </w:p>
              </w:tc>
              <w:tc>
                <w:tcPr>
                  <w:tcW w:w="684" w:type="pct"/>
                  <w:tcBorders>
                    <w:tl2br w:val="nil"/>
                    <w:tr2bl w:val="nil"/>
                  </w:tcBorders>
                  <w:vAlign w:val="center"/>
                </w:tcPr>
                <w:p>
                  <w:pPr>
                    <w:snapToGrid w:val="0"/>
                    <w:jc w:val="center"/>
                    <w:rPr>
                      <w:szCs w:val="21"/>
                      <w:highlight w:val="none"/>
                    </w:rPr>
                  </w:pPr>
                  <w:r>
                    <w:rPr>
                      <w:rFonts w:hint="eastAsia"/>
                      <w:szCs w:val="21"/>
                      <w:highlight w:val="none"/>
                    </w:rPr>
                    <w:t>环评提出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7" w:hRule="atLeast"/>
                <w:jc w:val="center"/>
              </w:trPr>
              <w:tc>
                <w:tcPr>
                  <w:tcW w:w="437" w:type="pct"/>
                  <w:vMerge w:val="continue"/>
                  <w:tcBorders>
                    <w:tl2br w:val="nil"/>
                    <w:tr2bl w:val="nil"/>
                  </w:tcBorders>
                  <w:vAlign w:val="center"/>
                </w:tcPr>
                <w:p>
                  <w:pPr>
                    <w:snapToGrid w:val="0"/>
                    <w:jc w:val="center"/>
                    <w:rPr>
                      <w:szCs w:val="21"/>
                    </w:rPr>
                  </w:pPr>
                </w:p>
              </w:tc>
              <w:tc>
                <w:tcPr>
                  <w:tcW w:w="553" w:type="pct"/>
                  <w:vMerge w:val="continue"/>
                  <w:tcBorders>
                    <w:tl2br w:val="nil"/>
                    <w:tr2bl w:val="nil"/>
                  </w:tcBorders>
                  <w:vAlign w:val="center"/>
                </w:tcPr>
                <w:p>
                  <w:pPr>
                    <w:snapToGrid w:val="0"/>
                    <w:jc w:val="center"/>
                    <w:rPr>
                      <w:rFonts w:hAnsi="宋体"/>
                      <w:szCs w:val="21"/>
                    </w:rPr>
                  </w:pPr>
                </w:p>
              </w:tc>
              <w:tc>
                <w:tcPr>
                  <w:tcW w:w="667" w:type="pct"/>
                  <w:tcBorders>
                    <w:tl2br w:val="nil"/>
                    <w:tr2bl w:val="nil"/>
                  </w:tcBorders>
                  <w:vAlign w:val="center"/>
                </w:tcPr>
                <w:p>
                  <w:pPr>
                    <w:snapToGrid w:val="0"/>
                    <w:jc w:val="center"/>
                    <w:rPr>
                      <w:szCs w:val="21"/>
                    </w:rPr>
                  </w:pPr>
                </w:p>
              </w:tc>
              <w:tc>
                <w:tcPr>
                  <w:tcW w:w="2656" w:type="pct"/>
                  <w:tcBorders>
                    <w:tl2br w:val="nil"/>
                    <w:tr2bl w:val="nil"/>
                  </w:tcBorders>
                  <w:vAlign w:val="center"/>
                </w:tcPr>
                <w:p>
                  <w:pPr>
                    <w:snapToGrid w:val="0"/>
                    <w:jc w:val="center"/>
                    <w:rPr>
                      <w:szCs w:val="21"/>
                    </w:rPr>
                  </w:pPr>
                  <w:r>
                    <w:rPr>
                      <w:rFonts w:hint="eastAsia"/>
                      <w:szCs w:val="21"/>
                    </w:rPr>
                    <w:t>生活垃圾</w:t>
                  </w:r>
                  <w:r>
                    <w:rPr>
                      <w:rFonts w:hint="eastAsia"/>
                      <w:szCs w:val="21"/>
                      <w:lang w:eastAsia="zh-CN"/>
                    </w:rPr>
                    <w:t>：</w:t>
                  </w:r>
                  <w:r>
                    <w:rPr>
                      <w:rFonts w:hint="eastAsia" w:eastAsiaTheme="minorEastAsia"/>
                      <w:kern w:val="21"/>
                      <w:szCs w:val="21"/>
                    </w:rPr>
                    <w:t>定期收集，委托环卫部门清运</w:t>
                  </w:r>
                </w:p>
              </w:tc>
              <w:tc>
                <w:tcPr>
                  <w:tcW w:w="684" w:type="pct"/>
                  <w:tcBorders>
                    <w:tl2br w:val="nil"/>
                    <w:tr2bl w:val="nil"/>
                  </w:tcBorders>
                  <w:vAlign w:val="center"/>
                </w:tcPr>
                <w:p>
                  <w:pPr>
                    <w:snapToGrid w:val="0"/>
                    <w:jc w:val="center"/>
                    <w:rPr>
                      <w:szCs w:val="21"/>
                    </w:rPr>
                  </w:pPr>
                  <w:r>
                    <w:rPr>
                      <w:rFonts w:hint="eastAsia"/>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szCs w:val="21"/>
                    </w:rPr>
                  </w:pPr>
                </w:p>
              </w:tc>
              <w:tc>
                <w:tcPr>
                  <w:tcW w:w="553" w:type="pct"/>
                  <w:tcBorders>
                    <w:tl2br w:val="nil"/>
                    <w:tr2bl w:val="nil"/>
                  </w:tcBorders>
                  <w:vAlign w:val="center"/>
                </w:tcPr>
                <w:p>
                  <w:pPr>
                    <w:snapToGrid w:val="0"/>
                    <w:jc w:val="center"/>
                    <w:rPr>
                      <w:rFonts w:hAnsi="宋体"/>
                      <w:szCs w:val="21"/>
                    </w:rPr>
                  </w:pPr>
                  <w:r>
                    <w:rPr>
                      <w:rFonts w:hint="eastAsia" w:hAnsi="宋体"/>
                      <w:szCs w:val="21"/>
                    </w:rPr>
                    <w:t>噪声</w:t>
                  </w:r>
                </w:p>
              </w:tc>
              <w:tc>
                <w:tcPr>
                  <w:tcW w:w="667" w:type="pct"/>
                  <w:tcBorders>
                    <w:tl2br w:val="nil"/>
                    <w:tr2bl w:val="nil"/>
                  </w:tcBorders>
                  <w:vAlign w:val="center"/>
                </w:tcPr>
                <w:p>
                  <w:pPr>
                    <w:snapToGrid w:val="0"/>
                    <w:jc w:val="center"/>
                    <w:rPr>
                      <w:szCs w:val="21"/>
                    </w:rPr>
                  </w:pPr>
                  <w:r>
                    <w:rPr>
                      <w:rFonts w:hint="eastAsia"/>
                      <w:szCs w:val="21"/>
                    </w:rPr>
                    <w:t>/</w:t>
                  </w:r>
                </w:p>
              </w:tc>
              <w:tc>
                <w:tcPr>
                  <w:tcW w:w="2656" w:type="pct"/>
                  <w:tcBorders>
                    <w:tl2br w:val="nil"/>
                    <w:tr2bl w:val="nil"/>
                  </w:tcBorders>
                  <w:vAlign w:val="center"/>
                </w:tcPr>
                <w:p>
                  <w:pPr>
                    <w:snapToGrid w:val="0"/>
                    <w:jc w:val="center"/>
                    <w:rPr>
                      <w:szCs w:val="21"/>
                    </w:rPr>
                  </w:pPr>
                  <w:r>
                    <w:rPr>
                      <w:rFonts w:hint="eastAsia"/>
                      <w:szCs w:val="21"/>
                    </w:rPr>
                    <w:t>隔声减振措施</w:t>
                  </w:r>
                </w:p>
              </w:tc>
              <w:tc>
                <w:tcPr>
                  <w:tcW w:w="684" w:type="pct"/>
                  <w:tcBorders>
                    <w:tl2br w:val="nil"/>
                    <w:tr2bl w:val="nil"/>
                  </w:tcBorders>
                  <w:vAlign w:val="center"/>
                </w:tcPr>
                <w:p>
                  <w:pPr>
                    <w:snapToGrid w:val="0"/>
                    <w:jc w:val="center"/>
                    <w:rPr>
                      <w:szCs w:val="21"/>
                    </w:rPr>
                  </w:pPr>
                  <w:r>
                    <w:rPr>
                      <w:rFonts w:hint="eastAsia"/>
                      <w:szCs w:val="21"/>
                    </w:rPr>
                    <w:t>环评提出</w:t>
                  </w:r>
                </w:p>
              </w:tc>
            </w:tr>
          </w:tbl>
          <w:p>
            <w:pPr>
              <w:spacing w:line="360" w:lineRule="auto"/>
              <w:rPr>
                <w:b/>
                <w:color w:val="000000"/>
                <w:szCs w:val="21"/>
              </w:rPr>
            </w:pPr>
            <w:r>
              <w:rPr>
                <w:rFonts w:hint="eastAsia"/>
                <w:b/>
                <w:color w:val="000000"/>
                <w:szCs w:val="21"/>
              </w:rPr>
              <w:t>4、产品方案及原辅料、设备</w:t>
            </w:r>
          </w:p>
          <w:p>
            <w:pPr>
              <w:pStyle w:val="75"/>
              <w:spacing w:line="360" w:lineRule="auto"/>
              <w:ind w:firstLine="420"/>
              <w:jc w:val="both"/>
              <w:rPr>
                <w:rFonts w:eastAsia="宋体"/>
                <w:bCs/>
                <w:color w:val="000000"/>
                <w:sz w:val="21"/>
                <w:szCs w:val="21"/>
              </w:rPr>
            </w:pPr>
            <w:r>
              <w:rPr>
                <w:rFonts w:hint="eastAsia" w:eastAsia="宋体"/>
                <w:bCs/>
                <w:color w:val="000000"/>
                <w:sz w:val="21"/>
                <w:szCs w:val="21"/>
              </w:rPr>
              <w:t>（1）项目产品方案见下表。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本项目建成后可形成年处置光伏材料多晶硅碎屑2000吨，同时年产1800吨高纯度硅材料的生产能力。</w:t>
            </w:r>
          </w:p>
          <w:p>
            <w:pPr>
              <w:pStyle w:val="75"/>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表2-2  项目主体工程及产品方案</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2774"/>
              <w:gridCol w:w="1127"/>
              <w:gridCol w:w="1081"/>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29" w:type="pct"/>
                  <w:tcBorders>
                    <w:bottom w:val="single" w:color="auto" w:sz="12" w:space="0"/>
                  </w:tcBorders>
                  <w:vAlign w:val="center"/>
                </w:tcPr>
                <w:p>
                  <w:pPr>
                    <w:pStyle w:val="7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工程名称（车间或生产线）</w:t>
                  </w:r>
                </w:p>
              </w:tc>
              <w:tc>
                <w:tcPr>
                  <w:tcW w:w="1746" w:type="pct"/>
                  <w:tcBorders>
                    <w:bottom w:val="single" w:color="auto" w:sz="12" w:space="0"/>
                  </w:tcBorders>
                  <w:vAlign w:val="center"/>
                </w:tcPr>
                <w:p>
                  <w:pPr>
                    <w:pStyle w:val="7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产品名称及规格</w:t>
                  </w:r>
                </w:p>
              </w:tc>
              <w:tc>
                <w:tcPr>
                  <w:tcW w:w="709" w:type="pct"/>
                  <w:tcBorders>
                    <w:bottom w:val="single" w:color="auto" w:sz="12" w:space="0"/>
                  </w:tcBorders>
                  <w:vAlign w:val="center"/>
                </w:tcPr>
                <w:p>
                  <w:pPr>
                    <w:pStyle w:val="7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年设计能力</w:t>
                  </w:r>
                </w:p>
              </w:tc>
              <w:tc>
                <w:tcPr>
                  <w:tcW w:w="680" w:type="pct"/>
                  <w:tcBorders>
                    <w:bottom w:val="single" w:color="auto" w:sz="12" w:space="0"/>
                  </w:tcBorders>
                  <w:vAlign w:val="center"/>
                </w:tcPr>
                <w:p>
                  <w:pPr>
                    <w:pStyle w:val="7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单位</w:t>
                  </w:r>
                </w:p>
              </w:tc>
              <w:tc>
                <w:tcPr>
                  <w:tcW w:w="735" w:type="pct"/>
                  <w:tcBorders>
                    <w:bottom w:val="single" w:color="auto" w:sz="12" w:space="0"/>
                  </w:tcBorders>
                  <w:vAlign w:val="center"/>
                </w:tcPr>
                <w:p>
                  <w:pPr>
                    <w:pStyle w:val="7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运行时</w:t>
                  </w:r>
                  <w:r>
                    <w:rPr>
                      <w:rFonts w:hint="eastAsia" w:eastAsia="宋体"/>
                      <w:color w:val="000000" w:themeColor="text1"/>
                      <w:szCs w:val="21"/>
                      <w14:textFill>
                        <w14:solidFill>
                          <w14:schemeClr w14:val="tx1"/>
                        </w14:solidFill>
                      </w14:textFill>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tcBorders>
                    <w:top w:val="single" w:color="auto" w:sz="12" w:space="0"/>
                    <w:bottom w:val="single" w:color="auto" w:sz="12" w:space="0"/>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多晶硅铸锭生产线</w:t>
                  </w:r>
                </w:p>
              </w:tc>
              <w:tc>
                <w:tcPr>
                  <w:tcW w:w="1746" w:type="pct"/>
                  <w:tcBorders>
                    <w:top w:val="single" w:color="auto" w:sz="12" w:space="0"/>
                    <w:bottom w:val="single" w:color="auto" w:sz="12" w:space="0"/>
                  </w:tcBorders>
                  <w:vAlign w:val="center"/>
                </w:tcPr>
                <w:p>
                  <w:pPr>
                    <w:pStyle w:val="7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高纯度硅材料</w:t>
                  </w:r>
                  <w:r>
                    <w:rPr>
                      <w:rStyle w:val="28"/>
                      <w:rFonts w:hint="eastAsia" w:eastAsia="宋体"/>
                      <w:color w:val="000000" w:themeColor="text1"/>
                      <w:kern w:val="0"/>
                      <w:szCs w:val="20"/>
                      <w14:textFill>
                        <w14:solidFill>
                          <w14:schemeClr w14:val="tx1"/>
                        </w14:solidFill>
                      </w14:textFill>
                    </w:rPr>
                    <w:t>（多晶硅</w:t>
                  </w:r>
                  <w:r>
                    <w:rPr>
                      <w:rStyle w:val="28"/>
                      <w:rFonts w:eastAsia="宋体"/>
                      <w:color w:val="000000" w:themeColor="text1"/>
                      <w:kern w:val="0"/>
                      <w:szCs w:val="20"/>
                      <w14:textFill>
                        <w14:solidFill>
                          <w14:schemeClr w14:val="tx1"/>
                        </w14:solidFill>
                      </w14:textFill>
                    </w:rPr>
                    <w:t>锭</w:t>
                  </w:r>
                  <w:r>
                    <w:rPr>
                      <w:rStyle w:val="28"/>
                      <w:rFonts w:hint="eastAsia" w:eastAsia="宋体"/>
                      <w:color w:val="000000" w:themeColor="text1"/>
                      <w:kern w:val="0"/>
                      <w:szCs w:val="20"/>
                      <w14:textFill>
                        <w14:solidFill>
                          <w14:schemeClr w14:val="tx1"/>
                        </w14:solidFill>
                      </w14:textFill>
                    </w:rPr>
                    <w:t>）</w:t>
                  </w:r>
                </w:p>
              </w:tc>
              <w:tc>
                <w:tcPr>
                  <w:tcW w:w="709" w:type="pct"/>
                  <w:tcBorders>
                    <w:top w:val="single" w:color="auto" w:sz="12" w:space="0"/>
                    <w:bottom w:val="single" w:color="auto" w:sz="12" w:space="0"/>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1800</w:t>
                  </w:r>
                </w:p>
              </w:tc>
              <w:tc>
                <w:tcPr>
                  <w:tcW w:w="680" w:type="pct"/>
                  <w:tcBorders>
                    <w:top w:val="single" w:color="auto" w:sz="12" w:space="0"/>
                    <w:bottom w:val="single" w:color="auto" w:sz="12" w:space="0"/>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吨/年</w:t>
                  </w:r>
                </w:p>
              </w:tc>
              <w:tc>
                <w:tcPr>
                  <w:tcW w:w="735" w:type="pct"/>
                  <w:tcBorders>
                    <w:top w:val="single" w:color="auto" w:sz="12" w:space="0"/>
                    <w:bottom w:val="single" w:color="auto" w:sz="12" w:space="0"/>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72</w:t>
                  </w:r>
                  <w:r>
                    <w:rPr>
                      <w:rFonts w:eastAsia="宋体"/>
                      <w:color w:val="000000" w:themeColor="text1"/>
                      <w14:textFill>
                        <w14:solidFill>
                          <w14:schemeClr w14:val="tx1"/>
                        </w14:solidFill>
                      </w14:textFill>
                    </w:rPr>
                    <w:t>00h</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本项目产品质量标准需满足《太阳能级铸造多晶硅》（GB/T </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4-2012）要求。标准如下：</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表2-3 产品质量标准要求</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424"/>
              <w:gridCol w:w="1780"/>
              <w:gridCol w:w="2131"/>
              <w:gridCol w:w="15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4" w:type="pct"/>
                  <w:tcBorders>
                    <w:tl2br w:val="nil"/>
                    <w:tr2bl w:val="nil"/>
                  </w:tcBorders>
                  <w:vAlign w:val="center"/>
                </w:tcPr>
                <w:p>
                  <w:pPr>
                    <w:pStyle w:val="77"/>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名称</w:t>
                  </w:r>
                </w:p>
              </w:tc>
              <w:tc>
                <w:tcPr>
                  <w:tcW w:w="896" w:type="pct"/>
                  <w:tcBorders>
                    <w:tl2br w:val="nil"/>
                    <w:tr2bl w:val="nil"/>
                  </w:tcBorders>
                  <w:vAlign w:val="center"/>
                </w:tcPr>
                <w:p>
                  <w:pPr>
                    <w:pStyle w:val="77"/>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规格</w:t>
                  </w:r>
                </w:p>
              </w:tc>
              <w:tc>
                <w:tcPr>
                  <w:tcW w:w="1119" w:type="pct"/>
                  <w:tcBorders>
                    <w:tl2br w:val="nil"/>
                    <w:tr2bl w:val="nil"/>
                  </w:tcBorders>
                  <w:vAlign w:val="center"/>
                </w:tcPr>
                <w:p>
                  <w:pPr>
                    <w:pStyle w:val="77"/>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项目</w:t>
                  </w:r>
                </w:p>
              </w:tc>
              <w:tc>
                <w:tcPr>
                  <w:tcW w:w="1341" w:type="pct"/>
                  <w:tcBorders>
                    <w:tl2br w:val="nil"/>
                    <w:tr2bl w:val="nil"/>
                  </w:tcBorders>
                  <w:vAlign w:val="center"/>
                </w:tcPr>
                <w:p>
                  <w:pPr>
                    <w:pStyle w:val="77"/>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本项目产品指标参数</w:t>
                  </w:r>
                </w:p>
              </w:tc>
              <w:tc>
                <w:tcPr>
                  <w:tcW w:w="957" w:type="pct"/>
                  <w:tcBorders>
                    <w:tl2br w:val="nil"/>
                    <w:tr2bl w:val="nil"/>
                  </w:tcBorders>
                  <w:vAlign w:val="center"/>
                </w:tcPr>
                <w:p>
                  <w:pPr>
                    <w:pStyle w:val="77"/>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产品执行标准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84" w:type="pct"/>
                  <w:vMerge w:val="restar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多晶硅锭</w:t>
                  </w:r>
                </w:p>
              </w:tc>
              <w:tc>
                <w:tcPr>
                  <w:tcW w:w="896" w:type="pct"/>
                  <w:vMerge w:val="restar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边长157.2×157.2mm，误差范围±0.2mm</w:t>
                  </w: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导电类型</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P型</w:t>
                  </w:r>
                </w:p>
              </w:tc>
              <w:tc>
                <w:tcPr>
                  <w:tcW w:w="957" w:type="pct"/>
                  <w:vMerge w:val="restart"/>
                  <w:tcBorders>
                    <w:tl2br w:val="nil"/>
                    <w:tr2bl w:val="nil"/>
                  </w:tcBorders>
                  <w:vAlign w:val="center"/>
                </w:tcPr>
                <w:p>
                  <w:pPr>
                    <w:pStyle w:val="78"/>
                    <w:rPr>
                      <w:rFonts w:eastAsia="宋体"/>
                      <w:color w:val="000000" w:themeColor="text1"/>
                      <w14:textFill>
                        <w14:solidFill>
                          <w14:schemeClr w14:val="tx1"/>
                        </w14:solidFill>
                      </w14:textFill>
                    </w:rPr>
                  </w:pPr>
                </w:p>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《太阳能级铸造多晶硅》（GB/T</w:t>
                  </w:r>
                  <w:r>
                    <w:rPr>
                      <w:rFonts w:hint="eastAsia" w:eastAsia="宋体"/>
                      <w:color w:val="000000" w:themeColor="text1"/>
                      <w:lang w:eastAsia="zh-CN"/>
                      <w14:textFill>
                        <w14:solidFill>
                          <w14:schemeClr w14:val="tx1"/>
                        </w14:solidFill>
                      </w14:textFill>
                    </w:rPr>
                    <w:t>****</w:t>
                  </w:r>
                  <w:r>
                    <w:rPr>
                      <w:rFonts w:hint="eastAsia" w:eastAsia="宋体"/>
                      <w:color w:val="000000" w:themeColor="text1"/>
                      <w14:textFill>
                        <w14:solidFill>
                          <w14:schemeClr w14:val="tx1"/>
                        </w14:solidFill>
                      </w14:textFill>
                    </w:rPr>
                    <w:t>4-2012）表1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电阻率/Ω·cm</w:t>
                  </w:r>
                </w:p>
              </w:tc>
              <w:tc>
                <w:tcPr>
                  <w:tcW w:w="1341" w:type="pct"/>
                  <w:tcBorders>
                    <w:tl2br w:val="nil"/>
                    <w:tr2bl w:val="nil"/>
                  </w:tcBorders>
                  <w:vAlign w:val="center"/>
                </w:tcPr>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0.5-3.0</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少子寿命/μs</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≥1.0</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间隙氧浓度/atoms/cm</w:t>
                  </w:r>
                  <w:r>
                    <w:rPr>
                      <w:rFonts w:hint="eastAsia" w:eastAsia="宋体"/>
                      <w:color w:val="000000" w:themeColor="text1"/>
                      <w:vertAlign w:val="superscript"/>
                      <w14:textFill>
                        <w14:solidFill>
                          <w14:schemeClr w14:val="tx1"/>
                        </w14:solidFill>
                      </w14:textFill>
                    </w:rPr>
                    <w:t>3</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≤8×10</w:t>
                  </w:r>
                  <w:r>
                    <w:rPr>
                      <w:rFonts w:hint="eastAsia" w:eastAsia="宋体"/>
                      <w:color w:val="000000" w:themeColor="text1"/>
                      <w:vertAlign w:val="superscript"/>
                      <w14:textFill>
                        <w14:solidFill>
                          <w14:schemeClr w14:val="tx1"/>
                        </w14:solidFill>
                      </w14:textFill>
                    </w:rPr>
                    <w:t>17</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代位碳浓度/atoms/cm</w:t>
                  </w:r>
                  <w:r>
                    <w:rPr>
                      <w:rFonts w:hint="eastAsia" w:eastAsia="宋体"/>
                      <w:color w:val="000000" w:themeColor="text1"/>
                      <w:vertAlign w:val="superscript"/>
                      <w14:textFill>
                        <w14:solidFill>
                          <w14:schemeClr w14:val="tx1"/>
                        </w14:solidFill>
                      </w14:textFill>
                    </w:rPr>
                    <w:t>3</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≤5×10</w:t>
                  </w:r>
                  <w:r>
                    <w:rPr>
                      <w:rFonts w:hint="eastAsia" w:eastAsia="宋体"/>
                      <w:color w:val="000000" w:themeColor="text1"/>
                      <w:vertAlign w:val="superscript"/>
                      <w14:textFill>
                        <w14:solidFill>
                          <w14:schemeClr w14:val="tx1"/>
                        </w14:solidFill>
                      </w14:textFill>
                    </w:rPr>
                    <w:t>17</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基体金属杂质浓度/10</w:t>
                  </w:r>
                  <w:r>
                    <w:rPr>
                      <w:rFonts w:eastAsia="宋体"/>
                      <w:color w:val="000000" w:themeColor="text1"/>
                      <w:vertAlign w:val="superscript"/>
                      <w14:textFill>
                        <w14:solidFill>
                          <w14:schemeClr w14:val="tx1"/>
                        </w14:solidFill>
                      </w14:textFill>
                    </w:rPr>
                    <w:t>-</w:t>
                  </w:r>
                  <w:r>
                    <w:rPr>
                      <w:rFonts w:hint="eastAsia" w:eastAsia="宋体"/>
                      <w:color w:val="000000" w:themeColor="text1"/>
                      <w:vertAlign w:val="superscript"/>
                      <w14:textFill>
                        <w14:solidFill>
                          <w14:schemeClr w14:val="tx1"/>
                        </w14:solidFill>
                      </w14:textFill>
                    </w:rPr>
                    <w:t>6</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ppmw</w:t>
                  </w:r>
                  <w:r>
                    <w:rPr>
                      <w:rFonts w:hint="eastAsia" w:eastAsia="宋体"/>
                      <w:color w:val="000000" w:themeColor="text1"/>
                      <w14:textFill>
                        <w14:solidFill>
                          <w14:schemeClr w14:val="tx1"/>
                        </w14:solidFill>
                      </w14:textFill>
                    </w:rPr>
                    <w:t>）</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Fe、Cr、Ni、Cu、Zn</w:t>
                  </w:r>
                </w:p>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TMI金属杂质总含量：≤2.0</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684" w:type="pct"/>
                  <w:vMerge w:val="continue"/>
                  <w:tcBorders>
                    <w:tl2br w:val="nil"/>
                    <w:tr2bl w:val="nil"/>
                  </w:tcBorders>
                  <w:vAlign w:val="center"/>
                </w:tcPr>
                <w:p>
                  <w:pPr>
                    <w:pStyle w:val="78"/>
                    <w:rPr>
                      <w:color w:val="000000" w:themeColor="text1"/>
                      <w14:textFill>
                        <w14:solidFill>
                          <w14:schemeClr w14:val="tx1"/>
                        </w14:solidFill>
                      </w14:textFill>
                    </w:rPr>
                  </w:pPr>
                </w:p>
              </w:tc>
              <w:tc>
                <w:tcPr>
                  <w:tcW w:w="896" w:type="pct"/>
                  <w:vMerge w:val="continue"/>
                  <w:tcBorders>
                    <w:tl2br w:val="nil"/>
                    <w:tr2bl w:val="nil"/>
                  </w:tcBorders>
                  <w:vAlign w:val="center"/>
                </w:tcPr>
                <w:p>
                  <w:pPr>
                    <w:pStyle w:val="78"/>
                    <w:rPr>
                      <w:color w:val="000000" w:themeColor="text1"/>
                      <w14:textFill>
                        <w14:solidFill>
                          <w14:schemeClr w14:val="tx1"/>
                        </w14:solidFill>
                      </w14:textFill>
                    </w:rPr>
                  </w:pPr>
                </w:p>
              </w:tc>
              <w:tc>
                <w:tcPr>
                  <w:tcW w:w="1119"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硼浓度/</w:t>
                  </w:r>
                  <w:r>
                    <w:rPr>
                      <w:rFonts w:eastAsia="宋体"/>
                      <w:color w:val="000000" w:themeColor="text1"/>
                      <w14:textFill>
                        <w14:solidFill>
                          <w14:schemeClr w14:val="tx1"/>
                        </w14:solidFill>
                      </w14:textFill>
                    </w:rPr>
                    <w:t>ppmw</w:t>
                  </w:r>
                </w:p>
              </w:tc>
              <w:tc>
                <w:tcPr>
                  <w:tcW w:w="1341" w:type="pct"/>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≤0.4</w:t>
                  </w:r>
                </w:p>
              </w:tc>
              <w:tc>
                <w:tcPr>
                  <w:tcW w:w="957" w:type="pct"/>
                  <w:vMerge w:val="continue"/>
                  <w:tcBorders>
                    <w:tl2br w:val="nil"/>
                    <w:tr2bl w:val="nil"/>
                  </w:tcBorders>
                  <w:vAlign w:val="center"/>
                </w:tcPr>
                <w:p>
                  <w:pPr>
                    <w:pStyle w:val="78"/>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8" w:hRule="atLeast"/>
                <w:jc w:val="center"/>
              </w:trPr>
              <w:tc>
                <w:tcPr>
                  <w:tcW w:w="684" w:type="pct"/>
                  <w:tcBorders>
                    <w:tl2br w:val="nil"/>
                    <w:tr2bl w:val="nil"/>
                  </w:tcBorders>
                  <w:vAlign w:val="center"/>
                </w:tcPr>
                <w:p>
                  <w:pPr>
                    <w:pStyle w:val="78"/>
                    <w:rPr>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产品照片</w:t>
                  </w:r>
                </w:p>
              </w:tc>
              <w:tc>
                <w:tcPr>
                  <w:tcW w:w="2016" w:type="pct"/>
                  <w:gridSpan w:val="2"/>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drawing>
                      <wp:inline distT="0" distB="0" distL="114300" distR="114300">
                        <wp:extent cx="1351915" cy="1934845"/>
                        <wp:effectExtent l="0" t="0" r="8255" b="635"/>
                        <wp:docPr id="1" name="图片 1" descr="32d4790e17d4af6e5d78ae6b686f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4790e17d4af6e5d78ae6b686fda2"/>
                                <pic:cNvPicPr>
                                  <a:picLocks noChangeAspect="1"/>
                                </pic:cNvPicPr>
                              </pic:nvPicPr>
                              <pic:blipFill>
                                <a:blip r:embed="rId18"/>
                                <a:stretch>
                                  <a:fillRect/>
                                </a:stretch>
                              </pic:blipFill>
                              <pic:spPr>
                                <a:xfrm rot="16200000">
                                  <a:off x="0" y="0"/>
                                  <a:ext cx="1351915" cy="1934845"/>
                                </a:xfrm>
                                <a:prstGeom prst="rect">
                                  <a:avLst/>
                                </a:prstGeom>
                              </pic:spPr>
                            </pic:pic>
                          </a:graphicData>
                        </a:graphic>
                      </wp:inline>
                    </w:drawing>
                  </w:r>
                </w:p>
              </w:tc>
              <w:tc>
                <w:tcPr>
                  <w:tcW w:w="2299" w:type="pct"/>
                  <w:gridSpan w:val="2"/>
                  <w:tcBorders>
                    <w:tl2br w:val="nil"/>
                    <w:tr2bl w:val="nil"/>
                  </w:tcBorders>
                  <w:vAlign w:val="center"/>
                </w:tcPr>
                <w:p>
                  <w:pPr>
                    <w:pStyle w:val="78"/>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备注：最终产品为硅锭，一般为长方体，截面为正方形（边长157.2×157.2mm，误差范围±0.2mm），长度一般约278mm，硅密度为2330kg/m</w:t>
                  </w:r>
                  <w:r>
                    <w:rPr>
                      <w:rFonts w:hint="eastAsia" w:eastAsia="宋体"/>
                      <w:color w:val="000000" w:themeColor="text1"/>
                      <w:vertAlign w:val="superscript"/>
                      <w14:textFill>
                        <w14:solidFill>
                          <w14:schemeClr w14:val="tx1"/>
                        </w14:solidFill>
                      </w14:textFill>
                    </w:rPr>
                    <w:t>3</w:t>
                  </w:r>
                  <w:r>
                    <w:rPr>
                      <w:rFonts w:hint="eastAsia" w:eastAsia="宋体"/>
                      <w:color w:val="000000" w:themeColor="text1"/>
                      <w14:textFill>
                        <w14:solidFill>
                          <w14:schemeClr w14:val="tx1"/>
                        </w14:solidFill>
                      </w14:textFill>
                    </w:rPr>
                    <w:t>，单块硅锭约16kg，年产约11.25万块硅锭。</w:t>
                  </w:r>
                </w:p>
                <w:p>
                  <w:pPr>
                    <w:pStyle w:val="78"/>
                    <w:rPr>
                      <w:color w:val="000000" w:themeColor="text1"/>
                      <w14:textFill>
                        <w14:solidFill>
                          <w14:schemeClr w14:val="tx1"/>
                        </w14:solidFill>
                      </w14:textFill>
                    </w:rPr>
                  </w:pPr>
                  <w:r>
                    <w:rPr>
                      <w:rFonts w:hint="eastAsia" w:eastAsia="宋体"/>
                      <w:b/>
                      <w:bCs/>
                      <w:color w:val="000000" w:themeColor="text1"/>
                      <w14:textFill>
                        <w14:solidFill>
                          <w14:schemeClr w14:val="tx1"/>
                        </w14:solidFill>
                      </w14:textFill>
                    </w:rPr>
                    <w:t>硅锭截面积是固定的，长度亦可根据客户需求进行定制。</w:t>
                  </w:r>
                </w:p>
              </w:tc>
            </w:tr>
          </w:tbl>
          <w:p>
            <w:pPr>
              <w:spacing w:line="360" w:lineRule="auto"/>
              <w:ind w:firstLine="420" w:firstLineChars="200"/>
              <w:rPr>
                <w:szCs w:val="21"/>
              </w:rPr>
            </w:pPr>
            <w:r>
              <w:rPr>
                <w:rFonts w:hint="eastAsia"/>
                <w:szCs w:val="21"/>
              </w:rPr>
              <w:t>（2）本项目主要原辅材料见下表。</w:t>
            </w:r>
          </w:p>
          <w:p>
            <w:pPr>
              <w:spacing w:line="360" w:lineRule="auto"/>
              <w:jc w:val="center"/>
              <w:rPr>
                <w:b/>
                <w:color w:val="000000"/>
                <w:szCs w:val="21"/>
              </w:rPr>
            </w:pPr>
            <w:r>
              <w:rPr>
                <w:rFonts w:hint="eastAsia"/>
                <w:b/>
                <w:color w:val="000000"/>
                <w:szCs w:val="21"/>
              </w:rPr>
              <w:t>表2-4 项目主要原辅材料年用量</w:t>
            </w:r>
          </w:p>
          <w:tbl>
            <w:tblPr>
              <w:tblStyle w:val="23"/>
              <w:tblW w:w="79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337"/>
              <w:gridCol w:w="1047"/>
              <w:gridCol w:w="1098"/>
              <w:gridCol w:w="793"/>
              <w:gridCol w:w="804"/>
              <w:gridCol w:w="23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8"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b/>
                      <w:color w:val="000000"/>
                      <w:kern w:val="0"/>
                      <w:szCs w:val="21"/>
                      <w:lang w:bidi="ar"/>
                    </w:rPr>
                  </w:pPr>
                  <w:r>
                    <w:rPr>
                      <w:rFonts w:hint="eastAsia"/>
                      <w:b/>
                      <w:color w:val="000000"/>
                      <w:kern w:val="0"/>
                      <w:szCs w:val="21"/>
                      <w:lang w:bidi="ar"/>
                    </w:rPr>
                    <w:t>序号</w:t>
                  </w:r>
                </w:p>
              </w:tc>
              <w:tc>
                <w:tcPr>
                  <w:tcW w:w="1337" w:type="dxa"/>
                  <w:tcBorders>
                    <w:tl2br w:val="nil"/>
                    <w:tr2bl w:val="nil"/>
                  </w:tcBorders>
                  <w:tcMar>
                    <w:top w:w="15" w:type="dxa"/>
                    <w:left w:w="15" w:type="dxa"/>
                    <w:right w:w="15" w:type="dxa"/>
                  </w:tcMar>
                  <w:vAlign w:val="center"/>
                </w:tcPr>
                <w:p>
                  <w:pPr>
                    <w:widowControl/>
                    <w:jc w:val="center"/>
                    <w:textAlignment w:val="center"/>
                    <w:rPr>
                      <w:b/>
                      <w:color w:val="000000"/>
                      <w:szCs w:val="21"/>
                    </w:rPr>
                  </w:pPr>
                  <w:r>
                    <w:rPr>
                      <w:b/>
                      <w:color w:val="000000"/>
                      <w:kern w:val="0"/>
                      <w:szCs w:val="21"/>
                      <w:lang w:bidi="ar"/>
                    </w:rPr>
                    <w:t>原辅材料名称</w:t>
                  </w:r>
                </w:p>
              </w:tc>
              <w:tc>
                <w:tcPr>
                  <w:tcW w:w="1047" w:type="dxa"/>
                  <w:tcBorders>
                    <w:tl2br w:val="nil"/>
                    <w:tr2bl w:val="nil"/>
                  </w:tcBorders>
                  <w:tcMar>
                    <w:top w:w="15" w:type="dxa"/>
                    <w:left w:w="15" w:type="dxa"/>
                    <w:right w:w="15" w:type="dxa"/>
                  </w:tcMar>
                  <w:vAlign w:val="center"/>
                </w:tcPr>
                <w:p>
                  <w:pPr>
                    <w:widowControl/>
                    <w:jc w:val="center"/>
                    <w:textAlignment w:val="center"/>
                    <w:rPr>
                      <w:b/>
                      <w:color w:val="000000"/>
                      <w:szCs w:val="21"/>
                    </w:rPr>
                  </w:pPr>
                  <w:r>
                    <w:rPr>
                      <w:rFonts w:hint="eastAsia"/>
                      <w:b/>
                      <w:color w:val="000000"/>
                      <w:szCs w:val="21"/>
                    </w:rPr>
                    <w:t>组分/规格</w:t>
                  </w:r>
                </w:p>
              </w:tc>
              <w:tc>
                <w:tcPr>
                  <w:tcW w:w="1098" w:type="dxa"/>
                  <w:tcBorders>
                    <w:tl2br w:val="nil"/>
                    <w:tr2bl w:val="nil"/>
                  </w:tcBorders>
                  <w:tcMar>
                    <w:top w:w="15" w:type="dxa"/>
                    <w:left w:w="15" w:type="dxa"/>
                    <w:right w:w="15" w:type="dxa"/>
                  </w:tcMar>
                  <w:vAlign w:val="center"/>
                </w:tcPr>
                <w:p>
                  <w:pPr>
                    <w:widowControl/>
                    <w:jc w:val="center"/>
                    <w:textAlignment w:val="center"/>
                    <w:rPr>
                      <w:b/>
                      <w:color w:val="000000"/>
                      <w:kern w:val="0"/>
                      <w:szCs w:val="21"/>
                      <w:lang w:bidi="ar"/>
                    </w:rPr>
                  </w:pPr>
                  <w:r>
                    <w:rPr>
                      <w:b/>
                      <w:color w:val="000000"/>
                      <w:kern w:val="0"/>
                      <w:szCs w:val="21"/>
                      <w:lang w:bidi="ar"/>
                    </w:rPr>
                    <w:t>用量</w:t>
                  </w:r>
                </w:p>
              </w:tc>
              <w:tc>
                <w:tcPr>
                  <w:tcW w:w="793" w:type="dxa"/>
                  <w:tcBorders>
                    <w:tl2br w:val="nil"/>
                    <w:tr2bl w:val="nil"/>
                  </w:tcBorders>
                  <w:tcMar>
                    <w:top w:w="15" w:type="dxa"/>
                    <w:left w:w="15" w:type="dxa"/>
                    <w:right w:w="15" w:type="dxa"/>
                  </w:tcMar>
                  <w:vAlign w:val="center"/>
                </w:tcPr>
                <w:p>
                  <w:pPr>
                    <w:widowControl/>
                    <w:jc w:val="center"/>
                    <w:textAlignment w:val="center"/>
                    <w:rPr>
                      <w:b/>
                      <w:color w:val="000000"/>
                      <w:kern w:val="0"/>
                      <w:szCs w:val="21"/>
                      <w:lang w:bidi="ar"/>
                    </w:rPr>
                  </w:pPr>
                  <w:r>
                    <w:rPr>
                      <w:rFonts w:hint="eastAsia"/>
                      <w:b/>
                      <w:kern w:val="0"/>
                      <w:szCs w:val="21"/>
                      <w:lang w:bidi="ar"/>
                    </w:rPr>
                    <w:t>最大储存量</w:t>
                  </w:r>
                </w:p>
              </w:tc>
              <w:tc>
                <w:tcPr>
                  <w:tcW w:w="804" w:type="dxa"/>
                  <w:tcBorders>
                    <w:tl2br w:val="nil"/>
                    <w:tr2bl w:val="nil"/>
                  </w:tcBorders>
                  <w:tcMar>
                    <w:top w:w="15" w:type="dxa"/>
                    <w:left w:w="15" w:type="dxa"/>
                    <w:right w:w="15" w:type="dxa"/>
                  </w:tcMar>
                  <w:vAlign w:val="center"/>
                </w:tcPr>
                <w:p>
                  <w:pPr>
                    <w:widowControl/>
                    <w:jc w:val="center"/>
                    <w:textAlignment w:val="center"/>
                    <w:rPr>
                      <w:b/>
                      <w:color w:val="000000"/>
                      <w:kern w:val="0"/>
                      <w:szCs w:val="21"/>
                      <w:lang w:bidi="ar"/>
                    </w:rPr>
                  </w:pPr>
                  <w:r>
                    <w:rPr>
                      <w:rFonts w:hint="eastAsia"/>
                      <w:b/>
                      <w:color w:val="000000"/>
                      <w:kern w:val="0"/>
                      <w:szCs w:val="21"/>
                      <w:lang w:bidi="ar"/>
                    </w:rPr>
                    <w:t>包装储存方式</w:t>
                  </w:r>
                </w:p>
              </w:tc>
              <w:tc>
                <w:tcPr>
                  <w:tcW w:w="2356" w:type="dxa"/>
                  <w:tcBorders>
                    <w:tl2br w:val="nil"/>
                    <w:tr2bl w:val="nil"/>
                  </w:tcBorders>
                  <w:tcMar>
                    <w:top w:w="15" w:type="dxa"/>
                    <w:left w:w="15" w:type="dxa"/>
                    <w:right w:w="15" w:type="dxa"/>
                  </w:tcMar>
                  <w:vAlign w:val="center"/>
                </w:tcPr>
                <w:p>
                  <w:pPr>
                    <w:spacing w:line="320" w:lineRule="exact"/>
                    <w:jc w:val="center"/>
                    <w:rPr>
                      <w:b/>
                      <w:color w:val="000000"/>
                      <w:kern w:val="0"/>
                      <w:szCs w:val="21"/>
                      <w:lang w:bidi="ar"/>
                    </w:rPr>
                  </w:pPr>
                  <w:r>
                    <w:rPr>
                      <w:rFonts w:hint="eastAsia"/>
                      <w:b/>
                      <w:color w:val="000000"/>
                      <w:kern w:val="0"/>
                      <w:szCs w:val="21"/>
                      <w:lang w:bidi="ar"/>
                    </w:rPr>
                    <w:t>来源及运输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szCs w:val="21"/>
                    </w:rPr>
                  </w:pPr>
                  <w:r>
                    <w:rPr>
                      <w:rFonts w:hint="eastAsia"/>
                      <w:szCs w:val="21"/>
                    </w:rPr>
                    <w:t>1</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多晶硅碎屑</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Si、SiO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等</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吨袋</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来源江西久顺科技有限公司的边角料；为免洗硅料，规格粒径为1-10cm碎屑，汽运。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szCs w:val="21"/>
                    </w:rPr>
                  </w:pPr>
                  <w:r>
                    <w:rPr>
                      <w:rFonts w:hint="eastAsia"/>
                      <w:szCs w:val="21"/>
                    </w:rPr>
                    <w:t>2</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机油</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szCs w:val="21"/>
                    </w:rPr>
                  </w:pPr>
                  <w:r>
                    <w:rPr>
                      <w:rFonts w:hint="eastAsia"/>
                      <w:szCs w:val="21"/>
                    </w:rPr>
                    <w:t>3</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保护气（Ar气）</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Ar气</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瓶装</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r>
                    <w:rPr>
                      <w:rFonts w:hint="eastAsia"/>
                      <w:color w:val="000000" w:themeColor="text1"/>
                      <w:szCs w:val="21"/>
                      <w:highlight w:val="none"/>
                      <w14:textFill>
                        <w14:solidFill>
                          <w14:schemeClr w14:val="tx1"/>
                        </w14:solidFill>
                      </w14:textFill>
                    </w:rPr>
                    <w:t>来</w:t>
                  </w:r>
                  <w:r>
                    <w:rPr>
                      <w:rFonts w:hint="eastAsia"/>
                      <w:color w:val="000000" w:themeColor="text1"/>
                      <w:szCs w:val="21"/>
                      <w:highlight w:val="none"/>
                      <w:lang w:val="en-US" w:eastAsia="zh-CN"/>
                      <w14:textFill>
                        <w14:solidFill>
                          <w14:schemeClr w14:val="tx1"/>
                        </w14:solidFill>
                      </w14:textFill>
                    </w:rPr>
                    <w:t>自</w:t>
                  </w:r>
                  <w:r>
                    <w:rPr>
                      <w:rFonts w:hint="eastAsia"/>
                      <w:color w:val="000000" w:themeColor="text1"/>
                      <w:szCs w:val="21"/>
                      <w14:textFill>
                        <w14:solidFill>
                          <w14:schemeClr w14:val="tx1"/>
                        </w14:solidFill>
                      </w14:textFill>
                    </w:rPr>
                    <w:t>氩气站10t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免喷涂坩埚</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堆存</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金刚线</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1700km</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纸箱装</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1"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1438.73万</w:t>
                  </w:r>
                  <w:r>
                    <w:rPr>
                      <w:color w:val="000000" w:themeColor="text1"/>
                      <w:szCs w:val="21"/>
                      <w14:textFill>
                        <w14:solidFill>
                          <w14:schemeClr w14:val="tx1"/>
                        </w14:solidFill>
                      </w14:textFill>
                    </w:rPr>
                    <w:t>kw·h/a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市政电网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8"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33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1047"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2130m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市政管网</w:t>
                  </w:r>
                </w:p>
              </w:tc>
            </w:tr>
          </w:tbl>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生产生产原料方案：</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业主提供的原料采购合同，本项目原料来自于江西久顺科技有限公司，根据该公司提供的环评批复（附件18），多晶硅碎屑主要来源于配料、拉单晶、切割等工序产生，为光伏行业所产生的边角料。本项目采购多晶硅碎屑为</w:t>
            </w:r>
            <w:r>
              <w:rPr>
                <w:rFonts w:hint="eastAsia"/>
                <w:b/>
                <w:bCs/>
                <w:color w:val="000000" w:themeColor="text1"/>
                <w:szCs w:val="21"/>
                <w14:textFill>
                  <w14:solidFill>
                    <w14:schemeClr w14:val="tx1"/>
                  </w14:solidFill>
                </w14:textFill>
              </w:rPr>
              <w:t>免洗硅料</w:t>
            </w:r>
            <w:r>
              <w:rPr>
                <w:rFonts w:hint="eastAsia"/>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规格粒径为1-10cm碎屑</w:t>
            </w:r>
            <w:r>
              <w:rPr>
                <w:rFonts w:hint="eastAsia"/>
                <w:color w:val="000000" w:themeColor="text1"/>
                <w:szCs w:val="21"/>
                <w14:textFill>
                  <w14:solidFill>
                    <w14:schemeClr w14:val="tx1"/>
                  </w14:solidFill>
                </w14:textFill>
              </w:rPr>
              <w:t>，在久顺公司清洗干燥完毕后作为本项目原料。</w:t>
            </w:r>
          </w:p>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进场前的质控措施</w:t>
            </w:r>
            <w:r>
              <w:rPr>
                <w:rFonts w:hint="eastAsia"/>
                <w:b/>
                <w:bCs/>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进厂前首先经过试探针测定电阻率是否合格，合格后再由人工肉眼观察多晶硅碎屑表面是否清洗干净，主要包括杂质、灰尘、气味（无酸味）。包装规格为10kg/袋装，要求包装完整无破损。当有任意一项不达标时，退回。</w:t>
            </w:r>
          </w:p>
          <w:p>
            <w:pPr>
              <w:spacing w:line="360" w:lineRule="auto"/>
              <w:ind w:firstLine="420" w:firstLineChars="200"/>
              <w:rPr>
                <w:szCs w:val="21"/>
              </w:rPr>
            </w:pPr>
            <w:r>
              <w:rPr>
                <w:rFonts w:hint="eastAsia"/>
                <w:szCs w:val="21"/>
              </w:rPr>
              <w:t xml:space="preserve">本项目使用的原料多晶硅碎屑质量标准按照《太阳能级多晶硅》（GB/T </w:t>
            </w:r>
            <w:r>
              <w:rPr>
                <w:rFonts w:hint="eastAsia"/>
                <w:szCs w:val="21"/>
                <w:lang w:eastAsia="zh-CN"/>
              </w:rPr>
              <w:t>*****</w:t>
            </w:r>
            <w:r>
              <w:rPr>
                <w:rFonts w:hint="eastAsia"/>
                <w:szCs w:val="21"/>
              </w:rPr>
              <w:t>-2017）3级品要求执行。标准如下：</w:t>
            </w:r>
          </w:p>
          <w:p>
            <w:pPr>
              <w:spacing w:line="360" w:lineRule="auto"/>
              <w:jc w:val="center"/>
              <w:rPr>
                <w:b/>
                <w:color w:val="000000"/>
                <w:szCs w:val="21"/>
              </w:rPr>
            </w:pPr>
            <w:r>
              <w:rPr>
                <w:rFonts w:hint="eastAsia"/>
                <w:b/>
                <w:color w:val="000000"/>
                <w:szCs w:val="21"/>
              </w:rPr>
              <w:t>表2-5 硅原料质量标准要求</w:t>
            </w:r>
          </w:p>
          <w:tbl>
            <w:tblPr>
              <w:tblStyle w:val="23"/>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89"/>
              <w:gridCol w:w="933"/>
              <w:gridCol w:w="1017"/>
              <w:gridCol w:w="1061"/>
              <w:gridCol w:w="631"/>
              <w:gridCol w:w="1360"/>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vAlign w:val="center"/>
                </w:tcPr>
                <w:p>
                  <w:pPr>
                    <w:pStyle w:val="77"/>
                    <w:rPr>
                      <w:rFonts w:eastAsia="宋体"/>
                      <w:sz w:val="18"/>
                      <w:szCs w:val="18"/>
                    </w:rPr>
                  </w:pPr>
                  <w:r>
                    <w:rPr>
                      <w:rFonts w:hint="eastAsia" w:eastAsia="宋体"/>
                      <w:sz w:val="18"/>
                      <w:szCs w:val="18"/>
                    </w:rPr>
                    <w:t>技术指标</w:t>
                  </w:r>
                </w:p>
              </w:tc>
              <w:tc>
                <w:tcPr>
                  <w:tcW w:w="562" w:type="pct"/>
                  <w:tcBorders>
                    <w:tl2br w:val="nil"/>
                    <w:tr2bl w:val="nil"/>
                  </w:tcBorders>
                  <w:vAlign w:val="center"/>
                </w:tcPr>
                <w:p>
                  <w:pPr>
                    <w:pStyle w:val="77"/>
                    <w:rPr>
                      <w:rFonts w:eastAsia="宋体"/>
                      <w:sz w:val="18"/>
                      <w:szCs w:val="18"/>
                    </w:rPr>
                  </w:pPr>
                  <w:r>
                    <w:rPr>
                      <w:rFonts w:hint="eastAsia" w:eastAsia="宋体"/>
                      <w:sz w:val="18"/>
                      <w:szCs w:val="18"/>
                    </w:rPr>
                    <w:t>施主杂质浓度/10</w:t>
                  </w:r>
                  <w:r>
                    <w:rPr>
                      <w:rFonts w:hint="eastAsia" w:eastAsia="宋体"/>
                      <w:sz w:val="18"/>
                      <w:szCs w:val="18"/>
                      <w:vertAlign w:val="superscript"/>
                    </w:rPr>
                    <w:t>-9</w:t>
                  </w:r>
                  <w:r>
                    <w:rPr>
                      <w:rFonts w:hint="eastAsia" w:eastAsia="宋体"/>
                      <w:sz w:val="18"/>
                      <w:szCs w:val="18"/>
                    </w:rPr>
                    <w:t>（ppba）</w:t>
                  </w:r>
                </w:p>
              </w:tc>
              <w:tc>
                <w:tcPr>
                  <w:tcW w:w="590" w:type="pct"/>
                  <w:tcBorders>
                    <w:tl2br w:val="nil"/>
                    <w:tr2bl w:val="nil"/>
                  </w:tcBorders>
                  <w:vAlign w:val="center"/>
                </w:tcPr>
                <w:p>
                  <w:pPr>
                    <w:pStyle w:val="77"/>
                    <w:rPr>
                      <w:rFonts w:eastAsia="宋体"/>
                      <w:sz w:val="18"/>
                      <w:szCs w:val="18"/>
                    </w:rPr>
                  </w:pPr>
                  <w:r>
                    <w:rPr>
                      <w:rFonts w:hint="eastAsia" w:eastAsia="宋体"/>
                      <w:sz w:val="18"/>
                      <w:szCs w:val="18"/>
                    </w:rPr>
                    <w:t>受主杂质浓度/10</w:t>
                  </w:r>
                  <w:r>
                    <w:rPr>
                      <w:rFonts w:hint="eastAsia" w:eastAsia="宋体"/>
                      <w:sz w:val="18"/>
                      <w:szCs w:val="18"/>
                      <w:vertAlign w:val="superscript"/>
                    </w:rPr>
                    <w:t>-9</w:t>
                  </w:r>
                  <w:r>
                    <w:rPr>
                      <w:rFonts w:hint="eastAsia" w:eastAsia="宋体"/>
                      <w:sz w:val="18"/>
                      <w:szCs w:val="18"/>
                    </w:rPr>
                    <w:t>（ppba）</w:t>
                  </w:r>
                </w:p>
              </w:tc>
              <w:tc>
                <w:tcPr>
                  <w:tcW w:w="643" w:type="pct"/>
                  <w:tcBorders>
                    <w:tl2br w:val="nil"/>
                    <w:tr2bl w:val="nil"/>
                  </w:tcBorders>
                  <w:vAlign w:val="center"/>
                </w:tcPr>
                <w:p>
                  <w:pPr>
                    <w:pStyle w:val="77"/>
                    <w:rPr>
                      <w:rFonts w:eastAsia="宋体"/>
                      <w:sz w:val="18"/>
                      <w:szCs w:val="18"/>
                    </w:rPr>
                  </w:pPr>
                  <w:r>
                    <w:rPr>
                      <w:rFonts w:hint="eastAsia" w:eastAsia="宋体"/>
                      <w:sz w:val="18"/>
                      <w:szCs w:val="18"/>
                    </w:rPr>
                    <w:t>氧含量/</w:t>
                  </w:r>
                </w:p>
                <w:p>
                  <w:pPr>
                    <w:pStyle w:val="77"/>
                    <w:rPr>
                      <w:rFonts w:eastAsia="宋体"/>
                      <w:sz w:val="18"/>
                      <w:szCs w:val="18"/>
                    </w:rPr>
                  </w:pPr>
                  <w:r>
                    <w:rPr>
                      <w:rFonts w:hint="eastAsia" w:eastAsia="宋体"/>
                      <w:sz w:val="18"/>
                      <w:szCs w:val="18"/>
                    </w:rPr>
                    <w:t>atoms/cm</w:t>
                  </w:r>
                  <w:r>
                    <w:rPr>
                      <w:rFonts w:hint="eastAsia" w:eastAsia="宋体"/>
                      <w:sz w:val="18"/>
                      <w:szCs w:val="18"/>
                      <w:vertAlign w:val="superscript"/>
                    </w:rPr>
                    <w:t>3</w:t>
                  </w:r>
                </w:p>
              </w:tc>
              <w:tc>
                <w:tcPr>
                  <w:tcW w:w="671" w:type="pct"/>
                  <w:tcBorders>
                    <w:tl2br w:val="nil"/>
                    <w:tr2bl w:val="nil"/>
                  </w:tcBorders>
                  <w:vAlign w:val="center"/>
                </w:tcPr>
                <w:p>
                  <w:pPr>
                    <w:pStyle w:val="77"/>
                    <w:rPr>
                      <w:rFonts w:eastAsia="宋体"/>
                      <w:sz w:val="18"/>
                      <w:szCs w:val="18"/>
                    </w:rPr>
                  </w:pPr>
                  <w:r>
                    <w:rPr>
                      <w:rFonts w:hint="eastAsia" w:eastAsia="宋体"/>
                      <w:sz w:val="18"/>
                      <w:szCs w:val="18"/>
                    </w:rPr>
                    <w:t>碳含量/</w:t>
                  </w:r>
                </w:p>
                <w:p>
                  <w:pPr>
                    <w:pStyle w:val="77"/>
                    <w:rPr>
                      <w:rFonts w:eastAsia="宋体"/>
                      <w:sz w:val="18"/>
                      <w:szCs w:val="18"/>
                    </w:rPr>
                  </w:pPr>
                  <w:r>
                    <w:rPr>
                      <w:rFonts w:hint="eastAsia" w:eastAsia="宋体"/>
                      <w:sz w:val="18"/>
                      <w:szCs w:val="18"/>
                    </w:rPr>
                    <w:t>atoms/cm</w:t>
                  </w:r>
                  <w:r>
                    <w:rPr>
                      <w:rFonts w:hint="eastAsia" w:eastAsia="宋体"/>
                      <w:sz w:val="18"/>
                      <w:szCs w:val="18"/>
                      <w:vertAlign w:val="superscript"/>
                    </w:rPr>
                    <w:t>3</w:t>
                  </w:r>
                </w:p>
              </w:tc>
              <w:tc>
                <w:tcPr>
                  <w:tcW w:w="399" w:type="pct"/>
                  <w:tcBorders>
                    <w:tl2br w:val="nil"/>
                    <w:tr2bl w:val="nil"/>
                  </w:tcBorders>
                  <w:vAlign w:val="center"/>
                </w:tcPr>
                <w:p>
                  <w:pPr>
                    <w:pStyle w:val="77"/>
                    <w:rPr>
                      <w:rFonts w:eastAsia="宋体"/>
                      <w:sz w:val="18"/>
                      <w:szCs w:val="18"/>
                    </w:rPr>
                  </w:pPr>
                  <w:r>
                    <w:rPr>
                      <w:rFonts w:eastAsia="宋体"/>
                      <w:sz w:val="18"/>
                      <w:szCs w:val="18"/>
                    </w:rPr>
                    <w:t>少数载流子寿命/μs</w:t>
                  </w:r>
                </w:p>
              </w:tc>
              <w:tc>
                <w:tcPr>
                  <w:tcW w:w="860" w:type="pct"/>
                  <w:tcBorders>
                    <w:tl2br w:val="nil"/>
                    <w:tr2bl w:val="nil"/>
                  </w:tcBorders>
                  <w:vAlign w:val="center"/>
                </w:tcPr>
                <w:p>
                  <w:pPr>
                    <w:pStyle w:val="77"/>
                    <w:rPr>
                      <w:rFonts w:eastAsia="宋体"/>
                      <w:sz w:val="18"/>
                      <w:szCs w:val="18"/>
                    </w:rPr>
                  </w:pPr>
                  <w:r>
                    <w:rPr>
                      <w:rFonts w:eastAsia="宋体"/>
                      <w:sz w:val="18"/>
                      <w:szCs w:val="18"/>
                    </w:rPr>
                    <w:t>基体金属杂质含量/（ng/g）Fe、Cr、Ni、Cu、Zn</w:t>
                  </w:r>
                </w:p>
              </w:tc>
              <w:tc>
                <w:tcPr>
                  <w:tcW w:w="862" w:type="pct"/>
                  <w:tcBorders>
                    <w:tl2br w:val="nil"/>
                    <w:tr2bl w:val="nil"/>
                  </w:tcBorders>
                  <w:vAlign w:val="center"/>
                </w:tcPr>
                <w:p>
                  <w:pPr>
                    <w:pStyle w:val="77"/>
                    <w:rPr>
                      <w:rFonts w:eastAsia="宋体"/>
                      <w:sz w:val="18"/>
                      <w:szCs w:val="18"/>
                    </w:rPr>
                  </w:pPr>
                  <w:r>
                    <w:rPr>
                      <w:rFonts w:eastAsia="宋体"/>
                      <w:sz w:val="18"/>
                      <w:szCs w:val="18"/>
                    </w:rPr>
                    <w:t>表面技术杂质含量/（ng/g）</w:t>
                  </w:r>
                </w:p>
                <w:p>
                  <w:pPr>
                    <w:pStyle w:val="77"/>
                    <w:rPr>
                      <w:rFonts w:eastAsia="宋体"/>
                      <w:sz w:val="18"/>
                      <w:szCs w:val="18"/>
                    </w:rPr>
                  </w:pPr>
                  <w:r>
                    <w:rPr>
                      <w:rFonts w:eastAsia="宋体"/>
                      <w:sz w:val="18"/>
                      <w:szCs w:val="18"/>
                    </w:rPr>
                    <w:t>Fe、Cr、Ni、Cu、Zn、Na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多晶硅碎屑</w:t>
                  </w:r>
                </w:p>
              </w:tc>
              <w:tc>
                <w:tcPr>
                  <w:tcW w:w="562"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≤6.16</w:t>
                  </w:r>
                </w:p>
              </w:tc>
              <w:tc>
                <w:tcPr>
                  <w:tcW w:w="590"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≤2.66</w:t>
                  </w:r>
                </w:p>
              </w:tc>
              <w:tc>
                <w:tcPr>
                  <w:tcW w:w="643"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≤1.0×10</w:t>
                  </w:r>
                  <w:r>
                    <w:rPr>
                      <w:rFonts w:hint="eastAsia" w:eastAsia="宋体"/>
                      <w:color w:val="000000" w:themeColor="text1"/>
                      <w:sz w:val="18"/>
                      <w:szCs w:val="18"/>
                      <w:vertAlign w:val="superscript"/>
                      <w14:textFill>
                        <w14:solidFill>
                          <w14:schemeClr w14:val="tx1"/>
                        </w14:solidFill>
                      </w14:textFill>
                    </w:rPr>
                    <w:t>17</w:t>
                  </w:r>
                </w:p>
              </w:tc>
              <w:tc>
                <w:tcPr>
                  <w:tcW w:w="671"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≤4.0×10</w:t>
                  </w:r>
                  <w:r>
                    <w:rPr>
                      <w:rFonts w:hint="eastAsia" w:eastAsia="宋体"/>
                      <w:color w:val="000000" w:themeColor="text1"/>
                      <w:sz w:val="18"/>
                      <w:szCs w:val="18"/>
                      <w:vertAlign w:val="superscript"/>
                      <w14:textFill>
                        <w14:solidFill>
                          <w14:schemeClr w14:val="tx1"/>
                        </w14:solidFill>
                      </w14:textFill>
                    </w:rPr>
                    <w:t>16</w:t>
                  </w:r>
                </w:p>
              </w:tc>
              <w:tc>
                <w:tcPr>
                  <w:tcW w:w="399"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≥50</w:t>
                  </w:r>
                </w:p>
              </w:tc>
              <w:tc>
                <w:tcPr>
                  <w:tcW w:w="860"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≤100</w:t>
                  </w:r>
                </w:p>
              </w:tc>
              <w:tc>
                <w:tcPr>
                  <w:tcW w:w="862" w:type="pct"/>
                  <w:tcBorders>
                    <w:tl2br w:val="nil"/>
                    <w:tr2bl w:val="nil"/>
                  </w:tcBorders>
                  <w:vAlign w:val="center"/>
                </w:tcPr>
                <w:p>
                  <w:pPr>
                    <w:pStyle w:val="78"/>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≤100</w:t>
                  </w:r>
                </w:p>
              </w:tc>
            </w:tr>
          </w:tbl>
          <w:p>
            <w:pPr>
              <w:spacing w:line="360" w:lineRule="auto"/>
              <w:ind w:firstLine="420" w:firstLineChars="200"/>
              <w:rPr>
                <w:szCs w:val="21"/>
              </w:rPr>
            </w:pPr>
            <w:r>
              <w:rPr>
                <w:rFonts w:hint="eastAsia"/>
                <w:szCs w:val="21"/>
              </w:rPr>
              <w:t>（3）本项目主要生产设备见下表。</w:t>
            </w:r>
          </w:p>
          <w:p>
            <w:pPr>
              <w:pStyle w:val="75"/>
              <w:spacing w:line="240" w:lineRule="auto"/>
              <w:ind w:firstLine="0" w:firstLineChars="0"/>
              <w:jc w:val="center"/>
              <w:rPr>
                <w:rFonts w:eastAsia="宋体"/>
                <w:b/>
                <w:sz w:val="21"/>
                <w:szCs w:val="21"/>
              </w:rPr>
            </w:pPr>
            <w:r>
              <w:rPr>
                <w:rFonts w:hint="eastAsia" w:eastAsia="宋体"/>
                <w:b/>
                <w:sz w:val="21"/>
                <w:szCs w:val="21"/>
              </w:rPr>
              <w:t>表2-6 建设项目主要设备表</w:t>
            </w:r>
          </w:p>
          <w:tbl>
            <w:tblPr>
              <w:tblStyle w:val="24"/>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750"/>
              <w:gridCol w:w="2288"/>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bottom w:val="single" w:color="auto" w:sz="12" w:space="0"/>
                  </w:tcBorders>
                  <w:vAlign w:val="center"/>
                </w:tcPr>
                <w:p>
                  <w:pPr>
                    <w:jc w:val="center"/>
                    <w:rPr>
                      <w:bCs/>
                      <w:iCs/>
                      <w:spacing w:val="6"/>
                      <w:szCs w:val="21"/>
                    </w:rPr>
                  </w:pPr>
                  <w:r>
                    <w:rPr>
                      <w:rFonts w:hint="eastAsia"/>
                      <w:b/>
                      <w:szCs w:val="21"/>
                    </w:rPr>
                    <w:t>序号</w:t>
                  </w:r>
                </w:p>
              </w:tc>
              <w:tc>
                <w:tcPr>
                  <w:tcW w:w="2750" w:type="dxa"/>
                  <w:tcBorders>
                    <w:bottom w:val="single" w:color="auto" w:sz="12" w:space="0"/>
                  </w:tcBorders>
                  <w:vAlign w:val="center"/>
                </w:tcPr>
                <w:p>
                  <w:pPr>
                    <w:jc w:val="center"/>
                    <w:rPr>
                      <w:bCs/>
                      <w:iCs/>
                      <w:spacing w:val="6"/>
                      <w:szCs w:val="21"/>
                    </w:rPr>
                  </w:pPr>
                  <w:r>
                    <w:rPr>
                      <w:rFonts w:hint="eastAsia"/>
                      <w:b/>
                      <w:szCs w:val="21"/>
                    </w:rPr>
                    <w:t>名称</w:t>
                  </w:r>
                </w:p>
              </w:tc>
              <w:tc>
                <w:tcPr>
                  <w:tcW w:w="2288" w:type="dxa"/>
                  <w:tcBorders>
                    <w:bottom w:val="single" w:color="auto" w:sz="12" w:space="0"/>
                  </w:tcBorders>
                  <w:vAlign w:val="center"/>
                </w:tcPr>
                <w:p>
                  <w:pPr>
                    <w:jc w:val="center"/>
                    <w:rPr>
                      <w:b/>
                      <w:szCs w:val="21"/>
                    </w:rPr>
                  </w:pPr>
                  <w:r>
                    <w:rPr>
                      <w:rFonts w:hint="eastAsia"/>
                      <w:b/>
                      <w:szCs w:val="21"/>
                    </w:rPr>
                    <w:t>型号</w:t>
                  </w:r>
                </w:p>
              </w:tc>
              <w:tc>
                <w:tcPr>
                  <w:tcW w:w="2123" w:type="dxa"/>
                  <w:tcBorders>
                    <w:bottom w:val="single" w:color="auto" w:sz="12" w:space="0"/>
                  </w:tcBorders>
                  <w:vAlign w:val="center"/>
                </w:tcPr>
                <w:p>
                  <w:pPr>
                    <w:jc w:val="center"/>
                    <w:rPr>
                      <w:b/>
                      <w:szCs w:val="21"/>
                    </w:rPr>
                  </w:pPr>
                  <w:r>
                    <w:rPr>
                      <w:rFonts w:hint="eastAsia"/>
                      <w:b/>
                      <w:szCs w:val="21"/>
                    </w:rPr>
                    <w:t>数量（台/套）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op w:val="single" w:color="auto" w:sz="12" w:space="0"/>
                    <w:tl2br w:val="nil"/>
                    <w:tr2bl w:val="nil"/>
                  </w:tcBorders>
                </w:tcPr>
                <w:p>
                  <w:pPr>
                    <w:jc w:val="center"/>
                    <w:rPr>
                      <w:szCs w:val="21"/>
                    </w:rPr>
                  </w:pPr>
                  <w:r>
                    <w:rPr>
                      <w:rFonts w:hint="eastAsia"/>
                      <w:szCs w:val="21"/>
                    </w:rPr>
                    <w:t>1</w:t>
                  </w:r>
                </w:p>
              </w:tc>
              <w:tc>
                <w:tcPr>
                  <w:tcW w:w="2750" w:type="dxa"/>
                  <w:tcBorders>
                    <w:top w:val="single" w:color="auto" w:sz="12" w:space="0"/>
                    <w:tl2br w:val="nil"/>
                    <w:tr2bl w:val="nil"/>
                  </w:tcBorders>
                </w:tcPr>
                <w:p>
                  <w:pPr>
                    <w:jc w:val="center"/>
                    <w:rPr>
                      <w:szCs w:val="21"/>
                    </w:rPr>
                  </w:pPr>
                  <w:r>
                    <w:rPr>
                      <w:rFonts w:hint="eastAsia"/>
                      <w:szCs w:val="21"/>
                    </w:rPr>
                    <w:t>多晶硅铸锭炉</w:t>
                  </w:r>
                </w:p>
              </w:tc>
              <w:tc>
                <w:tcPr>
                  <w:tcW w:w="2288" w:type="dxa"/>
                  <w:tcBorders>
                    <w:top w:val="single" w:color="auto" w:sz="12" w:space="0"/>
                    <w:tl2br w:val="nil"/>
                    <w:tr2bl w:val="nil"/>
                  </w:tcBorders>
                </w:tcPr>
                <w:p>
                  <w:pPr>
                    <w:jc w:val="center"/>
                    <w:rPr>
                      <w:szCs w:val="21"/>
                    </w:rPr>
                  </w:pPr>
                  <w:r>
                    <w:rPr>
                      <w:rFonts w:hint="eastAsia"/>
                      <w:szCs w:val="21"/>
                    </w:rPr>
                    <w:t>J2-660</w:t>
                  </w:r>
                </w:p>
              </w:tc>
              <w:tc>
                <w:tcPr>
                  <w:tcW w:w="2123" w:type="dxa"/>
                  <w:tcBorders>
                    <w:top w:val="single" w:color="auto" w:sz="12" w:space="0"/>
                    <w:tl2br w:val="nil"/>
                    <w:tr2bl w:val="nil"/>
                  </w:tcBorders>
                </w:tcPr>
                <w:p>
                  <w:pPr>
                    <w:jc w:val="center"/>
                    <w:rPr>
                      <w:bCs/>
                      <w:iCs/>
                      <w:spacing w:val="6"/>
                      <w:szCs w:val="21"/>
                    </w:rPr>
                  </w:pPr>
                  <w:r>
                    <w:rPr>
                      <w:rFonts w:hint="eastAsia"/>
                      <w:szCs w:val="21"/>
                    </w:rPr>
                    <w:t>20套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2" w:hRule="atLeast"/>
                <w:jc w:val="center"/>
              </w:trPr>
              <w:tc>
                <w:tcPr>
                  <w:tcW w:w="838" w:type="dxa"/>
                  <w:tcBorders>
                    <w:tl2br w:val="nil"/>
                    <w:tr2bl w:val="nil"/>
                  </w:tcBorders>
                </w:tcPr>
                <w:p>
                  <w:pPr>
                    <w:jc w:val="center"/>
                    <w:rPr>
                      <w:szCs w:val="21"/>
                    </w:rPr>
                  </w:pPr>
                  <w:r>
                    <w:rPr>
                      <w:rFonts w:hint="eastAsia"/>
                      <w:szCs w:val="21"/>
                    </w:rPr>
                    <w:t>2</w:t>
                  </w:r>
                </w:p>
              </w:tc>
              <w:tc>
                <w:tcPr>
                  <w:tcW w:w="2750" w:type="dxa"/>
                  <w:tcBorders>
                    <w:tl2br w:val="nil"/>
                    <w:tr2bl w:val="nil"/>
                  </w:tcBorders>
                </w:tcPr>
                <w:p>
                  <w:pPr>
                    <w:jc w:val="center"/>
                    <w:rPr>
                      <w:szCs w:val="21"/>
                    </w:rPr>
                  </w:pPr>
                  <w:r>
                    <w:rPr>
                      <w:rFonts w:hint="eastAsia"/>
                      <w:szCs w:val="21"/>
                    </w:rPr>
                    <w:t>叉车</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bCs/>
                      <w:iCs/>
                      <w:spacing w:val="6"/>
                      <w:szCs w:val="21"/>
                    </w:rPr>
                  </w:pPr>
                  <w:r>
                    <w:rPr>
                      <w:rFonts w:hint="eastAsia"/>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3</w:t>
                  </w:r>
                </w:p>
              </w:tc>
              <w:tc>
                <w:tcPr>
                  <w:tcW w:w="2750" w:type="dxa"/>
                  <w:tcBorders>
                    <w:tl2br w:val="nil"/>
                    <w:tr2bl w:val="nil"/>
                  </w:tcBorders>
                </w:tcPr>
                <w:p>
                  <w:pPr>
                    <w:jc w:val="center"/>
                    <w:rPr>
                      <w:szCs w:val="21"/>
                    </w:rPr>
                  </w:pPr>
                  <w:r>
                    <w:rPr>
                      <w:rFonts w:hint="eastAsia"/>
                      <w:szCs w:val="21"/>
                    </w:rPr>
                    <w:t>行车</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bCs/>
                      <w:iCs/>
                      <w:spacing w:val="6"/>
                      <w:szCs w:val="21"/>
                    </w:rPr>
                  </w:pPr>
                  <w:r>
                    <w:rPr>
                      <w:rFonts w:hint="eastAsia"/>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4</w:t>
                  </w:r>
                </w:p>
              </w:tc>
              <w:tc>
                <w:tcPr>
                  <w:tcW w:w="2750" w:type="dxa"/>
                  <w:tcBorders>
                    <w:tl2br w:val="nil"/>
                    <w:tr2bl w:val="nil"/>
                  </w:tcBorders>
                </w:tcPr>
                <w:p>
                  <w:pPr>
                    <w:jc w:val="center"/>
                    <w:rPr>
                      <w:szCs w:val="21"/>
                    </w:rPr>
                  </w:pPr>
                  <w:r>
                    <w:rPr>
                      <w:rFonts w:hint="eastAsia"/>
                      <w:szCs w:val="21"/>
                    </w:rPr>
                    <w:t>上料设备</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8套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5</w:t>
                  </w:r>
                </w:p>
              </w:tc>
              <w:tc>
                <w:tcPr>
                  <w:tcW w:w="2750" w:type="dxa"/>
                  <w:tcBorders>
                    <w:tl2br w:val="nil"/>
                    <w:tr2bl w:val="nil"/>
                  </w:tcBorders>
                </w:tcPr>
                <w:p>
                  <w:pPr>
                    <w:jc w:val="center"/>
                    <w:rPr>
                      <w:szCs w:val="21"/>
                    </w:rPr>
                  </w:pPr>
                  <w:r>
                    <w:rPr>
                      <w:rFonts w:hint="eastAsia"/>
                      <w:szCs w:val="21"/>
                    </w:rPr>
                    <w:t>装载机</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6</w:t>
                  </w:r>
                </w:p>
              </w:tc>
              <w:tc>
                <w:tcPr>
                  <w:tcW w:w="2750" w:type="dxa"/>
                  <w:tcBorders>
                    <w:tl2br w:val="nil"/>
                    <w:tr2bl w:val="nil"/>
                  </w:tcBorders>
                </w:tcPr>
                <w:p>
                  <w:pPr>
                    <w:jc w:val="center"/>
                    <w:rPr>
                      <w:szCs w:val="21"/>
                    </w:rPr>
                  </w:pPr>
                  <w:r>
                    <w:rPr>
                      <w:rFonts w:hint="eastAsia"/>
                      <w:szCs w:val="21"/>
                    </w:rPr>
                    <w:t>起重设备</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4套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7</w:t>
                  </w:r>
                </w:p>
              </w:tc>
              <w:tc>
                <w:tcPr>
                  <w:tcW w:w="2750" w:type="dxa"/>
                  <w:tcBorders>
                    <w:tl2br w:val="nil"/>
                    <w:tr2bl w:val="nil"/>
                  </w:tcBorders>
                </w:tcPr>
                <w:p>
                  <w:pPr>
                    <w:jc w:val="center"/>
                    <w:rPr>
                      <w:szCs w:val="21"/>
                    </w:rPr>
                  </w:pPr>
                  <w:r>
                    <w:rPr>
                      <w:rFonts w:hint="eastAsia"/>
                      <w:szCs w:val="21"/>
                    </w:rPr>
                    <w:t>手拖车</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6台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8</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硅片少子寿命仪</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SEMILAB WT-2000D</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9</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红外探伤仪</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SEMILAB IRB-55</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10</w:t>
                  </w:r>
                </w:p>
              </w:tc>
              <w:tc>
                <w:tcPr>
                  <w:tcW w:w="2750" w:type="dxa"/>
                  <w:tcBorders>
                    <w:tl2br w:val="nil"/>
                    <w:tr2bl w:val="nil"/>
                  </w:tcBorders>
                </w:tcPr>
                <w:p>
                  <w:pPr>
                    <w:jc w:val="center"/>
                    <w:rPr>
                      <w:szCs w:val="21"/>
                    </w:rPr>
                  </w:pPr>
                  <w:r>
                    <w:rPr>
                      <w:rFonts w:hint="eastAsia"/>
                      <w:szCs w:val="21"/>
                    </w:rPr>
                    <w:t>电阻率测试仪</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50个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11</w:t>
                  </w:r>
                </w:p>
              </w:tc>
              <w:tc>
                <w:tcPr>
                  <w:tcW w:w="2750" w:type="dxa"/>
                  <w:tcBorders>
                    <w:tl2br w:val="nil"/>
                    <w:tr2bl w:val="nil"/>
                  </w:tcBorders>
                </w:tcPr>
                <w:p>
                  <w:pPr>
                    <w:jc w:val="center"/>
                    <w:rPr>
                      <w:szCs w:val="21"/>
                    </w:rPr>
                  </w:pPr>
                  <w:r>
                    <w:rPr>
                      <w:rFonts w:hint="eastAsia"/>
                      <w:szCs w:val="21"/>
                    </w:rPr>
                    <w:t>氩气系统</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szCs w:val="21"/>
                    </w:rPr>
                  </w:pPr>
                  <w:r>
                    <w:rPr>
                      <w:rFonts w:hint="eastAsia"/>
                      <w:szCs w:val="21"/>
                    </w:rPr>
                    <w:t>12</w:t>
                  </w:r>
                </w:p>
              </w:tc>
              <w:tc>
                <w:tcPr>
                  <w:tcW w:w="2750" w:type="dxa"/>
                  <w:tcBorders>
                    <w:tl2br w:val="nil"/>
                    <w:tr2bl w:val="nil"/>
                  </w:tcBorders>
                </w:tcPr>
                <w:p>
                  <w:pPr>
                    <w:jc w:val="center"/>
                    <w:rPr>
                      <w:szCs w:val="21"/>
                    </w:rPr>
                  </w:pPr>
                  <w:r>
                    <w:rPr>
                      <w:rFonts w:hint="eastAsia"/>
                      <w:szCs w:val="21"/>
                    </w:rPr>
                    <w:t>水冷式冷水机组</w:t>
                  </w:r>
                </w:p>
              </w:tc>
              <w:tc>
                <w:tcPr>
                  <w:tcW w:w="2288" w:type="dxa"/>
                  <w:tcBorders>
                    <w:tl2br w:val="nil"/>
                    <w:tr2bl w:val="nil"/>
                  </w:tcBorders>
                </w:tcPr>
                <w:p>
                  <w:pPr>
                    <w:jc w:val="center"/>
                    <w:rPr>
                      <w:szCs w:val="21"/>
                    </w:rPr>
                  </w:pPr>
                  <w:r>
                    <w:rPr>
                      <w:rFonts w:hint="eastAsia"/>
                      <w:szCs w:val="21"/>
                    </w:rPr>
                    <w:t>/</w:t>
                  </w:r>
                </w:p>
              </w:tc>
              <w:tc>
                <w:tcPr>
                  <w:tcW w:w="2123" w:type="dxa"/>
                  <w:tcBorders>
                    <w:tl2br w:val="nil"/>
                    <w:tr2bl w:val="nil"/>
                  </w:tcBorders>
                </w:tcPr>
                <w:p>
                  <w:pPr>
                    <w:jc w:val="center"/>
                    <w:rPr>
                      <w:szCs w:val="21"/>
                    </w:rPr>
                  </w:pPr>
                  <w:r>
                    <w:rPr>
                      <w:rFonts w:hint="eastAsia"/>
                      <w:szCs w:val="21"/>
                    </w:rPr>
                    <w:t>20台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普通水供应系统</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开方机</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S1000</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数控多晶硅双平面磨研机</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WSK015/1</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3刀6位环线截断机</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倒角机</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bl>
          <w:p>
            <w:pPr>
              <w:spacing w:line="360" w:lineRule="auto"/>
              <w:jc w:val="left"/>
              <w:rPr>
                <w:b/>
                <w:color w:val="000000"/>
                <w:szCs w:val="21"/>
              </w:rPr>
            </w:pPr>
            <w:r>
              <w:rPr>
                <w:rFonts w:hint="eastAsia"/>
                <w:b/>
                <w:color w:val="000000"/>
                <w:szCs w:val="21"/>
              </w:rPr>
              <w:t>5、劳动定员及工作制度</w:t>
            </w:r>
          </w:p>
          <w:p>
            <w:pPr>
              <w:spacing w:line="360" w:lineRule="auto"/>
              <w:ind w:firstLine="420" w:firstLineChars="200"/>
              <w:rPr>
                <w:bCs/>
                <w:color w:val="000000"/>
                <w:szCs w:val="21"/>
              </w:rPr>
            </w:pPr>
            <w:r>
              <w:rPr>
                <w:rFonts w:hint="eastAsia"/>
                <w:bCs/>
                <w:color w:val="000000"/>
                <w:szCs w:val="21"/>
              </w:rPr>
              <w:t>项目劳动员工50人。不设食宿，员工均为周边居民。项目生产实施三班制，每班8小时，年工作时间300天，年工作7200h。</w:t>
            </w:r>
          </w:p>
          <w:p>
            <w:pPr>
              <w:spacing w:line="360" w:lineRule="auto"/>
              <w:jc w:val="left"/>
              <w:rPr>
                <w:b/>
                <w:color w:val="000000"/>
                <w:szCs w:val="21"/>
              </w:rPr>
            </w:pPr>
            <w:r>
              <w:rPr>
                <w:rFonts w:hint="eastAsia"/>
                <w:b/>
                <w:color w:val="000000"/>
                <w:szCs w:val="21"/>
              </w:rPr>
              <w:t>6、厂区平面布置</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本项目利用现有厂区进行建设，租赁厂区面积3500m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，生产车间内设有1条生产线，</w:t>
            </w:r>
            <w:r>
              <w:rPr>
                <w:rFonts w:hint="eastAsia"/>
                <w:color w:val="000000" w:themeColor="text1"/>
                <w:kern w:val="0"/>
                <w:szCs w:val="21"/>
                <w14:textFill>
                  <w14:solidFill>
                    <w14:schemeClr w14:val="tx1"/>
                  </w14:solidFill>
                </w14:textFill>
              </w:rPr>
              <w:t>噪声较大的铸锭炉布置于在厂房中部，办公区布置在厂房北侧，循环冷却池布置在厂房外北侧的空地上，原料区和产品区位于厂房南侧，厂房入口位于东侧。从功能分区上，办公区、成品区与生产区（铸锭区）位置分开，相对独立，减少车间噪声对职工的影响。出入口位于厂房东侧，出入口与外部道路相通，以方便物资和人员进出。项目整体布局紧凑，功能分区明确。项目总平面布置图见附图5。</w:t>
            </w:r>
          </w:p>
          <w:p>
            <w:pPr>
              <w:spacing w:line="360" w:lineRule="auto"/>
              <w:rPr>
                <w:b/>
                <w:color w:val="000000"/>
                <w:szCs w:val="21"/>
              </w:rPr>
            </w:pPr>
            <w:r>
              <w:rPr>
                <w:rFonts w:hint="eastAsia"/>
                <w:b/>
                <w:color w:val="000000"/>
                <w:szCs w:val="21"/>
              </w:rPr>
              <w:t>7、公用及辅助工程</w:t>
            </w:r>
          </w:p>
          <w:p>
            <w:pPr>
              <w:spacing w:line="360" w:lineRule="auto"/>
              <w:ind w:firstLine="420" w:firstLineChars="200"/>
              <w:rPr>
                <w:bCs/>
                <w:color w:val="000000"/>
                <w:szCs w:val="21"/>
              </w:rPr>
            </w:pPr>
            <w:r>
              <w:rPr>
                <w:rFonts w:hint="eastAsia"/>
                <w:bCs/>
                <w:color w:val="000000"/>
                <w:szCs w:val="21"/>
              </w:rPr>
              <w:t>（1）给水</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项目用水由市政自来水管网提供，年用水量为2130t/a，本项目水平衡图见下图：</w:t>
            </w:r>
          </w:p>
          <w:p>
            <w:pPr>
              <w:autoSpaceDE w:val="0"/>
              <w:autoSpaceDN w:val="0"/>
              <w:adjustRightInd w:val="0"/>
              <w:spacing w:line="360" w:lineRule="auto"/>
              <w:jc w:val="center"/>
              <w:rPr>
                <w:rFonts w:hAnsi="宋体"/>
                <w:color w:val="FF0000"/>
                <w:kern w:val="0"/>
                <w:sz w:val="24"/>
              </w:rPr>
            </w:pPr>
            <w:r>
              <w:rPr>
                <w:rFonts w:hAnsi="宋体"/>
                <w:color w:val="FF0000"/>
                <w:kern w:val="0"/>
                <w:sz w:val="24"/>
              </w:rPr>
              <w:object>
                <v:shape id="_x0000_i1025" o:spt="75" type="#_x0000_t75" style="height:277.5pt;width:376.5pt;" o:ole="t" filled="f" o:preferrelative="t" stroked="f" coordsize="21600,21600">
                  <v:path/>
                  <v:fill on="f" focussize="0,0"/>
                  <v:stroke on="f" joinstyle="miter"/>
                  <v:imagedata r:id="rId20" o:title=""/>
                  <o:lock v:ext="edit" aspectratio="f"/>
                  <w10:wrap type="none"/>
                  <w10:anchorlock/>
                </v:shape>
                <o:OLEObject Type="Embed" ProgID="Visio.Drawing.15" ShapeID="_x0000_i1025" DrawAspect="Content" ObjectID="_1468075725" r:id="rId19">
                  <o:LockedField>false</o:LockedField>
                </o:OLEObject>
              </w:objec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图2-1 项目水平衡图    单位：m</w:t>
            </w:r>
            <w:r>
              <w:rPr>
                <w:rFonts w:hint="eastAsia"/>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/d</w:t>
            </w:r>
          </w:p>
          <w:p>
            <w:pPr>
              <w:spacing w:line="360" w:lineRule="auto"/>
              <w:ind w:firstLine="420" w:firstLineChars="200"/>
              <w:rPr>
                <w:bCs/>
                <w:color w:val="000000"/>
                <w:szCs w:val="21"/>
              </w:rPr>
            </w:pPr>
            <w:r>
              <w:rPr>
                <w:rFonts w:hint="eastAsia"/>
                <w:bCs/>
                <w:color w:val="000000"/>
                <w:szCs w:val="21"/>
              </w:rPr>
              <w:t>（2）排水</w:t>
            </w:r>
          </w:p>
          <w:p>
            <w:pPr>
              <w:autoSpaceDE w:val="0"/>
              <w:autoSpaceDN w:val="0"/>
              <w:spacing w:line="360" w:lineRule="auto"/>
              <w:ind w:firstLine="420" w:firstLineChars="200"/>
              <w:rPr>
                <w:bCs/>
                <w:color w:val="FF0000"/>
                <w:szCs w:val="21"/>
              </w:rPr>
            </w:pPr>
            <w:r>
              <w:rPr>
                <w:rFonts w:hint="eastAsia"/>
                <w:bCs/>
                <w:color w:val="000000" w:themeColor="text1"/>
                <w:szCs w:val="21"/>
                <w:highlight w:val="none"/>
                <w14:textFill>
                  <w14:solidFill>
                    <w14:schemeClr w14:val="tx1"/>
                  </w14:solidFill>
                </w14:textFill>
              </w:rPr>
              <w:t>采用雨、污分流制。雨水经收集后排入雨水管网；生活污水经化粪池处理后，经四方碧谷污水处理厂处</w:t>
            </w:r>
            <w:r>
              <w:rPr>
                <w:rFonts w:hint="eastAsia"/>
                <w:bCs/>
                <w:color w:val="000000" w:themeColor="text1"/>
                <w:szCs w:val="21"/>
                <w14:textFill>
                  <w14:solidFill>
                    <w14:schemeClr w14:val="tx1"/>
                  </w14:solidFill>
                </w14:textFill>
              </w:rPr>
              <w:t>理达标后排放；冷却循环水定期补水，不外排；生产废水经沉淀池处理后循环使用，定期补水，不外排。</w:t>
            </w:r>
          </w:p>
          <w:p>
            <w:pPr>
              <w:spacing w:line="360" w:lineRule="auto"/>
              <w:ind w:firstLine="420" w:firstLineChars="200"/>
              <w:rPr>
                <w:bCs/>
                <w:color w:val="000000"/>
                <w:szCs w:val="21"/>
              </w:rPr>
            </w:pPr>
            <w:r>
              <w:rPr>
                <w:rFonts w:hint="eastAsia"/>
                <w:bCs/>
                <w:color w:val="000000"/>
                <w:szCs w:val="21"/>
              </w:rPr>
              <w:t>（3）供电</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厂区的电源来自城市供电网，预计年用电量为</w:t>
            </w:r>
            <w:r>
              <w:rPr>
                <w:rFonts w:hint="eastAsia"/>
                <w:color w:val="000000" w:themeColor="text1"/>
                <w:szCs w:val="21"/>
                <w14:textFill>
                  <w14:solidFill>
                    <w14:schemeClr w14:val="tx1"/>
                  </w14:solidFill>
                </w14:textFill>
              </w:rPr>
              <w:t>1438.73</w:t>
            </w:r>
            <w:r>
              <w:rPr>
                <w:rFonts w:hint="eastAsia"/>
                <w:bCs/>
                <w:color w:val="000000" w:themeColor="text1"/>
                <w:szCs w:val="21"/>
                <w14:textFill>
                  <w14:solidFill>
                    <w14:schemeClr w14:val="tx1"/>
                  </w14:solidFill>
                </w14:textFill>
              </w:rPr>
              <w:t>万度。</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8、项目环保投资估算</w:t>
            </w:r>
          </w:p>
          <w:p>
            <w:pPr>
              <w:spacing w:line="360" w:lineRule="auto"/>
              <w:ind w:firstLine="420" w:firstLineChars="200"/>
              <w:rPr>
                <w:bCs/>
                <w:color w:val="000000"/>
                <w:szCs w:val="21"/>
              </w:rPr>
            </w:pPr>
            <w:r>
              <w:rPr>
                <w:rFonts w:hint="eastAsia"/>
                <w:bCs/>
                <w:color w:val="000000" w:themeColor="text1"/>
                <w:szCs w:val="21"/>
                <w14:textFill>
                  <w14:solidFill>
                    <w14:schemeClr w14:val="tx1"/>
                  </w14:solidFill>
                </w14:textFill>
              </w:rPr>
              <w:t>项目总投资6698万元，环保措施投资83万元，占总投资比例的1.24%。环保投资</w:t>
            </w:r>
            <w:r>
              <w:rPr>
                <w:rFonts w:hint="eastAsia"/>
                <w:bCs/>
                <w:color w:val="000000"/>
                <w:szCs w:val="21"/>
              </w:rPr>
              <w:t>明细表见下表2-7。</w:t>
            </w:r>
          </w:p>
          <w:p>
            <w:pPr>
              <w:spacing w:line="360" w:lineRule="auto"/>
              <w:jc w:val="center"/>
              <w:rPr>
                <w:b/>
                <w:color w:val="000000"/>
                <w:szCs w:val="21"/>
              </w:rPr>
            </w:pPr>
            <w:r>
              <w:rPr>
                <w:rFonts w:hint="eastAsia"/>
                <w:b/>
                <w:color w:val="000000"/>
                <w:szCs w:val="21"/>
              </w:rPr>
              <w:t>表2-7 项目环保投资一览表</w:t>
            </w:r>
          </w:p>
          <w:tbl>
            <w:tblPr>
              <w:tblStyle w:val="23"/>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8"/>
              <w:gridCol w:w="2840"/>
              <w:gridCol w:w="1575"/>
              <w:gridCol w:w="2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jc w:val="center"/>
              </w:trPr>
              <w:tc>
                <w:tcPr>
                  <w:tcW w:w="694" w:type="dxa"/>
                  <w:tcBorders>
                    <w:tl2br w:val="nil"/>
                    <w:tr2bl w:val="nil"/>
                  </w:tcBorders>
                  <w:vAlign w:val="center"/>
                </w:tcPr>
                <w:p>
                  <w:pPr>
                    <w:pStyle w:val="79"/>
                    <w:spacing w:line="240" w:lineRule="auto"/>
                    <w:rPr>
                      <w:rFonts w:ascii="Times New Roman"/>
                      <w:b/>
                      <w:bCs/>
                      <w:szCs w:val="21"/>
                    </w:rPr>
                  </w:pPr>
                  <w:r>
                    <w:rPr>
                      <w:rFonts w:hint="eastAsia" w:ascii="Times New Roman"/>
                      <w:b/>
                      <w:bCs/>
                      <w:szCs w:val="21"/>
                    </w:rPr>
                    <w:t>序号</w:t>
                  </w:r>
                </w:p>
              </w:tc>
              <w:tc>
                <w:tcPr>
                  <w:tcW w:w="708" w:type="dxa"/>
                  <w:tcBorders>
                    <w:tl2br w:val="nil"/>
                    <w:tr2bl w:val="nil"/>
                  </w:tcBorders>
                  <w:vAlign w:val="center"/>
                </w:tcPr>
                <w:p>
                  <w:pPr>
                    <w:pStyle w:val="79"/>
                    <w:spacing w:line="240" w:lineRule="auto"/>
                    <w:rPr>
                      <w:rFonts w:ascii="Times New Roman"/>
                      <w:b/>
                      <w:bCs/>
                      <w:szCs w:val="21"/>
                    </w:rPr>
                  </w:pPr>
                  <w:r>
                    <w:rPr>
                      <w:rFonts w:ascii="Times New Roman"/>
                      <w:b/>
                      <w:bCs/>
                      <w:szCs w:val="21"/>
                    </w:rPr>
                    <w:t>项目</w:t>
                  </w:r>
                </w:p>
              </w:tc>
              <w:tc>
                <w:tcPr>
                  <w:tcW w:w="2840" w:type="dxa"/>
                  <w:tcBorders>
                    <w:tl2br w:val="nil"/>
                    <w:tr2bl w:val="nil"/>
                  </w:tcBorders>
                  <w:vAlign w:val="center"/>
                </w:tcPr>
                <w:p>
                  <w:pPr>
                    <w:pStyle w:val="79"/>
                    <w:spacing w:line="240" w:lineRule="auto"/>
                    <w:rPr>
                      <w:rFonts w:ascii="Times New Roman"/>
                      <w:b/>
                      <w:bCs/>
                      <w:szCs w:val="21"/>
                    </w:rPr>
                  </w:pPr>
                  <w:r>
                    <w:rPr>
                      <w:rFonts w:ascii="Times New Roman"/>
                      <w:b/>
                      <w:bCs/>
                      <w:szCs w:val="21"/>
                    </w:rPr>
                    <w:t>环保设施</w:t>
                  </w:r>
                </w:p>
              </w:tc>
              <w:tc>
                <w:tcPr>
                  <w:tcW w:w="1575" w:type="dxa"/>
                  <w:tcBorders>
                    <w:tl2br w:val="nil"/>
                    <w:tr2bl w:val="nil"/>
                  </w:tcBorders>
                  <w:vAlign w:val="center"/>
                </w:tcPr>
                <w:p>
                  <w:pPr>
                    <w:pStyle w:val="79"/>
                    <w:spacing w:line="240" w:lineRule="auto"/>
                    <w:rPr>
                      <w:rFonts w:ascii="Times New Roman"/>
                      <w:b/>
                      <w:bCs/>
                      <w:szCs w:val="21"/>
                    </w:rPr>
                  </w:pPr>
                  <w:r>
                    <w:rPr>
                      <w:rFonts w:ascii="Times New Roman"/>
                      <w:b/>
                      <w:bCs/>
                      <w:szCs w:val="21"/>
                    </w:rPr>
                    <w:t>投资(万元)</w:t>
                  </w:r>
                </w:p>
              </w:tc>
              <w:tc>
                <w:tcPr>
                  <w:tcW w:w="2020" w:type="dxa"/>
                  <w:tcBorders>
                    <w:tl2br w:val="nil"/>
                    <w:tr2bl w:val="nil"/>
                  </w:tcBorders>
                  <w:vAlign w:val="center"/>
                </w:tcPr>
                <w:p>
                  <w:pPr>
                    <w:pStyle w:val="79"/>
                    <w:spacing w:line="240" w:lineRule="auto"/>
                    <w:rPr>
                      <w:rFonts w:ascii="Times New Roman"/>
                      <w:b/>
                      <w:bCs/>
                      <w:szCs w:val="21"/>
                    </w:rPr>
                  </w:pPr>
                  <w:r>
                    <w:rPr>
                      <w:rFonts w:ascii="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94" w:type="dxa"/>
                  <w:vMerge w:val="restart"/>
                  <w:tcBorders>
                    <w:tl2br w:val="nil"/>
                    <w:tr2bl w:val="nil"/>
                  </w:tcBorders>
                  <w:vAlign w:val="center"/>
                </w:tcPr>
                <w:p>
                  <w:pPr>
                    <w:pStyle w:val="79"/>
                    <w:spacing w:line="240" w:lineRule="auto"/>
                    <w:rPr>
                      <w:rFonts w:ascii="Times New Roman"/>
                      <w:szCs w:val="21"/>
                    </w:rPr>
                  </w:pPr>
                  <w:r>
                    <w:rPr>
                      <w:rFonts w:hint="eastAsia" w:ascii="Times New Roman"/>
                      <w:szCs w:val="21"/>
                    </w:rPr>
                    <w:t>1</w:t>
                  </w:r>
                </w:p>
              </w:tc>
              <w:tc>
                <w:tcPr>
                  <w:tcW w:w="708" w:type="dxa"/>
                  <w:vMerge w:val="restart"/>
                  <w:tcBorders>
                    <w:tl2br w:val="nil"/>
                    <w:tr2bl w:val="nil"/>
                  </w:tcBorders>
                  <w:vAlign w:val="center"/>
                </w:tcPr>
                <w:p>
                  <w:pPr>
                    <w:pStyle w:val="79"/>
                    <w:spacing w:line="240" w:lineRule="auto"/>
                    <w:rPr>
                      <w:rFonts w:ascii="Times New Roman"/>
                      <w:szCs w:val="21"/>
                    </w:rPr>
                  </w:pPr>
                  <w:r>
                    <w:rPr>
                      <w:rFonts w:hint="eastAsia" w:ascii="Times New Roman"/>
                      <w:szCs w:val="21"/>
                    </w:rPr>
                    <w:t>废气</w:t>
                  </w:r>
                </w:p>
              </w:tc>
              <w:tc>
                <w:tcPr>
                  <w:tcW w:w="2840" w:type="dxa"/>
                  <w:tcBorders>
                    <w:tl2br w:val="nil"/>
                    <w:tr2bl w:val="nil"/>
                  </w:tcBorders>
                  <w:vAlign w:val="center"/>
                </w:tcPr>
                <w:p>
                  <w:pPr>
                    <w:pStyle w:val="79"/>
                    <w:spacing w:line="240" w:lineRule="auto"/>
                    <w:rPr>
                      <w:rFonts w:ascii="Times New Roman"/>
                      <w:szCs w:val="21"/>
                    </w:rPr>
                  </w:pPr>
                  <w:r>
                    <w:rPr>
                      <w:rFonts w:hint="eastAsia" w:ascii="Times New Roman"/>
                      <w:szCs w:val="21"/>
                    </w:rPr>
                    <w:t>车间抽风风机</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w:t>
                  </w:r>
                </w:p>
              </w:tc>
              <w:tc>
                <w:tcPr>
                  <w:tcW w:w="2020" w:type="dxa"/>
                  <w:tcBorders>
                    <w:tl2br w:val="nil"/>
                    <w:tr2bl w:val="nil"/>
                  </w:tcBorders>
                  <w:vAlign w:val="center"/>
                </w:tcPr>
                <w:p>
                  <w:pPr>
                    <w:pStyle w:val="79"/>
                    <w:spacing w:line="240" w:lineRule="auto"/>
                    <w:rPr>
                      <w:rFonts w:ascii="Times New Roman"/>
                      <w:szCs w:val="21"/>
                    </w:rPr>
                  </w:pPr>
                  <w:r>
                    <w:rPr>
                      <w:rFonts w:hint="eastAsia" w:ascii="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jc w:val="center"/>
              </w:trPr>
              <w:tc>
                <w:tcPr>
                  <w:tcW w:w="694" w:type="dxa"/>
                  <w:vMerge w:val="continue"/>
                  <w:tcBorders>
                    <w:tl2br w:val="nil"/>
                    <w:tr2bl w:val="nil"/>
                  </w:tcBorders>
                  <w:vAlign w:val="center"/>
                </w:tcPr>
                <w:p>
                  <w:pPr>
                    <w:pStyle w:val="79"/>
                    <w:spacing w:line="240" w:lineRule="auto"/>
                    <w:rPr>
                      <w:rFonts w:ascii="Times New Roman"/>
                      <w:szCs w:val="21"/>
                    </w:rP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移动吸尘器</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3</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jc w:val="center"/>
              </w:trPr>
              <w:tc>
                <w:tcPr>
                  <w:tcW w:w="694" w:type="dxa"/>
                  <w:vMerge w:val="restart"/>
                  <w:tcBorders>
                    <w:tl2br w:val="nil"/>
                    <w:tr2bl w:val="nil"/>
                  </w:tcBorders>
                  <w:vAlign w:val="center"/>
                </w:tcPr>
                <w:p>
                  <w:pPr>
                    <w:pStyle w:val="79"/>
                    <w:spacing w:line="240" w:lineRule="auto"/>
                    <w:rPr>
                      <w:rFonts w:ascii="Times New Roman"/>
                      <w:szCs w:val="21"/>
                    </w:rPr>
                  </w:pPr>
                  <w:r>
                    <w:rPr>
                      <w:rFonts w:hint="eastAsia" w:ascii="Times New Roman"/>
                      <w:szCs w:val="21"/>
                    </w:rPr>
                    <w:t>2</w:t>
                  </w:r>
                </w:p>
              </w:tc>
              <w:tc>
                <w:tcPr>
                  <w:tcW w:w="708" w:type="dxa"/>
                  <w:vMerge w:val="restart"/>
                  <w:tcBorders>
                    <w:tl2br w:val="nil"/>
                    <w:tr2bl w:val="nil"/>
                  </w:tcBorders>
                  <w:vAlign w:val="center"/>
                </w:tcPr>
                <w:p>
                  <w:pPr>
                    <w:pStyle w:val="79"/>
                    <w:spacing w:line="240" w:lineRule="auto"/>
                    <w:rPr>
                      <w:rFonts w:ascii="Times New Roman"/>
                      <w:szCs w:val="21"/>
                    </w:rPr>
                  </w:pPr>
                  <w:r>
                    <w:rPr>
                      <w:rFonts w:hint="eastAsia" w:ascii="Times New Roman"/>
                      <w:szCs w:val="21"/>
                    </w:rPr>
                    <w:t>废水</w:t>
                  </w: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冷却</w:t>
                  </w:r>
                  <w:r>
                    <w:rPr>
                      <w:rFonts w:ascii="Times New Roman"/>
                      <w:color w:val="000000" w:themeColor="text1"/>
                      <w:szCs w:val="21"/>
                      <w14:textFill>
                        <w14:solidFill>
                          <w14:schemeClr w14:val="tx1"/>
                        </w14:solidFill>
                      </w14:textFill>
                    </w:rPr>
                    <w:t>循环水池</w:t>
                  </w:r>
                  <w:r>
                    <w:rPr>
                      <w:rFonts w:hint="eastAsia" w:ascii="Times New Roman"/>
                      <w:color w:val="000000" w:themeColor="text1"/>
                      <w:szCs w:val="21"/>
                      <w14:textFill>
                        <w14:solidFill>
                          <w14:schemeClr w14:val="tx1"/>
                        </w14:solidFill>
                      </w14:textFill>
                    </w:rPr>
                    <w:t>，容积200</w:t>
                  </w:r>
                  <w:r>
                    <w:rPr>
                      <w:rFonts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jc w:val="center"/>
              </w:trPr>
              <w:tc>
                <w:tcPr>
                  <w:tcW w:w="694" w:type="dxa"/>
                  <w:vMerge w:val="continue"/>
                  <w:tcBorders>
                    <w:tl2br w:val="nil"/>
                    <w:tr2bl w:val="nil"/>
                  </w:tcBorders>
                  <w:vAlign w:val="center"/>
                </w:tcPr>
                <w:p>
                  <w:pPr>
                    <w:pStyle w:val="79"/>
                    <w:spacing w:line="240" w:lineRule="auto"/>
                    <w:rPr>
                      <w:rFonts w:ascii="Times New Roman"/>
                      <w:szCs w:val="21"/>
                    </w:rP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循环冷却塔，2个，100m</w:t>
                  </w:r>
                  <w:r>
                    <w:rPr>
                      <w:rFonts w:hint="eastAsia" w:ascii="Times New Roman"/>
                      <w:color w:val="000000" w:themeColor="text1"/>
                      <w:szCs w:val="21"/>
                      <w:vertAlign w:val="superscript"/>
                      <w14:textFill>
                        <w14:solidFill>
                          <w14:schemeClr w14:val="tx1"/>
                        </w14:solidFill>
                      </w14:textFill>
                    </w:rPr>
                    <w:t>3</w:t>
                  </w:r>
                  <w:r>
                    <w:rPr>
                      <w:rFonts w:hint="eastAsia" w:ascii="Times New Roman"/>
                      <w:color w:val="000000" w:themeColor="text1"/>
                      <w:szCs w:val="21"/>
                      <w14:textFill>
                        <w14:solidFill>
                          <w14:schemeClr w14:val="tx1"/>
                        </w14:solidFill>
                      </w14:textFill>
                    </w:rPr>
                    <w:t>/个</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0" w:hRule="atLeast"/>
                <w:jc w:val="center"/>
              </w:trPr>
              <w:tc>
                <w:tcPr>
                  <w:tcW w:w="694" w:type="dxa"/>
                  <w:vMerge w:val="continue"/>
                  <w:tcBorders>
                    <w:tl2br w:val="nil"/>
                    <w:tr2bl w:val="nil"/>
                  </w:tcBorders>
                  <w:vAlign w:val="center"/>
                </w:tcPr>
                <w:p>
                  <w:pPr>
                    <w:pStyle w:val="79"/>
                    <w:spacing w:line="240" w:lineRule="auto"/>
                    <w:rPr>
                      <w:rFonts w:ascii="Times New Roman"/>
                      <w:szCs w:val="21"/>
                    </w:rP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沉淀池，容积60m</w:t>
                  </w:r>
                  <w:r>
                    <w:rPr>
                      <w:rFonts w:hint="eastAsia" w:ascii="Times New Roman"/>
                      <w:color w:val="000000" w:themeColor="text1"/>
                      <w:szCs w:val="21"/>
                      <w:vertAlign w:val="superscript"/>
                      <w14:textFill>
                        <w14:solidFill>
                          <w14:schemeClr w14:val="tx1"/>
                        </w14:solidFill>
                      </w14:textFill>
                    </w:rPr>
                    <w:t>3</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10</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jc w:val="center"/>
              </w:trPr>
              <w:tc>
                <w:tcPr>
                  <w:tcW w:w="694" w:type="dxa"/>
                  <w:vMerge w:val="continue"/>
                  <w:tcBorders>
                    <w:tl2br w:val="nil"/>
                    <w:tr2bl w:val="nil"/>
                  </w:tcBorders>
                  <w:vAlign w:val="center"/>
                </w:tcPr>
                <w:p>
                  <w:pPr>
                    <w:pStyle w:val="79"/>
                    <w:spacing w:line="240" w:lineRule="auto"/>
                    <w:rPr>
                      <w:rFonts w:ascii="Times New Roman"/>
                      <w:szCs w:val="21"/>
                    </w:rP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化粪池及盖板，容积30m</w:t>
                  </w:r>
                  <w:r>
                    <w:rPr>
                      <w:rFonts w:ascii="Times New Roman"/>
                      <w:color w:val="000000" w:themeColor="text1"/>
                      <w:szCs w:val="21"/>
                      <w:vertAlign w:val="superscript"/>
                      <w14:textFill>
                        <w14:solidFill>
                          <w14:schemeClr w14:val="tx1"/>
                        </w14:solidFill>
                      </w14:textFill>
                    </w:rPr>
                    <w:t>3</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5</w:t>
                  </w:r>
                </w:p>
              </w:tc>
              <w:tc>
                <w:tcPr>
                  <w:tcW w:w="2020" w:type="dxa"/>
                  <w:tcBorders>
                    <w:tl2br w:val="nil"/>
                    <w:tr2bl w:val="nil"/>
                  </w:tcBorders>
                  <w:vAlign w:val="center"/>
                </w:tcPr>
                <w:p>
                  <w:pPr>
                    <w:pStyle w:val="79"/>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依托（租赁费用）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jc w:val="center"/>
              </w:trPr>
              <w:tc>
                <w:tcPr>
                  <w:tcW w:w="694" w:type="dxa"/>
                  <w:vMerge w:val="continue"/>
                  <w:tcBorders>
                    <w:tl2br w:val="nil"/>
                    <w:tr2bl w:val="nil"/>
                  </w:tcBorders>
                  <w:vAlign w:val="center"/>
                </w:tcPr>
                <w:p>
                  <w:pPr>
                    <w:pStyle w:val="79"/>
                    <w:spacing w:line="240" w:lineRule="auto"/>
                    <w:rPr>
                      <w:rFonts w:ascii="Times New Roman"/>
                      <w:szCs w:val="21"/>
                    </w:rPr>
                  </w:pPr>
                </w:p>
              </w:tc>
              <w:tc>
                <w:tcPr>
                  <w:tcW w:w="708" w:type="dxa"/>
                  <w:tcBorders>
                    <w:tl2br w:val="nil"/>
                    <w:tr2bl w:val="nil"/>
                  </w:tcBorders>
                  <w:vAlign w:val="center"/>
                </w:tcPr>
                <w:p>
                  <w:pPr>
                    <w:pStyle w:val="79"/>
                    <w:spacing w:line="240" w:lineRule="auto"/>
                    <w:rPr>
                      <w:rFonts w:ascii="Times New Roman"/>
                      <w:szCs w:val="21"/>
                    </w:rPr>
                  </w:pPr>
                  <w:r>
                    <w:rPr>
                      <w:rFonts w:hint="eastAsia" w:ascii="Times New Roman"/>
                      <w:szCs w:val="21"/>
                    </w:rPr>
                    <w:t>/</w:t>
                  </w:r>
                </w:p>
              </w:tc>
              <w:tc>
                <w:tcPr>
                  <w:tcW w:w="284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雨污分流系统</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5</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4" w:type="dxa"/>
                  <w:tcBorders>
                    <w:tl2br w:val="nil"/>
                    <w:tr2bl w:val="nil"/>
                  </w:tcBorders>
                  <w:vAlign w:val="center"/>
                </w:tcPr>
                <w:p>
                  <w:pPr>
                    <w:widowControl/>
                    <w:jc w:val="center"/>
                  </w:pPr>
                  <w:r>
                    <w:rPr>
                      <w:rFonts w:hint="eastAsia"/>
                    </w:rPr>
                    <w:t>3</w:t>
                  </w:r>
                </w:p>
              </w:tc>
              <w:tc>
                <w:tcPr>
                  <w:tcW w:w="708" w:type="dxa"/>
                  <w:tcBorders>
                    <w:tl2br w:val="nil"/>
                    <w:tr2bl w:val="nil"/>
                  </w:tcBorders>
                  <w:vAlign w:val="center"/>
                </w:tcPr>
                <w:p>
                  <w:pPr>
                    <w:pStyle w:val="79"/>
                    <w:spacing w:line="240" w:lineRule="auto"/>
                    <w:rPr>
                      <w:rFonts w:ascii="Times New Roman"/>
                      <w:szCs w:val="21"/>
                    </w:rPr>
                  </w:pPr>
                  <w:r>
                    <w:rPr>
                      <w:rFonts w:hint="eastAsia" w:ascii="Times New Roman"/>
                      <w:szCs w:val="21"/>
                    </w:rPr>
                    <w:t>噪声</w:t>
                  </w:r>
                </w:p>
              </w:tc>
              <w:tc>
                <w:tcPr>
                  <w:tcW w:w="2840" w:type="dxa"/>
                  <w:tcBorders>
                    <w:tl2br w:val="nil"/>
                    <w:tr2bl w:val="nil"/>
                  </w:tcBorders>
                  <w:vAlign w:val="center"/>
                </w:tcPr>
                <w:p>
                  <w:pPr>
                    <w:pStyle w:val="79"/>
                    <w:spacing w:line="240" w:lineRule="auto"/>
                    <w:rPr>
                      <w:rFonts w:ascii="Times New Roman"/>
                      <w:szCs w:val="21"/>
                    </w:rPr>
                  </w:pPr>
                  <w:r>
                    <w:rPr>
                      <w:rFonts w:hint="eastAsia" w:ascii="Times New Roman"/>
                      <w:szCs w:val="21"/>
                    </w:rPr>
                    <w:t>厂房隔声减震</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w:t>
                  </w:r>
                  <w:r>
                    <w:rPr>
                      <w:rFonts w:hint="eastAsia" w:ascii="Times New Roman"/>
                      <w:color w:val="000000" w:themeColor="text1"/>
                      <w:szCs w:val="21"/>
                      <w14:textFill>
                        <w14:solidFill>
                          <w14:schemeClr w14:val="tx1"/>
                        </w14:solidFill>
                      </w14:textFill>
                    </w:rPr>
                    <w:t>0</w:t>
                  </w:r>
                </w:p>
              </w:tc>
              <w:tc>
                <w:tcPr>
                  <w:tcW w:w="2020" w:type="dxa"/>
                  <w:tcBorders>
                    <w:tl2br w:val="nil"/>
                    <w:tr2bl w:val="nil"/>
                  </w:tcBorders>
                  <w:vAlign w:val="center"/>
                </w:tcPr>
                <w:p>
                  <w:pPr>
                    <w:pStyle w:val="79"/>
                    <w:spacing w:line="240" w:lineRule="auto"/>
                    <w:rPr>
                      <w:rFonts w:ascii="Times New Roman"/>
                      <w:szCs w:val="21"/>
                    </w:rPr>
                  </w:pPr>
                  <w:r>
                    <w:rPr>
                      <w:rFonts w:hint="eastAsia" w:ascii="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jc w:val="center"/>
              </w:trPr>
              <w:tc>
                <w:tcPr>
                  <w:tcW w:w="694" w:type="dxa"/>
                  <w:vMerge w:val="restart"/>
                  <w:tcBorders>
                    <w:tl2br w:val="nil"/>
                    <w:tr2bl w:val="nil"/>
                  </w:tcBorders>
                  <w:vAlign w:val="center"/>
                </w:tcPr>
                <w:p>
                  <w:pPr>
                    <w:widowControl/>
                    <w:jc w:val="center"/>
                  </w:pPr>
                  <w:r>
                    <w:rPr>
                      <w:rFonts w:hint="eastAsia"/>
                    </w:rPr>
                    <w:t>4</w:t>
                  </w:r>
                </w:p>
              </w:tc>
              <w:tc>
                <w:tcPr>
                  <w:tcW w:w="708" w:type="dxa"/>
                  <w:vMerge w:val="restart"/>
                  <w:tcBorders>
                    <w:tl2br w:val="nil"/>
                    <w:tr2bl w:val="nil"/>
                  </w:tcBorders>
                  <w:vAlign w:val="center"/>
                </w:tcPr>
                <w:p>
                  <w:pPr>
                    <w:pStyle w:val="79"/>
                    <w:spacing w:line="240" w:lineRule="auto"/>
                    <w:rPr>
                      <w:rFonts w:ascii="Times New Roman"/>
                      <w:szCs w:val="21"/>
                    </w:rPr>
                  </w:pPr>
                  <w:r>
                    <w:rPr>
                      <w:rFonts w:ascii="Times New Roman"/>
                      <w:szCs w:val="21"/>
                    </w:rPr>
                    <w:t>固体废物</w:t>
                  </w:r>
                </w:p>
              </w:tc>
              <w:tc>
                <w:tcPr>
                  <w:tcW w:w="2840" w:type="dxa"/>
                  <w:tcBorders>
                    <w:tl2br w:val="nil"/>
                    <w:tr2bl w:val="nil"/>
                  </w:tcBorders>
                  <w:vAlign w:val="center"/>
                </w:tcPr>
                <w:p>
                  <w:pPr>
                    <w:pStyle w:val="79"/>
                    <w:spacing w:line="240" w:lineRule="auto"/>
                    <w:rPr>
                      <w:rFonts w:ascii="Times New Roman"/>
                      <w:szCs w:val="21"/>
                    </w:rPr>
                  </w:pPr>
                  <w:r>
                    <w:rPr>
                      <w:rFonts w:ascii="Times New Roman"/>
                      <w:szCs w:val="21"/>
                    </w:rPr>
                    <w:t>1</w:t>
                  </w:r>
                  <w:r>
                    <w:rPr>
                      <w:rFonts w:hint="eastAsia" w:ascii="Times New Roman"/>
                      <w:szCs w:val="21"/>
                    </w:rPr>
                    <w:t>间固废暂</w:t>
                  </w:r>
                  <w:r>
                    <w:rPr>
                      <w:rFonts w:ascii="Times New Roman"/>
                      <w:szCs w:val="21"/>
                    </w:rPr>
                    <w:t>存间，</w:t>
                  </w:r>
                  <w:r>
                    <w:rPr>
                      <w:rFonts w:hint="eastAsia" w:ascii="Times New Roman"/>
                      <w:szCs w:val="21"/>
                    </w:rPr>
                    <w:t>面积</w:t>
                  </w:r>
                  <w:r>
                    <w:rPr>
                      <w:rFonts w:ascii="Times New Roman"/>
                      <w:szCs w:val="21"/>
                    </w:rPr>
                    <w:t>20</w:t>
                  </w:r>
                  <w:r>
                    <w:rPr>
                      <w:rFonts w:hint="eastAsia" w:ascii="Times New Roman"/>
                      <w:szCs w:val="21"/>
                    </w:rPr>
                    <w:t>m</w:t>
                  </w:r>
                  <w:r>
                    <w:rPr>
                      <w:rFonts w:hint="eastAsia" w:ascii="Times New Roman"/>
                      <w:szCs w:val="21"/>
                      <w:vertAlign w:val="superscript"/>
                    </w:rPr>
                    <w:t>2</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w:t>
                  </w:r>
                </w:p>
              </w:tc>
              <w:tc>
                <w:tcPr>
                  <w:tcW w:w="2020" w:type="dxa"/>
                  <w:tcBorders>
                    <w:tl2br w:val="nil"/>
                    <w:tr2bl w:val="nil"/>
                  </w:tcBorders>
                  <w:vAlign w:val="center"/>
                </w:tcPr>
                <w:p>
                  <w:pPr>
                    <w:pStyle w:val="79"/>
                    <w:spacing w:line="240" w:lineRule="auto"/>
                    <w:rPr>
                      <w:rFonts w:ascii="Times New Roman"/>
                      <w:szCs w:val="21"/>
                    </w:rPr>
                  </w:pPr>
                  <w:r>
                    <w:rPr>
                      <w:rFonts w:hint="eastAsia" w:ascii="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jc w:val="center"/>
              </w:trPr>
              <w:tc>
                <w:tcPr>
                  <w:tcW w:w="694" w:type="dxa"/>
                  <w:vMerge w:val="continue"/>
                  <w:tcBorders>
                    <w:tl2br w:val="nil"/>
                    <w:tr2bl w:val="nil"/>
                  </w:tcBorders>
                  <w:vAlign w:val="center"/>
                </w:tcPr>
                <w:p>
                  <w:pPr>
                    <w:widowControl/>
                    <w:jc w:val="cente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szCs w:val="21"/>
                    </w:rPr>
                  </w:pPr>
                  <w:r>
                    <w:rPr>
                      <w:rFonts w:hint="eastAsia" w:ascii="Times New Roman"/>
                      <w:szCs w:val="21"/>
                    </w:rPr>
                    <w:t>1间危废暂存间，面积10m</w:t>
                  </w:r>
                  <w:r>
                    <w:rPr>
                      <w:rFonts w:hint="eastAsia" w:ascii="Times New Roman"/>
                      <w:szCs w:val="21"/>
                      <w:vertAlign w:val="superscript"/>
                    </w:rPr>
                    <w:t>2</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5</w:t>
                  </w:r>
                </w:p>
              </w:tc>
              <w:tc>
                <w:tcPr>
                  <w:tcW w:w="2020" w:type="dxa"/>
                  <w:tcBorders>
                    <w:tl2br w:val="nil"/>
                    <w:tr2bl w:val="nil"/>
                  </w:tcBorders>
                  <w:vAlign w:val="center"/>
                </w:tcPr>
                <w:p>
                  <w:pPr>
                    <w:pStyle w:val="79"/>
                    <w:spacing w:line="240" w:lineRule="auto"/>
                    <w:rPr>
                      <w:rFonts w:ascii="Times New Roman"/>
                      <w:szCs w:val="21"/>
                    </w:rPr>
                  </w:pPr>
                  <w:r>
                    <w:rPr>
                      <w:rFonts w:hint="eastAsia" w:ascii="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6" w:hRule="atLeast"/>
                <w:jc w:val="center"/>
              </w:trPr>
              <w:tc>
                <w:tcPr>
                  <w:tcW w:w="694" w:type="dxa"/>
                  <w:vMerge w:val="continue"/>
                  <w:tcBorders>
                    <w:tl2br w:val="nil"/>
                    <w:tr2bl w:val="nil"/>
                  </w:tcBorders>
                  <w:vAlign w:val="center"/>
                </w:tcPr>
                <w:p>
                  <w:pPr>
                    <w:widowControl/>
                    <w:jc w:val="center"/>
                  </w:pPr>
                </w:p>
              </w:tc>
              <w:tc>
                <w:tcPr>
                  <w:tcW w:w="708" w:type="dxa"/>
                  <w:vMerge w:val="continue"/>
                  <w:tcBorders>
                    <w:tl2br w:val="nil"/>
                    <w:tr2bl w:val="nil"/>
                  </w:tcBorders>
                  <w:vAlign w:val="center"/>
                </w:tcPr>
                <w:p>
                  <w:pPr>
                    <w:pStyle w:val="79"/>
                    <w:spacing w:line="240" w:lineRule="auto"/>
                    <w:rPr>
                      <w:rFonts w:ascii="Times New Roman"/>
                      <w:szCs w:val="21"/>
                    </w:rPr>
                  </w:pPr>
                </w:p>
              </w:tc>
              <w:tc>
                <w:tcPr>
                  <w:tcW w:w="2840" w:type="dxa"/>
                  <w:tcBorders>
                    <w:tl2br w:val="nil"/>
                    <w:tr2bl w:val="nil"/>
                  </w:tcBorders>
                  <w:vAlign w:val="center"/>
                </w:tcPr>
                <w:p>
                  <w:pPr>
                    <w:pStyle w:val="79"/>
                    <w:spacing w:line="240" w:lineRule="auto"/>
                    <w:rPr>
                      <w:rFonts w:ascii="Times New Roman"/>
                      <w:szCs w:val="21"/>
                    </w:rPr>
                  </w:pPr>
                  <w:r>
                    <w:rPr>
                      <w:rFonts w:ascii="Times New Roman"/>
                      <w:szCs w:val="21"/>
                    </w:rPr>
                    <w:t>生活垃圾收集桶若干</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w:t>
                  </w:r>
                </w:p>
              </w:tc>
              <w:tc>
                <w:tcPr>
                  <w:tcW w:w="2020" w:type="dxa"/>
                  <w:tcBorders>
                    <w:tl2br w:val="nil"/>
                    <w:tr2bl w:val="nil"/>
                  </w:tcBorders>
                  <w:vAlign w:val="center"/>
                </w:tcPr>
                <w:p>
                  <w:pPr>
                    <w:pStyle w:val="79"/>
                    <w:spacing w:line="240" w:lineRule="auto"/>
                    <w:rPr>
                      <w:rFonts w:ascii="Times New Roman"/>
                      <w:szCs w:val="21"/>
                    </w:rPr>
                  </w:pPr>
                  <w:r>
                    <w:rPr>
                      <w:rFonts w:hint="eastAsia" w:ascii="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 w:hRule="atLeast"/>
                <w:jc w:val="center"/>
              </w:trPr>
              <w:tc>
                <w:tcPr>
                  <w:tcW w:w="4242" w:type="dxa"/>
                  <w:gridSpan w:val="3"/>
                  <w:tcBorders>
                    <w:tl2br w:val="nil"/>
                    <w:tr2bl w:val="nil"/>
                  </w:tcBorders>
                  <w:vAlign w:val="center"/>
                </w:tcPr>
                <w:p>
                  <w:pPr>
                    <w:pStyle w:val="79"/>
                    <w:spacing w:line="240" w:lineRule="auto"/>
                    <w:rPr>
                      <w:rFonts w:ascii="Times New Roman"/>
                      <w:szCs w:val="21"/>
                    </w:rPr>
                  </w:pPr>
                  <w:r>
                    <w:rPr>
                      <w:rFonts w:ascii="Times New Roman"/>
                      <w:szCs w:val="21"/>
                    </w:rPr>
                    <w:t>合计</w:t>
                  </w:r>
                </w:p>
              </w:tc>
              <w:tc>
                <w:tcPr>
                  <w:tcW w:w="1575"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83</w:t>
                  </w:r>
                </w:p>
              </w:tc>
              <w:tc>
                <w:tcPr>
                  <w:tcW w:w="2020" w:type="dxa"/>
                  <w:tcBorders>
                    <w:tl2br w:val="nil"/>
                    <w:tr2bl w:val="nil"/>
                  </w:tcBorders>
                  <w:vAlign w:val="center"/>
                </w:tcPr>
                <w:p>
                  <w:pPr>
                    <w:pStyle w:val="79"/>
                    <w:spacing w:line="240" w:lineRule="auto"/>
                    <w:rPr>
                      <w:rFonts w:ascii="Times New Roman"/>
                      <w:color w:val="000000" w:themeColor="text1"/>
                      <w:szCs w:val="21"/>
                      <w14:textFill>
                        <w14:solidFill>
                          <w14:schemeClr w14:val="tx1"/>
                        </w14:solidFill>
                      </w14:textFill>
                    </w:rPr>
                  </w:pPr>
                  <w:r>
                    <w:rPr>
                      <w:rFonts w:hint="eastAsia" w:ascii="Times New Roman"/>
                      <w:bCs/>
                      <w:color w:val="000000" w:themeColor="text1"/>
                      <w:szCs w:val="21"/>
                      <w14:textFill>
                        <w14:solidFill>
                          <w14:schemeClr w14:val="tx1"/>
                        </w14:solidFill>
                      </w14:textFill>
                    </w:rPr>
                    <w:t>/</w:t>
                  </w:r>
                </w:p>
              </w:tc>
            </w:tr>
          </w:tbl>
          <w:p>
            <w:pPr>
              <w:spacing w:line="360" w:lineRule="auto"/>
              <w:ind w:firstLine="420" w:firstLineChars="200"/>
              <w:rPr>
                <w:rFonts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161" w:type="dxa"/>
          </w:tcPr>
          <w:p>
            <w:pPr>
              <w:spacing w:line="360" w:lineRule="auto"/>
              <w:ind w:firstLine="422" w:firstLineChars="200"/>
              <w:rPr>
                <w:b/>
                <w:color w:val="000000"/>
                <w:szCs w:val="21"/>
                <w:lang w:val="zh-CN"/>
              </w:rPr>
            </w:pPr>
            <w:r>
              <w:rPr>
                <w:rFonts w:hint="eastAsia"/>
                <w:b/>
                <w:color w:val="000000"/>
                <w:szCs w:val="21"/>
              </w:rPr>
              <w:t>1.</w:t>
            </w:r>
            <w:r>
              <w:rPr>
                <w:rFonts w:hint="eastAsia"/>
                <w:b/>
                <w:color w:val="000000"/>
                <w:szCs w:val="21"/>
                <w:lang w:val="zh-CN"/>
              </w:rPr>
              <w:t>施工期</w:t>
            </w:r>
            <w:r>
              <w:rPr>
                <w:rFonts w:hint="eastAsia"/>
                <w:b/>
                <w:color w:val="000000"/>
                <w:szCs w:val="21"/>
              </w:rPr>
              <w:t>工艺流程</w:t>
            </w:r>
          </w:p>
          <w:p>
            <w:pPr>
              <w:spacing w:line="360" w:lineRule="auto"/>
              <w:ind w:firstLine="420" w:firstLineChars="200"/>
              <w:rPr>
                <w:bCs/>
                <w:color w:val="000000"/>
                <w:szCs w:val="21"/>
                <w:lang w:val="zh-CN"/>
              </w:rPr>
            </w:pPr>
            <w:r>
              <w:rPr>
                <w:rFonts w:hint="eastAsia"/>
                <w:bCs/>
                <w:color w:val="000000"/>
                <w:szCs w:val="21"/>
                <w:lang w:val="zh-CN"/>
              </w:rPr>
              <w:t>本项目</w:t>
            </w:r>
            <w:r>
              <w:rPr>
                <w:rFonts w:hint="eastAsia"/>
                <w:bCs/>
                <w:color w:val="000000"/>
                <w:szCs w:val="21"/>
              </w:rPr>
              <w:t>为新建项目，租赁</w:t>
            </w:r>
            <w:r>
              <w:rPr>
                <w:rFonts w:hint="eastAsia"/>
                <w:color w:val="000000"/>
                <w:szCs w:val="21"/>
              </w:rPr>
              <w:t>昆明市东川工业投资开发有限公司位于昆明市东川区碧谷工业片区的新建标准化空置厂房进行生产</w:t>
            </w:r>
            <w:r>
              <w:rPr>
                <w:rFonts w:hint="eastAsia"/>
                <w:bCs/>
                <w:color w:val="000000"/>
                <w:szCs w:val="21"/>
                <w:lang w:val="zh-CN"/>
              </w:rPr>
              <w:t>，</w:t>
            </w:r>
            <w:r>
              <w:rPr>
                <w:rFonts w:hint="eastAsia"/>
                <w:bCs/>
                <w:color w:val="000000"/>
                <w:szCs w:val="21"/>
              </w:rPr>
              <w:t>不涉及构筑物改建和土建施工，</w:t>
            </w:r>
            <w:r>
              <w:rPr>
                <w:rFonts w:hint="eastAsia"/>
                <w:bCs/>
                <w:color w:val="000000"/>
                <w:szCs w:val="21"/>
                <w:lang w:val="zh-CN"/>
              </w:rPr>
              <w:t>设备采购安装调试后</w:t>
            </w:r>
            <w:r>
              <w:rPr>
                <w:rFonts w:hint="eastAsia"/>
                <w:bCs/>
                <w:color w:val="000000"/>
                <w:szCs w:val="21"/>
              </w:rPr>
              <w:t>即</w:t>
            </w:r>
            <w:r>
              <w:rPr>
                <w:rFonts w:hint="eastAsia"/>
                <w:bCs/>
                <w:color w:val="000000"/>
                <w:szCs w:val="21"/>
                <w:lang w:val="zh-CN"/>
              </w:rPr>
              <w:t>可进行相关生产。</w:t>
            </w:r>
          </w:p>
          <w:p>
            <w:pPr>
              <w:spacing w:line="360" w:lineRule="auto"/>
              <w:ind w:firstLine="420" w:firstLineChars="20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 xml:space="preserve">项目建设施工过程大体包括以下几步进行： </w:t>
            </w:r>
          </w:p>
          <w:p>
            <w:pPr>
              <w:spacing w:line="360" w:lineRule="auto"/>
              <w:ind w:firstLine="420" w:firstLineChars="20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①砖石及砂石运输：运输车辆在运输砖石及砂石等进厂会产生一定量的尾气，主要成分为</w:t>
            </w:r>
            <w:r>
              <w:rPr>
                <w:color w:val="000000" w:themeColor="text1"/>
                <w:kern w:val="0"/>
                <w:szCs w:val="21"/>
                <w:lang w:bidi="ar"/>
                <w14:textFill>
                  <w14:solidFill>
                    <w14:schemeClr w14:val="tx1"/>
                  </w14:solidFill>
                </w14:textFill>
              </w:rPr>
              <w:t>CO</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NOx</w:t>
            </w:r>
            <w:r>
              <w:rPr>
                <w:rFonts w:hint="eastAsia" w:ascii="宋体" w:hAnsi="宋体" w:cs="宋体"/>
                <w:color w:val="000000" w:themeColor="text1"/>
                <w:kern w:val="0"/>
                <w:szCs w:val="21"/>
                <w:lang w:bidi="ar"/>
                <w14:textFill>
                  <w14:solidFill>
                    <w14:schemeClr w14:val="tx1"/>
                  </w14:solidFill>
                </w14:textFill>
              </w:rPr>
              <w:t>和碳氢化合物（</w:t>
            </w:r>
            <w:r>
              <w:rPr>
                <w:color w:val="000000" w:themeColor="text1"/>
                <w:kern w:val="0"/>
                <w:szCs w:val="21"/>
                <w:lang w:bidi="ar"/>
                <w14:textFill>
                  <w14:solidFill>
                    <w14:schemeClr w14:val="tx1"/>
                  </w14:solidFill>
                </w14:textFill>
              </w:rPr>
              <w:t>THC</w:t>
            </w:r>
            <w:r>
              <w:rPr>
                <w:rFonts w:hint="eastAsia" w:ascii="宋体" w:hAnsi="宋体" w:cs="宋体"/>
                <w:color w:val="000000" w:themeColor="text1"/>
                <w:kern w:val="0"/>
                <w:szCs w:val="21"/>
                <w:lang w:bidi="ar"/>
                <w14:textFill>
                  <w14:solidFill>
                    <w14:schemeClr w14:val="tx1"/>
                  </w14:solidFill>
                </w14:textFill>
              </w:rPr>
              <w:t>）等。汽车尾气经扩散后，对周边环境影响较小。</w:t>
            </w:r>
          </w:p>
          <w:p>
            <w:pPr>
              <w:spacing w:line="360" w:lineRule="auto"/>
              <w:ind w:firstLine="420" w:firstLineChars="200"/>
              <w:rPr>
                <w:b/>
                <w:color w:val="000000"/>
                <w:szCs w:val="21"/>
              </w:rPr>
            </w:pPr>
            <w:r>
              <w:rPr>
                <w:rFonts w:hint="eastAsia" w:ascii="宋体" w:hAnsi="宋体" w:cs="宋体"/>
                <w:color w:val="000000" w:themeColor="text1"/>
                <w:kern w:val="0"/>
                <w:szCs w:val="21"/>
                <w:lang w:bidi="ar"/>
                <w14:textFill>
                  <w14:solidFill>
                    <w14:schemeClr w14:val="tx1"/>
                  </w14:solidFill>
                </w14:textFill>
              </w:rPr>
              <w:t xml:space="preserve">②环保设施的建设：本环保设施主要包括危废暂存间的建设和冷却循环水池的建设，目前厂区已硬化，无需对地面进行开挖，混凝土为商混，不产生生产废水。建设过程中会产生少量的废砖块。此阶段会产生少量的粉尘、噪声、固废。施工使用商混，少量的运输粉尘被标准化厂房和绿化带阻拦；施工为人工操作，噪声经标准化生产厂房阻隔；施工人员生活垃圾依托项目区的生活垃圾收集桶，由环卫部门定期清运；施工过程中产生的少量废砖块合理处置。综上，施工期间产生的粉尘、噪声、固废对周围环境影响较小。 </w:t>
            </w:r>
          </w:p>
          <w:p>
            <w:pPr>
              <w:spacing w:line="360" w:lineRule="auto"/>
              <w:ind w:firstLine="422" w:firstLineChars="200"/>
              <w:rPr>
                <w:b/>
                <w:color w:val="000000"/>
                <w:szCs w:val="21"/>
              </w:rPr>
            </w:pPr>
            <w:r>
              <w:rPr>
                <w:rFonts w:hint="eastAsia"/>
                <w:b/>
                <w:color w:val="000000"/>
                <w:szCs w:val="21"/>
              </w:rPr>
              <w:t>2.营运期工艺流程</w:t>
            </w:r>
          </w:p>
          <w:p>
            <w:pPr>
              <w:spacing w:line="360" w:lineRule="auto"/>
              <w:ind w:firstLine="420" w:firstLineChars="200"/>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项目多晶硅铸锭工艺流程及产污情况如图2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3所示（其中G-废气、W-废水、N-噪声、S-固废）。</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object>
                <v:shape id="_x0000_i1026" o:spt="75" type="#_x0000_t75" style="height:489.75pt;width:397.05pt;" o:ole="t" filled="f" o:preferrelative="t" stroked="f" coordsize="21600,21600">
                  <v:path/>
                  <v:fill on="f" focussize="0,0"/>
                  <v:stroke on="f" joinstyle="miter"/>
                  <v:imagedata r:id="rId22" o:title=""/>
                  <o:lock v:ext="edit" aspectratio="f"/>
                  <w10:wrap type="none"/>
                  <w10:anchorlock/>
                </v:shape>
                <o:OLEObject Type="Embed" ProgID="Visio.Drawing.15" ShapeID="_x0000_i1026" DrawAspect="Content" ObjectID="_1468075726" r:id="rId21">
                  <o:LockedField>false</o:LockedField>
                </o:OLEObject>
              </w:object>
            </w:r>
          </w:p>
          <w:p>
            <w:pPr>
              <w:spacing w:line="360" w:lineRule="auto"/>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图2-3 多晶硅铸锭工艺流程及产污环节图</w:t>
            </w:r>
          </w:p>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工艺</w:t>
            </w:r>
            <w:r>
              <w:rPr>
                <w:rFonts w:hint="eastAsia"/>
                <w:b/>
                <w:bCs/>
                <w:color w:val="000000" w:themeColor="text1"/>
                <w:szCs w:val="21"/>
                <w14:textFill>
                  <w14:solidFill>
                    <w14:schemeClr w14:val="tx1"/>
                  </w14:solidFill>
                </w14:textFill>
              </w:rPr>
              <w:t>流程</w:t>
            </w:r>
            <w:r>
              <w:rPr>
                <w:b/>
                <w:bCs/>
                <w:color w:val="000000" w:themeColor="text1"/>
                <w:szCs w:val="21"/>
                <w14:textFill>
                  <w14:solidFill>
                    <w14:schemeClr w14:val="tx1"/>
                  </w14:solidFill>
                </w14:textFill>
              </w:rPr>
              <w:t>简述：</w:t>
            </w:r>
          </w:p>
          <w:p>
            <w:pPr>
              <w:spacing w:line="360" w:lineRule="auto"/>
              <w:ind w:firstLine="420" w:firstLineChars="200"/>
              <w:rPr>
                <w:szCs w:val="21"/>
              </w:rPr>
            </w:pPr>
            <w:r>
              <w:rPr>
                <w:rFonts w:hint="eastAsia"/>
                <w:color w:val="000000" w:themeColor="text1"/>
                <w:szCs w:val="21"/>
                <w14:textFill>
                  <w14:solidFill>
                    <w14:schemeClr w14:val="tx1"/>
                  </w14:solidFill>
                </w14:textFill>
              </w:rPr>
              <w:t>外购多晶硅碎屑经汽车运输到厂区原料库内，通过叉车运至生产车间，依次经装料、铸锭、冷却、开方和截断等生产工序后制成成品存放在成品区。</w:t>
            </w:r>
            <w:r>
              <w:rPr>
                <w:rFonts w:hint="eastAsia"/>
                <w:szCs w:val="21"/>
              </w:rPr>
              <w:t>具体的生产工艺流程如下：</w:t>
            </w:r>
          </w:p>
          <w:p>
            <w:pPr>
              <w:spacing w:line="360" w:lineRule="auto"/>
              <w:ind w:firstLine="420" w:firstLineChars="200"/>
              <w:rPr>
                <w:szCs w:val="21"/>
              </w:rPr>
            </w:pPr>
            <w:r>
              <w:rPr>
                <w:rFonts w:hint="eastAsia"/>
                <w:szCs w:val="21"/>
              </w:rPr>
              <w:t>（1）</w:t>
            </w:r>
            <w:r>
              <w:rPr>
                <w:rFonts w:hint="eastAsia"/>
                <w:b/>
                <w:bCs/>
                <w:szCs w:val="21"/>
              </w:rPr>
              <w:t>原料进厂接收、储存</w:t>
            </w:r>
            <w:r>
              <w:rPr>
                <w:rFonts w:hint="eastAsia"/>
                <w:szCs w:val="21"/>
              </w:rPr>
              <w:t>：将外购的多晶硅碎料经入场检测，符合硅含量指标后，暂存与原料区。</w:t>
            </w:r>
          </w:p>
          <w:p>
            <w:pPr>
              <w:spacing w:line="360" w:lineRule="auto"/>
              <w:ind w:firstLine="422" w:firstLineChars="200"/>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①原料来源、</w:t>
            </w:r>
            <w:r>
              <w:rPr>
                <w:rFonts w:hint="eastAsia"/>
                <w:b/>
                <w:bCs/>
                <w:color w:val="000000" w:themeColor="text1"/>
                <w:szCs w:val="21"/>
                <w14:textFill>
                  <w14:solidFill>
                    <w14:schemeClr w14:val="tx1"/>
                  </w14:solidFill>
                </w14:textFill>
              </w:rPr>
              <w:t>收集运输</w:t>
            </w:r>
            <w:r>
              <w:rPr>
                <w:rFonts w:hint="eastAsia" w:hAnsi="宋体"/>
                <w:b/>
                <w:bCs/>
                <w:color w:val="000000" w:themeColor="text1"/>
                <w:szCs w:val="21"/>
                <w14:textFill>
                  <w14:solidFill>
                    <w14:schemeClr w14:val="tx1"/>
                  </w14:solidFill>
                </w14:textFill>
              </w:rPr>
              <w:t>及进场要求</w:t>
            </w:r>
          </w:p>
          <w:p>
            <w:pPr>
              <w:widowControl/>
              <w:spacing w:line="360" w:lineRule="auto"/>
              <w:ind w:firstLine="420" w:firstLineChars="200"/>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本项目处理原料主要为光伏企业边角料。</w:t>
            </w:r>
            <w:r>
              <w:rPr>
                <w:rFonts w:hint="eastAsia"/>
                <w:color w:val="000000" w:themeColor="text1"/>
                <w:szCs w:val="21"/>
                <w14:textFill>
                  <w14:solidFill>
                    <w14:schemeClr w14:val="tx1"/>
                  </w14:solidFill>
                </w14:textFill>
              </w:rPr>
              <w:t>由光伏企业自行进行收集，收集的过程中光伏边角料均采用完好无损的吨包装袋进行包装，包装后暂存在企业固废堆场内，待光伏边角料量满足货车装载量后，由企业租用运输车辆将光伏边角料运输至生产厂区原料堆场内堆放。汽车运输的方式，尽可能不上高速公路，避开人口密集、交通拥挤路段，车速适中，兼顾安全可靠性和经济合理性，确保收集运输正常化。</w:t>
            </w:r>
          </w:p>
          <w:p>
            <w:pPr>
              <w:widowControl/>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②接收、储存</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来料接收：对进场光伏边角料，进行硅含量检验，定期对来料进行抽样送检，原料硅含量要＞99％，一旦发现不合格则退回企业。合格边角料则做好来料台账后入库。</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储存：本项目配备光伏边角料接收人员，从各收集点收运来的光伏边角料进入原料区后，接收人员根据制度进行接收登记，经过简单检验后的进入原料区暂存。本项目处理的光伏边角料呈固态，采用吨袋包装运至公司原料区堆放。吨袋为防水塑料吨袋，在车间内设置原料区，用于储存收购的光伏边角料，最大储存量约500吨。</w:t>
            </w:r>
          </w:p>
          <w:p>
            <w:pPr>
              <w:widowControl/>
              <w:numPr>
                <w:ilvl w:val="0"/>
                <w:numId w:val="4"/>
              </w:numPr>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装料</w:t>
            </w:r>
            <w:r>
              <w:rPr>
                <w:rFonts w:hint="eastAsia"/>
                <w:color w:val="000000" w:themeColor="text1"/>
                <w:szCs w:val="21"/>
                <w14:textFill>
                  <w14:solidFill>
                    <w14:schemeClr w14:val="tx1"/>
                  </w14:solidFill>
                </w14:textFill>
              </w:rPr>
              <w:t>：根据多晶硅锭的电阻率要求（由江西久顺定制），将多晶硅碎屑（10kg/袋装）按重量比例配制，投入免喷涂坩埚内。本项目使用免喷涂坩埚，装料工序坩埚不需喷涂涂层。</w:t>
            </w:r>
          </w:p>
          <w:p>
            <w:pPr>
              <w:widowControl/>
              <w:numPr>
                <w:ilvl w:val="0"/>
                <w:numId w:val="4"/>
              </w:numPr>
              <w:spacing w:line="360" w:lineRule="auto"/>
              <w:ind w:firstLine="422" w:firstLineChars="200"/>
              <w:rPr>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装炉</w:t>
            </w:r>
            <w:r>
              <w:rPr>
                <w:rFonts w:hint="eastAsia"/>
                <w:color w:val="000000" w:themeColor="text1"/>
                <w:szCs w:val="21"/>
                <w14:textFill>
                  <w14:solidFill>
                    <w14:schemeClr w14:val="tx1"/>
                  </w14:solidFill>
                </w14:textFill>
              </w:rPr>
              <w:t>：将装料后的坩埚装入炉内，采用真空泵对炉体抽真空，同时将惰性气体氩气作为保护气充入炉内。该工序产生噪声（N1）。</w:t>
            </w:r>
          </w:p>
          <w:p>
            <w:pPr>
              <w:widowControl/>
              <w:numPr>
                <w:ilvl w:val="0"/>
                <w:numId w:val="4"/>
              </w:numPr>
              <w:spacing w:line="360" w:lineRule="auto"/>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铸锭</w:t>
            </w:r>
            <w:r>
              <w:rPr>
                <w:rFonts w:hint="eastAsia"/>
                <w:color w:val="000000" w:themeColor="text1"/>
                <w14:textFill>
                  <w14:solidFill>
                    <w14:schemeClr w14:val="tx1"/>
                  </w14:solidFill>
                </w14:textFill>
              </w:rPr>
              <w:t>： 本项目采用多晶铸锭炉进行铸锭加工。多晶硅铸锭炉主要用于太阳能多晶硅锭的生产，它采用先进的多晶硅定向凝固技术，将硅料高温熔融后通过特殊工艺定向冷凝结晶，从而达到太阳能电池生产用多晶硅品质的要求，是一种适用于长时间连续工作，高精度、高可靠性、自动化程度高的智能化生产设备。铸锭工艺分为以下6个阶段：</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预热：预热真空度大约1.05MPa；预热温度：室温升至1200℃；加热方式为电加热；预热时间约15小时；预热保温要求完全保温。</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熔化：开始充入保护气氩气，熔化真空度大约44.1Pa；熔化温度1200℃～1550℃；加热方式为电加热；融化时间约5h；熔化保温要求完全保温。</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长晶：连续充入保护气氩气，长晶真空度大约44.1Pa；长晶温度1550℃～1400℃；加热方式为电加热；长晶时间约30h；长晶保温要求缓慢取消保温。</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退火：连续充保护气氩气，退火真空度大约44.1Pa；退火温度1400℃～1000℃；加热方式为电加热；退火时间约 15h；退火保温要求完全保温。</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冷却：连续充保护气氩气，冷却真空度大约52.5Pa；冷却温度1000℃～400℃；冷却方式为循环水间接冷却；冷却时间约5h。</w:t>
            </w:r>
          </w:p>
          <w:p>
            <w:pPr>
              <w:widowControl/>
              <w:numPr>
                <w:ilvl w:val="0"/>
                <w:numId w:val="5"/>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拆炉：待炉温冷却后，将炉内多晶硅锭和坩埚一起通过叉车从铸锭炉内取出，然后手工敲碎石英陶瓷坩埚得到多晶硅铸锭。该工序无粉尘产生，产生废埚底料（S1）及废坩埚（S2）。</w:t>
            </w:r>
          </w:p>
          <w:p>
            <w:pPr>
              <w:widowControl/>
              <w:numPr>
                <w:ilvl w:val="0"/>
                <w:numId w:val="4"/>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方：将多晶硅铸锭使用金刚线开方机切成157.2mmx157.2mm的小方锭，开方过程在设备内密闭自动进行，采用自来水进行湿式加工，通过水的冲刷去除残留在表面的杂质，同时起到降温、润滑作用。开方机固定系统包括安装架和安放板，安装架上加工出限位槽，安放板下方加工出的插入块插入在限位槽内，起到固定硅锭的作用。开方工序会产生S3废边角料、S4废金刚线、开方废水W1。</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截断：将开方后的工件，按照客户需求的长度进行截断，截断工序在设备内密闭自动进行，采用自来水进行湿式加工，通过水的冲刷去除加工过程残留在表面的杂质，同时起到降温、润滑作用。截断工序会产生废边角料S5、截断废水W2。</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（7）检验：采用寿命仪、红外探伤仪等测试设备测长方体规定是否合格，其中寿命仪分别检测电频率、探伤仪检测是否损伤。检测工序主要产生不合格品S6。</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磨平、倒角：通过磨面机、倒角机对切方硅棒/硅锭进行表面平磨和倒角，其中精磨作用增加柱面磊晶层和光阻度，达到光滑、平整目的；倒角使锐利直角磨成圆弧形，防止晶片边缘破裂及晶格缺陷产生。同时将硅块头尾去除。平磨和倒角机设备密闭，采用自来水进行湿式打磨，达到清洗和冷却效果。会产生打磨废水W3。</w:t>
            </w:r>
          </w:p>
          <w:p>
            <w:pPr>
              <w:spacing w:line="360" w:lineRule="auto"/>
              <w:ind w:firstLine="422" w:firstLineChars="200"/>
              <w:rPr>
                <w:b/>
                <w:color w:val="000000"/>
                <w:szCs w:val="21"/>
              </w:rPr>
            </w:pPr>
            <w:r>
              <w:rPr>
                <w:rFonts w:hint="eastAsia"/>
                <w:b/>
                <w:color w:val="000000"/>
                <w:szCs w:val="21"/>
              </w:rPr>
              <w:t>营运期产污环节：</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废气：运营期产生废气为G1抽真空尾气，主要为空气和氩气，无需进行评价；G2拆炉废气。</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噪声：项目生产线运行过程中产生的噪声；</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固废：生活垃圾、废包装袋、废坩埚、废埚底料、废金刚线、废边角料、不合格品、沉淀池沉渣、</w:t>
            </w:r>
            <w:r>
              <w:rPr>
                <w:rFonts w:hint="eastAsia"/>
                <w:color w:val="000000" w:themeColor="text1"/>
                <w:szCs w:val="21"/>
                <w14:textFill>
                  <w14:solidFill>
                    <w14:schemeClr w14:val="tx1"/>
                  </w14:solidFill>
                </w14:textFill>
              </w:rPr>
              <w:t>废机油、废机油桶、废含油手套、抹布</w:t>
            </w:r>
            <w:r>
              <w:rPr>
                <w:rFonts w:hint="eastAsia"/>
                <w:bCs/>
                <w:color w:val="000000" w:themeColor="text1"/>
                <w:szCs w:val="21"/>
                <w14:textFill>
                  <w14:solidFill>
                    <w14:schemeClr w14:val="tx1"/>
                  </w14:solidFill>
                </w14:textFill>
              </w:rPr>
              <w:t>；</w:t>
            </w:r>
          </w:p>
          <w:p>
            <w:pPr>
              <w:spacing w:line="360" w:lineRule="auto"/>
              <w:ind w:firstLine="420" w:firstLineChars="200"/>
              <w:rPr>
                <w:rFonts w:ascii="宋体" w:hAnsi="宋体"/>
                <w:bCs/>
                <w:szCs w:val="21"/>
              </w:rPr>
            </w:pPr>
            <w:r>
              <w:rPr>
                <w:rFonts w:hint="eastAsia"/>
                <w:bCs/>
                <w:color w:val="000000" w:themeColor="text1"/>
                <w:szCs w:val="21"/>
                <w14:textFill>
                  <w14:solidFill>
                    <w14:schemeClr w14:val="tx1"/>
                  </w14:solidFill>
                </w14:textFill>
              </w:rPr>
              <w:t>废水：生活污水。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tcPr>
          <w:p>
            <w:pPr>
              <w:adjustRightInd w:val="0"/>
              <w:snapToGrid w:val="0"/>
              <w:spacing w:line="360" w:lineRule="auto"/>
              <w:ind w:firstLine="420" w:firstLineChars="200"/>
              <w:rPr>
                <w:rFonts w:ascii="宋体" w:hAnsi="宋体"/>
                <w:bCs/>
                <w:szCs w:val="21"/>
              </w:rPr>
            </w:pPr>
            <w:r>
              <w:rPr>
                <w:rFonts w:hint="eastAsia"/>
                <w:bCs/>
                <w:color w:val="000000" w:themeColor="text1"/>
                <w:szCs w:val="21"/>
                <w14:textFill>
                  <w14:solidFill>
                    <w14:schemeClr w14:val="tx1"/>
                  </w14:solidFill>
                </w14:textFill>
              </w:rPr>
              <w:t>本项目为新建项目，租赁</w:t>
            </w:r>
            <w:r>
              <w:rPr>
                <w:rFonts w:hint="eastAsia"/>
                <w:color w:val="000000"/>
                <w:szCs w:val="21"/>
              </w:rPr>
              <w:t>昆明市东川工业投资开发有限公司位于昆明市东川区碧谷工业片区的空置厂房</w:t>
            </w:r>
            <w:r>
              <w:rPr>
                <w:rFonts w:hint="eastAsia"/>
                <w:bCs/>
                <w:color w:val="000000" w:themeColor="text1"/>
                <w:szCs w:val="21"/>
                <w14:textFill>
                  <w14:solidFill>
                    <w14:schemeClr w14:val="tx1"/>
                  </w14:solidFill>
                </w14:textFill>
              </w:rPr>
              <w:t>，厂房位于碧谷工业园区内，为已建好的规划厂房，目前厂房主体结构已建成，配套给水排水管网已建成，现阶段园区主要进行道路建设中。目前</w:t>
            </w:r>
            <w:r>
              <w:rPr>
                <w:rFonts w:hint="eastAsia"/>
                <w:color w:val="000000" w:themeColor="text1"/>
                <w:szCs w:val="21"/>
                <w14:textFill>
                  <w14:solidFill>
                    <w14:schemeClr w14:val="tx1"/>
                  </w14:solidFill>
                </w14:textFill>
              </w:rPr>
              <w:t>厂区未进行过生产，</w:t>
            </w:r>
            <w:r>
              <w:rPr>
                <w:rFonts w:hint="eastAsia"/>
                <w:bCs/>
                <w:color w:val="000000" w:themeColor="text1"/>
                <w:szCs w:val="21"/>
                <w14:textFill>
                  <w14:solidFill>
                    <w14:schemeClr w14:val="tx1"/>
                  </w14:solidFill>
                </w14:textFill>
              </w:rPr>
              <w:t>场地内无原有污染问题。</w:t>
            </w:r>
          </w:p>
        </w:tc>
      </w:tr>
    </w:tbl>
    <w:p>
      <w:pPr>
        <w:pStyle w:val="19"/>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19"/>
        <w:jc w:val="center"/>
        <w:outlineLvl w:val="0"/>
        <w:rPr>
          <w:rFonts w:ascii="黑体" w:hAnsi="黑体" w:eastAsia="黑体"/>
          <w:snapToGrid w:val="0"/>
          <w:sz w:val="30"/>
          <w:szCs w:val="30"/>
        </w:rPr>
      </w:pPr>
      <w:bookmarkStart w:id="20" w:name="_Toc27943"/>
      <w:bookmarkStart w:id="21" w:name="_Toc797"/>
      <w:r>
        <w:rPr>
          <w:rFonts w:hint="eastAsia" w:ascii="黑体" w:hAnsi="黑体" w:eastAsia="黑体"/>
          <w:snapToGrid w:val="0"/>
          <w:sz w:val="30"/>
          <w:szCs w:val="30"/>
        </w:rPr>
        <w:t>三、区域环境质量现状、环境保护目标及评价标准</w:t>
      </w:r>
      <w:bookmarkEnd w:id="20"/>
      <w:bookmarkEnd w:id="2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spacing w:line="360" w:lineRule="auto"/>
              <w:rPr>
                <w:b/>
                <w:color w:val="000000"/>
                <w:szCs w:val="21"/>
              </w:rPr>
            </w:pPr>
            <w:r>
              <w:rPr>
                <w:rFonts w:hint="eastAsia"/>
                <w:b/>
                <w:color w:val="000000"/>
                <w:szCs w:val="21"/>
              </w:rPr>
              <w:t>1.环境空气质量现状</w:t>
            </w:r>
            <w:r>
              <w:rPr>
                <w:rFonts w:hint="eastAsia"/>
                <w:b/>
                <w:color w:val="000000"/>
                <w:szCs w:val="21"/>
              </w:rPr>
              <w:tab/>
            </w:r>
          </w:p>
          <w:p>
            <w:pPr>
              <w:spacing w:line="360" w:lineRule="auto"/>
              <w:ind w:firstLine="420" w:firstLineChars="200"/>
              <w:rPr>
                <w:color w:val="000000"/>
                <w:szCs w:val="21"/>
              </w:rPr>
            </w:pPr>
            <w:r>
              <w:rPr>
                <w:rFonts w:hint="eastAsia"/>
                <w:color w:val="000000"/>
                <w:szCs w:val="21"/>
              </w:rPr>
              <w:t>根据《环境影响评价技术导则-大气环境》（HJ2.2-2018）“6.2.1.1 项目所在区域达标判定，优先采用国家或地方生态环境主管部门公开发布的评价基准年环境质量公告或环境质量报告书中的数据或结论”。本项目位于云南省昆明市东川区碧谷工业园区（新格路与碧龙路交叉口南上段标准化厂房内），区域环境功能区划为二类区，环境空气质量执行《环境空气质量标准》（GB</w:t>
            </w:r>
            <w:r>
              <w:rPr>
                <w:rFonts w:hint="eastAsia"/>
                <w:color w:val="000000"/>
                <w:szCs w:val="21"/>
                <w:lang w:eastAsia="zh-CN"/>
              </w:rPr>
              <w:t>****</w:t>
            </w:r>
            <w:r>
              <w:rPr>
                <w:rFonts w:hint="eastAsia"/>
                <w:color w:val="000000"/>
                <w:szCs w:val="21"/>
              </w:rPr>
              <w:t>-2012）二级标准。</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根据《2022年度昆明市生态环境状况公报》，2022年东川区环境空气质量总体保持良好，能达到《环境空气质量标准》（GB</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-2012）二级标准。</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根据2022年东川区空气自动站（站点编号：</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001）监测数据，环境空气质量数据见下表：</w:t>
            </w:r>
          </w:p>
          <w:p>
            <w:pPr>
              <w:pStyle w:val="57"/>
              <w:widowControl w:val="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表3-1  2022年东川区空气质量现状评价表</w:t>
            </w:r>
          </w:p>
          <w:tbl>
            <w:tblPr>
              <w:tblStyle w:val="23"/>
              <w:tblW w:w="79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153"/>
              <w:gridCol w:w="1296"/>
              <w:gridCol w:w="1350"/>
              <w:gridCol w:w="1114"/>
              <w:gridCol w:w="11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5"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污染物</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评价指标</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现状浓度</w:t>
                  </w:r>
                </w:p>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（μg/m</w:t>
                  </w:r>
                  <w:r>
                    <w:rPr>
                      <w:color w:val="000000" w:themeColor="text1"/>
                      <w:spacing w:val="4"/>
                      <w:kern w:val="24"/>
                      <w:szCs w:val="21"/>
                      <w:highlight w:val="none"/>
                      <w:vertAlign w:val="superscript"/>
                      <w14:textFill>
                        <w14:solidFill>
                          <w14:schemeClr w14:val="tx1"/>
                        </w14:solidFill>
                      </w14:textFill>
                    </w:rPr>
                    <w:t>3</w:t>
                  </w:r>
                  <w:r>
                    <w:rPr>
                      <w:color w:val="000000" w:themeColor="text1"/>
                      <w:spacing w:val="4"/>
                      <w:kern w:val="24"/>
                      <w:szCs w:val="21"/>
                      <w:highlight w:val="none"/>
                      <w14:textFill>
                        <w14:solidFill>
                          <w14:schemeClr w14:val="tx1"/>
                        </w14:solidFill>
                      </w14:textFill>
                    </w:rPr>
                    <w:t>）</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评价标准</w:t>
                  </w:r>
                  <w:r>
                    <w:rPr>
                      <w:color w:val="000000" w:themeColor="text1"/>
                      <w:spacing w:val="4"/>
                      <w:kern w:val="24"/>
                      <w:szCs w:val="21"/>
                      <w:highlight w:val="none"/>
                      <w14:textFill>
                        <w14:solidFill>
                          <w14:schemeClr w14:val="tx1"/>
                        </w14:solidFill>
                      </w14:textFill>
                    </w:rPr>
                    <w:t>（μg/m</w:t>
                  </w:r>
                  <w:r>
                    <w:rPr>
                      <w:color w:val="000000" w:themeColor="text1"/>
                      <w:spacing w:val="4"/>
                      <w:kern w:val="24"/>
                      <w:szCs w:val="21"/>
                      <w:highlight w:val="none"/>
                      <w:vertAlign w:val="superscript"/>
                      <w14:textFill>
                        <w14:solidFill>
                          <w14:schemeClr w14:val="tx1"/>
                        </w14:solidFill>
                      </w14:textFill>
                    </w:rPr>
                    <w:t>3</w:t>
                  </w:r>
                  <w:r>
                    <w:rPr>
                      <w:color w:val="000000" w:themeColor="text1"/>
                      <w:spacing w:val="4"/>
                      <w:kern w:val="24"/>
                      <w:szCs w:val="21"/>
                      <w:highlight w:val="none"/>
                      <w14:textFill>
                        <w14:solidFill>
                          <w14:schemeClr w14:val="tx1"/>
                        </w14:solidFill>
                      </w14:textFill>
                    </w:rPr>
                    <w:t>）</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占标率（%）</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75" w:type="dxa"/>
                  <w:vMerge w:val="restart"/>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SO</w:t>
                  </w:r>
                  <w:r>
                    <w:rPr>
                      <w:rFonts w:hint="eastAsia"/>
                      <w:color w:val="000000" w:themeColor="text1"/>
                      <w:spacing w:val="4"/>
                      <w:kern w:val="24"/>
                      <w:szCs w:val="21"/>
                      <w:highlight w:val="none"/>
                      <w:vertAlign w:val="subscript"/>
                      <w14:textFill>
                        <w14:solidFill>
                          <w14:schemeClr w14:val="tx1"/>
                        </w14:solidFill>
                      </w14:textFill>
                    </w:rPr>
                    <w:t>2</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24小时平均第98位百分数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107</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150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71.33</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vMerge w:val="continue"/>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年平均质量浓度</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29</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60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48.33</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vMerge w:val="restart"/>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NO</w:t>
                  </w:r>
                  <w:r>
                    <w:rPr>
                      <w:rFonts w:hint="eastAsia"/>
                      <w:color w:val="000000" w:themeColor="text1"/>
                      <w:spacing w:val="4"/>
                      <w:kern w:val="24"/>
                      <w:szCs w:val="21"/>
                      <w:highlight w:val="none"/>
                      <w:vertAlign w:val="subscript"/>
                      <w14:textFill>
                        <w14:solidFill>
                          <w14:schemeClr w14:val="tx1"/>
                        </w14:solidFill>
                      </w14:textFill>
                    </w:rPr>
                    <w:t>2</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24小时平均第98位百分数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22</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80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27.50</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vMerge w:val="continue"/>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年平均质量浓度</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10</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40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25.00</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vMerge w:val="restart"/>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PM</w:t>
                  </w:r>
                  <w:r>
                    <w:rPr>
                      <w:rFonts w:hint="eastAsia"/>
                      <w:color w:val="000000" w:themeColor="text1"/>
                      <w:spacing w:val="4"/>
                      <w:kern w:val="24"/>
                      <w:szCs w:val="21"/>
                      <w:highlight w:val="none"/>
                      <w:vertAlign w:val="subscript"/>
                      <w14:textFill>
                        <w14:solidFill>
                          <w14:schemeClr w14:val="tx1"/>
                        </w14:solidFill>
                      </w14:textFill>
                    </w:rPr>
                    <w:t>10</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24小时平均第95位百分数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81</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150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54.00</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0" w:hRule="atLeast"/>
                <w:jc w:val="center"/>
              </w:trPr>
              <w:tc>
                <w:tcPr>
                  <w:tcW w:w="875" w:type="dxa"/>
                  <w:vMerge w:val="continue"/>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年平均质量浓度</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38</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70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54.29</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vMerge w:val="restart"/>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PM</w:t>
                  </w:r>
                  <w:r>
                    <w:rPr>
                      <w:rFonts w:hint="eastAsia"/>
                      <w:color w:val="000000" w:themeColor="text1"/>
                      <w:spacing w:val="4"/>
                      <w:kern w:val="24"/>
                      <w:szCs w:val="21"/>
                      <w:highlight w:val="none"/>
                      <w:vertAlign w:val="subscript"/>
                      <w14:textFill>
                        <w14:solidFill>
                          <w14:schemeClr w14:val="tx1"/>
                        </w14:solidFill>
                      </w14:textFill>
                    </w:rPr>
                    <w:t>2.5</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24小时平均第95位百分数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41</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75</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54.67</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8" w:hRule="atLeast"/>
                <w:jc w:val="center"/>
              </w:trPr>
              <w:tc>
                <w:tcPr>
                  <w:tcW w:w="875" w:type="dxa"/>
                  <w:vMerge w:val="continue"/>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年平均质量浓度</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21</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35</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60.00</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CO</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24小时平均第95位百分数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1mg</w:t>
                  </w:r>
                  <w:r>
                    <w:rPr>
                      <w:color w:val="000000" w:themeColor="text1"/>
                      <w:spacing w:val="4"/>
                      <w:kern w:val="24"/>
                      <w:szCs w:val="21"/>
                      <w:highlight w:val="none"/>
                      <w14:textFill>
                        <w14:solidFill>
                          <w14:schemeClr w14:val="tx1"/>
                        </w14:solidFill>
                      </w14:textFill>
                    </w:rPr>
                    <w:t>/m</w:t>
                  </w:r>
                  <w:r>
                    <w:rPr>
                      <w:color w:val="000000" w:themeColor="text1"/>
                      <w:spacing w:val="4"/>
                      <w:kern w:val="24"/>
                      <w:szCs w:val="21"/>
                      <w:highlight w:val="none"/>
                      <w:vertAlign w:val="superscript"/>
                      <w14:textFill>
                        <w14:solidFill>
                          <w14:schemeClr w14:val="tx1"/>
                        </w14:solidFill>
                      </w14:textFill>
                    </w:rPr>
                    <w:t>3</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4mg</w:t>
                  </w:r>
                  <w:r>
                    <w:rPr>
                      <w:color w:val="000000" w:themeColor="text1"/>
                      <w:spacing w:val="4"/>
                      <w:kern w:val="24"/>
                      <w:szCs w:val="21"/>
                      <w:highlight w:val="none"/>
                      <w14:textFill>
                        <w14:solidFill>
                          <w14:schemeClr w14:val="tx1"/>
                        </w14:solidFill>
                      </w14:textFill>
                    </w:rPr>
                    <w:t>/m</w:t>
                  </w:r>
                  <w:r>
                    <w:rPr>
                      <w:color w:val="000000" w:themeColor="text1"/>
                      <w:spacing w:val="4"/>
                      <w:kern w:val="24"/>
                      <w:szCs w:val="21"/>
                      <w:highlight w:val="none"/>
                      <w:vertAlign w:val="superscript"/>
                      <w14:textFill>
                        <w14:solidFill>
                          <w14:schemeClr w14:val="tx1"/>
                        </w14:solidFill>
                      </w14:textFill>
                    </w:rPr>
                    <w:t>3</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25.00</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9" w:hRule="atLeast"/>
                <w:jc w:val="center"/>
              </w:trPr>
              <w:tc>
                <w:tcPr>
                  <w:tcW w:w="875"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color w:val="000000" w:themeColor="text1"/>
                      <w:spacing w:val="4"/>
                      <w:kern w:val="24"/>
                      <w:szCs w:val="21"/>
                      <w:highlight w:val="none"/>
                      <w14:textFill>
                        <w14:solidFill>
                          <w14:schemeClr w14:val="tx1"/>
                        </w14:solidFill>
                      </w14:textFill>
                    </w:rPr>
                    <w:t>O</w:t>
                  </w:r>
                  <w:r>
                    <w:rPr>
                      <w:color w:val="000000" w:themeColor="text1"/>
                      <w:spacing w:val="4"/>
                      <w:kern w:val="24"/>
                      <w:szCs w:val="21"/>
                      <w:highlight w:val="none"/>
                      <w:vertAlign w:val="subscript"/>
                      <w14:textFill>
                        <w14:solidFill>
                          <w14:schemeClr w14:val="tx1"/>
                        </w14:solidFill>
                      </w14:textFill>
                    </w:rPr>
                    <w:t>3</w:t>
                  </w:r>
                </w:p>
              </w:tc>
              <w:tc>
                <w:tcPr>
                  <w:tcW w:w="2153"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日最大8小时滑动平均值第90位百分数</w:t>
                  </w:r>
                </w:p>
              </w:tc>
              <w:tc>
                <w:tcPr>
                  <w:tcW w:w="1296"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113</w:t>
                  </w:r>
                </w:p>
              </w:tc>
              <w:tc>
                <w:tcPr>
                  <w:tcW w:w="1350"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160</w:t>
                  </w:r>
                </w:p>
              </w:tc>
              <w:tc>
                <w:tcPr>
                  <w:tcW w:w="1114"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70.63</w:t>
                  </w:r>
                </w:p>
              </w:tc>
              <w:tc>
                <w:tcPr>
                  <w:tcW w:w="1157" w:type="dxa"/>
                  <w:tcBorders>
                    <w:tl2br w:val="nil"/>
                    <w:tr2bl w:val="nil"/>
                  </w:tcBorders>
                  <w:vAlign w:val="center"/>
                </w:tcPr>
                <w:p>
                  <w:pPr>
                    <w:jc w:val="center"/>
                    <w:rPr>
                      <w:color w:val="000000" w:themeColor="text1"/>
                      <w:spacing w:val="4"/>
                      <w:kern w:val="24"/>
                      <w:szCs w:val="21"/>
                      <w:highlight w:val="none"/>
                      <w14:textFill>
                        <w14:solidFill>
                          <w14:schemeClr w14:val="tx1"/>
                        </w14:solidFill>
                      </w14:textFill>
                    </w:rPr>
                  </w:pPr>
                  <w:r>
                    <w:rPr>
                      <w:rFonts w:hint="eastAsia"/>
                      <w:color w:val="000000" w:themeColor="text1"/>
                      <w:spacing w:val="4"/>
                      <w:kern w:val="24"/>
                      <w:szCs w:val="21"/>
                      <w:highlight w:val="none"/>
                      <w14:textFill>
                        <w14:solidFill>
                          <w14:schemeClr w14:val="tx1"/>
                        </w14:solidFill>
                      </w14:textFill>
                    </w:rPr>
                    <w:t>达标</w:t>
                  </w:r>
                </w:p>
              </w:tc>
            </w:tr>
          </w:tbl>
          <w:p>
            <w:pPr>
              <w:spacing w:line="360" w:lineRule="auto"/>
              <w:ind w:firstLine="420" w:firstLineChars="20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根据《2022年度昆明市生态环境状况公报》和东川区空气自动站监测数据，项目区域为达标区，项目所在区域环境空气质量良好，满足《环境空气质量标准》（GB</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-2012）二级标准。</w:t>
            </w:r>
          </w:p>
          <w:p>
            <w:pPr>
              <w:spacing w:line="360" w:lineRule="auto"/>
              <w:ind w:firstLine="420" w:firstLineChars="200"/>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补充监测：本次评价引用云南中科检测技术有限公司对《</w:t>
            </w:r>
            <w:r>
              <w:rPr>
                <w:rFonts w:hint="eastAsia"/>
                <w:color w:val="000000" w:themeColor="text1"/>
                <w:szCs w:val="21"/>
                <w:highlight w:val="none"/>
                <w14:textFill>
                  <w14:solidFill>
                    <w14:schemeClr w14:val="tx1"/>
                  </w14:solidFill>
                </w14:textFill>
              </w:rPr>
              <w:t>昆明忠祥纸业有限公司年产20万吨再生纸建设项目环境影响报告书</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的现状监测数据，监测时间为2021年5月9日~5月16日，在3年有效期内，监测点位距本项目西侧130m。监测结果如下：</w:t>
            </w:r>
          </w:p>
          <w:p>
            <w:pPr>
              <w:pStyle w:val="57"/>
              <w:widowControl w:val="0"/>
              <w:rPr>
                <w:rFonts w:hint="eastAsia"/>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57140" cy="3369945"/>
                  <wp:effectExtent l="0" t="0" r="10160" b="19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057140" cy="3369945"/>
                          </a:xfrm>
                          <a:prstGeom prst="rect">
                            <a:avLst/>
                          </a:prstGeom>
                          <a:noFill/>
                          <a:ln>
                            <a:noFill/>
                          </a:ln>
                        </pic:spPr>
                      </pic:pic>
                    </a:graphicData>
                  </a:graphic>
                </wp:inline>
              </w:drawing>
            </w:r>
          </w:p>
          <w:p>
            <w:pPr>
              <w:pStyle w:val="57"/>
              <w:widowControl w:val="0"/>
              <w:rPr>
                <w:rFonts w:hint="default"/>
                <w:color w:val="000000" w:themeColor="text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表3-</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引用TSP监测数据</w:t>
            </w:r>
            <w:r>
              <w:rPr>
                <w:rFonts w:hint="eastAsia"/>
                <w:color w:val="000000" w:themeColor="text1"/>
                <w:sz w:val="21"/>
                <w:szCs w:val="21"/>
                <w:highlight w:val="none"/>
                <w14:textFill>
                  <w14:solidFill>
                    <w14:schemeClr w14:val="tx1"/>
                  </w14:solidFill>
                </w14:textFill>
              </w:rPr>
              <w:t>表</w:t>
            </w:r>
          </w:p>
          <w:p>
            <w:pPr>
              <w:pStyle w:val="2"/>
              <w:ind w:left="0" w:leftChars="0" w:firstLine="0" w:firstLineChars="0"/>
              <w:rPr>
                <w:rFonts w:hint="eastAsia"/>
                <w:color w:val="000000" w:themeColor="text1"/>
                <w:szCs w:val="2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60315" cy="1828165"/>
                  <wp:effectExtent l="0" t="0" r="6985" b="6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4"/>
                          <a:stretch>
                            <a:fillRect/>
                          </a:stretch>
                        </pic:blipFill>
                        <pic:spPr>
                          <a:xfrm>
                            <a:off x="0" y="0"/>
                            <a:ext cx="5060315" cy="1828165"/>
                          </a:xfrm>
                          <a:prstGeom prst="rect">
                            <a:avLst/>
                          </a:prstGeom>
                          <a:noFill/>
                          <a:ln>
                            <a:noFill/>
                          </a:ln>
                        </pic:spPr>
                      </pic:pic>
                    </a:graphicData>
                  </a:graphic>
                </wp:inline>
              </w:drawing>
            </w:r>
          </w:p>
          <w:p>
            <w:pPr>
              <w:spacing w:line="360" w:lineRule="auto"/>
              <w:ind w:firstLine="420" w:firstLineChars="200"/>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由上表可知，</w:t>
            </w:r>
            <w:r>
              <w:rPr>
                <w:rFonts w:hint="eastAsia"/>
                <w:color w:val="000000" w:themeColor="text1"/>
                <w:szCs w:val="21"/>
                <w:highlight w:val="none"/>
                <w:lang w:val="en-US" w:eastAsia="zh-CN"/>
                <w14:textFill>
                  <w14:solidFill>
                    <w14:schemeClr w14:val="tx1"/>
                  </w14:solidFill>
                </w14:textFill>
              </w:rPr>
              <w:t>项目周边</w:t>
            </w:r>
            <w:r>
              <w:rPr>
                <w:rFonts w:hint="eastAsia"/>
                <w:color w:val="000000" w:themeColor="text1"/>
                <w:szCs w:val="21"/>
                <w:highlight w:val="none"/>
                <w14:textFill>
                  <w14:solidFill>
                    <w14:schemeClr w14:val="tx1"/>
                  </w14:solidFill>
                </w14:textFill>
              </w:rPr>
              <w:t>TSP满足《环境空气质量标准》（GB</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-2012）中二级标准限值</w:t>
            </w:r>
            <w:r>
              <w:rPr>
                <w:rFonts w:hint="eastAsia"/>
                <w:color w:val="000000" w:themeColor="text1"/>
                <w:szCs w:val="21"/>
                <w:highlight w:val="none"/>
                <w:lang w:eastAsia="zh-CN"/>
                <w14:textFill>
                  <w14:solidFill>
                    <w14:schemeClr w14:val="tx1"/>
                  </w14:solidFill>
                </w14:textFill>
              </w:rPr>
              <w:t>。</w:t>
            </w:r>
          </w:p>
          <w:p>
            <w:pPr>
              <w:spacing w:line="360" w:lineRule="auto"/>
              <w:rPr>
                <w:b/>
                <w:color w:val="000000"/>
                <w:szCs w:val="21"/>
              </w:rPr>
            </w:pPr>
            <w:r>
              <w:rPr>
                <w:rFonts w:hint="eastAsia"/>
                <w:b/>
                <w:color w:val="000000"/>
                <w:szCs w:val="21"/>
              </w:rPr>
              <w:t>2.水体环境质量现状</w:t>
            </w:r>
          </w:p>
          <w:p>
            <w:pPr>
              <w:pStyle w:val="61"/>
              <w:ind w:firstLine="42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距离项目区最近地表水体为项目西</w:t>
            </w:r>
            <w:r>
              <w:rPr>
                <w:rFonts w:hint="eastAsia"/>
                <w:color w:val="000000" w:themeColor="text1"/>
                <w:sz w:val="21"/>
                <w:szCs w:val="21"/>
                <w:highlight w:val="none"/>
                <w14:textFill>
                  <w14:solidFill>
                    <w14:schemeClr w14:val="tx1"/>
                  </w14:solidFill>
                </w14:textFill>
              </w:rPr>
              <w:t>南</w:t>
            </w:r>
            <w:r>
              <w:rPr>
                <w:color w:val="000000" w:themeColor="text1"/>
                <w:sz w:val="21"/>
                <w:szCs w:val="21"/>
                <w:highlight w:val="none"/>
                <w14:textFill>
                  <w14:solidFill>
                    <w14:schemeClr w14:val="tx1"/>
                  </w14:solidFill>
                </w14:textFill>
              </w:rPr>
              <w:t>侧</w:t>
            </w:r>
            <w:r>
              <w:rPr>
                <w:rFonts w:hint="eastAsia"/>
                <w:color w:val="000000" w:themeColor="text1"/>
                <w:sz w:val="21"/>
                <w:szCs w:val="21"/>
                <w:highlight w:val="none"/>
                <w14:textFill>
                  <w14:solidFill>
                    <w14:schemeClr w14:val="tx1"/>
                  </w14:solidFill>
                </w14:textFill>
              </w:rPr>
              <w:t>1481</w:t>
            </w:r>
            <w:r>
              <w:rPr>
                <w:color w:val="000000" w:themeColor="text1"/>
                <w:sz w:val="21"/>
                <w:szCs w:val="21"/>
                <w:highlight w:val="none"/>
                <w14:textFill>
                  <w14:solidFill>
                    <w14:schemeClr w14:val="tx1"/>
                  </w14:solidFill>
                </w14:textFill>
              </w:rPr>
              <w:t>m的小江，为金沙江支流。</w:t>
            </w:r>
            <w:r>
              <w:rPr>
                <w:rFonts w:hint="eastAsia"/>
                <w:color w:val="000000" w:themeColor="text1"/>
                <w:sz w:val="21"/>
                <w:szCs w:val="21"/>
                <w:highlight w:val="none"/>
                <w14:textFill>
                  <w14:solidFill>
                    <w14:schemeClr w14:val="tx1"/>
                  </w14:solidFill>
                </w14:textFill>
              </w:rPr>
              <w:t>根据《云南省水功能区划（2014年修订）》（云南省水利厅，2014年5月），小江</w:t>
            </w:r>
            <w:r>
              <w:rPr>
                <w:rFonts w:hint="eastAsia"/>
                <w:color w:val="000000" w:themeColor="text1"/>
                <w:sz w:val="21"/>
                <w:szCs w:val="21"/>
                <w:highlight w:val="none"/>
                <w:lang w:val="en-US" w:eastAsia="zh-CN"/>
                <w14:textFill>
                  <w14:solidFill>
                    <w14:schemeClr w14:val="tx1"/>
                  </w14:solidFill>
                </w14:textFill>
              </w:rPr>
              <w:t>寻甸-东川保留区“清水海—入金沙江”2023年水质目标为</w:t>
            </w:r>
            <w:r>
              <w:rPr>
                <w:rFonts w:hint="eastAsia"/>
                <w:color w:val="000000" w:themeColor="text1"/>
                <w:sz w:val="21"/>
                <w:szCs w:val="21"/>
                <w:highlight w:val="none"/>
                <w14:textFill>
                  <w14:solidFill>
                    <w14:schemeClr w14:val="tx1"/>
                  </w14:solidFill>
                </w14:textFill>
              </w:rPr>
              <w:t>Ⅲ类，执行 GB</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-2002《地表水环境质量标准》的Ⅲ类标准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根据《2022年度昆明市生态环境状况公报》，小江四级电站断面水质类别保持Ⅱ类不变；保持为优良水体。</w:t>
            </w:r>
          </w:p>
          <w:p>
            <w:pPr>
              <w:spacing w:line="360" w:lineRule="auto"/>
              <w:rPr>
                <w:b/>
                <w:color w:val="000000"/>
                <w:szCs w:val="21"/>
              </w:rPr>
            </w:pPr>
            <w:r>
              <w:rPr>
                <w:rFonts w:hint="eastAsia"/>
                <w:b/>
                <w:color w:val="000000"/>
                <w:szCs w:val="21"/>
              </w:rPr>
              <w:t>3.声环境质量现状</w:t>
            </w:r>
          </w:p>
          <w:p>
            <w:pPr>
              <w:spacing w:line="360" w:lineRule="auto"/>
              <w:ind w:firstLine="420" w:firstLineChars="200"/>
              <w:rPr>
                <w:color w:val="000000" w:themeColor="text1"/>
                <w:kern w:val="0"/>
                <w:szCs w:val="21"/>
                <w14:textFill>
                  <w14:solidFill>
                    <w14:schemeClr w14:val="tx1"/>
                  </w14:solidFill>
                </w14:textFill>
              </w:rPr>
            </w:pPr>
            <w:r>
              <w:rPr>
                <w:rFonts w:hint="eastAsia"/>
                <w:kern w:val="0"/>
                <w:szCs w:val="21"/>
              </w:rPr>
              <w:t>本项目位于</w:t>
            </w:r>
            <w:r>
              <w:rPr>
                <w:rFonts w:hint="eastAsia"/>
                <w:color w:val="000000"/>
                <w:szCs w:val="21"/>
              </w:rPr>
              <w:t>东川区碧谷工业园区</w:t>
            </w:r>
            <w:r>
              <w:rPr>
                <w:rFonts w:hint="eastAsia"/>
                <w:kern w:val="0"/>
                <w:szCs w:val="21"/>
              </w:rPr>
              <w:t>，项目区域声环境功能区划为3类区，执行《声环境质量标准》中（GB</w:t>
            </w:r>
            <w:r>
              <w:rPr>
                <w:rFonts w:hint="eastAsia"/>
                <w:kern w:val="0"/>
                <w:szCs w:val="21"/>
                <w:lang w:eastAsia="zh-CN"/>
              </w:rPr>
              <w:t>****</w:t>
            </w:r>
            <w:r>
              <w:rPr>
                <w:rFonts w:hint="eastAsia"/>
                <w:kern w:val="0"/>
                <w:szCs w:val="21"/>
              </w:rPr>
              <w:t>-2008）3类标准。</w:t>
            </w:r>
            <w:r>
              <w:rPr>
                <w:rFonts w:hint="eastAsia"/>
                <w:color w:val="000000" w:themeColor="text1"/>
                <w:kern w:val="0"/>
                <w:szCs w:val="21"/>
                <w14:textFill>
                  <w14:solidFill>
                    <w14:schemeClr w14:val="tx1"/>
                  </w14:solidFill>
                </w14:textFill>
              </w:rPr>
              <w:t>根据《建设项目环境影响报告表编制技术指南》（污染影响类）（试行）的要求，应监测厂界外周边50m范围内的保护目标的声环境质量现状。本项目周边50m内无声环境保护目标，故无需进行声环境质量现状监测。</w:t>
            </w:r>
          </w:p>
          <w:p>
            <w:pPr>
              <w:autoSpaceDE w:val="0"/>
              <w:autoSpaceDN w:val="0"/>
              <w:adjustRightInd w:val="0"/>
              <w:snapToGrid w:val="0"/>
              <w:spacing w:line="360" w:lineRule="auto"/>
              <w:ind w:firstLine="420" w:firstLineChars="200"/>
              <w:rPr>
                <w:kern w:val="0"/>
                <w:szCs w:val="21"/>
              </w:rPr>
            </w:pPr>
            <w:r>
              <w:rPr>
                <w:rFonts w:hint="eastAsia"/>
                <w:color w:val="000000" w:themeColor="text1"/>
                <w:kern w:val="0"/>
                <w:szCs w:val="21"/>
                <w14:textFill>
                  <w14:solidFill>
                    <w14:schemeClr w14:val="tx1"/>
                  </w14:solidFill>
                </w14:textFill>
              </w:rPr>
              <w:t>根据现场调查，项目位于工业园区内，周边主要噪声源为华新水泥厂产生的工业噪声和驾校产生生活噪声。</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4.地下水、土壤环境</w:t>
            </w:r>
          </w:p>
          <w:p>
            <w:pPr>
              <w:pStyle w:val="61"/>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根据《&lt;建设项目环境影响报告表&gt;内容、格式及编制技术指南》（环办环评[2020]33号）的要求，报告表原则上不开展地下水、土壤环境质量现状评价。</w:t>
            </w:r>
          </w:p>
          <w:p>
            <w:pPr>
              <w:pStyle w:val="61"/>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厂界外500m范围内不涉及地下水集中式饮用水水源和热水、矿泉水、温泉等特殊地下水资源等地下水环境敏感目标。项目原料库、危废暂存间均采取有效的防渗防漏措施，基本无污染地下水、土壤环境途径，故不进行土壤及地下水现状调查评价。</w:t>
            </w:r>
          </w:p>
          <w:p>
            <w:pPr>
              <w:spacing w:line="360" w:lineRule="auto"/>
              <w:rPr>
                <w:b/>
                <w:color w:val="000000" w:themeColor="text1"/>
                <w:szCs w:val="21"/>
                <w:lang w:val="zh-CN"/>
                <w14:textFill>
                  <w14:solidFill>
                    <w14:schemeClr w14:val="tx1"/>
                  </w14:solidFill>
                </w14:textFill>
              </w:rPr>
            </w:pPr>
            <w:r>
              <w:rPr>
                <w:rFonts w:hint="eastAsia"/>
                <w:b/>
                <w:color w:val="000000" w:themeColor="text1"/>
                <w:szCs w:val="21"/>
                <w14:textFill>
                  <w14:solidFill>
                    <w14:schemeClr w14:val="tx1"/>
                  </w14:solidFill>
                </w14:textFill>
              </w:rPr>
              <w:t>5.</w:t>
            </w:r>
            <w:r>
              <w:rPr>
                <w:rFonts w:hint="eastAsia"/>
                <w:b/>
                <w:color w:val="000000" w:themeColor="text1"/>
                <w:szCs w:val="21"/>
                <w:lang w:val="zh-CN"/>
                <w14:textFill>
                  <w14:solidFill>
                    <w14:schemeClr w14:val="tx1"/>
                  </w14:solidFill>
                </w14:textFill>
              </w:rPr>
              <w:t>生态环境质量状况</w:t>
            </w:r>
          </w:p>
          <w:p>
            <w:pPr>
              <w:adjustRightInd w:val="0"/>
              <w:snapToGrid w:val="0"/>
              <w:spacing w:line="360" w:lineRule="auto"/>
              <w:ind w:firstLine="420" w:firstLineChars="200"/>
              <w:jc w:val="left"/>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根据《&lt;建设项目环境影响报告表&gt;内容、格式及编制技术指南》（环办环评[2020]33号）要求，产业园区外建设项目新增用地且用地范围内含有生态环境保护目标时，应进行生态现状调查。项目区位于</w:t>
            </w:r>
            <w:r>
              <w:rPr>
                <w:rFonts w:hint="eastAsia"/>
                <w:color w:val="000000" w:themeColor="text1"/>
                <w:szCs w:val="21"/>
                <w14:textFill>
                  <w14:solidFill>
                    <w14:schemeClr w14:val="tx1"/>
                  </w14:solidFill>
                </w14:textFill>
              </w:rPr>
              <w:t>园区内</w:t>
            </w:r>
            <w:r>
              <w:rPr>
                <w:rFonts w:hint="eastAsia"/>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且</w:t>
            </w:r>
            <w:r>
              <w:rPr>
                <w:rFonts w:hint="eastAsia"/>
                <w:color w:val="000000" w:themeColor="text1"/>
                <w:szCs w:val="21"/>
                <w:lang w:val="zh-CN"/>
                <w14:textFill>
                  <w14:solidFill>
                    <w14:schemeClr w14:val="tx1"/>
                  </w14:solidFill>
                </w14:textFill>
              </w:rPr>
              <w:t>本项目占地范围内无生态环境保护目标，因此不开展生态环境现状调查。</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6.电磁辐射</w:t>
            </w:r>
          </w:p>
          <w:p>
            <w:pPr>
              <w:adjustRightInd w:val="0"/>
              <w:snapToGrid w:val="0"/>
              <w:spacing w:line="360" w:lineRule="auto"/>
              <w:ind w:firstLine="420" w:firstLineChars="200"/>
              <w:jc w:val="left"/>
              <w:rPr>
                <w:rFonts w:ascii="宋体" w:hAnsi="宋体" w:cs="宋体"/>
                <w:kern w:val="0"/>
                <w:szCs w:val="21"/>
              </w:rPr>
            </w:pPr>
            <w:r>
              <w:rPr>
                <w:rFonts w:hint="eastAsia"/>
                <w:color w:val="000000" w:themeColor="text1"/>
                <w:szCs w:val="21"/>
                <w14:textFill>
                  <w14:solidFill>
                    <w14:schemeClr w14:val="tx1"/>
                  </w14:solidFill>
                </w14:textFill>
              </w:rPr>
              <w:t>根据《&lt;建设项目环境影响报告表&gt;内容、格式及编制技术指南》（环办环评[2020]33号）要求，本项目不属于广播电台、差转台、电视塔台、卫星地球上行站、雷达等电磁辐射类项目，因此不开展电磁辐射现状调查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spacing w:line="360" w:lineRule="auto"/>
              <w:rPr>
                <w:b/>
                <w:color w:val="000000"/>
                <w:szCs w:val="21"/>
              </w:rPr>
            </w:pPr>
            <w:r>
              <w:rPr>
                <w:rFonts w:hint="eastAsia"/>
                <w:b/>
                <w:color w:val="000000"/>
                <w:szCs w:val="21"/>
              </w:rPr>
              <w:t>7.环境保护目标</w:t>
            </w:r>
          </w:p>
          <w:p>
            <w:pPr>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项目位于</w:t>
            </w:r>
            <w:r>
              <w:rPr>
                <w:rFonts w:hint="eastAsia"/>
                <w:kern w:val="0"/>
                <w:szCs w:val="21"/>
              </w:rPr>
              <w:t>云南省昆明市东川区碧谷工业园区（新格路与碧龙路交叉口南上段标准化厂房内）</w:t>
            </w:r>
            <w:r>
              <w:rPr>
                <w:bCs/>
                <w:color w:val="000000" w:themeColor="text1"/>
                <w:szCs w:val="21"/>
                <w14:textFill>
                  <w14:solidFill>
                    <w14:schemeClr w14:val="tx1"/>
                  </w14:solidFill>
                </w14:textFill>
              </w:rPr>
              <w:t>，项目区</w:t>
            </w:r>
            <w:r>
              <w:rPr>
                <w:rFonts w:hint="eastAsia"/>
                <w:bCs/>
                <w:color w:val="000000" w:themeColor="text1"/>
                <w:szCs w:val="21"/>
                <w14:textFill>
                  <w14:solidFill>
                    <w14:schemeClr w14:val="tx1"/>
                  </w14:solidFill>
                </w14:textFill>
              </w:rPr>
              <w:t>东面为</w:t>
            </w:r>
            <w:r>
              <w:rPr>
                <w:rStyle w:val="28"/>
                <w:rFonts w:hint="eastAsia"/>
                <w:kern w:val="0"/>
                <w:szCs w:val="20"/>
              </w:rPr>
              <w:t>在建的隔音砂浆厂</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南面为</w:t>
            </w:r>
            <w:r>
              <w:rPr>
                <w:rFonts w:hint="eastAsia"/>
                <w:bCs/>
                <w:color w:val="000000" w:themeColor="text1"/>
                <w:szCs w:val="21"/>
                <w14:textFill>
                  <w14:solidFill>
                    <w14:schemeClr w14:val="tx1"/>
                  </w14:solidFill>
                </w14:textFill>
              </w:rPr>
              <w:t>空地</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西</w:t>
            </w:r>
            <w:r>
              <w:rPr>
                <w:bCs/>
                <w:color w:val="000000" w:themeColor="text1"/>
                <w:szCs w:val="21"/>
                <w14:textFill>
                  <w14:solidFill>
                    <w14:schemeClr w14:val="tx1"/>
                  </w14:solidFill>
                </w14:textFill>
              </w:rPr>
              <w:t>面为</w:t>
            </w:r>
            <w:r>
              <w:rPr>
                <w:rFonts w:hint="eastAsia"/>
                <w:bCs/>
                <w:color w:val="000000" w:themeColor="text1"/>
                <w:szCs w:val="21"/>
                <w14:textFill>
                  <w14:solidFill>
                    <w14:schemeClr w14:val="tx1"/>
                  </w14:solidFill>
                </w14:textFill>
              </w:rPr>
              <w:t>园区空地</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西北面为龙潭村、北面为大龙潭村、驾校和华新水泥厂</w:t>
            </w:r>
            <w:r>
              <w:rPr>
                <w:bCs/>
                <w:color w:val="000000" w:themeColor="text1"/>
                <w:szCs w:val="21"/>
                <w14:textFill>
                  <w14:solidFill>
                    <w14:schemeClr w14:val="tx1"/>
                  </w14:solidFill>
                </w14:textFill>
              </w:rPr>
              <w:t>。</w:t>
            </w:r>
          </w:p>
          <w:p>
            <w:pPr>
              <w:spacing w:line="360" w:lineRule="auto"/>
              <w:ind w:firstLine="422" w:firstLineChars="200"/>
              <w:rPr>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（1）大气环境保护目标</w:t>
            </w:r>
            <w:r>
              <w:rPr>
                <w:color w:val="000000" w:themeColor="text1"/>
                <w:kern w:val="0"/>
                <w:szCs w:val="21"/>
                <w:lang w:bidi="ar"/>
                <w14:textFill>
                  <w14:solidFill>
                    <w14:schemeClr w14:val="tx1"/>
                  </w14:solidFill>
                </w14:textFill>
              </w:rPr>
              <w:t xml:space="preserve"> </w:t>
            </w:r>
          </w:p>
          <w:p>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大气环境保护目标应明确厂界外500m范围内的自然保护区、风景名胜区、居住区、文化区和农村地区中人群较集中的区域等保护目标的名称及与建设项目厂界位置关系。经现场调查，本项目大气环境保护目标见下表</w:t>
            </w:r>
            <w:r>
              <w:rPr>
                <w:rFonts w:hint="eastAsia"/>
                <w:color w:val="000000" w:themeColor="text1"/>
                <w:kern w:val="0"/>
                <w:szCs w:val="21"/>
                <w:lang w:bidi="ar"/>
                <w14:textFill>
                  <w14:solidFill>
                    <w14:schemeClr w14:val="tx1"/>
                  </w14:solidFill>
                </w14:textFill>
              </w:rPr>
              <w:t>3-3</w:t>
            </w:r>
            <w:r>
              <w:rPr>
                <w:color w:val="000000" w:themeColor="text1"/>
                <w:kern w:val="0"/>
                <w:szCs w:val="21"/>
                <w:lang w:bidi="ar"/>
                <w14:textFill>
                  <w14:solidFill>
                    <w14:schemeClr w14:val="tx1"/>
                  </w14:solidFill>
                </w14:textFill>
              </w:rPr>
              <w:t>：</w:t>
            </w:r>
          </w:p>
          <w:p>
            <w:pPr>
              <w:spacing w:line="360" w:lineRule="auto"/>
              <w:ind w:firstLine="422" w:firstLineChars="200"/>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（2）声环境保护目标</w:t>
            </w:r>
          </w:p>
          <w:p>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根据《建设项目环境影响报告表编制技术指南（污染影响类）（试行）》，声环境应明确厂界外50m范围内声环境保护目标。经现场调查，项目50m范围无声环境保护目标。</w:t>
            </w:r>
          </w:p>
          <w:p>
            <w:pPr>
              <w:spacing w:line="360" w:lineRule="auto"/>
              <w:ind w:firstLine="422" w:firstLineChars="200"/>
              <w:rPr>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（3）地表水环境保护目标</w:t>
            </w:r>
            <w:r>
              <w:rPr>
                <w:color w:val="000000" w:themeColor="text1"/>
                <w:kern w:val="0"/>
                <w:szCs w:val="21"/>
                <w:lang w:bidi="ar"/>
                <w14:textFill>
                  <w14:solidFill>
                    <w14:schemeClr w14:val="tx1"/>
                  </w14:solidFill>
                </w14:textFill>
              </w:rPr>
              <w:t xml:space="preserve"> </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 报告表不需列出地表水环境保护目标，而根据调查，项目区附近的主要地表水体见下表</w:t>
            </w:r>
            <w:r>
              <w:rPr>
                <w:rFonts w:hint="eastAsia"/>
                <w:color w:val="000000" w:themeColor="text1"/>
                <w:kern w:val="0"/>
                <w:szCs w:val="21"/>
                <w:lang w:bidi="ar"/>
                <w14:textFill>
                  <w14:solidFill>
                    <w14:schemeClr w14:val="tx1"/>
                  </w14:solidFill>
                </w14:textFill>
              </w:rPr>
              <w:t>3-3</w:t>
            </w:r>
            <w:r>
              <w:rPr>
                <w:color w:val="000000" w:themeColor="text1"/>
                <w:kern w:val="0"/>
                <w:szCs w:val="21"/>
                <w:lang w:bidi="ar"/>
                <w14:textFill>
                  <w14:solidFill>
                    <w14:schemeClr w14:val="tx1"/>
                  </w14:solidFill>
                </w14:textFill>
              </w:rPr>
              <w:t>：</w:t>
            </w:r>
          </w:p>
          <w:p>
            <w:pPr>
              <w:spacing w:line="360" w:lineRule="auto"/>
              <w:ind w:firstLine="422" w:firstLineChars="200"/>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 xml:space="preserve">（4）地下水环境保护目标 </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地下水环境应明确厂界外500m范围内的地下水集中式饮用水水源和热水、矿泉水、温泉等特殊地下水资源。经现场调查，项目500m范围无地下水集中式饮用水水源和热水、矿泉水、温泉等特殊地下水资源，故项目无需设置地下水环境保护目标。</w:t>
            </w:r>
          </w:p>
          <w:p>
            <w:pPr>
              <w:spacing w:line="360" w:lineRule="auto"/>
              <w:ind w:firstLine="422" w:firstLineChars="200"/>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（5）生态环境目标</w:t>
            </w:r>
          </w:p>
          <w:p>
            <w:pPr>
              <w:spacing w:line="360" w:lineRule="auto"/>
              <w:ind w:firstLine="420" w:firstLineChars="200"/>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云南东川泥石流地质公园位于云南东川国家矿山公园内,由小江峡谷园区和金沙江中段峡谷园区两个园区组成。本项目距离东川区泥石流国家地质公园-小江峡谷园区东南约13km，距离国家矿山公园约17.3km，均不在本项目评价范围内。</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 生态环境目标重点包括：产业园区外建设项目新增用地的，应明确新增用地范围内生态环境保护目标。</w:t>
            </w:r>
            <w:r>
              <w:rPr>
                <w:rFonts w:hint="eastAsia"/>
                <w:color w:val="000000" w:themeColor="text1"/>
                <w:kern w:val="0"/>
                <w:szCs w:val="21"/>
                <w:lang w:bidi="ar"/>
                <w14:textFill>
                  <w14:solidFill>
                    <w14:schemeClr w14:val="tx1"/>
                  </w14:solidFill>
                </w14:textFill>
              </w:rPr>
              <w:t>本项目位于碧谷工业园区内的</w:t>
            </w:r>
            <w:r>
              <w:rPr>
                <w:color w:val="000000" w:themeColor="text1"/>
                <w:kern w:val="0"/>
                <w:szCs w:val="21"/>
                <w:lang w:bidi="ar"/>
                <w14:textFill>
                  <w14:solidFill>
                    <w14:schemeClr w14:val="tx1"/>
                  </w14:solidFill>
                </w14:textFill>
              </w:rPr>
              <w:t>新建项目，因此不设置生态环境保护目标。</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项目周边情况见附图2项目周边关系图。</w:t>
            </w:r>
          </w:p>
          <w:p>
            <w:pPr>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环境保护目标一览表</w:t>
            </w:r>
          </w:p>
          <w:tbl>
            <w:tblPr>
              <w:tblStyle w:val="23"/>
              <w:tblW w:w="8037"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4"/>
              <w:gridCol w:w="729"/>
              <w:gridCol w:w="972"/>
              <w:gridCol w:w="797"/>
              <w:gridCol w:w="528"/>
              <w:gridCol w:w="703"/>
              <w:gridCol w:w="660"/>
              <w:gridCol w:w="1365"/>
              <w:gridCol w:w="763"/>
              <w:gridCol w:w="83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02" w:hRule="atLeast"/>
                <w:jc w:val="center"/>
              </w:trPr>
              <w:tc>
                <w:tcPr>
                  <w:tcW w:w="684" w:type="dxa"/>
                  <w:vMerge w:val="restart"/>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因素</w:t>
                  </w:r>
                </w:p>
              </w:tc>
              <w:tc>
                <w:tcPr>
                  <w:tcW w:w="729"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名称</w:t>
                  </w:r>
                </w:p>
              </w:tc>
              <w:tc>
                <w:tcPr>
                  <w:tcW w:w="1769" w:type="dxa"/>
                  <w:gridSpan w:val="2"/>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坐标/°</w:t>
                  </w:r>
                </w:p>
              </w:tc>
              <w:tc>
                <w:tcPr>
                  <w:tcW w:w="528"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保护</w:t>
                  </w:r>
                </w:p>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对象</w:t>
                  </w:r>
                </w:p>
              </w:tc>
              <w:tc>
                <w:tcPr>
                  <w:tcW w:w="703"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保护内容</w:t>
                  </w:r>
                </w:p>
              </w:tc>
              <w:tc>
                <w:tcPr>
                  <w:tcW w:w="660"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环境功能区</w:t>
                  </w:r>
                </w:p>
              </w:tc>
              <w:tc>
                <w:tcPr>
                  <w:tcW w:w="1365"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规模</w:t>
                  </w:r>
                </w:p>
              </w:tc>
              <w:tc>
                <w:tcPr>
                  <w:tcW w:w="763"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相对厂址方位</w:t>
                  </w:r>
                </w:p>
              </w:tc>
              <w:tc>
                <w:tcPr>
                  <w:tcW w:w="836"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相对厂界最近距离m</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4"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29"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972"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X</w:t>
                  </w:r>
                </w:p>
              </w:tc>
              <w:tc>
                <w:tcPr>
                  <w:tcW w:w="797"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Y</w:t>
                  </w:r>
                </w:p>
              </w:tc>
              <w:tc>
                <w:tcPr>
                  <w:tcW w:w="528" w:type="dxa"/>
                  <w:vMerge w:val="continue"/>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p>
              </w:tc>
              <w:tc>
                <w:tcPr>
                  <w:tcW w:w="703"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660"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户数/人数</w:t>
                  </w:r>
                </w:p>
              </w:tc>
              <w:tc>
                <w:tcPr>
                  <w:tcW w:w="763"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836"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4" w:type="dxa"/>
                  <w:vMerge w:val="restart"/>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w:t>
                  </w:r>
                </w:p>
              </w:tc>
              <w:tc>
                <w:tcPr>
                  <w:tcW w:w="729"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大龙潭村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103.163561648</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26.132517748</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约</w:t>
                  </w:r>
                  <w:r>
                    <w:rPr>
                      <w:rFonts w:hint="eastAsia"/>
                      <w:color w:val="000000" w:themeColor="text1"/>
                      <w:kern w:val="0"/>
                      <w:szCs w:val="21"/>
                      <w:lang w:bidi="ar"/>
                      <w14:textFill>
                        <w14:solidFill>
                          <w14:schemeClr w14:val="tx1"/>
                        </w14:solidFill>
                      </w14:textFill>
                    </w:rPr>
                    <w:t>47</w:t>
                  </w:r>
                  <w:r>
                    <w:rPr>
                      <w:color w:val="000000" w:themeColor="text1"/>
                      <w:kern w:val="0"/>
                      <w:szCs w:val="21"/>
                      <w:lang w:bidi="ar"/>
                      <w14:textFill>
                        <w14:solidFill>
                          <w14:schemeClr w14:val="tx1"/>
                        </w14:solidFill>
                      </w14:textFill>
                    </w:rPr>
                    <w:t>户，</w:t>
                  </w:r>
                  <w:r>
                    <w:rPr>
                      <w:rFonts w:hint="eastAsia"/>
                      <w:color w:val="000000" w:themeColor="text1"/>
                      <w:kern w:val="0"/>
                      <w:szCs w:val="21"/>
                      <w:lang w:bidi="ar"/>
                      <w14:textFill>
                        <w14:solidFill>
                          <w14:schemeClr w14:val="tx1"/>
                        </w14:solidFill>
                      </w14:textFill>
                    </w:rPr>
                    <w:t>180</w:t>
                  </w:r>
                  <w:r>
                    <w:rPr>
                      <w:color w:val="000000" w:themeColor="text1"/>
                      <w:kern w:val="0"/>
                      <w:szCs w:val="21"/>
                      <w:lang w:bidi="ar"/>
                      <w14:textFill>
                        <w14:solidFill>
                          <w14:schemeClr w14:val="tx1"/>
                        </w14:solidFill>
                      </w14:textFill>
                    </w:rPr>
                    <w:t>人</w:t>
                  </w:r>
                </w:p>
              </w:tc>
              <w:tc>
                <w:tcPr>
                  <w:tcW w:w="763"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368</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27" w:hRule="atLeast"/>
                <w:jc w:val="center"/>
              </w:trPr>
              <w:tc>
                <w:tcPr>
                  <w:tcW w:w="684"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29"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龙潭村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103.157189427</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26.131942039</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约</w:t>
                  </w:r>
                  <w:r>
                    <w:rPr>
                      <w:rFonts w:hint="eastAsia"/>
                      <w:color w:val="000000" w:themeColor="text1"/>
                      <w:kern w:val="0"/>
                      <w:szCs w:val="21"/>
                      <w:lang w:bidi="ar"/>
                      <w14:textFill>
                        <w14:solidFill>
                          <w14:schemeClr w14:val="tx1"/>
                        </w14:solidFill>
                      </w14:textFill>
                    </w:rPr>
                    <w:t>10</w:t>
                  </w:r>
                  <w:r>
                    <w:rPr>
                      <w:color w:val="000000" w:themeColor="text1"/>
                      <w:kern w:val="0"/>
                      <w:szCs w:val="21"/>
                      <w:lang w:bidi="ar"/>
                      <w14:textFill>
                        <w14:solidFill>
                          <w14:schemeClr w14:val="tx1"/>
                        </w14:solidFill>
                      </w14:textFill>
                    </w:rPr>
                    <w:t>户，</w:t>
                  </w:r>
                  <w:r>
                    <w:rPr>
                      <w:rFonts w:hint="eastAsia"/>
                      <w:color w:val="000000" w:themeColor="text1"/>
                      <w:kern w:val="0"/>
                      <w:szCs w:val="21"/>
                      <w:lang w:bidi="ar"/>
                      <w14:textFill>
                        <w14:solidFill>
                          <w14:schemeClr w14:val="tx1"/>
                        </w14:solidFill>
                      </w14:textFill>
                    </w:rPr>
                    <w:t>27</w:t>
                  </w:r>
                  <w:r>
                    <w:rPr>
                      <w:color w:val="000000" w:themeColor="text1"/>
                      <w:kern w:val="0"/>
                      <w:szCs w:val="21"/>
                      <w:lang w:bidi="ar"/>
                      <w14:textFill>
                        <w14:solidFill>
                          <w14:schemeClr w14:val="tx1"/>
                        </w14:solidFill>
                      </w14:textFill>
                    </w:rPr>
                    <w:t>人</w:t>
                  </w:r>
                </w:p>
              </w:tc>
              <w:tc>
                <w:tcPr>
                  <w:tcW w:w="763"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496</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27" w:hRule="atLeast"/>
                <w:jc w:val="center"/>
              </w:trPr>
              <w:tc>
                <w:tcPr>
                  <w:tcW w:w="684"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29"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石夹地村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103.157971924</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26.125908785</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约56户，200人</w:t>
                  </w:r>
                </w:p>
              </w:tc>
              <w:tc>
                <w:tcPr>
                  <w:tcW w:w="76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SW</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27" w:hRule="atLeast"/>
                <w:jc w:val="center"/>
              </w:trPr>
              <w:tc>
                <w:tcPr>
                  <w:tcW w:w="684"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29"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驾校</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103.161445712</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26.130796760</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单位</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约80人</w:t>
                  </w:r>
                </w:p>
              </w:tc>
              <w:tc>
                <w:tcPr>
                  <w:tcW w:w="76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NE</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27" w:hRule="atLeast"/>
                <w:jc w:val="center"/>
              </w:trPr>
              <w:tc>
                <w:tcPr>
                  <w:tcW w:w="68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水环境</w:t>
                  </w:r>
                </w:p>
              </w:tc>
              <w:tc>
                <w:tcPr>
                  <w:tcW w:w="729"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江</w:t>
                  </w:r>
                </w:p>
              </w:tc>
              <w:tc>
                <w:tcPr>
                  <w:tcW w:w="1769" w:type="dxa"/>
                  <w:gridSpan w:val="2"/>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891" w:type="dxa"/>
                  <w:gridSpan w:val="3"/>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农业用水、工业用水</w:t>
                  </w:r>
                </w:p>
              </w:tc>
              <w:tc>
                <w:tcPr>
                  <w:tcW w:w="1365"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GB</w:t>
                  </w:r>
                  <w:r>
                    <w:rPr>
                      <w:rFonts w:hint="eastAsia"/>
                      <w:color w:val="000000" w:themeColor="text1"/>
                      <w:kern w:val="0"/>
                      <w:szCs w:val="21"/>
                      <w:lang w:eastAsia="zh-CN" w:bidi="ar"/>
                      <w14:textFill>
                        <w14:solidFill>
                          <w14:schemeClr w14:val="tx1"/>
                        </w14:solidFill>
                      </w14:textFill>
                    </w:rPr>
                    <w:t>****</w:t>
                  </w:r>
                  <w:r>
                    <w:rPr>
                      <w:color w:val="000000" w:themeColor="text1"/>
                      <w:kern w:val="0"/>
                      <w:szCs w:val="21"/>
                      <w:lang w:bidi="ar"/>
                      <w14:textFill>
                        <w14:solidFill>
                          <w14:schemeClr w14:val="tx1"/>
                        </w14:solidFill>
                      </w14:textFill>
                    </w:rPr>
                    <w:t>-2002</w:t>
                  </w:r>
                  <w:r>
                    <w:rPr>
                      <w:rFonts w:hint="eastAsia"/>
                      <w:color w:val="000000" w:themeColor="text1"/>
                      <w:kern w:val="0"/>
                      <w:szCs w:val="21"/>
                      <w:lang w:val="en-US" w:eastAsia="zh-CN" w:bidi="ar"/>
                      <w14:textFill>
                        <w14:solidFill>
                          <w14:schemeClr w14:val="tx1"/>
                        </w14:solidFill>
                      </w14:textFill>
                    </w:rPr>
                    <w:t>Ⅲ</w:t>
                  </w:r>
                  <w:r>
                    <w:rPr>
                      <w:color w:val="000000" w:themeColor="text1"/>
                      <w:kern w:val="0"/>
                      <w:szCs w:val="21"/>
                      <w:lang w:bidi="ar"/>
                      <w14:textFill>
                        <w14:solidFill>
                          <w14:schemeClr w14:val="tx1"/>
                        </w14:solidFill>
                      </w14:textFill>
                    </w:rPr>
                    <w:t>类</w:t>
                  </w:r>
                </w:p>
              </w:tc>
              <w:tc>
                <w:tcPr>
                  <w:tcW w:w="76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color w:val="000000" w:themeColor="text1"/>
                      <w:kern w:val="0"/>
                      <w:szCs w:val="21"/>
                      <w:lang w:bidi="ar"/>
                      <w14:textFill>
                        <w14:solidFill>
                          <w14:schemeClr w14:val="tx1"/>
                        </w14:solidFill>
                      </w14:textFill>
                    </w:rPr>
                    <w:t>481</w:t>
                  </w:r>
                  <w:r>
                    <w:rPr>
                      <w:color w:val="000000" w:themeColor="text1"/>
                      <w:kern w:val="0"/>
                      <w:szCs w:val="21"/>
                      <w:lang w:bidi="ar"/>
                      <w14:textFill>
                        <w14:solidFill>
                          <w14:schemeClr w14:val="tx1"/>
                        </w14:solidFill>
                      </w14:textFill>
                    </w:rPr>
                    <w:t>m</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w:t>
                  </w:r>
                </w:p>
              </w:tc>
              <w:tc>
                <w:tcPr>
                  <w:tcW w:w="7353" w:type="dxa"/>
                  <w:gridSpan w:val="9"/>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厂界外50m范围内无声环境保护目标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地下水环境</w:t>
                  </w:r>
                </w:p>
              </w:tc>
              <w:tc>
                <w:tcPr>
                  <w:tcW w:w="7353" w:type="dxa"/>
                  <w:gridSpan w:val="9"/>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本项目厂界500米范围内无地下水集中式饮用水水源和热水、矿泉水、温泉等特殊地下水资源</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7353" w:type="dxa"/>
                  <w:gridSpan w:val="9"/>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位于园区内，且本项目占地范围内无生态环境保护目标</w:t>
                  </w:r>
                </w:p>
              </w:tc>
            </w:tr>
          </w:tbl>
          <w:p>
            <w:pPr>
              <w:spacing w:line="360" w:lineRule="auto"/>
              <w:ind w:firstLine="420" w:firstLineChars="20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pPr>
              <w:spacing w:line="360" w:lineRule="auto"/>
              <w:rPr>
                <w:b/>
                <w:color w:val="000000"/>
                <w:szCs w:val="21"/>
              </w:rPr>
            </w:pPr>
            <w:r>
              <w:rPr>
                <w:rFonts w:hint="eastAsia"/>
                <w:b/>
                <w:color w:val="000000"/>
                <w:szCs w:val="21"/>
              </w:rPr>
              <w:t>1.大气污染物排放标准</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本项目废气主要为拆炉产生的颗粒物，执行《大气污染物综合排放标准》（GB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-1996）中表2无组织排放浓度限值要求，详见下表3-4。</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表3-4 项目生产工艺废气排放标准一览表</w:t>
            </w:r>
          </w:p>
          <w:tbl>
            <w:tblPr>
              <w:tblStyle w:val="23"/>
              <w:tblW w:w="7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905"/>
              <w:gridCol w:w="1211"/>
              <w:gridCol w:w="2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5" w:hRule="atLeast"/>
                <w:jc w:val="center"/>
              </w:trPr>
              <w:tc>
                <w:tcPr>
                  <w:tcW w:w="913"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2905"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w:t>
                  </w:r>
                </w:p>
              </w:tc>
              <w:tc>
                <w:tcPr>
                  <w:tcW w:w="4080" w:type="dxa"/>
                  <w:gridSpan w:val="2"/>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13"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2905"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1211" w:type="dxa"/>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2869"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拆炉废气</w:t>
                  </w:r>
                </w:p>
              </w:tc>
              <w:tc>
                <w:tcPr>
                  <w:tcW w:w="290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w:t>
                  </w:r>
                </w:p>
              </w:tc>
              <w:tc>
                <w:tcPr>
                  <w:tcW w:w="121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869" w:type="dxa"/>
                  <w:tcBorders>
                    <w:tl2br w:val="nil"/>
                    <w:tr2bl w:val="nil"/>
                  </w:tcBorders>
                  <w:vAlign w:val="center"/>
                </w:tcPr>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无组织：周界外浓度最高点</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1.0mg/m</w:t>
                  </w:r>
                  <w:r>
                    <w:rPr>
                      <w:rFonts w:hint="eastAsia"/>
                      <w:color w:val="000000" w:themeColor="text1"/>
                      <w:szCs w:val="21"/>
                      <w:vertAlign w:val="superscript"/>
                      <w14:textFill>
                        <w14:solidFill>
                          <w14:schemeClr w14:val="tx1"/>
                        </w14:solidFill>
                      </w14:textFill>
                    </w:rPr>
                    <w:t>3</w:t>
                  </w:r>
                </w:p>
              </w:tc>
            </w:tr>
          </w:tbl>
          <w:p>
            <w:pPr>
              <w:spacing w:line="360" w:lineRule="auto"/>
              <w:rPr>
                <w:b/>
                <w:color w:val="000000"/>
                <w:szCs w:val="21"/>
              </w:rPr>
            </w:pPr>
            <w:r>
              <w:rPr>
                <w:rFonts w:hint="eastAsia"/>
                <w:b/>
                <w:color w:val="000000"/>
                <w:szCs w:val="21"/>
              </w:rPr>
              <w:t>2.水污染物排放标准</w:t>
            </w:r>
          </w:p>
          <w:p>
            <w:pPr>
              <w:pStyle w:val="29"/>
              <w:spacing w:line="360" w:lineRule="auto"/>
              <w:ind w:firstLine="420" w:firstLineChars="200"/>
              <w:jc w:val="both"/>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项目区产生的废水为生活污水。生活污水经化粪池处理达《污水排入城镇下水道水质标准》（GB/T3</w:t>
            </w:r>
            <w:r>
              <w:rPr>
                <w:rFonts w:hint="eastAsia" w:ascii="Times New Roman" w:hAnsi="Times New Roman" w:cs="Times New Roman"/>
                <w:b w:val="0"/>
                <w:color w:val="000000" w:themeColor="text1"/>
                <w:sz w:val="21"/>
                <w:szCs w:val="21"/>
                <w:lang w:eastAsia="zh-CN"/>
                <w14:textFill>
                  <w14:solidFill>
                    <w14:schemeClr w14:val="tx1"/>
                  </w14:solidFill>
                </w14:textFill>
              </w:rPr>
              <w:t>****</w:t>
            </w:r>
            <w:r>
              <w:rPr>
                <w:rFonts w:hint="eastAsia" w:ascii="Times New Roman" w:hAnsi="Times New Roman" w:cs="Times New Roman"/>
                <w:b w:val="0"/>
                <w:color w:val="000000" w:themeColor="text1"/>
                <w:sz w:val="21"/>
                <w:szCs w:val="21"/>
                <w14:textFill>
                  <w14:solidFill>
                    <w14:schemeClr w14:val="tx1"/>
                  </w14:solidFill>
                </w14:textFill>
              </w:rPr>
              <w:t>-2015）表1中A等级标准后纳管，经</w:t>
            </w:r>
            <w:r>
              <w:rPr>
                <w:rFonts w:hint="eastAsia" w:ascii="Times New Roman" w:hAnsi="Times New Roman" w:cs="Times New Roman"/>
                <w:b w:val="0"/>
                <w:color w:val="000000" w:themeColor="text1"/>
                <w:sz w:val="21"/>
                <w:szCs w:val="21"/>
                <w:highlight w:val="none"/>
                <w14:textFill>
                  <w14:solidFill>
                    <w14:schemeClr w14:val="tx1"/>
                  </w14:solidFill>
                </w14:textFill>
              </w:rPr>
              <w:t>四方地碧谷污水处理厂</w:t>
            </w:r>
            <w:r>
              <w:rPr>
                <w:rFonts w:hint="eastAsia" w:ascii="Times New Roman" w:hAnsi="Times New Roman" w:cs="Times New Roman"/>
                <w:b w:val="0"/>
                <w:color w:val="000000" w:themeColor="text1"/>
                <w:sz w:val="21"/>
                <w:szCs w:val="21"/>
                <w14:textFill>
                  <w14:solidFill>
                    <w14:schemeClr w14:val="tx1"/>
                  </w14:solidFill>
                </w14:textFill>
              </w:rPr>
              <w:t>处理达《城镇污水处理厂污染物排放标准》（GB</w:t>
            </w:r>
            <w:r>
              <w:rPr>
                <w:rFonts w:hint="eastAsia" w:ascii="Times New Roman" w:hAnsi="Times New Roman" w:cs="Times New Roman"/>
                <w:b w:val="0"/>
                <w:color w:val="000000" w:themeColor="text1"/>
                <w:sz w:val="21"/>
                <w:szCs w:val="21"/>
                <w:lang w:eastAsia="zh-CN"/>
                <w14:textFill>
                  <w14:solidFill>
                    <w14:schemeClr w14:val="tx1"/>
                  </w14:solidFill>
                </w14:textFill>
              </w:rPr>
              <w:t>*****</w:t>
            </w:r>
            <w:r>
              <w:rPr>
                <w:rFonts w:hint="eastAsia" w:ascii="Times New Roman" w:hAnsi="Times New Roman" w:cs="Times New Roman"/>
                <w:b w:val="0"/>
                <w:color w:val="000000" w:themeColor="text1"/>
                <w:sz w:val="21"/>
                <w:szCs w:val="21"/>
                <w14:textFill>
                  <w14:solidFill>
                    <w14:schemeClr w14:val="tx1"/>
                  </w14:solidFill>
                </w14:textFill>
              </w:rPr>
              <w:t>-2002）一级A标限值排放。</w:t>
            </w:r>
          </w:p>
          <w:p>
            <w:pPr>
              <w:spacing w:line="360" w:lineRule="auto"/>
              <w:jc w:val="center"/>
              <w:rPr>
                <w:b/>
                <w:color w:val="000000"/>
                <w:szCs w:val="21"/>
              </w:rPr>
            </w:pPr>
            <w:r>
              <w:rPr>
                <w:rFonts w:hint="eastAsia"/>
                <w:b/>
                <w:color w:val="000000"/>
                <w:szCs w:val="21"/>
              </w:rPr>
              <w:t>表3-5 项目废水纳管和排放标准 (除pH外，均为mg/L)</w:t>
            </w:r>
          </w:p>
          <w:tbl>
            <w:tblPr>
              <w:tblStyle w:val="23"/>
              <w:tblW w:w="7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900"/>
              <w:gridCol w:w="857"/>
              <w:gridCol w:w="821"/>
              <w:gridCol w:w="773"/>
              <w:gridCol w:w="774"/>
              <w:gridCol w:w="1039"/>
              <w:gridCol w:w="621"/>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9" w:type="dxa"/>
                  <w:tcBorders>
                    <w:tl2br w:val="nil"/>
                    <w:tr2bl w:val="nil"/>
                  </w:tcBorders>
                  <w:vAlign w:val="center"/>
                </w:tcPr>
                <w:p>
                  <w:pPr>
                    <w:adjustRightIn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p>
              </w:tc>
              <w:tc>
                <w:tcPr>
                  <w:tcW w:w="900"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2" w:name="_Toc474336375"/>
                  <w:bookmarkStart w:id="23" w:name="_Toc483830575"/>
                  <w:bookmarkStart w:id="24" w:name="_Toc483339796"/>
                  <w:r>
                    <w:rPr>
                      <w:color w:val="000000" w:themeColor="text1"/>
                      <w:kern w:val="0"/>
                      <w:szCs w:val="21"/>
                      <w14:textFill>
                        <w14:solidFill>
                          <w14:schemeClr w14:val="tx1"/>
                        </w14:solidFill>
                      </w14:textFill>
                    </w:rPr>
                    <w:t>pH</w:t>
                  </w:r>
                  <w:bookmarkEnd w:id="22"/>
                  <w:bookmarkEnd w:id="23"/>
                  <w:bookmarkEnd w:id="24"/>
                </w:p>
              </w:tc>
              <w:tc>
                <w:tcPr>
                  <w:tcW w:w="857"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5" w:name="_Toc483830576"/>
                  <w:bookmarkStart w:id="26" w:name="_Toc483339797"/>
                  <w:bookmarkStart w:id="27" w:name="_Toc474336376"/>
                  <w:r>
                    <w:rPr>
                      <w:color w:val="000000" w:themeColor="text1"/>
                      <w:kern w:val="0"/>
                      <w:szCs w:val="21"/>
                      <w14:textFill>
                        <w14:solidFill>
                          <w14:schemeClr w14:val="tx1"/>
                        </w14:solidFill>
                      </w14:textFill>
                    </w:rPr>
                    <w:t>COD</w:t>
                  </w:r>
                  <w:bookmarkEnd w:id="25"/>
                  <w:bookmarkEnd w:id="26"/>
                  <w:bookmarkEnd w:id="27"/>
                  <w:r>
                    <w:rPr>
                      <w:rFonts w:hint="eastAsia"/>
                      <w:color w:val="000000" w:themeColor="text1"/>
                      <w:kern w:val="0"/>
                      <w:szCs w:val="21"/>
                      <w14:textFill>
                        <w14:solidFill>
                          <w14:schemeClr w14:val="tx1"/>
                        </w14:solidFill>
                      </w14:textFill>
                    </w:rPr>
                    <w:t>cr</w:t>
                  </w:r>
                </w:p>
              </w:tc>
              <w:tc>
                <w:tcPr>
                  <w:tcW w:w="821"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8" w:name="_Toc483830577"/>
                  <w:bookmarkStart w:id="29" w:name="_Toc474336377"/>
                  <w:bookmarkStart w:id="30" w:name="_Toc483339798"/>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bookmarkEnd w:id="28"/>
                  <w:bookmarkEnd w:id="29"/>
                  <w:bookmarkEnd w:id="30"/>
                </w:p>
              </w:tc>
              <w:tc>
                <w:tcPr>
                  <w:tcW w:w="773"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31" w:name="_Toc483830578"/>
                  <w:bookmarkStart w:id="32" w:name="_Toc483339799"/>
                  <w:bookmarkStart w:id="33" w:name="_Toc474336378"/>
                  <w:r>
                    <w:rPr>
                      <w:color w:val="000000" w:themeColor="text1"/>
                      <w:kern w:val="0"/>
                      <w:szCs w:val="21"/>
                      <w14:textFill>
                        <w14:solidFill>
                          <w14:schemeClr w14:val="tx1"/>
                        </w14:solidFill>
                      </w14:textFill>
                    </w:rPr>
                    <w:t>S</w:t>
                  </w:r>
                  <w:bookmarkEnd w:id="31"/>
                  <w:bookmarkEnd w:id="32"/>
                  <w:bookmarkEnd w:id="33"/>
                  <w:r>
                    <w:rPr>
                      <w:color w:val="000000" w:themeColor="text1"/>
                      <w:kern w:val="0"/>
                      <w:szCs w:val="21"/>
                      <w14:textFill>
                        <w14:solidFill>
                          <w14:schemeClr w14:val="tx1"/>
                        </w14:solidFill>
                      </w14:textFill>
                    </w:rPr>
                    <w:t>S</w:t>
                  </w:r>
                </w:p>
              </w:tc>
              <w:tc>
                <w:tcPr>
                  <w:tcW w:w="774"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34" w:name="_Toc483830580"/>
                  <w:bookmarkStart w:id="35" w:name="_Toc483339801"/>
                  <w:bookmarkStart w:id="36" w:name="_Toc474336380"/>
                  <w:r>
                    <w:rPr>
                      <w:rFonts w:hint="eastAsia"/>
                      <w:color w:val="000000" w:themeColor="text1"/>
                      <w:kern w:val="0"/>
                      <w:szCs w:val="21"/>
                      <w14:textFill>
                        <w14:solidFill>
                          <w14:schemeClr w14:val="tx1"/>
                        </w14:solidFill>
                      </w14:textFill>
                    </w:rPr>
                    <w:t>TN</w:t>
                  </w:r>
                </w:p>
              </w:tc>
              <w:tc>
                <w:tcPr>
                  <w:tcW w:w="1039"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bookmarkEnd w:id="34"/>
                  <w:bookmarkEnd w:id="35"/>
                  <w:bookmarkEnd w:id="36"/>
                </w:p>
              </w:tc>
              <w:tc>
                <w:tcPr>
                  <w:tcW w:w="621"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TP</w:t>
                  </w:r>
                </w:p>
              </w:tc>
              <w:tc>
                <w:tcPr>
                  <w:tcW w:w="1094"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69" w:type="dxa"/>
                  <w:tcBorders>
                    <w:tl2br w:val="nil"/>
                    <w:tr2bl w:val="nil"/>
                  </w:tcBorders>
                  <w:vAlign w:val="center"/>
                </w:tcPr>
                <w:p>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纳管标准</w:t>
                  </w:r>
                </w:p>
              </w:tc>
              <w:tc>
                <w:tcPr>
                  <w:tcW w:w="90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.5</w:t>
                  </w:r>
                </w:p>
              </w:tc>
              <w:tc>
                <w:tcPr>
                  <w:tcW w:w="857"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00</w:t>
                  </w:r>
                </w:p>
              </w:tc>
              <w:tc>
                <w:tcPr>
                  <w:tcW w:w="8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350</w:t>
                  </w:r>
                </w:p>
              </w:tc>
              <w:tc>
                <w:tcPr>
                  <w:tcW w:w="773"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w:t>
                  </w:r>
                </w:p>
              </w:tc>
              <w:tc>
                <w:tcPr>
                  <w:tcW w:w="77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70</w:t>
                  </w:r>
                </w:p>
              </w:tc>
              <w:tc>
                <w:tcPr>
                  <w:tcW w:w="1039"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45</w:t>
                  </w:r>
                </w:p>
              </w:tc>
              <w:tc>
                <w:tcPr>
                  <w:tcW w:w="6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09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2" w:hRule="atLeast"/>
                <w:jc w:val="center"/>
              </w:trPr>
              <w:tc>
                <w:tcPr>
                  <w:tcW w:w="1069" w:type="dxa"/>
                  <w:tcBorders>
                    <w:tl2br w:val="nil"/>
                    <w:tr2bl w:val="nil"/>
                  </w:tcBorders>
                  <w:vAlign w:val="center"/>
                </w:tcPr>
                <w:p>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排放标准</w:t>
                  </w:r>
                </w:p>
              </w:tc>
              <w:tc>
                <w:tcPr>
                  <w:tcW w:w="90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857"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8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773"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77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c>
                <w:tcPr>
                  <w:tcW w:w="1039"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p>
              </w:tc>
              <w:tc>
                <w:tcPr>
                  <w:tcW w:w="6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0.5</w:t>
                  </w:r>
                </w:p>
              </w:tc>
              <w:tc>
                <w:tcPr>
                  <w:tcW w:w="109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r>
          </w:tbl>
          <w:p>
            <w:pPr>
              <w:spacing w:line="360" w:lineRule="auto"/>
              <w:rPr>
                <w:b/>
                <w:color w:val="000000"/>
                <w:szCs w:val="21"/>
              </w:rPr>
            </w:pPr>
            <w:r>
              <w:rPr>
                <w:rFonts w:hint="eastAsia"/>
                <w:b/>
                <w:color w:val="000000"/>
                <w:szCs w:val="21"/>
              </w:rPr>
              <w:t>3.噪声排放标准</w:t>
            </w:r>
          </w:p>
          <w:p>
            <w:pPr>
              <w:spacing w:line="360" w:lineRule="auto"/>
              <w:ind w:firstLine="420" w:firstLineChars="200"/>
              <w:rPr>
                <w:bCs/>
                <w:color w:val="000000"/>
                <w:szCs w:val="21"/>
              </w:rPr>
            </w:pPr>
            <w:r>
              <w:rPr>
                <w:rFonts w:hint="eastAsia"/>
                <w:bCs/>
                <w:color w:val="000000"/>
                <w:szCs w:val="21"/>
              </w:rPr>
              <w:t>营运期厂界噪声执行《工业企业厂界环境噪声排放标准》（GB</w:t>
            </w:r>
            <w:r>
              <w:rPr>
                <w:rFonts w:hint="eastAsia"/>
                <w:bCs/>
                <w:color w:val="000000"/>
                <w:szCs w:val="21"/>
                <w:lang w:eastAsia="zh-CN"/>
              </w:rPr>
              <w:t>*****</w:t>
            </w:r>
            <w:r>
              <w:rPr>
                <w:rFonts w:hint="eastAsia"/>
                <w:bCs/>
                <w:color w:val="000000"/>
                <w:szCs w:val="21"/>
              </w:rPr>
              <w:t>-2008）的3类标准，具体标准值见下表。</w:t>
            </w:r>
          </w:p>
          <w:p>
            <w:pPr>
              <w:spacing w:line="360" w:lineRule="auto"/>
              <w:jc w:val="center"/>
              <w:rPr>
                <w:b/>
                <w:color w:val="000000"/>
                <w:szCs w:val="21"/>
              </w:rPr>
            </w:pPr>
            <w:r>
              <w:rPr>
                <w:rFonts w:hint="eastAsia"/>
                <w:b/>
                <w:color w:val="000000"/>
                <w:szCs w:val="21"/>
              </w:rPr>
              <w:t>表3-6《工业企业厂界环境噪声排放标准》（GB</w:t>
            </w:r>
            <w:r>
              <w:rPr>
                <w:rFonts w:hint="eastAsia"/>
                <w:b/>
                <w:color w:val="000000"/>
                <w:szCs w:val="21"/>
                <w:lang w:eastAsia="zh-CN"/>
              </w:rPr>
              <w:t>*****</w:t>
            </w:r>
            <w:r>
              <w:rPr>
                <w:rFonts w:hint="eastAsia"/>
                <w:b/>
                <w:color w:val="000000"/>
                <w:szCs w:val="21"/>
              </w:rPr>
              <w:t>-2008）单位：dB（A）</w:t>
            </w:r>
          </w:p>
          <w:tbl>
            <w:tblPr>
              <w:tblStyle w:val="23"/>
              <w:tblW w:w="78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636"/>
              <w:gridCol w:w="1182"/>
              <w:gridCol w:w="2073"/>
              <w:gridCol w:w="2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40" w:hRule="atLeast"/>
                <w:jc w:val="center"/>
              </w:trPr>
              <w:tc>
                <w:tcPr>
                  <w:tcW w:w="2636" w:type="dxa"/>
                  <w:tcBorders>
                    <w:tl2br w:val="nil"/>
                    <w:tr2bl w:val="nil"/>
                  </w:tcBorders>
                  <w:vAlign w:val="center"/>
                </w:tcPr>
                <w:p>
                  <w:pPr>
                    <w:jc w:val="center"/>
                    <w:rPr>
                      <w:color w:val="000000"/>
                      <w:szCs w:val="21"/>
                    </w:rPr>
                  </w:pPr>
                  <w:r>
                    <w:rPr>
                      <w:rFonts w:hint="eastAsia"/>
                      <w:color w:val="000000"/>
                      <w:szCs w:val="21"/>
                    </w:rPr>
                    <w:t>边界外声环境功能区类别</w:t>
                  </w:r>
                </w:p>
              </w:tc>
              <w:tc>
                <w:tcPr>
                  <w:tcW w:w="1182" w:type="dxa"/>
                  <w:tcBorders>
                    <w:tl2br w:val="nil"/>
                    <w:tr2bl w:val="nil"/>
                  </w:tcBorders>
                  <w:vAlign w:val="center"/>
                </w:tcPr>
                <w:p>
                  <w:pPr>
                    <w:jc w:val="center"/>
                    <w:rPr>
                      <w:color w:val="000000"/>
                      <w:szCs w:val="21"/>
                    </w:rPr>
                  </w:pPr>
                  <w:r>
                    <w:rPr>
                      <w:rFonts w:hint="eastAsia"/>
                      <w:color w:val="000000"/>
                      <w:szCs w:val="21"/>
                    </w:rPr>
                    <w:t>类别</w:t>
                  </w:r>
                </w:p>
              </w:tc>
              <w:tc>
                <w:tcPr>
                  <w:tcW w:w="2073" w:type="dxa"/>
                  <w:tcBorders>
                    <w:tl2br w:val="nil"/>
                    <w:tr2bl w:val="nil"/>
                  </w:tcBorders>
                  <w:vAlign w:val="center"/>
                </w:tcPr>
                <w:p>
                  <w:pPr>
                    <w:jc w:val="center"/>
                    <w:rPr>
                      <w:color w:val="000000"/>
                      <w:szCs w:val="21"/>
                    </w:rPr>
                  </w:pPr>
                  <w:r>
                    <w:rPr>
                      <w:rFonts w:hint="eastAsia"/>
                      <w:color w:val="000000"/>
                      <w:szCs w:val="21"/>
                    </w:rPr>
                    <w:t>昼间</w:t>
                  </w:r>
                </w:p>
              </w:tc>
              <w:tc>
                <w:tcPr>
                  <w:tcW w:w="2006" w:type="dxa"/>
                  <w:tcBorders>
                    <w:tl2br w:val="nil"/>
                    <w:tr2bl w:val="nil"/>
                  </w:tcBorders>
                  <w:vAlign w:val="center"/>
                </w:tcPr>
                <w:p>
                  <w:pPr>
                    <w:jc w:val="center"/>
                    <w:rPr>
                      <w:color w:val="000000"/>
                      <w:szCs w:val="21"/>
                    </w:rPr>
                  </w:pPr>
                  <w:r>
                    <w:rPr>
                      <w:rFonts w:hint="eastAsia"/>
                      <w:color w:val="00000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636" w:type="dxa"/>
                  <w:tcBorders>
                    <w:tl2br w:val="nil"/>
                    <w:tr2bl w:val="nil"/>
                  </w:tcBorders>
                  <w:vAlign w:val="center"/>
                </w:tcPr>
                <w:p>
                  <w:pPr>
                    <w:jc w:val="center"/>
                    <w:rPr>
                      <w:color w:val="000000"/>
                      <w:szCs w:val="21"/>
                    </w:rPr>
                  </w:pPr>
                  <w:r>
                    <w:rPr>
                      <w:rFonts w:hint="eastAsia"/>
                      <w:color w:val="000000"/>
                      <w:szCs w:val="21"/>
                    </w:rPr>
                    <w:t>厂侧</w:t>
                  </w:r>
                </w:p>
              </w:tc>
              <w:tc>
                <w:tcPr>
                  <w:tcW w:w="1182" w:type="dxa"/>
                  <w:tcBorders>
                    <w:tl2br w:val="nil"/>
                    <w:tr2bl w:val="nil"/>
                  </w:tcBorders>
                  <w:vAlign w:val="center"/>
                </w:tcPr>
                <w:p>
                  <w:pPr>
                    <w:jc w:val="center"/>
                    <w:rPr>
                      <w:color w:val="000000"/>
                      <w:szCs w:val="21"/>
                    </w:rPr>
                  </w:pPr>
                  <w:r>
                    <w:rPr>
                      <w:rFonts w:hint="eastAsia"/>
                      <w:color w:val="000000"/>
                      <w:szCs w:val="21"/>
                    </w:rPr>
                    <w:t>3类</w:t>
                  </w:r>
                </w:p>
              </w:tc>
              <w:tc>
                <w:tcPr>
                  <w:tcW w:w="2073" w:type="dxa"/>
                  <w:tcBorders>
                    <w:tl2br w:val="nil"/>
                    <w:tr2bl w:val="nil"/>
                  </w:tcBorders>
                  <w:vAlign w:val="center"/>
                </w:tcPr>
                <w:p>
                  <w:pPr>
                    <w:jc w:val="center"/>
                    <w:rPr>
                      <w:color w:val="000000"/>
                      <w:szCs w:val="21"/>
                    </w:rPr>
                  </w:pPr>
                  <w:r>
                    <w:rPr>
                      <w:rFonts w:hint="eastAsia"/>
                      <w:color w:val="000000"/>
                      <w:szCs w:val="21"/>
                    </w:rPr>
                    <w:t>65</w:t>
                  </w:r>
                </w:p>
              </w:tc>
              <w:tc>
                <w:tcPr>
                  <w:tcW w:w="2006" w:type="dxa"/>
                  <w:tcBorders>
                    <w:tl2br w:val="nil"/>
                    <w:tr2bl w:val="nil"/>
                  </w:tcBorders>
                  <w:vAlign w:val="center"/>
                </w:tcPr>
                <w:p>
                  <w:pPr>
                    <w:jc w:val="center"/>
                    <w:rPr>
                      <w:color w:val="000000"/>
                      <w:szCs w:val="21"/>
                    </w:rPr>
                  </w:pPr>
                  <w:r>
                    <w:rPr>
                      <w:rFonts w:hint="eastAsia"/>
                      <w:color w:val="000000"/>
                      <w:szCs w:val="21"/>
                    </w:rPr>
                    <w:t>55</w:t>
                  </w:r>
                </w:p>
              </w:tc>
            </w:tr>
          </w:tbl>
          <w:p>
            <w:pPr>
              <w:spacing w:line="360" w:lineRule="auto"/>
              <w:rPr>
                <w:b/>
                <w:color w:val="000000"/>
                <w:szCs w:val="21"/>
              </w:rPr>
            </w:pPr>
            <w:r>
              <w:rPr>
                <w:rFonts w:hint="eastAsia"/>
                <w:b/>
                <w:color w:val="000000"/>
                <w:szCs w:val="21"/>
              </w:rPr>
              <w:t>4.固体废弃物排放标准</w:t>
            </w:r>
          </w:p>
          <w:p>
            <w:pPr>
              <w:adjustRightInd w:val="0"/>
              <w:snapToGrid w:val="0"/>
              <w:spacing w:line="360" w:lineRule="auto"/>
              <w:ind w:firstLine="420" w:firstLineChars="200"/>
              <w:rPr>
                <w:rFonts w:ascii="宋体" w:hAnsi="宋体" w:cs="宋体"/>
                <w:kern w:val="0"/>
                <w:szCs w:val="21"/>
              </w:rPr>
            </w:pPr>
            <w:r>
              <w:rPr>
                <w:rFonts w:hint="eastAsia"/>
                <w:bCs/>
                <w:color w:val="000000"/>
                <w:szCs w:val="21"/>
              </w:rPr>
              <w:t>本项目产生的一般废物的贮存和处置评价执行《一般工业固体废物贮存和填埋污染控制标准》（GB</w:t>
            </w:r>
            <w:r>
              <w:rPr>
                <w:rFonts w:hint="eastAsia"/>
                <w:bCs/>
                <w:color w:val="000000"/>
                <w:szCs w:val="21"/>
                <w:lang w:eastAsia="zh-CN"/>
              </w:rPr>
              <w:t>*****</w:t>
            </w:r>
            <w:r>
              <w:rPr>
                <w:rFonts w:hint="eastAsia"/>
                <w:bCs/>
                <w:color w:val="000000"/>
                <w:szCs w:val="21"/>
              </w:rPr>
              <w:t>-2020）中有关规定；危险废物执行《危险废物贮存污染控制标准》（GB</w:t>
            </w:r>
            <w:r>
              <w:rPr>
                <w:rFonts w:hint="eastAsia"/>
                <w:bCs/>
                <w:color w:val="000000"/>
                <w:szCs w:val="21"/>
                <w:lang w:eastAsia="zh-CN"/>
              </w:rPr>
              <w:t>*****</w:t>
            </w:r>
            <w:r>
              <w:rPr>
                <w:rFonts w:hint="eastAsia"/>
                <w:bCs/>
                <w:color w:val="000000"/>
                <w:szCs w:val="21"/>
              </w:rPr>
              <w:t>-2023）有关规定。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pPr>
              <w:adjustRightInd w:val="0"/>
              <w:snapToGrid w:val="0"/>
              <w:spacing w:line="360" w:lineRule="auto"/>
              <w:ind w:firstLine="422" w:firstLineChars="200"/>
              <w:rPr>
                <w:b/>
                <w:color w:val="000000"/>
                <w:szCs w:val="21"/>
              </w:rPr>
            </w:pPr>
            <w:r>
              <w:rPr>
                <w:rFonts w:hint="eastAsia"/>
                <w:b/>
                <w:color w:val="000000"/>
                <w:szCs w:val="21"/>
              </w:rPr>
              <w:t>建议的总量控制指标：</w:t>
            </w:r>
          </w:p>
          <w:p>
            <w:pPr>
              <w:numPr>
                <w:ilvl w:val="0"/>
                <w:numId w:val="6"/>
              </w:numPr>
              <w:adjustRightInd w:val="0"/>
              <w:snapToGrid w:val="0"/>
              <w:spacing w:line="360" w:lineRule="auto"/>
              <w:ind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废气：颗粒物1.024t/a。</w:t>
            </w:r>
          </w:p>
          <w:p>
            <w:pPr>
              <w:numPr>
                <w:ilvl w:val="0"/>
                <w:numId w:val="6"/>
              </w:numPr>
              <w:adjustRightInd w:val="0"/>
              <w:snapToGrid w:val="0"/>
              <w:spacing w:line="360" w:lineRule="auto"/>
              <w:ind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废水：项目生活污水通过市政污水管网进入四方地碧谷污水处理厂处理。废水总年排放量为600t/a，其中：COD为0.030t/a、氨氮0.003t/a，TP</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0.0003</w:t>
            </w:r>
            <w:r>
              <w:rPr>
                <w:rFonts w:hint="default" w:ascii="Times New Roman" w:hAnsi="Times New Roman" w:cs="Times New Roman"/>
                <w:bCs/>
                <w:color w:val="000000" w:themeColor="text1"/>
                <w:szCs w:val="21"/>
                <w:highlight w:val="none"/>
                <w14:textFill>
                  <w14:solidFill>
                    <w14:schemeClr w14:val="tx1"/>
                  </w14:solidFill>
                </w14:textFill>
              </w:rPr>
              <w:t>t/a，总量由四方地碧谷污水处理厂解决。</w:t>
            </w:r>
          </w:p>
          <w:p>
            <w:pPr>
              <w:numPr>
                <w:ilvl w:val="0"/>
                <w:numId w:val="6"/>
              </w:numPr>
              <w:adjustRightInd w:val="0"/>
              <w:snapToGrid w:val="0"/>
              <w:spacing w:line="360" w:lineRule="auto"/>
              <w:ind w:firstLine="420" w:firstLineChars="200"/>
              <w:rPr>
                <w:rFonts w:ascii="宋体" w:hAnsi="宋体" w:cs="宋体"/>
                <w:kern w:val="0"/>
                <w:szCs w:val="21"/>
              </w:rPr>
            </w:pPr>
            <w:r>
              <w:rPr>
                <w:rFonts w:hint="default" w:ascii="Times New Roman" w:hAnsi="Times New Roman" w:cs="Times New Roman"/>
                <w:bCs/>
                <w:color w:val="000000" w:themeColor="text1"/>
                <w:szCs w:val="21"/>
                <w:highlight w:val="none"/>
                <w14:textFill>
                  <w14:solidFill>
                    <w14:schemeClr w14:val="tx1"/>
                  </w14:solidFill>
                </w14:textFill>
              </w:rPr>
              <w:t>固废：本项目固体废物处置率达100%。</w:t>
            </w:r>
          </w:p>
        </w:tc>
      </w:tr>
    </w:tbl>
    <w:p>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37" w:name="_Toc17700"/>
      <w:bookmarkStart w:id="38" w:name="_Toc2666"/>
      <w:r>
        <w:rPr>
          <w:rFonts w:hint="eastAsia" w:ascii="黑体" w:hAnsi="黑体" w:eastAsia="黑体"/>
          <w:snapToGrid w:val="0"/>
          <w:sz w:val="30"/>
          <w:szCs w:val="30"/>
        </w:rPr>
        <w:t>四、主要环境影响和保护措施</w:t>
      </w:r>
      <w:bookmarkEnd w:id="37"/>
      <w:bookmarkEnd w:id="38"/>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46" w:type="dxa"/>
            <w:tcMar>
              <w:left w:w="28" w:type="dxa"/>
              <w:right w:w="28" w:type="dxa"/>
            </w:tcMar>
            <w:vAlign w:val="center"/>
          </w:tcPr>
          <w:p>
            <w:pPr>
              <w:pStyle w:val="19"/>
              <w:adjustRightInd w:val="0"/>
              <w:snapToGrid w:val="0"/>
              <w:spacing w:before="0" w:beforeAutospacing="0" w:after="0" w:afterAutospacing="0"/>
              <w:jc w:val="center"/>
              <w:rPr>
                <w:rFonts w:cs="宋体"/>
                <w:b/>
                <w:bCs/>
                <w:kern w:val="2"/>
                <w:sz w:val="21"/>
                <w:szCs w:val="21"/>
              </w:rPr>
            </w:pPr>
            <w:r>
              <w:rPr>
                <w:rFonts w:hint="eastAsia" w:cs="宋体"/>
                <w:b/>
                <w:bCs/>
                <w:kern w:val="2"/>
                <w:sz w:val="21"/>
                <w:szCs w:val="21"/>
              </w:rPr>
              <w:t>施工</w:t>
            </w:r>
          </w:p>
          <w:p>
            <w:pPr>
              <w:pStyle w:val="19"/>
              <w:adjustRightInd w:val="0"/>
              <w:snapToGrid w:val="0"/>
              <w:spacing w:before="0" w:beforeAutospacing="0" w:after="0" w:afterAutospacing="0"/>
              <w:jc w:val="center"/>
              <w:rPr>
                <w:rFonts w:cs="宋体"/>
                <w:b/>
                <w:bCs/>
                <w:kern w:val="2"/>
                <w:sz w:val="21"/>
                <w:szCs w:val="21"/>
              </w:rPr>
            </w:pPr>
            <w:r>
              <w:rPr>
                <w:rFonts w:hint="eastAsia" w:cs="宋体"/>
                <w:b/>
                <w:bCs/>
                <w:kern w:val="2"/>
                <w:sz w:val="21"/>
                <w:szCs w:val="21"/>
              </w:rPr>
              <w:t>期环</w:t>
            </w:r>
          </w:p>
          <w:p>
            <w:pPr>
              <w:pStyle w:val="19"/>
              <w:adjustRightInd w:val="0"/>
              <w:snapToGrid w:val="0"/>
              <w:spacing w:before="0" w:beforeAutospacing="0" w:after="0" w:afterAutospacing="0"/>
              <w:jc w:val="center"/>
              <w:rPr>
                <w:rFonts w:cs="宋体"/>
                <w:b/>
                <w:bCs/>
                <w:kern w:val="2"/>
                <w:sz w:val="21"/>
                <w:szCs w:val="21"/>
              </w:rPr>
            </w:pPr>
            <w:r>
              <w:rPr>
                <w:rFonts w:hint="eastAsia" w:cs="宋体"/>
                <w:b/>
                <w:bCs/>
                <w:kern w:val="2"/>
                <w:sz w:val="21"/>
                <w:szCs w:val="21"/>
              </w:rPr>
              <w:t>境保</w:t>
            </w:r>
          </w:p>
          <w:p>
            <w:pPr>
              <w:pStyle w:val="19"/>
              <w:adjustRightInd w:val="0"/>
              <w:snapToGrid w:val="0"/>
              <w:spacing w:before="0" w:beforeAutospacing="0" w:after="0" w:afterAutospacing="0"/>
              <w:jc w:val="center"/>
              <w:rPr>
                <w:rFonts w:cs="宋体"/>
                <w:b/>
                <w:bCs/>
                <w:kern w:val="2"/>
                <w:sz w:val="21"/>
                <w:szCs w:val="21"/>
              </w:rPr>
            </w:pPr>
            <w:r>
              <w:rPr>
                <w:rFonts w:hint="eastAsia" w:cs="宋体"/>
                <w:b/>
                <w:bCs/>
                <w:kern w:val="2"/>
                <w:sz w:val="21"/>
                <w:szCs w:val="21"/>
              </w:rPr>
              <w:t>护措</w:t>
            </w:r>
          </w:p>
          <w:p>
            <w:pPr>
              <w:pStyle w:val="19"/>
              <w:adjustRightInd w:val="0"/>
              <w:snapToGrid w:val="0"/>
              <w:spacing w:before="0" w:beforeAutospacing="0" w:after="0" w:afterAutospacing="0"/>
              <w:jc w:val="center"/>
              <w:rPr>
                <w:rFonts w:cs="宋体"/>
                <w:bCs/>
                <w:kern w:val="2"/>
                <w:sz w:val="21"/>
                <w:szCs w:val="21"/>
              </w:rPr>
            </w:pPr>
            <w:r>
              <w:rPr>
                <w:rFonts w:hint="eastAsia" w:cs="宋体"/>
                <w:b/>
                <w:bCs/>
                <w:kern w:val="2"/>
                <w:sz w:val="21"/>
                <w:szCs w:val="21"/>
              </w:rPr>
              <w:t>施</w:t>
            </w:r>
          </w:p>
        </w:tc>
        <w:tc>
          <w:tcPr>
            <w:tcW w:w="8162" w:type="dxa"/>
            <w:vAlign w:val="center"/>
          </w:tcPr>
          <w:p>
            <w:pPr>
              <w:adjustRightInd w:val="0"/>
              <w:snapToGrid w:val="0"/>
              <w:spacing w:line="360" w:lineRule="auto"/>
              <w:ind w:firstLine="420" w:firstLineChars="200"/>
              <w:rPr>
                <w:bCs/>
                <w:color w:val="000000"/>
                <w:szCs w:val="21"/>
                <w:lang w:val="zh-CN"/>
              </w:rPr>
            </w:pPr>
            <w:r>
              <w:rPr>
                <w:rFonts w:hint="eastAsia"/>
                <w:bCs/>
                <w:color w:val="000000"/>
                <w:szCs w:val="21"/>
                <w:lang w:val="zh-CN"/>
              </w:rPr>
              <w:t>本项目租用</w:t>
            </w:r>
            <w:r>
              <w:rPr>
                <w:rFonts w:hint="eastAsia"/>
                <w:color w:val="000000"/>
                <w:szCs w:val="21"/>
              </w:rPr>
              <w:t>昆明市东川工业投资开发有限公司位于昆明市东川区碧谷工业片区的空置厂房建设</w:t>
            </w:r>
            <w:r>
              <w:rPr>
                <w:rFonts w:hint="eastAsia"/>
                <w:bCs/>
                <w:color w:val="000000"/>
                <w:szCs w:val="21"/>
                <w:lang w:val="zh-CN"/>
              </w:rPr>
              <w:t>，为</w:t>
            </w:r>
            <w:r>
              <w:rPr>
                <w:rFonts w:hint="eastAsia"/>
                <w:bCs/>
                <w:color w:val="000000"/>
                <w:szCs w:val="21"/>
              </w:rPr>
              <w:t>7栋1层1</w:t>
            </w:r>
            <w:r>
              <w:rPr>
                <w:rFonts w:hint="eastAsia"/>
                <w:bCs/>
                <w:color w:val="000000"/>
                <w:szCs w:val="21"/>
                <w:lang w:val="zh-CN"/>
              </w:rPr>
              <w:t>间总占地面积</w:t>
            </w:r>
            <w:r>
              <w:rPr>
                <w:rFonts w:hint="eastAsia"/>
                <w:bCs/>
                <w:color w:val="000000"/>
                <w:szCs w:val="21"/>
              </w:rPr>
              <w:t>3500</w:t>
            </w:r>
            <w:r>
              <w:rPr>
                <w:rFonts w:hint="eastAsia"/>
                <w:bCs/>
                <w:color w:val="000000"/>
                <w:szCs w:val="21"/>
                <w:lang w:val="zh-CN"/>
              </w:rPr>
              <w:t>m</w:t>
            </w:r>
            <w:r>
              <w:rPr>
                <w:rFonts w:hint="eastAsia"/>
                <w:bCs/>
                <w:color w:val="000000"/>
                <w:szCs w:val="21"/>
                <w:vertAlign w:val="superscript"/>
                <w:lang w:val="zh-CN"/>
              </w:rPr>
              <w:t>2</w:t>
            </w:r>
            <w:r>
              <w:rPr>
                <w:rFonts w:hint="eastAsia"/>
                <w:bCs/>
                <w:color w:val="000000"/>
                <w:szCs w:val="21"/>
                <w:lang w:val="zh-CN"/>
              </w:rPr>
              <w:t>的砖混结构的生产厂房，内部设置为原料堆放区、</w:t>
            </w:r>
            <w:r>
              <w:rPr>
                <w:rFonts w:hint="eastAsia"/>
                <w:bCs/>
                <w:color w:val="000000"/>
                <w:szCs w:val="21"/>
              </w:rPr>
              <w:t>铸锭区、</w:t>
            </w:r>
            <w:r>
              <w:rPr>
                <w:rFonts w:hint="eastAsia"/>
                <w:bCs/>
                <w:color w:val="000000"/>
                <w:szCs w:val="21"/>
                <w:lang w:val="zh-CN"/>
              </w:rPr>
              <w:t>成品区、办公室</w:t>
            </w:r>
            <w:r>
              <w:rPr>
                <w:rFonts w:hint="eastAsia"/>
                <w:bCs/>
                <w:color w:val="000000"/>
                <w:szCs w:val="21"/>
              </w:rPr>
              <w:t>等</w:t>
            </w:r>
            <w:r>
              <w:rPr>
                <w:rFonts w:hint="eastAsia"/>
                <w:bCs/>
                <w:color w:val="000000"/>
                <w:szCs w:val="21"/>
                <w:lang w:val="zh-CN"/>
              </w:rPr>
              <w:t>，布设1条</w:t>
            </w:r>
            <w:r>
              <w:rPr>
                <w:rFonts w:hint="eastAsia"/>
                <w:bCs/>
                <w:color w:val="000000"/>
                <w:szCs w:val="21"/>
              </w:rPr>
              <w:t>多晶硅铸锭</w:t>
            </w:r>
            <w:r>
              <w:rPr>
                <w:rFonts w:hint="eastAsia"/>
                <w:bCs/>
                <w:color w:val="000000"/>
                <w:szCs w:val="21"/>
                <w:lang w:val="zh-CN"/>
              </w:rPr>
              <w:t>生产线。</w:t>
            </w:r>
          </w:p>
          <w:p>
            <w:pPr>
              <w:adjustRightInd w:val="0"/>
              <w:snapToGrid w:val="0"/>
              <w:spacing w:line="360" w:lineRule="auto"/>
              <w:ind w:firstLine="420" w:firstLineChars="200"/>
              <w:rPr>
                <w:bCs/>
                <w:color w:val="000000" w:themeColor="text1"/>
                <w:szCs w:val="21"/>
                <w:highlight w:val="none"/>
                <w:lang w:val="zh-CN"/>
                <w14:textFill>
                  <w14:solidFill>
                    <w14:schemeClr w14:val="tx1"/>
                  </w14:solidFill>
                </w14:textFill>
              </w:rPr>
            </w:pPr>
            <w:r>
              <w:rPr>
                <w:rFonts w:hint="eastAsia"/>
                <w:bCs/>
                <w:color w:val="000000"/>
                <w:szCs w:val="21"/>
              </w:rPr>
              <w:t>本</w:t>
            </w:r>
            <w:r>
              <w:rPr>
                <w:rFonts w:hint="eastAsia"/>
                <w:bCs/>
                <w:color w:val="000000"/>
                <w:szCs w:val="21"/>
                <w:lang w:val="zh-CN"/>
              </w:rPr>
              <w:t>项目内不进行土建工程，仅进行厂房的简单改造、</w:t>
            </w:r>
            <w:r>
              <w:rPr>
                <w:rFonts w:hint="eastAsia"/>
                <w:bCs/>
                <w:color w:val="000000" w:themeColor="text1"/>
                <w:szCs w:val="21"/>
                <w:highlight w:val="none"/>
                <w:lang w:val="zh-CN"/>
                <w14:textFill>
                  <w14:solidFill>
                    <w14:schemeClr w14:val="tx1"/>
                  </w14:solidFill>
                </w14:textFill>
              </w:rPr>
              <w:t>设备安装，本项目计划开工时间：202</w:t>
            </w:r>
            <w:r>
              <w:rPr>
                <w:rFonts w:hint="eastAsia"/>
                <w:bCs/>
                <w:color w:val="000000" w:themeColor="text1"/>
                <w:szCs w:val="21"/>
                <w:highlight w:val="none"/>
                <w14:textFill>
                  <w14:solidFill>
                    <w14:schemeClr w14:val="tx1"/>
                  </w14:solidFill>
                </w14:textFill>
              </w:rPr>
              <w:t>3</w:t>
            </w:r>
            <w:r>
              <w:rPr>
                <w:rFonts w:hint="eastAsia"/>
                <w:bCs/>
                <w:color w:val="000000" w:themeColor="text1"/>
                <w:szCs w:val="21"/>
                <w:highlight w:val="none"/>
                <w:lang w:val="zh-CN"/>
                <w14:textFill>
                  <w14:solidFill>
                    <w14:schemeClr w14:val="tx1"/>
                  </w14:solidFill>
                </w14:textFill>
              </w:rPr>
              <w:t>年</w:t>
            </w:r>
            <w:r>
              <w:rPr>
                <w:rFonts w:hint="eastAsia"/>
                <w:bCs/>
                <w:color w:val="000000" w:themeColor="text1"/>
                <w:szCs w:val="21"/>
                <w:highlight w:val="none"/>
                <w:lang w:val="en-US" w:eastAsia="zh-CN"/>
                <w14:textFill>
                  <w14:solidFill>
                    <w14:schemeClr w14:val="tx1"/>
                  </w14:solidFill>
                </w14:textFill>
              </w:rPr>
              <w:t>8</w:t>
            </w:r>
            <w:r>
              <w:rPr>
                <w:rFonts w:hint="eastAsia"/>
                <w:bCs/>
                <w:color w:val="000000" w:themeColor="text1"/>
                <w:szCs w:val="21"/>
                <w:highlight w:val="none"/>
                <w:lang w:val="zh-CN"/>
                <w14:textFill>
                  <w14:solidFill>
                    <w14:schemeClr w14:val="tx1"/>
                  </w14:solidFill>
                </w14:textFill>
              </w:rPr>
              <w:t>月，计划投产时间：202</w:t>
            </w:r>
            <w:r>
              <w:rPr>
                <w:rFonts w:hint="eastAsia"/>
                <w:bCs/>
                <w:color w:val="000000" w:themeColor="text1"/>
                <w:szCs w:val="21"/>
                <w:highlight w:val="none"/>
                <w14:textFill>
                  <w14:solidFill>
                    <w14:schemeClr w14:val="tx1"/>
                  </w14:solidFill>
                </w14:textFill>
              </w:rPr>
              <w:t>3</w:t>
            </w:r>
            <w:r>
              <w:rPr>
                <w:rFonts w:hint="eastAsia"/>
                <w:bCs/>
                <w:color w:val="000000" w:themeColor="text1"/>
                <w:szCs w:val="21"/>
                <w:highlight w:val="none"/>
                <w:lang w:val="zh-CN"/>
                <w14:textFill>
                  <w14:solidFill>
                    <w14:schemeClr w14:val="tx1"/>
                  </w14:solidFill>
                </w14:textFill>
              </w:rPr>
              <w:t>年</w:t>
            </w:r>
            <w:r>
              <w:rPr>
                <w:rFonts w:hint="eastAsia"/>
                <w:bCs/>
                <w:color w:val="000000" w:themeColor="text1"/>
                <w:szCs w:val="21"/>
                <w:highlight w:val="none"/>
                <w14:textFill>
                  <w14:solidFill>
                    <w14:schemeClr w14:val="tx1"/>
                  </w14:solidFill>
                </w14:textFill>
              </w:rPr>
              <w:t>12</w:t>
            </w:r>
            <w:r>
              <w:rPr>
                <w:rFonts w:hint="eastAsia"/>
                <w:bCs/>
                <w:color w:val="000000" w:themeColor="text1"/>
                <w:szCs w:val="21"/>
                <w:highlight w:val="none"/>
                <w:lang w:val="zh-CN"/>
                <w14:textFill>
                  <w14:solidFill>
                    <w14:schemeClr w14:val="tx1"/>
                  </w14:solidFill>
                </w14:textFill>
              </w:rPr>
              <w:t>月，工期为</w:t>
            </w:r>
            <w:r>
              <w:rPr>
                <w:rFonts w:hint="eastAsia"/>
                <w:bCs/>
                <w:color w:val="000000" w:themeColor="text1"/>
                <w:szCs w:val="21"/>
                <w:highlight w:val="none"/>
                <w:lang w:val="en-US" w:eastAsia="zh-CN"/>
                <w14:textFill>
                  <w14:solidFill>
                    <w14:schemeClr w14:val="tx1"/>
                  </w14:solidFill>
                </w14:textFill>
              </w:rPr>
              <w:t>4</w:t>
            </w:r>
            <w:r>
              <w:rPr>
                <w:rFonts w:hint="eastAsia"/>
                <w:bCs/>
                <w:color w:val="000000" w:themeColor="text1"/>
                <w:szCs w:val="21"/>
                <w:highlight w:val="none"/>
                <w:lang w:val="zh-CN"/>
                <w14:textFill>
                  <w14:solidFill>
                    <w14:schemeClr w14:val="tx1"/>
                  </w14:solidFill>
                </w14:textFill>
              </w:rPr>
              <w:t>个月。</w:t>
            </w:r>
          </w:p>
          <w:p>
            <w:pPr>
              <w:adjustRightInd w:val="0"/>
              <w:snapToGrid w:val="0"/>
              <w:spacing w:line="360" w:lineRule="auto"/>
              <w:ind w:firstLine="420" w:firstLineChars="200"/>
              <w:rPr>
                <w:rFonts w:hint="eastAsia"/>
                <w:b w:val="0"/>
                <w:bCs/>
                <w:color w:val="000000" w:themeColor="text1"/>
                <w:szCs w:val="21"/>
                <w:highlight w:val="none"/>
                <w:lang w:val="zh-CN"/>
                <w14:textFill>
                  <w14:solidFill>
                    <w14:schemeClr w14:val="tx1"/>
                  </w14:solidFill>
                </w14:textFill>
              </w:rPr>
            </w:pPr>
            <w:r>
              <w:rPr>
                <w:rFonts w:hint="eastAsia"/>
                <w:b w:val="0"/>
                <w:bCs/>
                <w:color w:val="000000" w:themeColor="text1"/>
                <w:szCs w:val="21"/>
                <w:highlight w:val="none"/>
                <w:lang w:val="zh-CN"/>
                <w14:textFill>
                  <w14:solidFill>
                    <w14:schemeClr w14:val="tx1"/>
                  </w14:solidFill>
                </w14:textFill>
              </w:rPr>
              <w:t>施工期产生的废水主要为施工人员产生的生活污水；</w:t>
            </w:r>
            <w:r>
              <w:rPr>
                <w:rFonts w:hint="eastAsia"/>
                <w:b w:val="0"/>
                <w:bCs/>
                <w:color w:val="000000" w:themeColor="text1"/>
                <w:szCs w:val="21"/>
                <w:highlight w:val="none"/>
                <w:lang w:val="en-US" w:eastAsia="zh-CN"/>
                <w14:textFill>
                  <w14:solidFill>
                    <w14:schemeClr w14:val="tx1"/>
                  </w14:solidFill>
                </w14:textFill>
              </w:rPr>
              <w:t>施工废气</w:t>
            </w:r>
            <w:r>
              <w:rPr>
                <w:rFonts w:hint="eastAsia"/>
                <w:b w:val="0"/>
                <w:bCs/>
                <w:color w:val="000000" w:themeColor="text1"/>
                <w:szCs w:val="21"/>
                <w:highlight w:val="none"/>
                <w:lang w:val="zh-CN"/>
                <w14:textFill>
                  <w14:solidFill>
                    <w14:schemeClr w14:val="tx1"/>
                  </w14:solidFill>
                </w14:textFill>
              </w:rPr>
              <w:t>主要有粉尘及施工机械废气，</w:t>
            </w:r>
            <w:r>
              <w:rPr>
                <w:rFonts w:hint="eastAsia"/>
                <w:b w:val="0"/>
                <w:bCs/>
                <w:color w:val="000000" w:themeColor="text1"/>
                <w:szCs w:val="21"/>
                <w:highlight w:val="none"/>
                <w:lang w:val="en-US" w:eastAsia="zh-CN"/>
                <w14:textFill>
                  <w14:solidFill>
                    <w14:schemeClr w14:val="tx1"/>
                  </w14:solidFill>
                </w14:textFill>
              </w:rPr>
              <w:t>及</w:t>
            </w:r>
            <w:r>
              <w:rPr>
                <w:rFonts w:hint="eastAsia"/>
                <w:b w:val="0"/>
                <w:bCs/>
                <w:color w:val="000000" w:themeColor="text1"/>
                <w:szCs w:val="21"/>
                <w:highlight w:val="none"/>
                <w:lang w:val="zh-CN"/>
                <w14:textFill>
                  <w14:solidFill>
                    <w14:schemeClr w14:val="tx1"/>
                  </w14:solidFill>
                </w14:textFill>
              </w:rPr>
              <w:t>汽车运输引发的扬尘污染；</w:t>
            </w:r>
            <w:r>
              <w:rPr>
                <w:rFonts w:hint="eastAsia"/>
                <w:b w:val="0"/>
                <w:bCs/>
                <w:color w:val="000000" w:themeColor="text1"/>
                <w:szCs w:val="21"/>
                <w:highlight w:val="none"/>
                <w:lang w:val="en-US" w:eastAsia="zh-CN"/>
                <w14:textFill>
                  <w14:solidFill>
                    <w14:schemeClr w14:val="tx1"/>
                  </w14:solidFill>
                </w14:textFill>
              </w:rPr>
              <w:t>施工期</w:t>
            </w:r>
            <w:r>
              <w:rPr>
                <w:rFonts w:hint="eastAsia"/>
                <w:b w:val="0"/>
                <w:bCs/>
                <w:color w:val="000000" w:themeColor="text1"/>
                <w:szCs w:val="21"/>
                <w:highlight w:val="none"/>
                <w:lang w:val="zh-CN"/>
                <w14:textFill>
                  <w14:solidFill>
                    <w14:schemeClr w14:val="tx1"/>
                  </w14:solidFill>
                </w14:textFill>
              </w:rPr>
              <w:t>噪声主要为机械噪声和运输交通噪声；</w:t>
            </w:r>
            <w:r>
              <w:rPr>
                <w:rFonts w:hint="eastAsia"/>
                <w:b w:val="0"/>
                <w:bCs/>
                <w:color w:val="000000" w:themeColor="text1"/>
                <w:szCs w:val="21"/>
                <w:highlight w:val="none"/>
                <w:lang w:val="en-US" w:eastAsia="zh-CN"/>
                <w14:textFill>
                  <w14:solidFill>
                    <w14:schemeClr w14:val="tx1"/>
                  </w14:solidFill>
                </w14:textFill>
              </w:rPr>
              <w:t>施工期</w:t>
            </w:r>
            <w:r>
              <w:rPr>
                <w:rFonts w:hint="eastAsia"/>
                <w:b w:val="0"/>
                <w:bCs/>
                <w:color w:val="000000" w:themeColor="text1"/>
                <w:szCs w:val="21"/>
                <w:highlight w:val="none"/>
                <w:lang w:val="zh-CN"/>
                <w14:textFill>
                  <w14:solidFill>
                    <w14:schemeClr w14:val="tx1"/>
                  </w14:solidFill>
                </w14:textFill>
              </w:rPr>
              <w:t>固体废物主要为施工建筑垃圾及施工人员产生的生活垃圾。</w:t>
            </w:r>
          </w:p>
          <w:p>
            <w:pPr>
              <w:adjustRightInd w:val="0"/>
              <w:snapToGrid w:val="0"/>
              <w:spacing w:line="360" w:lineRule="auto"/>
              <w:ind w:firstLine="422" w:firstLineChars="200"/>
              <w:rPr>
                <w:b/>
                <w:color w:val="000000" w:themeColor="text1"/>
                <w:szCs w:val="21"/>
                <w:lang w:val="zh-CN"/>
                <w14:textFill>
                  <w14:solidFill>
                    <w14:schemeClr w14:val="tx1"/>
                  </w14:solidFill>
                </w14:textFill>
              </w:rPr>
            </w:pPr>
            <w:r>
              <w:rPr>
                <w:rFonts w:hint="eastAsia"/>
                <w:b/>
                <w:color w:val="000000" w:themeColor="text1"/>
                <w:szCs w:val="21"/>
                <w:lang w:val="zh-CN"/>
                <w14:textFill>
                  <w14:solidFill>
                    <w14:schemeClr w14:val="tx1"/>
                  </w14:solidFill>
                </w14:textFill>
              </w:rPr>
              <w:t>（一）施工期大气污染防治措施</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为减少危废间设置、环保设备、生产设备安装过程中的粉尘，本次环评要求：</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①危废间建设时产生的粉尘，必要时应进行洒水降尘。</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②运输车辆应限速慢行，并适量装车，以防运输过程中撒落引起二次扬尘。</w:t>
            </w:r>
          </w:p>
          <w:p>
            <w:pPr>
              <w:adjustRightInd w:val="0"/>
              <w:snapToGrid w:val="0"/>
              <w:spacing w:line="360" w:lineRule="auto"/>
              <w:ind w:firstLine="422" w:firstLineChars="200"/>
              <w:rPr>
                <w:b/>
                <w:color w:val="000000" w:themeColor="text1"/>
                <w:szCs w:val="21"/>
                <w:lang w:val="zh-CN"/>
                <w14:textFill>
                  <w14:solidFill>
                    <w14:schemeClr w14:val="tx1"/>
                  </w14:solidFill>
                </w14:textFill>
              </w:rPr>
            </w:pPr>
            <w:r>
              <w:rPr>
                <w:rFonts w:hint="eastAsia"/>
                <w:b/>
                <w:color w:val="000000" w:themeColor="text1"/>
                <w:szCs w:val="21"/>
                <w:lang w:val="zh-CN"/>
                <w14:textFill>
                  <w14:solidFill>
                    <w14:schemeClr w14:val="tx1"/>
                  </w14:solidFill>
                </w14:textFill>
              </w:rPr>
              <w:t>（二）施工期废水污染防治措施</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施工废水主要为施工过程中的员工使用卫生间污水，废水排入化粪池处理，经化粪池处理后通过园区管网排入四方地碧谷污水处理厂处理。</w:t>
            </w:r>
          </w:p>
          <w:p>
            <w:pPr>
              <w:adjustRightInd w:val="0"/>
              <w:snapToGrid w:val="0"/>
              <w:spacing w:line="360" w:lineRule="auto"/>
              <w:ind w:firstLine="422" w:firstLineChars="200"/>
              <w:rPr>
                <w:b/>
                <w:color w:val="000000" w:themeColor="text1"/>
                <w:szCs w:val="21"/>
                <w:lang w:val="zh-CN"/>
                <w14:textFill>
                  <w14:solidFill>
                    <w14:schemeClr w14:val="tx1"/>
                  </w14:solidFill>
                </w14:textFill>
              </w:rPr>
            </w:pPr>
            <w:r>
              <w:rPr>
                <w:rFonts w:hint="eastAsia"/>
                <w:b/>
                <w:color w:val="000000" w:themeColor="text1"/>
                <w:szCs w:val="21"/>
                <w:lang w:val="zh-CN"/>
                <w14:textFill>
                  <w14:solidFill>
                    <w14:schemeClr w14:val="tx1"/>
                  </w14:solidFill>
                </w14:textFill>
              </w:rPr>
              <w:t>（三）施工期噪声污染防治措施</w:t>
            </w:r>
          </w:p>
          <w:p>
            <w:pPr>
              <w:adjustRightInd w:val="0"/>
              <w:snapToGrid w:val="0"/>
              <w:spacing w:line="360" w:lineRule="auto"/>
              <w:ind w:firstLine="420" w:firstLineChars="200"/>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zh-CN"/>
                <w14:textFill>
                  <w14:solidFill>
                    <w14:schemeClr w14:val="tx1"/>
                  </w14:solidFill>
                </w14:textFill>
              </w:rPr>
              <w:t>为减少施工期的噪声影响，本次环评要求：</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①合理安排施工时间，禁止在夜间22:00~6:00</w:t>
            </w:r>
            <w:r>
              <w:rPr>
                <w:rFonts w:hint="eastAsia"/>
                <w:color w:val="000000" w:themeColor="text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中</w:t>
            </w:r>
            <w:r>
              <w:rPr>
                <w:rFonts w:hint="eastAsia" w:ascii="Times New Roman" w:hAnsi="Times New Roman" w:cs="Times New Roman"/>
                <w:bCs/>
                <w:color w:val="000000" w:themeColor="text1"/>
                <w:szCs w:val="21"/>
                <w:lang w:val="en-US" w:eastAsia="zh-CN"/>
                <w14:textFill>
                  <w14:solidFill>
                    <w14:schemeClr w14:val="tx1"/>
                  </w14:solidFill>
                </w14:textFill>
              </w:rPr>
              <w:t>午</w:t>
            </w:r>
            <w:r>
              <w:rPr>
                <w:rFonts w:hint="default" w:ascii="Times New Roman" w:hAnsi="Times New Roman" w:cs="Times New Roman"/>
                <w:bCs/>
                <w:color w:val="000000" w:themeColor="text1"/>
                <w:szCs w:val="21"/>
                <w:lang w:val="en-US" w:eastAsia="zh-CN"/>
                <w14:textFill>
                  <w14:solidFill>
                    <w14:schemeClr w14:val="tx1"/>
                  </w14:solidFill>
                </w14:textFill>
              </w:rPr>
              <w:t>12：00</w:t>
            </w:r>
            <w:r>
              <w:rPr>
                <w:rFonts w:hint="default" w:ascii="Times New Roman" w:hAnsi="Times New Roman" w:cs="Times New Roman"/>
                <w:bCs/>
                <w:color w:val="000000" w:themeColor="text1"/>
                <w:szCs w:val="21"/>
                <w:lang w:val="zh-CN"/>
                <w14:textFill>
                  <w14:solidFill>
                    <w14:schemeClr w14:val="tx1"/>
                  </w14:solidFill>
                </w14:textFill>
              </w:rPr>
              <w:t>~</w:t>
            </w:r>
            <w:r>
              <w:rPr>
                <w:rFonts w:hint="default" w:ascii="Times New Roman" w:hAnsi="Times New Roman" w:cs="Times New Roman"/>
                <w:bCs/>
                <w:color w:val="000000" w:themeColor="text1"/>
                <w:szCs w:val="21"/>
                <w:lang w:val="en-US" w:eastAsia="zh-CN"/>
                <w14:textFill>
                  <w14:solidFill>
                    <w14:schemeClr w14:val="tx1"/>
                  </w14:solidFill>
                </w14:textFill>
              </w:rPr>
              <w:t>14：00</w:t>
            </w:r>
            <w:r>
              <w:rPr>
                <w:rFonts w:hint="eastAsia"/>
                <w:bCs/>
                <w:color w:val="000000" w:themeColor="text1"/>
                <w:szCs w:val="21"/>
                <w:lang w:val="en-US" w:eastAsia="zh-CN"/>
                <w14:textFill>
                  <w14:solidFill>
                    <w14:schemeClr w14:val="tx1"/>
                  </w14:solidFill>
                </w14:textFill>
              </w:rPr>
              <w:t>施工，</w:t>
            </w:r>
            <w:r>
              <w:rPr>
                <w:rFonts w:hint="eastAsia"/>
                <w:bCs/>
                <w:color w:val="000000" w:themeColor="text1"/>
                <w:szCs w:val="21"/>
                <w:lang w:val="zh-CN"/>
                <w14:textFill>
                  <w14:solidFill>
                    <w14:schemeClr w14:val="tx1"/>
                  </w14:solidFill>
                </w14:textFill>
              </w:rPr>
              <w:t>减少施工噪声对环境的影响。</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②优先采用先进工艺的低噪声设备；设备用完后或不用时应立即关闭。</w:t>
            </w:r>
          </w:p>
          <w:p>
            <w:pPr>
              <w:adjustRightInd w:val="0"/>
              <w:snapToGrid w:val="0"/>
              <w:spacing w:line="360" w:lineRule="auto"/>
              <w:ind w:firstLine="422" w:firstLineChars="200"/>
              <w:rPr>
                <w:b/>
                <w:color w:val="000000" w:themeColor="text1"/>
                <w:szCs w:val="21"/>
                <w:lang w:val="zh-CN"/>
                <w14:textFill>
                  <w14:solidFill>
                    <w14:schemeClr w14:val="tx1"/>
                  </w14:solidFill>
                </w14:textFill>
              </w:rPr>
            </w:pPr>
            <w:r>
              <w:rPr>
                <w:rFonts w:hint="eastAsia"/>
                <w:b/>
                <w:color w:val="000000" w:themeColor="text1"/>
                <w:szCs w:val="21"/>
                <w:lang w:val="zh-CN"/>
                <w14:textFill>
                  <w14:solidFill>
                    <w14:schemeClr w14:val="tx1"/>
                  </w14:solidFill>
                </w14:textFill>
              </w:rPr>
              <w:t>（四）施工期固体废弃物防治措施</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①施工期建筑垃圾主要是施工废弃材料。项目环保设备、生产设备安装、建设危废暂存间工程量较小。建筑垃圾集中收集后尽量回收利用，不能回收利用的建筑垃圾运至指定地点处置。</w:t>
            </w:r>
          </w:p>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②设备废包装材料，设备安装产生的废包装集中收集后外售至废品回收站。</w:t>
            </w:r>
          </w:p>
          <w:p>
            <w:pPr>
              <w:adjustRightInd w:val="0"/>
              <w:snapToGrid w:val="0"/>
              <w:spacing w:line="360" w:lineRule="auto"/>
              <w:ind w:firstLine="420" w:firstLineChars="200"/>
              <w:rPr>
                <w:rFonts w:ascii="宋体" w:hAnsi="宋体" w:cs="宋体"/>
                <w:bCs/>
                <w:spacing w:val="-10"/>
                <w:szCs w:val="21"/>
              </w:rPr>
            </w:pPr>
            <w:r>
              <w:rPr>
                <w:rFonts w:hint="eastAsia"/>
                <w:bCs/>
                <w:color w:val="000000" w:themeColor="text1"/>
                <w:szCs w:val="21"/>
                <w:lang w:val="zh-CN"/>
                <w14:textFill>
                  <w14:solidFill>
                    <w14:schemeClr w14:val="tx1"/>
                  </w14:solidFill>
                </w14:textFill>
              </w:rPr>
              <w:t>③施工人员产生的生活垃圾集中收集后委托环卫部门清运处置。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46" w:type="dxa"/>
            <w:tcMar>
              <w:left w:w="28" w:type="dxa"/>
              <w:right w:w="28" w:type="dxa"/>
            </w:tcMar>
            <w:vAlign w:val="center"/>
          </w:tcPr>
          <w:p>
            <w:pPr>
              <w:adjustRightInd w:val="0"/>
              <w:snapToGrid w:val="0"/>
              <w:jc w:val="center"/>
              <w:rPr>
                <w:rFonts w:ascii="宋体" w:hAnsi="宋体" w:cs="宋体"/>
                <w:b/>
                <w:szCs w:val="21"/>
              </w:rPr>
            </w:pPr>
            <w:r>
              <w:rPr>
                <w:rFonts w:hint="eastAsia" w:ascii="宋体" w:hAnsi="宋体" w:cs="宋体"/>
                <w:b/>
                <w:szCs w:val="21"/>
              </w:rPr>
              <w:t>运营</w:t>
            </w:r>
          </w:p>
          <w:p>
            <w:pPr>
              <w:adjustRightInd w:val="0"/>
              <w:snapToGrid w:val="0"/>
              <w:jc w:val="center"/>
              <w:rPr>
                <w:rFonts w:ascii="宋体" w:hAnsi="宋体" w:cs="宋体"/>
                <w:b/>
                <w:szCs w:val="21"/>
              </w:rPr>
            </w:pPr>
            <w:r>
              <w:rPr>
                <w:rFonts w:hint="eastAsia" w:ascii="宋体" w:hAnsi="宋体" w:cs="宋体"/>
                <w:b/>
                <w:szCs w:val="21"/>
              </w:rPr>
              <w:t>期环</w:t>
            </w:r>
          </w:p>
          <w:p>
            <w:pPr>
              <w:adjustRightInd w:val="0"/>
              <w:snapToGrid w:val="0"/>
              <w:jc w:val="center"/>
              <w:rPr>
                <w:rFonts w:ascii="宋体" w:hAnsi="宋体" w:cs="宋体"/>
                <w:b/>
                <w:szCs w:val="21"/>
              </w:rPr>
            </w:pPr>
            <w:r>
              <w:rPr>
                <w:rFonts w:hint="eastAsia" w:ascii="宋体" w:hAnsi="宋体" w:cs="宋体"/>
                <w:b/>
                <w:szCs w:val="21"/>
              </w:rPr>
              <w:t>境影</w:t>
            </w:r>
          </w:p>
          <w:p>
            <w:pPr>
              <w:adjustRightInd w:val="0"/>
              <w:snapToGrid w:val="0"/>
              <w:jc w:val="center"/>
              <w:rPr>
                <w:rFonts w:ascii="宋体" w:hAnsi="宋体" w:cs="宋体"/>
                <w:b/>
                <w:szCs w:val="21"/>
              </w:rPr>
            </w:pPr>
            <w:r>
              <w:rPr>
                <w:rFonts w:hint="eastAsia" w:ascii="宋体" w:hAnsi="宋体" w:cs="宋体"/>
                <w:b/>
                <w:szCs w:val="21"/>
              </w:rPr>
              <w:t>响和</w:t>
            </w:r>
          </w:p>
          <w:p>
            <w:pPr>
              <w:adjustRightInd w:val="0"/>
              <w:snapToGrid w:val="0"/>
              <w:jc w:val="center"/>
              <w:rPr>
                <w:rFonts w:ascii="宋体" w:hAnsi="宋体" w:cs="宋体"/>
                <w:b/>
                <w:szCs w:val="21"/>
              </w:rPr>
            </w:pPr>
            <w:r>
              <w:rPr>
                <w:rFonts w:hint="eastAsia" w:ascii="宋体" w:hAnsi="宋体" w:cs="宋体"/>
                <w:b/>
                <w:szCs w:val="21"/>
              </w:rPr>
              <w:t>保护</w:t>
            </w:r>
          </w:p>
          <w:p>
            <w:pPr>
              <w:pStyle w:val="19"/>
              <w:adjustRightInd w:val="0"/>
              <w:snapToGrid w:val="0"/>
              <w:spacing w:before="0" w:beforeAutospacing="0" w:after="0" w:afterAutospacing="0"/>
              <w:jc w:val="center"/>
              <w:rPr>
                <w:rFonts w:cs="宋体"/>
                <w:b/>
                <w:bCs/>
                <w:kern w:val="2"/>
                <w:sz w:val="21"/>
                <w:szCs w:val="21"/>
              </w:rPr>
            </w:pPr>
            <w:r>
              <w:rPr>
                <w:rFonts w:hint="eastAsia" w:cs="宋体"/>
                <w:b/>
                <w:szCs w:val="21"/>
              </w:rPr>
              <w:t>措施</w:t>
            </w:r>
          </w:p>
        </w:tc>
        <w:tc>
          <w:tcPr>
            <w:tcW w:w="8162" w:type="dxa"/>
            <w:vAlign w:val="center"/>
          </w:tcPr>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（一）废气</w:t>
            </w:r>
          </w:p>
          <w:p>
            <w:pPr>
              <w:spacing w:line="360" w:lineRule="auto"/>
              <w:ind w:firstLine="422" w:firstLineChars="200"/>
              <w:rPr>
                <w:b/>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1、大气污染物产排情况</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熔融工序全部采用电能加热。本项目污染物主要为拆炉废气。</w:t>
            </w:r>
          </w:p>
          <w:p>
            <w:pPr>
              <w:spacing w:line="360" w:lineRule="auto"/>
              <w:ind w:firstLine="422" w:firstLineChars="200"/>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（1）装料工序</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本项目原料为1-10cm多晶硅碎屑，包装规格为10kg/袋。装料工序将多晶硅碎屑倒入免喷涂坩埚中，物料下降距离可忽略不计。</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类比《安徽冠宇光电科技有限公司年产600兆瓦太阳能光伏电池用多晶硅片、1300 兆瓦单晶硅片、300吨硅锭技术改造项目环境影响报告书》（天环[2023]26号）和《九江亿鸿新材料科技有限公司年产3000吨多晶硅铸锭加工项目》（九开环审字[2022]27号），均不考虑装料废气。</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根据行业实际生产情况，多晶硅颗粒在倒入坩埚中不易产尘，本次评价不考虑。</w:t>
            </w:r>
          </w:p>
          <w:p>
            <w:pPr>
              <w:spacing w:line="360" w:lineRule="auto"/>
              <w:ind w:firstLine="422" w:firstLineChars="200"/>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（2）切割和磨面工序</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切割和磨面工序采用湿法作业，极少量粉尘产生后，被水流给携带走，不会散逸到空气中，不定量评价。</w:t>
            </w:r>
          </w:p>
          <w:p>
            <w:pPr>
              <w:spacing w:line="360" w:lineRule="auto"/>
              <w:ind w:firstLine="422" w:firstLineChars="200"/>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（3）拆炉废气</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铸锭炉运行完毕后，拆炉工序产生拆炉废气（颗粒物），主要成分为硅氧化物和非金属杂质等。产生的颗粒物经移动吸尘器处理后车间无组织排放。</w:t>
            </w:r>
          </w:p>
          <w:p>
            <w:pPr>
              <w:spacing w:line="360" w:lineRule="auto"/>
              <w:ind w:firstLine="420" w:firstLineChars="200"/>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参考同类型企业“九江亿鸿新材料科技有限公司年产3000吨多晶硅铸锭加工项目竣工环境保护验收监测报告表”验收数据，</w:t>
            </w:r>
            <w:r>
              <w:rPr>
                <w:rFonts w:hint="eastAsia"/>
                <w:color w:val="000000" w:themeColor="text1"/>
                <w:szCs w:val="21"/>
                <w:highlight w:val="none"/>
                <w:lang w:val="en-US" w:eastAsia="zh-CN"/>
                <w14:textFill>
                  <w14:solidFill>
                    <w14:schemeClr w14:val="tx1"/>
                  </w14:solidFill>
                </w14:textFill>
              </w:rPr>
              <w:t>该项目经布袋除尘器处理后15m高排气筒排放；验收监测中进口浓度为600mg/m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，出口浓度为54mg/m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，处理效率91%。</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本次评价类比</w:t>
            </w:r>
            <w:r>
              <w:rPr>
                <w:rFonts w:hint="eastAsia"/>
                <w:color w:val="000000" w:themeColor="text1"/>
                <w:szCs w:val="21"/>
                <w:highlight w:val="none"/>
                <w14:textFill>
                  <w14:solidFill>
                    <w14:schemeClr w14:val="tx1"/>
                  </w14:solidFill>
                </w14:textFill>
              </w:rPr>
              <w:t>粉尘产生浓度为600mg/m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，产生速率为 1.6kg/h，核算生产3000吨多晶硅铸锭，拆炉粉尘产生量为3.84t/a。类比得，本项目拆炉废气产生量为2.56t/a。移动吸尘器处理效率以60％计，则拆炉粉尘排放量为1.024t/a，排放速率为0.427kg/h。</w:t>
            </w:r>
          </w:p>
          <w:p>
            <w:pPr>
              <w:pStyle w:val="75"/>
              <w:spacing w:line="360" w:lineRule="auto"/>
              <w:ind w:firstLine="422"/>
              <w:rPr>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2、污染治理措施可行性分析</w:t>
            </w:r>
          </w:p>
          <w:p>
            <w:pPr>
              <w:pStyle w:val="29"/>
              <w:spacing w:line="360" w:lineRule="auto"/>
              <w:jc w:val="center"/>
              <w:rPr>
                <w:rFonts w:asci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object>
                <v:shape id="_x0000_i1027" o:spt="75" type="#_x0000_t75" style="height:49.6pt;width:350.1pt;" o:ole="t" filled="f" o:preferrelative="t" stroked="f" coordsize="21600,21600">
                  <v:path/>
                  <v:fill on="f" focussize="0,0"/>
                  <v:stroke on="f" joinstyle="miter"/>
                  <v:imagedata r:id="rId26" o:title=""/>
                  <o:lock v:ext="edit" aspectratio="f"/>
                  <w10:wrap type="none"/>
                  <w10:anchorlock/>
                </v:shape>
                <o:OLEObject Type="Embed" ProgID="Visio.Drawing.15" ShapeID="_x0000_i1027" DrawAspect="Content" ObjectID="_1468075727" r:id="rId25">
                  <o:LockedField>false</o:LockedField>
                </o:OLEObject>
              </w:object>
            </w:r>
          </w:p>
          <w:p>
            <w:pPr>
              <w:spacing w:line="360" w:lineRule="auto"/>
              <w:jc w:val="center"/>
              <w:rPr>
                <w:bCs/>
                <w:color w:val="000000" w:themeColor="text1"/>
                <w:szCs w:val="21"/>
                <w:highlight w:val="none"/>
                <w14:textFill>
                  <w14:solidFill>
                    <w14:schemeClr w14:val="tx1"/>
                  </w14:solidFill>
                </w14:textFill>
              </w:rPr>
            </w:pPr>
            <w:r>
              <w:rPr>
                <w:rFonts w:hint="eastAsia"/>
                <w:b/>
                <w:iCs/>
                <w:color w:val="000000" w:themeColor="text1"/>
                <w:spacing w:val="6"/>
                <w:szCs w:val="21"/>
                <w:highlight w:val="none"/>
                <w14:textFill>
                  <w14:solidFill>
                    <w14:schemeClr w14:val="tx1"/>
                  </w14:solidFill>
                </w14:textFill>
              </w:rPr>
              <w:t xml:space="preserve">图4-1 </w:t>
            </w:r>
            <w:r>
              <w:rPr>
                <w:b/>
                <w:bCs/>
                <w:color w:val="000000" w:themeColor="text1"/>
                <w:szCs w:val="21"/>
                <w:highlight w:val="none"/>
                <w14:textFill>
                  <w14:solidFill>
                    <w14:schemeClr w14:val="tx1"/>
                  </w14:solidFill>
                </w14:textFill>
              </w:rPr>
              <w:t>项目</w:t>
            </w:r>
            <w:r>
              <w:rPr>
                <w:rFonts w:hint="eastAsia"/>
                <w:b/>
                <w:bCs/>
                <w:color w:val="000000" w:themeColor="text1"/>
                <w:szCs w:val="21"/>
                <w:highlight w:val="none"/>
                <w14:textFill>
                  <w14:solidFill>
                    <w14:schemeClr w14:val="tx1"/>
                  </w14:solidFill>
                </w14:textFill>
              </w:rPr>
              <w:t>废气处理工艺流程图</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废气处理措施评价表见表4-1。</w:t>
            </w:r>
          </w:p>
          <w:p>
            <w:pPr>
              <w:spacing w:line="360" w:lineRule="auto"/>
              <w:jc w:val="center"/>
              <w:rPr>
                <w:b/>
                <w:iCs/>
                <w:color w:val="000000" w:themeColor="text1"/>
                <w:spacing w:val="6"/>
                <w:szCs w:val="21"/>
                <w:highlight w:val="none"/>
                <w14:textFill>
                  <w14:solidFill>
                    <w14:schemeClr w14:val="tx1"/>
                  </w14:solidFill>
                </w14:textFill>
              </w:rPr>
            </w:pPr>
            <w:r>
              <w:rPr>
                <w:rFonts w:hint="eastAsia"/>
                <w:b/>
                <w:iCs/>
                <w:color w:val="000000" w:themeColor="text1"/>
                <w:spacing w:val="6"/>
                <w:szCs w:val="21"/>
                <w:highlight w:val="none"/>
                <w14:textFill>
                  <w14:solidFill>
                    <w14:schemeClr w14:val="tx1"/>
                  </w14:solidFill>
                </w14:textFill>
              </w:rPr>
              <w:t>表4-1 废气处理措施评价表</w:t>
            </w:r>
          </w:p>
          <w:tbl>
            <w:tblPr>
              <w:tblStyle w:val="23"/>
              <w:tblW w:w="493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0"/>
              <w:gridCol w:w="1271"/>
              <w:gridCol w:w="1881"/>
              <w:gridCol w:w="1928"/>
              <w:gridCol w:w="207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0" w:type="pct"/>
                  <w:vAlign w:val="center"/>
                </w:tcPr>
                <w:p>
                  <w:pPr>
                    <w:snapToGrid w:val="0"/>
                    <w:spacing w:line="240" w:lineRule="atLeas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工序</w:t>
                  </w:r>
                </w:p>
              </w:tc>
              <w:tc>
                <w:tcPr>
                  <w:tcW w:w="810" w:type="pct"/>
                  <w:vAlign w:val="center"/>
                </w:tcPr>
                <w:p>
                  <w:pPr>
                    <w:snapToGrid w:val="0"/>
                    <w:spacing w:line="240" w:lineRule="atLeas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污染物</w:t>
                  </w:r>
                </w:p>
              </w:tc>
              <w:tc>
                <w:tcPr>
                  <w:tcW w:w="1198" w:type="pct"/>
                  <w:vAlign w:val="center"/>
                </w:tcPr>
                <w:p>
                  <w:pPr>
                    <w:snapToGrid w:val="0"/>
                    <w:spacing w:line="240" w:lineRule="atLeas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处理措施</w:t>
                  </w:r>
                </w:p>
              </w:tc>
              <w:tc>
                <w:tcPr>
                  <w:tcW w:w="1228" w:type="pct"/>
                  <w:vAlign w:val="center"/>
                </w:tcPr>
                <w:p>
                  <w:pPr>
                    <w:snapToGrid w:val="0"/>
                    <w:spacing w:line="240" w:lineRule="atLeas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是否属于污染防治可行技术指南中可行性技术</w:t>
                  </w:r>
                </w:p>
              </w:tc>
              <w:tc>
                <w:tcPr>
                  <w:tcW w:w="1321" w:type="pct"/>
                  <w:vAlign w:val="center"/>
                </w:tcPr>
                <w:p>
                  <w:pPr>
                    <w:snapToGrid w:val="0"/>
                    <w:spacing w:line="240" w:lineRule="atLeas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是否属于排污许可技术规范中可行性技术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0" w:type="pct"/>
                  <w:vAlign w:val="center"/>
                </w:tcPr>
                <w:p>
                  <w:pPr>
                    <w:jc w:val="center"/>
                    <w:rPr>
                      <w:bCs/>
                      <w:snapToGrid w:val="0"/>
                      <w:color w:val="000000" w:themeColor="text1"/>
                      <w:kern w:val="0"/>
                      <w:szCs w:val="21"/>
                      <w:highlight w:val="none"/>
                      <w14:textFill>
                        <w14:solidFill>
                          <w14:schemeClr w14:val="tx1"/>
                        </w14:solidFill>
                      </w14:textFill>
                    </w:rPr>
                  </w:pPr>
                  <w:r>
                    <w:rPr>
                      <w:rFonts w:hint="eastAsia"/>
                      <w:bCs/>
                      <w:snapToGrid w:val="0"/>
                      <w:color w:val="000000" w:themeColor="text1"/>
                      <w:kern w:val="0"/>
                      <w:szCs w:val="21"/>
                      <w:highlight w:val="none"/>
                      <w14:textFill>
                        <w14:solidFill>
                          <w14:schemeClr w14:val="tx1"/>
                        </w14:solidFill>
                      </w14:textFill>
                    </w:rPr>
                    <w:t>拆炉</w:t>
                  </w:r>
                </w:p>
              </w:tc>
              <w:tc>
                <w:tcPr>
                  <w:tcW w:w="810" w:type="pct"/>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198" w:type="pct"/>
                  <w:vAlign w:val="center"/>
                </w:tcPr>
                <w:p>
                  <w:pPr>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移动吸尘器</w:t>
                  </w:r>
                </w:p>
              </w:tc>
              <w:tc>
                <w:tcPr>
                  <w:tcW w:w="1228" w:type="pct"/>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否（无相关行业技术指南）</w:t>
                  </w:r>
                </w:p>
              </w:tc>
              <w:tc>
                <w:tcPr>
                  <w:tcW w:w="1321" w:type="pct"/>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bl>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对照《排污许可证申请与核发技术规范 石墨及其他非金属矿物制品制造》（HJ</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-2020）表A.3多晶硅棒生产排污单位废气污染防治可行技术参考表，颗粒物推荐使用“袋式除尘；静电除尘；湿式除尘、旋风除尘、滤芯除尘”，本项目移动吸尘器属于“滤筒型”，可参照滤芯除尘，符合可行技术要求。</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废气达标排放分析</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根据工程分析，各生产环节中无组织废气产生具体情况见下表。</w:t>
            </w:r>
          </w:p>
          <w:p>
            <w:pPr>
              <w:spacing w:line="360" w:lineRule="auto"/>
              <w:jc w:val="center"/>
              <w:rPr>
                <w:b/>
                <w:iCs/>
                <w:color w:val="000000" w:themeColor="text1"/>
                <w:spacing w:val="6"/>
                <w:szCs w:val="21"/>
                <w14:textFill>
                  <w14:solidFill>
                    <w14:schemeClr w14:val="tx1"/>
                  </w14:solidFill>
                </w14:textFill>
              </w:rPr>
            </w:pPr>
            <w:r>
              <w:rPr>
                <w:b/>
                <w:iCs/>
                <w:color w:val="000000" w:themeColor="text1"/>
                <w:spacing w:val="6"/>
                <w:szCs w:val="21"/>
                <w14:textFill>
                  <w14:solidFill>
                    <w14:schemeClr w14:val="tx1"/>
                  </w14:solidFill>
                </w14:textFill>
              </w:rPr>
              <w:t>表</w:t>
            </w:r>
            <w:r>
              <w:rPr>
                <w:rFonts w:hint="eastAsia"/>
                <w:b/>
                <w:iCs/>
                <w:color w:val="000000" w:themeColor="text1"/>
                <w:spacing w:val="6"/>
                <w:szCs w:val="21"/>
                <w14:textFill>
                  <w14:solidFill>
                    <w14:schemeClr w14:val="tx1"/>
                  </w14:solidFill>
                </w14:textFill>
              </w:rPr>
              <w:t>4-2</w:t>
            </w:r>
            <w:r>
              <w:rPr>
                <w:b/>
                <w:iCs/>
                <w:color w:val="000000" w:themeColor="text1"/>
                <w:spacing w:val="6"/>
                <w:szCs w:val="21"/>
                <w14:textFill>
                  <w14:solidFill>
                    <w14:schemeClr w14:val="tx1"/>
                  </w14:solidFill>
                </w14:textFill>
              </w:rPr>
              <w:t xml:space="preserve"> 本项目各生产环节无组织颗粒物产生情况</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166"/>
              <w:gridCol w:w="946"/>
              <w:gridCol w:w="1027"/>
              <w:gridCol w:w="1038"/>
              <w:gridCol w:w="1292"/>
              <w:gridCol w:w="2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blHeader/>
                <w:jc w:val="center"/>
              </w:trPr>
              <w:tc>
                <w:tcPr>
                  <w:tcW w:w="459"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166"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产污工序</w:t>
                  </w:r>
                </w:p>
              </w:tc>
              <w:tc>
                <w:tcPr>
                  <w:tcW w:w="946"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1027"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排放速率kg/h</w:t>
                  </w:r>
                </w:p>
              </w:tc>
              <w:tc>
                <w:tcPr>
                  <w:tcW w:w="1038"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排放量t/a</w:t>
                  </w:r>
                </w:p>
              </w:tc>
              <w:tc>
                <w:tcPr>
                  <w:tcW w:w="1292"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主要污染防治措施</w:t>
                  </w:r>
                </w:p>
              </w:tc>
              <w:tc>
                <w:tcPr>
                  <w:tcW w:w="2009"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《大气污染物综合排放标准》（GB</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-1996）无组织限值mg/m</w:t>
                  </w:r>
                  <w:r>
                    <w:rPr>
                      <w:rFonts w:hint="eastAsia"/>
                      <w:b/>
                      <w:bCs/>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6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拆炉废气</w:t>
                  </w:r>
                </w:p>
              </w:tc>
              <w:tc>
                <w:tcPr>
                  <w:tcW w:w="94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0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0.427</w:t>
                  </w:r>
                </w:p>
              </w:tc>
              <w:tc>
                <w:tcPr>
                  <w:tcW w:w="10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1.024</w:t>
                  </w:r>
                </w:p>
              </w:tc>
              <w:tc>
                <w:tcPr>
                  <w:tcW w:w="129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移动吸尘器</w:t>
                  </w:r>
                </w:p>
              </w:tc>
              <w:tc>
                <w:tcPr>
                  <w:tcW w:w="20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112" w:type="dxa"/>
                  <w:gridSpan w:val="2"/>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整个车间</w:t>
                  </w:r>
                </w:p>
              </w:tc>
              <w:tc>
                <w:tcPr>
                  <w:tcW w:w="10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0.427</w:t>
                  </w:r>
                </w:p>
              </w:tc>
              <w:tc>
                <w:tcPr>
                  <w:tcW w:w="10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1.024</w:t>
                  </w:r>
                </w:p>
              </w:tc>
              <w:tc>
                <w:tcPr>
                  <w:tcW w:w="129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0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bl>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本项目无组织排放源为生产车间，为矩形面源，本项目大气污染物面源排放参数见下表。</w:t>
            </w:r>
          </w:p>
          <w:p>
            <w:pPr>
              <w:spacing w:line="360" w:lineRule="auto"/>
              <w:jc w:val="center"/>
              <w:rPr>
                <w:b/>
                <w:iCs/>
                <w:color w:val="000000" w:themeColor="text1"/>
                <w:spacing w:val="6"/>
                <w:szCs w:val="21"/>
                <w14:textFill>
                  <w14:solidFill>
                    <w14:schemeClr w14:val="tx1"/>
                  </w14:solidFill>
                </w14:textFill>
              </w:rPr>
            </w:pPr>
            <w:r>
              <w:rPr>
                <w:b/>
                <w:iCs/>
                <w:color w:val="000000" w:themeColor="text1"/>
                <w:spacing w:val="6"/>
                <w:szCs w:val="21"/>
                <w14:textFill>
                  <w14:solidFill>
                    <w14:schemeClr w14:val="tx1"/>
                  </w14:solidFill>
                </w14:textFill>
              </w:rPr>
              <w:t>表</w:t>
            </w:r>
            <w:r>
              <w:rPr>
                <w:rFonts w:hint="eastAsia"/>
                <w:b/>
                <w:iCs/>
                <w:color w:val="000000" w:themeColor="text1"/>
                <w:spacing w:val="6"/>
                <w:szCs w:val="21"/>
                <w14:textFill>
                  <w14:solidFill>
                    <w14:schemeClr w14:val="tx1"/>
                  </w14:solidFill>
                </w14:textFill>
              </w:rPr>
              <w:t>4-3</w:t>
            </w:r>
            <w:r>
              <w:rPr>
                <w:b/>
                <w:iCs/>
                <w:color w:val="000000" w:themeColor="text1"/>
                <w:spacing w:val="6"/>
                <w:szCs w:val="21"/>
                <w14:textFill>
                  <w14:solidFill>
                    <w14:schemeClr w14:val="tx1"/>
                  </w14:solidFill>
                </w14:textFill>
              </w:rPr>
              <w:t>大气污染物正常工况下面源排放参数一览表</w:t>
            </w:r>
          </w:p>
          <w:tbl>
            <w:tblPr>
              <w:tblStyle w:val="23"/>
              <w:tblW w:w="494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938"/>
              <w:gridCol w:w="1221"/>
              <w:gridCol w:w="1221"/>
              <w:gridCol w:w="971"/>
              <w:gridCol w:w="859"/>
              <w:gridCol w:w="675"/>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blHeader/>
                <w:jc w:val="center"/>
              </w:trPr>
              <w:tc>
                <w:tcPr>
                  <w:tcW w:w="850"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939"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面源海拔高度/m</w:t>
                  </w:r>
                </w:p>
              </w:tc>
              <w:tc>
                <w:tcPr>
                  <w:tcW w:w="122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面源长度（m）</w:t>
                  </w:r>
                </w:p>
              </w:tc>
              <w:tc>
                <w:tcPr>
                  <w:tcW w:w="122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面源宽度</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（m）</w:t>
                  </w:r>
                </w:p>
              </w:tc>
              <w:tc>
                <w:tcPr>
                  <w:tcW w:w="97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面源有效排放高度/m</w:t>
                  </w:r>
                </w:p>
              </w:tc>
              <w:tc>
                <w:tcPr>
                  <w:tcW w:w="859"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年排放小时数（h）</w:t>
                  </w:r>
                </w:p>
              </w:tc>
              <w:tc>
                <w:tcPr>
                  <w:tcW w:w="675"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工况</w:t>
                  </w:r>
                </w:p>
              </w:tc>
              <w:tc>
                <w:tcPr>
                  <w:tcW w:w="1121"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blHeader/>
                <w:jc w:val="center"/>
              </w:trPr>
              <w:tc>
                <w:tcPr>
                  <w:tcW w:w="850" w:type="dxa"/>
                  <w:vMerge w:val="continue"/>
                  <w:tcBorders>
                    <w:tl2br w:val="nil"/>
                    <w:tr2bl w:val="nil"/>
                  </w:tcBorders>
                  <w:vAlign w:val="center"/>
                </w:tcPr>
                <w:p>
                  <w:pPr>
                    <w:jc w:val="center"/>
                    <w:rPr>
                      <w:color w:val="000000" w:themeColor="text1"/>
                      <w14:textFill>
                        <w14:solidFill>
                          <w14:schemeClr w14:val="tx1"/>
                        </w14:solidFill>
                      </w14:textFill>
                    </w:rPr>
                  </w:pPr>
                </w:p>
              </w:tc>
              <w:tc>
                <w:tcPr>
                  <w:tcW w:w="9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21"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21" w:type="dxa"/>
                  <w:vMerge w:val="continue"/>
                  <w:tcBorders>
                    <w:tl2br w:val="nil"/>
                    <w:tr2bl w:val="nil"/>
                  </w:tcBorders>
                  <w:vAlign w:val="center"/>
                </w:tcPr>
                <w:p>
                  <w:pPr>
                    <w:jc w:val="center"/>
                    <w:rPr>
                      <w:color w:val="000000" w:themeColor="text1"/>
                      <w14:textFill>
                        <w14:solidFill>
                          <w14:schemeClr w14:val="tx1"/>
                        </w14:solidFill>
                      </w14:textFill>
                    </w:rPr>
                  </w:pPr>
                </w:p>
              </w:tc>
              <w:tc>
                <w:tcPr>
                  <w:tcW w:w="971" w:type="dxa"/>
                  <w:vMerge w:val="continue"/>
                  <w:tcBorders>
                    <w:tl2br w:val="nil"/>
                    <w:tr2bl w:val="nil"/>
                  </w:tcBorders>
                  <w:vAlign w:val="center"/>
                </w:tcPr>
                <w:p>
                  <w:pPr>
                    <w:jc w:val="center"/>
                    <w:rPr>
                      <w:color w:val="000000" w:themeColor="text1"/>
                      <w14:textFill>
                        <w14:solidFill>
                          <w14:schemeClr w14:val="tx1"/>
                        </w14:solidFill>
                      </w14:textFill>
                    </w:rPr>
                  </w:pPr>
                </w:p>
              </w:tc>
              <w:tc>
                <w:tcPr>
                  <w:tcW w:w="859" w:type="dxa"/>
                  <w:vMerge w:val="continue"/>
                  <w:tcBorders>
                    <w:tl2br w:val="nil"/>
                    <w:tr2bl w:val="nil"/>
                  </w:tcBorders>
                  <w:vAlign w:val="center"/>
                </w:tcPr>
                <w:p>
                  <w:pPr>
                    <w:jc w:val="center"/>
                    <w:rPr>
                      <w:color w:val="000000" w:themeColor="text1"/>
                      <w14:textFill>
                        <w14:solidFill>
                          <w14:schemeClr w14:val="tx1"/>
                        </w14:solidFill>
                      </w14:textFill>
                    </w:rPr>
                  </w:pPr>
                </w:p>
              </w:tc>
              <w:tc>
                <w:tcPr>
                  <w:tcW w:w="675" w:type="dxa"/>
                  <w:vMerge w:val="continue"/>
                  <w:tcBorders>
                    <w:tl2br w:val="nil"/>
                    <w:tr2bl w:val="nil"/>
                  </w:tcBorders>
                  <w:vAlign w:val="center"/>
                </w:tcPr>
                <w:p>
                  <w:pPr>
                    <w:jc w:val="center"/>
                    <w:rPr>
                      <w:color w:val="000000" w:themeColor="text1"/>
                      <w14:textFill>
                        <w14:solidFill>
                          <w14:schemeClr w14:val="tx1"/>
                        </w14:solidFill>
                      </w14:textFill>
                    </w:rPr>
                  </w:pPr>
                </w:p>
              </w:tc>
              <w:tc>
                <w:tcPr>
                  <w:tcW w:w="1121"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整个生产车间</w:t>
                  </w:r>
                </w:p>
              </w:tc>
              <w:tc>
                <w:tcPr>
                  <w:tcW w:w="93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1207.9</w:t>
                  </w:r>
                </w:p>
              </w:tc>
              <w:tc>
                <w:tcPr>
                  <w:tcW w:w="122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w:t>
                  </w:r>
                </w:p>
              </w:tc>
              <w:tc>
                <w:tcPr>
                  <w:tcW w:w="122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9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5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7200</w:t>
                  </w:r>
                </w:p>
              </w:tc>
              <w:tc>
                <w:tcPr>
                  <w:tcW w:w="67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12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0.427</w:t>
                  </w:r>
                </w:p>
              </w:tc>
            </w:tr>
          </w:tbl>
          <w:p>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参考《环境影响评价技术导则 大气环境》（HJ2.2-2018），借助其估算模式AERSCREEN，计算项目厂界污染物最大落地浓度来进行达标排放分析，经计算项目颗粒物最大地面浓度为0.171mg/m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，满足《大气污染物综合排放标准》（GB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-1996）无组织限值（1.0mg/m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4.非正常排放污染源分析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项目非正常工况主要包括生产线设备故障和环保设施故障。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①生产线故障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由于本项目各生产设备彼此关联度较高，因此一旦故部分设备故障和检修时其它设备的将会采取对应的停产措施，可避免各生产设备故障下的非正常排放。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②环保设施故障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本项目在运营过程中布袋收尘器发生故障、封闭设施损坏，均会导致废气超标排放。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从上述分析可知，脉冲式布袋除尘器发生故障的因素较多，综上，设定粉尘非正常排放条件为移动吸尘器故障，导致除尘效率为0%左右，排放源为1.07kg/h，可能会导致无组织超标。</w:t>
            </w:r>
          </w:p>
          <w:p>
            <w:pPr>
              <w:spacing w:line="360" w:lineRule="auto"/>
              <w:ind w:firstLine="444" w:firstLineChars="200"/>
              <w:rPr>
                <w:bCs/>
                <w:iCs/>
                <w:color w:val="000000" w:themeColor="text1"/>
                <w:spacing w:val="6"/>
                <w:szCs w:val="21"/>
                <w14:textFill>
                  <w14:solidFill>
                    <w14:schemeClr w14:val="tx1"/>
                  </w14:solidFill>
                </w14:textFill>
              </w:rPr>
            </w:pPr>
            <w:r>
              <w:rPr>
                <w:rFonts w:hint="eastAsia"/>
                <w:bCs/>
                <w:iCs/>
                <w:color w:val="000000" w:themeColor="text1"/>
                <w:spacing w:val="6"/>
                <w:szCs w:val="21"/>
                <w14:textFill>
                  <w14:solidFill>
                    <w14:schemeClr w14:val="tx1"/>
                  </w14:solidFill>
                </w14:textFill>
              </w:rPr>
              <w:t>③处置措施要求</w:t>
            </w:r>
          </w:p>
          <w:p>
            <w:pPr>
              <w:spacing w:line="360" w:lineRule="auto"/>
              <w:ind w:firstLine="444" w:firstLineChars="200"/>
              <w:rPr>
                <w:bCs/>
                <w:iCs/>
                <w:color w:val="000000" w:themeColor="text1"/>
                <w:spacing w:val="6"/>
                <w:szCs w:val="21"/>
                <w14:textFill>
                  <w14:solidFill>
                    <w14:schemeClr w14:val="tx1"/>
                  </w14:solidFill>
                </w14:textFill>
              </w:rPr>
            </w:pPr>
            <w:r>
              <w:rPr>
                <w:rFonts w:hint="eastAsia"/>
                <w:bCs/>
                <w:iCs/>
                <w:color w:val="000000" w:themeColor="text1"/>
                <w:spacing w:val="6"/>
                <w:szCs w:val="21"/>
                <w14:textFill>
                  <w14:solidFill>
                    <w14:schemeClr w14:val="tx1"/>
                  </w14:solidFill>
                </w14:textFill>
              </w:rPr>
              <w:t>非正常工况下，需立即停工，进行排查和检修，向当地环境主管部门报告，及时整改检修，做好台账记录。</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5.污染物排放量核算</w:t>
            </w:r>
          </w:p>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表4-4 无组织大气污染物排放量核算表</w:t>
            </w:r>
          </w:p>
          <w:tbl>
            <w:tblPr>
              <w:tblStyle w:val="23"/>
              <w:tblW w:w="78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48"/>
              <w:gridCol w:w="760"/>
              <w:gridCol w:w="1131"/>
              <w:gridCol w:w="727"/>
              <w:gridCol w:w="1177"/>
              <w:gridCol w:w="900"/>
              <w:gridCol w:w="773"/>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0" w:hRule="atLeast"/>
                <w:jc w:val="center"/>
              </w:trPr>
              <w:tc>
                <w:tcPr>
                  <w:tcW w:w="477"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序号</w:t>
                  </w:r>
                </w:p>
              </w:tc>
              <w:tc>
                <w:tcPr>
                  <w:tcW w:w="948"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污染源位置</w:t>
                  </w:r>
                </w:p>
              </w:tc>
              <w:tc>
                <w:tcPr>
                  <w:tcW w:w="760"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污染物</w:t>
                  </w:r>
                </w:p>
              </w:tc>
              <w:tc>
                <w:tcPr>
                  <w:tcW w:w="1131"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面源面积m</w:t>
                  </w:r>
                  <w:r>
                    <w:rPr>
                      <w:rFonts w:hint="eastAsia"/>
                      <w:b/>
                      <w:bCs/>
                      <w:color w:val="000000" w:themeColor="text1"/>
                      <w:szCs w:val="21"/>
                      <w:vertAlign w:val="superscript"/>
                      <w14:textFill>
                        <w14:solidFill>
                          <w14:schemeClr w14:val="tx1"/>
                        </w14:solidFill>
                      </w14:textFill>
                    </w:rPr>
                    <w:t>2</w:t>
                  </w:r>
                </w:p>
              </w:tc>
              <w:tc>
                <w:tcPr>
                  <w:tcW w:w="727"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面源高度m</w:t>
                  </w:r>
                </w:p>
              </w:tc>
              <w:tc>
                <w:tcPr>
                  <w:tcW w:w="1177"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主要污染防治措施</w:t>
                  </w:r>
                </w:p>
              </w:tc>
              <w:tc>
                <w:tcPr>
                  <w:tcW w:w="1673" w:type="dxa"/>
                  <w:gridSpan w:val="2"/>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国家或地方污染物排放标准</w:t>
                  </w:r>
                </w:p>
              </w:tc>
              <w:tc>
                <w:tcPr>
                  <w:tcW w:w="955" w:type="dxa"/>
                  <w:vMerge w:val="restart"/>
                  <w:tcBorders>
                    <w:tl2br w:val="nil"/>
                    <w:tr2bl w:val="nil"/>
                  </w:tcBorders>
                  <w:vAlign w:val="center"/>
                </w:tcPr>
                <w:p>
                  <w:pPr>
                    <w:jc w:val="center"/>
                    <w:rPr>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年排放量（</w:t>
                  </w:r>
                  <w:r>
                    <w:rPr>
                      <w:rFonts w:hint="eastAsia"/>
                      <w:b/>
                      <w:bCs/>
                      <w:color w:val="000000" w:themeColor="text1"/>
                      <w:szCs w:val="21"/>
                      <w14:textFill>
                        <w14:solidFill>
                          <w14:schemeClr w14:val="tx1"/>
                        </w14:solidFill>
                      </w14:textFill>
                    </w:rPr>
                    <w:t>t</w:t>
                  </w:r>
                  <w:r>
                    <w:rPr>
                      <w:b/>
                      <w:bCs/>
                      <w:color w:val="000000" w:themeColor="text1"/>
                      <w:szCs w:val="21"/>
                      <w:lang w:val="en-GB"/>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7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948"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760"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1131"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72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117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900" w:type="dxa"/>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标准</w:t>
                  </w:r>
                </w:p>
              </w:tc>
              <w:tc>
                <w:tcPr>
                  <w:tcW w:w="773" w:type="dxa"/>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限值</w:t>
                  </w:r>
                </w:p>
              </w:tc>
              <w:tc>
                <w:tcPr>
                  <w:tcW w:w="955" w:type="dxa"/>
                  <w:vMerge w:val="continue"/>
                  <w:tcBorders>
                    <w:tl2br w:val="nil"/>
                    <w:tr2bl w:val="nil"/>
                  </w:tcBorders>
                  <w:vAlign w:val="center"/>
                </w:tcPr>
                <w:p>
                  <w:pPr>
                    <w:jc w:val="center"/>
                    <w:rPr>
                      <w:color w:val="000000" w:themeColor="text1"/>
                      <w:szCs w:val="21"/>
                      <w:lang w:val="en-GB"/>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3" w:hRule="atLeast"/>
                <w:jc w:val="center"/>
              </w:trPr>
              <w:tc>
                <w:tcPr>
                  <w:tcW w:w="477" w:type="dxa"/>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1</w:t>
                  </w:r>
                </w:p>
              </w:tc>
              <w:tc>
                <w:tcPr>
                  <w:tcW w:w="94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76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1836（长54×宽34）</w:t>
                  </w:r>
                </w:p>
              </w:tc>
              <w:tc>
                <w:tcPr>
                  <w:tcW w:w="7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7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移动吸尘器</w:t>
                  </w:r>
                </w:p>
              </w:tc>
              <w:tc>
                <w:tcPr>
                  <w:tcW w:w="90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w:t>
                  </w:r>
                </w:p>
              </w:tc>
              <w:tc>
                <w:tcPr>
                  <w:tcW w:w="77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1.0mg</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9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0" w:hRule="atLeast"/>
                <w:jc w:val="center"/>
              </w:trPr>
              <w:tc>
                <w:tcPr>
                  <w:tcW w:w="7848" w:type="dxa"/>
                  <w:gridSpan w:val="9"/>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185" w:type="dxa"/>
                  <w:gridSpan w:val="3"/>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无组织排放总计</w:t>
                  </w:r>
                </w:p>
              </w:tc>
              <w:tc>
                <w:tcPr>
                  <w:tcW w:w="4708" w:type="dxa"/>
                  <w:gridSpan w:val="5"/>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1.024</w:t>
                  </w:r>
                </w:p>
              </w:tc>
            </w:tr>
          </w:tbl>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表4-5大气污染物年排放量核算表</w:t>
            </w:r>
          </w:p>
          <w:tbl>
            <w:tblPr>
              <w:tblStyle w:val="23"/>
              <w:tblW w:w="78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643"/>
              <w:gridCol w:w="2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3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643" w:type="dxa"/>
                  <w:vAlign w:val="center"/>
                </w:tcPr>
                <w:p>
                  <w:pPr>
                    <w:widowControl/>
                    <w:jc w:val="center"/>
                    <w:textAlignment w:val="center"/>
                    <w:rPr>
                      <w:b/>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污染物</w:t>
                  </w:r>
                </w:p>
              </w:tc>
              <w:tc>
                <w:tcPr>
                  <w:tcW w:w="2502" w:type="dxa"/>
                  <w:vAlign w:val="center"/>
                </w:tcPr>
                <w:p>
                  <w:pPr>
                    <w:spacing w:line="3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3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3643"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502"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1.024</w:t>
                  </w:r>
                </w:p>
              </w:tc>
            </w:tr>
          </w:tbl>
          <w:p>
            <w:pPr>
              <w:pStyle w:val="75"/>
              <w:spacing w:line="360" w:lineRule="auto"/>
              <w:ind w:firstLine="422"/>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6.废气监测计划</w:t>
            </w:r>
          </w:p>
          <w:p>
            <w:pPr>
              <w:adjustRightInd w:val="0"/>
              <w:spacing w:line="360" w:lineRule="auto"/>
              <w:ind w:firstLine="420" w:firstLineChars="200"/>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根据《排污单位自行监测技术指南总则》（HJ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-2017）和《排污许可证申请与核发技术规范 石墨及其他非金属矿物制品制造》（HJ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-2020）制定本次监测计划，监测计划见表4-6。</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表4-6 大气污染物监测计划一览表</w:t>
            </w:r>
          </w:p>
          <w:tbl>
            <w:tblPr>
              <w:tblStyle w:val="23"/>
              <w:tblW w:w="7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800"/>
              <w:gridCol w:w="1307"/>
              <w:gridCol w:w="900"/>
              <w:gridCol w:w="3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2478" w:type="dxa"/>
                  <w:gridSpan w:val="2"/>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监测点位</w:t>
                  </w:r>
                </w:p>
              </w:tc>
              <w:tc>
                <w:tcPr>
                  <w:tcW w:w="1307"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监测因子</w:t>
                  </w:r>
                </w:p>
              </w:tc>
              <w:tc>
                <w:tcPr>
                  <w:tcW w:w="9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监测频次</w:t>
                  </w:r>
                </w:p>
              </w:tc>
              <w:tc>
                <w:tcPr>
                  <w:tcW w:w="3235"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78"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w:t>
                  </w:r>
                </w:p>
              </w:tc>
              <w:tc>
                <w:tcPr>
                  <w:tcW w:w="18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厂界，无组织源上风向一个点，下风向3个监测点</w:t>
                  </w:r>
                </w:p>
              </w:tc>
              <w:tc>
                <w:tcPr>
                  <w:tcW w:w="1307"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9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每年监测一次</w:t>
                  </w:r>
                </w:p>
              </w:tc>
              <w:tc>
                <w:tcPr>
                  <w:tcW w:w="3235"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-1996）表2无组织浓度限值</w:t>
                  </w:r>
                </w:p>
              </w:tc>
            </w:tr>
          </w:tbl>
          <w:p>
            <w:pPr>
              <w:spacing w:line="360" w:lineRule="auto"/>
              <w:rPr>
                <w:b/>
                <w:bCs/>
                <w:color w:val="000000"/>
                <w:szCs w:val="21"/>
              </w:rPr>
            </w:pPr>
            <w:r>
              <w:rPr>
                <w:rFonts w:hint="eastAsia"/>
                <w:b/>
                <w:color w:val="000000" w:themeColor="text1"/>
                <w:szCs w:val="21"/>
                <w14:textFill>
                  <w14:solidFill>
                    <w14:schemeClr w14:val="tx1"/>
                  </w14:solidFill>
                </w14:textFill>
              </w:rPr>
              <w:t>（二）</w:t>
            </w:r>
            <w:r>
              <w:rPr>
                <w:rFonts w:hint="eastAsia"/>
                <w:b/>
                <w:bCs/>
                <w:color w:val="000000"/>
                <w:szCs w:val="21"/>
              </w:rPr>
              <w:t>水环境影响分析</w:t>
            </w:r>
          </w:p>
          <w:p>
            <w:pPr>
              <w:spacing w:line="360" w:lineRule="auto"/>
              <w:ind w:firstLine="422" w:firstLineChars="200"/>
              <w:rPr>
                <w:b/>
                <w:bCs/>
                <w:szCs w:val="21"/>
              </w:rPr>
            </w:pPr>
            <w:r>
              <w:rPr>
                <w:rFonts w:hint="eastAsia"/>
                <w:b/>
                <w:bCs/>
                <w:szCs w:val="21"/>
              </w:rPr>
              <w:t>（1）本项目废水产排污情况及核算过程</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本项目采用雨、污分流制。雨水经收集后排入园区雨水管网；项目生产过程中冷却水循环使用，定期补水，不外排；切割区废水经沉淀池处理后循环使用，定期补水，不外排；项目废水主要为职工生活污水。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①冷却循环水用水</w:t>
            </w:r>
          </w:p>
          <w:p>
            <w:pPr>
              <w:spacing w:line="360" w:lineRule="auto"/>
              <w:ind w:firstLine="420" w:firstLineChars="200"/>
              <w:rPr>
                <w:szCs w:val="21"/>
              </w:rPr>
            </w:pPr>
            <w:r>
              <w:rPr>
                <w:rFonts w:hint="eastAsia"/>
                <w:szCs w:val="21"/>
              </w:rPr>
              <w:t>项目生产过程中冷却水循环使用，定期补水。项目设有1个200m</w:t>
            </w:r>
            <w:r>
              <w:rPr>
                <w:rFonts w:hint="eastAsia"/>
                <w:szCs w:val="21"/>
                <w:vertAlign w:val="superscript"/>
              </w:rPr>
              <w:t>3</w:t>
            </w:r>
            <w:r>
              <w:rPr>
                <w:rFonts w:hint="eastAsia"/>
                <w:szCs w:val="21"/>
              </w:rPr>
              <w:t>的冷却循环水池，自来水用于铸锭炉冷却。根据业主提供的资料，循环水池的补水量为3m</w:t>
            </w:r>
            <w:r>
              <w:rPr>
                <w:rFonts w:hint="eastAsia"/>
                <w:szCs w:val="21"/>
                <w:vertAlign w:val="superscript"/>
              </w:rPr>
              <w:t>3</w:t>
            </w:r>
            <w:r>
              <w:rPr>
                <w:rFonts w:hint="eastAsia"/>
                <w:szCs w:val="21"/>
              </w:rPr>
              <w:t>/d，则年用水量为900m</w:t>
            </w:r>
            <w:r>
              <w:rPr>
                <w:rFonts w:hint="eastAsia"/>
                <w:szCs w:val="21"/>
                <w:vertAlign w:val="superscript"/>
              </w:rPr>
              <w:t>3</w:t>
            </w:r>
            <w:r>
              <w:rPr>
                <w:rFonts w:hint="eastAsia"/>
                <w:szCs w:val="21"/>
              </w:rPr>
              <w:t>/a。</w:t>
            </w:r>
          </w:p>
          <w:p>
            <w:pPr>
              <w:spacing w:line="360" w:lineRule="auto"/>
              <w:ind w:firstLine="422" w:firstLineChars="200"/>
              <w:rPr>
                <w:szCs w:val="21"/>
              </w:rPr>
            </w:pPr>
            <w:r>
              <w:rPr>
                <w:rFonts w:hint="eastAsia"/>
                <w:b/>
                <w:bCs/>
                <w:szCs w:val="21"/>
              </w:rPr>
              <w:t>循环水量和铸锭炉运行情况：</w:t>
            </w:r>
            <w:r>
              <w:rPr>
                <w:rFonts w:hint="eastAsia"/>
                <w:szCs w:val="21"/>
              </w:rPr>
              <w:t>根据企业提供的资料，企业有20台铸锭炉，7台同时使用铸锭融化，7台静置水冷却，6台装料，20台铸锭炉循环使用。运行一次单次启动的铸锭炉的数量为7台，循环水密闭循环。单台冷水机容积为1.5m</w:t>
            </w:r>
            <w:r>
              <w:rPr>
                <w:rFonts w:hint="eastAsia"/>
                <w:szCs w:val="21"/>
                <w:vertAlign w:val="superscript"/>
              </w:rPr>
              <w:t>3</w:t>
            </w:r>
            <w:r>
              <w:rPr>
                <w:rFonts w:hint="eastAsia"/>
                <w:szCs w:val="21"/>
              </w:rPr>
              <w:t>，每运行一次循环水量为10.5m</w:t>
            </w:r>
            <w:r>
              <w:rPr>
                <w:rFonts w:hint="eastAsia"/>
                <w:szCs w:val="21"/>
                <w:vertAlign w:val="superscript"/>
              </w:rPr>
              <w:t>3</w:t>
            </w:r>
            <w:r>
              <w:rPr>
                <w:rFonts w:hint="eastAsia"/>
                <w:szCs w:val="21"/>
              </w:rPr>
              <w:t>/d。损耗为3m</w:t>
            </w:r>
            <w:r>
              <w:rPr>
                <w:rFonts w:hint="eastAsia"/>
                <w:szCs w:val="21"/>
                <w:vertAlign w:val="superscript"/>
              </w:rPr>
              <w:t>3</w:t>
            </w:r>
            <w:r>
              <w:rPr>
                <w:rFonts w:hint="eastAsia"/>
                <w:szCs w:val="21"/>
              </w:rPr>
              <w:t>/d。</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②切割用水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项目开方、截断、打磨工序（磨面和倒角）均为湿法作业，在刀口处设有喷水装置。根据业主提供的资料，开方用水量为2m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/d、截断用水量为2m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/d，打磨用水量为4m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/d，共计8m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/d，损失量以0.2计，废水产生量以0.8计，则废水产生量为6.4m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/d（1920t/a）。产生的废水经1个60m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的沉淀池沉淀处理后回用于切割工序（开方、截断、打磨等），不外排。</w:t>
            </w:r>
          </w:p>
          <w:p>
            <w:pPr>
              <w:spacing w:line="360" w:lineRule="auto"/>
              <w:ind w:firstLine="420" w:firstLineChars="200"/>
              <w:rPr>
                <w:szCs w:val="21"/>
              </w:rPr>
            </w:pPr>
            <w:r>
              <w:rPr>
                <w:rFonts w:hint="eastAsia"/>
                <w:szCs w:val="21"/>
              </w:rPr>
              <w:t>③生活废水</w:t>
            </w:r>
          </w:p>
          <w:p>
            <w:pPr>
              <w:spacing w:line="360" w:lineRule="auto"/>
              <w:ind w:firstLine="420" w:firstLineChars="200"/>
              <w:rPr>
                <w:szCs w:val="21"/>
              </w:rPr>
            </w:pPr>
            <w:r>
              <w:rPr>
                <w:rFonts w:hint="eastAsia"/>
                <w:szCs w:val="21"/>
              </w:rPr>
              <w:t>项目运营期职工为50人，本项目不设食宿。根据《云南省地方标准 用水定额》（DB53/T168-2019），用水量按每人每天用水50L计，产污系数按80%计算，则生活用水量为2.5m³/d（750m³/a），生活污水产生量为2m³/d（600m³/a），主要污染物为COD、BOD</w:t>
            </w:r>
            <w:r>
              <w:rPr>
                <w:rFonts w:hint="eastAsia"/>
                <w:szCs w:val="21"/>
                <w:vertAlign w:val="subscript"/>
              </w:rPr>
              <w:t>5</w:t>
            </w:r>
            <w:r>
              <w:rPr>
                <w:rFonts w:hint="eastAsia"/>
                <w:szCs w:val="21"/>
              </w:rPr>
              <w:t>、NH</w:t>
            </w:r>
            <w:r>
              <w:rPr>
                <w:rFonts w:hint="eastAsia"/>
                <w:szCs w:val="21"/>
                <w:vertAlign w:val="subscript"/>
              </w:rPr>
              <w:t>3</w:t>
            </w:r>
            <w:r>
              <w:rPr>
                <w:rFonts w:hint="eastAsia"/>
                <w:szCs w:val="21"/>
              </w:rPr>
              <w:t>-N、SS、动植物油、TP。</w:t>
            </w:r>
          </w:p>
          <w:p>
            <w:pPr>
              <w:spacing w:line="360" w:lineRule="auto"/>
              <w:ind w:firstLine="420" w:firstLineChars="200"/>
              <w:rPr>
                <w:szCs w:val="21"/>
              </w:rPr>
            </w:pPr>
            <w:r>
              <w:rPr>
                <w:rFonts w:hint="eastAsia"/>
                <w:szCs w:val="21"/>
              </w:rPr>
              <w:t>根据《城市污水回用技术手册》我国城市生活污水水质统计数据，生活废水各主要污染物浓度分别如下：COD约为400mg/L、BOD</w:t>
            </w:r>
            <w:r>
              <w:rPr>
                <w:rFonts w:hint="eastAsia"/>
                <w:szCs w:val="21"/>
                <w:vertAlign w:val="subscript"/>
              </w:rPr>
              <w:t>5</w:t>
            </w:r>
            <w:r>
              <w:rPr>
                <w:rFonts w:hint="eastAsia"/>
                <w:szCs w:val="21"/>
              </w:rPr>
              <w:t>为200mg/L、SS为220mg/L、氨氮为40mg/L、动植物油100mg/L，TP为1mg/L，纳管浓度均能够满足《污水排入城镇下水道水质标准》（GB/T3</w:t>
            </w:r>
            <w:r>
              <w:rPr>
                <w:rFonts w:hint="eastAsia"/>
                <w:szCs w:val="21"/>
                <w:lang w:eastAsia="zh-CN"/>
              </w:rPr>
              <w:t>****</w:t>
            </w:r>
            <w:r>
              <w:rPr>
                <w:rFonts w:hint="eastAsia"/>
                <w:szCs w:val="21"/>
              </w:rPr>
              <w:t>-2015）中A等级标准要求。</w:t>
            </w:r>
          </w:p>
          <w:p>
            <w:pPr>
              <w:spacing w:line="360" w:lineRule="auto"/>
              <w:jc w:val="center"/>
              <w:rPr>
                <w:b/>
                <w:bCs/>
                <w:szCs w:val="21"/>
              </w:rPr>
            </w:pPr>
            <w:r>
              <w:rPr>
                <w:rFonts w:hint="eastAsia"/>
                <w:b/>
                <w:bCs/>
                <w:szCs w:val="21"/>
              </w:rPr>
              <w:t>表4-7 生活污水水质一览表</w:t>
            </w:r>
          </w:p>
          <w:tbl>
            <w:tblPr>
              <w:tblStyle w:val="24"/>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804"/>
              <w:gridCol w:w="1014"/>
              <w:gridCol w:w="1045"/>
              <w:gridCol w:w="887"/>
              <w:gridCol w:w="1033"/>
              <w:gridCol w:w="1171"/>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vMerge w:val="restart"/>
                  <w:tcBorders>
                    <w:tl2br w:val="nil"/>
                    <w:tr2bl w:val="nil"/>
                  </w:tcBorders>
                  <w:vAlign w:val="center"/>
                </w:tcPr>
                <w:p>
                  <w:pPr>
                    <w:pStyle w:val="29"/>
                    <w:spacing w:line="240" w:lineRule="auto"/>
                    <w:jc w:val="center"/>
                    <w:rPr>
                      <w:rFonts w:ascii="Times New Roman" w:cs="Times New Roman" w:eastAsiaTheme="minorEastAsia"/>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污染物</w:t>
                  </w:r>
                </w:p>
              </w:tc>
              <w:tc>
                <w:tcPr>
                  <w:tcW w:w="4144" w:type="pct"/>
                  <w:gridSpan w:val="7"/>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污染物（mg/L）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vMerge w:val="continue"/>
                  <w:tcBorders>
                    <w:tl2br w:val="nil"/>
                    <w:tr2bl w:val="nil"/>
                  </w:tcBorders>
                  <w:vAlign w:val="center"/>
                </w:tcPr>
                <w:p>
                  <w:pPr>
                    <w:pStyle w:val="29"/>
                    <w:spacing w:line="240" w:lineRule="auto"/>
                    <w:jc w:val="center"/>
                    <w:rPr>
                      <w:rFonts w:ascii="Times New Roman" w:cs="Times New Roman" w:eastAsiaTheme="minorEastAsia"/>
                      <w:color w:val="000000" w:themeColor="text1"/>
                      <w:sz w:val="21"/>
                      <w:szCs w:val="21"/>
                      <w14:textFill>
                        <w14:solidFill>
                          <w14:schemeClr w14:val="tx1"/>
                        </w14:solidFill>
                      </w14:textFill>
                    </w:rPr>
                  </w:pPr>
                </w:p>
              </w:tc>
              <w:tc>
                <w:tcPr>
                  <w:tcW w:w="504"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pH</w:t>
                  </w:r>
                </w:p>
              </w:tc>
              <w:tc>
                <w:tcPr>
                  <w:tcW w:w="636"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CODcr</w:t>
                  </w:r>
                </w:p>
              </w:tc>
              <w:tc>
                <w:tcPr>
                  <w:tcW w:w="655"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BOD</w:t>
                  </w:r>
                  <w:r>
                    <w:rPr>
                      <w:rFonts w:hint="eastAsia" w:ascii="Times New Roman" w:cs="Times New Roman"/>
                      <w:color w:val="000000" w:themeColor="text1"/>
                      <w:sz w:val="21"/>
                      <w:szCs w:val="21"/>
                      <w:vertAlign w:val="subscript"/>
                      <w14:textFill>
                        <w14:solidFill>
                          <w14:schemeClr w14:val="tx1"/>
                        </w14:solidFill>
                      </w14:textFill>
                    </w:rPr>
                    <w:t>5</w:t>
                  </w:r>
                </w:p>
              </w:tc>
              <w:tc>
                <w:tcPr>
                  <w:tcW w:w="556"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SS</w:t>
                  </w:r>
                </w:p>
              </w:tc>
              <w:tc>
                <w:tcPr>
                  <w:tcW w:w="648"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NH</w:t>
                  </w:r>
                  <w:r>
                    <w:rPr>
                      <w:rFonts w:hint="eastAsia" w:ascii="Times New Roman" w:cs="Times New Roman"/>
                      <w:color w:val="000000" w:themeColor="text1"/>
                      <w:sz w:val="21"/>
                      <w:szCs w:val="21"/>
                      <w:vertAlign w:val="subscript"/>
                      <w14:textFill>
                        <w14:solidFill>
                          <w14:schemeClr w14:val="tx1"/>
                        </w14:solidFill>
                      </w14:textFill>
                    </w:rPr>
                    <w:t>3</w:t>
                  </w:r>
                  <w:r>
                    <w:rPr>
                      <w:rFonts w:hint="eastAsia" w:ascii="Times New Roman" w:cs="Times New Roman"/>
                      <w:color w:val="000000" w:themeColor="text1"/>
                      <w:sz w:val="21"/>
                      <w:szCs w:val="21"/>
                      <w14:textFill>
                        <w14:solidFill>
                          <w14:schemeClr w14:val="tx1"/>
                        </w14:solidFill>
                      </w14:textFill>
                    </w:rPr>
                    <w:t>-N</w:t>
                  </w:r>
                </w:p>
              </w:tc>
              <w:tc>
                <w:tcPr>
                  <w:tcW w:w="734"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动植物油</w:t>
                  </w:r>
                </w:p>
              </w:tc>
              <w:tc>
                <w:tcPr>
                  <w:tcW w:w="408" w:type="pct"/>
                  <w:tcBorders>
                    <w:tl2br w:val="nil"/>
                    <w:tr2bl w:val="nil"/>
                  </w:tcBorders>
                  <w:vAlign w:val="center"/>
                </w:tcPr>
                <w:p>
                  <w:pPr>
                    <w:pStyle w:val="29"/>
                    <w:spacing w:line="240" w:lineRule="auto"/>
                    <w:jc w:val="center"/>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生活污水</w:t>
                  </w:r>
                </w:p>
              </w:tc>
              <w:tc>
                <w:tcPr>
                  <w:tcW w:w="504"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6~9</w:t>
                  </w:r>
                </w:p>
              </w:tc>
              <w:tc>
                <w:tcPr>
                  <w:tcW w:w="636"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400</w:t>
                  </w:r>
                </w:p>
              </w:tc>
              <w:tc>
                <w:tcPr>
                  <w:tcW w:w="655"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200</w:t>
                  </w:r>
                </w:p>
              </w:tc>
              <w:tc>
                <w:tcPr>
                  <w:tcW w:w="556"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200</w:t>
                  </w:r>
                </w:p>
              </w:tc>
              <w:tc>
                <w:tcPr>
                  <w:tcW w:w="64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40</w:t>
                  </w:r>
                </w:p>
              </w:tc>
              <w:tc>
                <w:tcPr>
                  <w:tcW w:w="734"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100</w:t>
                  </w:r>
                </w:p>
              </w:tc>
              <w:tc>
                <w:tcPr>
                  <w:tcW w:w="40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w:t>
                  </w:r>
                </w:p>
              </w:tc>
            </w:tr>
          </w:tbl>
          <w:p>
            <w:pPr>
              <w:spacing w:line="360" w:lineRule="auto"/>
              <w:ind w:firstLine="420" w:firstLineChars="200"/>
              <w:rPr>
                <w:szCs w:val="21"/>
              </w:rPr>
            </w:pPr>
            <w:r>
              <w:rPr>
                <w:rFonts w:hint="eastAsia"/>
                <w:szCs w:val="21"/>
              </w:rPr>
              <w:t>根据园区规划及现场踏勘，项目污水管网已建成，项目生活污水依托园区建设的30m</w:t>
            </w:r>
            <w:r>
              <w:rPr>
                <w:rFonts w:hint="eastAsia"/>
                <w:szCs w:val="21"/>
                <w:vertAlign w:val="superscript"/>
              </w:rPr>
              <w:t>3</w:t>
            </w:r>
            <w:r>
              <w:rPr>
                <w:rFonts w:hint="eastAsia"/>
                <w:szCs w:val="21"/>
              </w:rPr>
              <w:t>的化粪池处理，处理后项目废水污染因子产排情况如下表所示。</w:t>
            </w:r>
          </w:p>
          <w:p>
            <w:pPr>
              <w:spacing w:line="360" w:lineRule="auto"/>
              <w:jc w:val="center"/>
              <w:rPr>
                <w:b/>
                <w:bCs/>
                <w:szCs w:val="21"/>
              </w:rPr>
            </w:pPr>
            <w:r>
              <w:rPr>
                <w:rFonts w:hint="eastAsia"/>
                <w:b/>
                <w:bCs/>
                <w:szCs w:val="21"/>
              </w:rPr>
              <w:t>表4-8 项目水污染物排放情况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273"/>
              <w:gridCol w:w="1173"/>
              <w:gridCol w:w="1175"/>
              <w:gridCol w:w="1173"/>
              <w:gridCol w:w="1163"/>
              <w:gridCol w:w="1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jc w:val="center"/>
              </w:trPr>
              <w:tc>
                <w:tcPr>
                  <w:tcW w:w="507" w:type="pct"/>
                  <w:vMerge w:val="restart"/>
                  <w:tcBorders>
                    <w:tl2br w:val="nil"/>
                    <w:tr2bl w:val="nil"/>
                  </w:tcBorders>
                  <w:vAlign w:val="center"/>
                </w:tcPr>
                <w:p>
                  <w:pPr>
                    <w:pStyle w:val="29"/>
                    <w:spacing w:line="240" w:lineRule="auto"/>
                    <w:jc w:val="center"/>
                    <w:rPr>
                      <w:rFonts w:ascii="Times New Roman" w:cs="Times New Roman" w:eastAsiaTheme="minorEastAsia"/>
                      <w:bCs/>
                      <w:color w:val="auto"/>
                      <w:sz w:val="21"/>
                      <w:szCs w:val="21"/>
                    </w:rPr>
                  </w:pPr>
                  <w:r>
                    <w:rPr>
                      <w:rFonts w:hint="eastAsia" w:ascii="Times New Roman" w:cs="Times New Roman"/>
                      <w:bCs/>
                      <w:color w:val="auto"/>
                      <w:sz w:val="21"/>
                      <w:szCs w:val="21"/>
                    </w:rPr>
                    <w:t>污染源</w:t>
                  </w:r>
                </w:p>
              </w:tc>
              <w:tc>
                <w:tcPr>
                  <w:tcW w:w="801" w:type="pct"/>
                  <w:vMerge w:val="restart"/>
                  <w:tcBorders>
                    <w:tl2br w:val="nil"/>
                    <w:tr2bl w:val="nil"/>
                  </w:tcBorders>
                  <w:vAlign w:val="center"/>
                </w:tcPr>
                <w:p>
                  <w:pPr>
                    <w:pStyle w:val="29"/>
                    <w:spacing w:line="240" w:lineRule="auto"/>
                    <w:jc w:val="center"/>
                    <w:rPr>
                      <w:rFonts w:ascii="Times New Roman" w:cs="Times New Roman" w:eastAsiaTheme="minorEastAsia"/>
                      <w:bCs/>
                      <w:color w:val="auto"/>
                      <w:sz w:val="21"/>
                      <w:szCs w:val="21"/>
                    </w:rPr>
                  </w:pPr>
                  <w:r>
                    <w:rPr>
                      <w:rFonts w:hint="eastAsia" w:ascii="Times New Roman" w:cs="Times New Roman"/>
                      <w:bCs/>
                      <w:color w:val="auto"/>
                      <w:sz w:val="21"/>
                      <w:szCs w:val="21"/>
                    </w:rPr>
                    <w:t>污染物</w:t>
                  </w:r>
                </w:p>
              </w:tc>
              <w:tc>
                <w:tcPr>
                  <w:tcW w:w="1477" w:type="pct"/>
                  <w:gridSpan w:val="2"/>
                  <w:tcBorders>
                    <w:tl2br w:val="nil"/>
                    <w:tr2bl w:val="nil"/>
                  </w:tcBorders>
                  <w:vAlign w:val="center"/>
                </w:tcPr>
                <w:p>
                  <w:pPr>
                    <w:pStyle w:val="29"/>
                    <w:spacing w:line="240" w:lineRule="auto"/>
                    <w:jc w:val="center"/>
                    <w:rPr>
                      <w:rFonts w:ascii="Times New Roman" w:cs="Times New Roman" w:eastAsiaTheme="minorEastAsia"/>
                      <w:bCs/>
                      <w:color w:val="auto"/>
                      <w:sz w:val="21"/>
                      <w:szCs w:val="21"/>
                    </w:rPr>
                  </w:pPr>
                  <w:r>
                    <w:rPr>
                      <w:rFonts w:hint="eastAsia" w:ascii="Times New Roman" w:cs="Times New Roman"/>
                      <w:bCs/>
                      <w:color w:val="auto"/>
                      <w:sz w:val="21"/>
                      <w:szCs w:val="21"/>
                    </w:rPr>
                    <w:t>产生情况</w:t>
                  </w:r>
                </w:p>
              </w:tc>
              <w:tc>
                <w:tcPr>
                  <w:tcW w:w="1470" w:type="pct"/>
                  <w:gridSpan w:val="2"/>
                  <w:tcBorders>
                    <w:tl2br w:val="nil"/>
                    <w:tr2bl w:val="nil"/>
                  </w:tcBorders>
                  <w:vAlign w:val="center"/>
                </w:tcPr>
                <w:p>
                  <w:pPr>
                    <w:pStyle w:val="29"/>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排放量</w:t>
                  </w:r>
                </w:p>
              </w:tc>
              <w:tc>
                <w:tcPr>
                  <w:tcW w:w="743" w:type="pct"/>
                  <w:vMerge w:val="restart"/>
                  <w:tcBorders>
                    <w:tl2br w:val="nil"/>
                    <w:tr2bl w:val="nil"/>
                  </w:tcBorders>
                  <w:vAlign w:val="center"/>
                </w:tcPr>
                <w:p>
                  <w:pPr>
                    <w:pStyle w:val="29"/>
                    <w:spacing w:line="240" w:lineRule="auto"/>
                    <w:jc w:val="center"/>
                    <w:rPr>
                      <w:rFonts w:ascii="Times New Roman" w:cs="Times New Roman" w:eastAsiaTheme="minorEastAsia"/>
                      <w:color w:val="auto"/>
                      <w:sz w:val="21"/>
                      <w:szCs w:val="21"/>
                    </w:rPr>
                  </w:pPr>
                  <w:r>
                    <w:rPr>
                      <w:rFonts w:hint="eastAsia" w:ascii="Times New Roman" w:cs="Times New Roman"/>
                      <w:bCs/>
                      <w:color w:val="auto"/>
                      <w:sz w:val="21"/>
                      <w:szCs w:val="21"/>
                    </w:rPr>
                    <w:t>排放标准限值（mg/L）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7" w:type="pct"/>
                  <w:vMerge w:val="continue"/>
                  <w:tcBorders>
                    <w:tl2br w:val="nil"/>
                    <w:tr2bl w:val="nil"/>
                  </w:tcBorders>
                  <w:vAlign w:val="center"/>
                </w:tcPr>
                <w:p>
                  <w:pPr>
                    <w:pStyle w:val="29"/>
                    <w:spacing w:line="240" w:lineRule="auto"/>
                    <w:jc w:val="center"/>
                    <w:rPr>
                      <w:rFonts w:ascii="Times New Roman" w:cs="Times New Roman"/>
                      <w:bCs/>
                      <w:color w:val="auto"/>
                      <w:sz w:val="21"/>
                      <w:szCs w:val="21"/>
                    </w:rPr>
                  </w:pPr>
                </w:p>
              </w:tc>
              <w:tc>
                <w:tcPr>
                  <w:tcW w:w="801" w:type="pct"/>
                  <w:vMerge w:val="continue"/>
                  <w:tcBorders>
                    <w:tl2br w:val="nil"/>
                    <w:tr2bl w:val="nil"/>
                  </w:tcBorders>
                  <w:vAlign w:val="center"/>
                </w:tcPr>
                <w:p>
                  <w:pPr>
                    <w:pStyle w:val="29"/>
                    <w:spacing w:line="240" w:lineRule="auto"/>
                    <w:jc w:val="center"/>
                    <w:rPr>
                      <w:rFonts w:ascii="Times New Roman" w:cs="Times New Roman"/>
                      <w:bCs/>
                      <w:color w:val="auto"/>
                      <w:sz w:val="21"/>
                      <w:szCs w:val="21"/>
                    </w:rPr>
                  </w:pPr>
                </w:p>
              </w:tc>
              <w:tc>
                <w:tcPr>
                  <w:tcW w:w="738" w:type="pct"/>
                  <w:tcBorders>
                    <w:tl2br w:val="nil"/>
                    <w:tr2bl w:val="nil"/>
                  </w:tcBorders>
                  <w:vAlign w:val="center"/>
                </w:tcPr>
                <w:p>
                  <w:pPr>
                    <w:pStyle w:val="29"/>
                    <w:spacing w:line="240" w:lineRule="auto"/>
                    <w:jc w:val="center"/>
                    <w:rPr>
                      <w:rFonts w:ascii="Times New Roman" w:cs="Times New Roman" w:eastAsiaTheme="minorEastAsia"/>
                      <w:bCs/>
                      <w:color w:val="auto"/>
                      <w:sz w:val="21"/>
                      <w:szCs w:val="21"/>
                    </w:rPr>
                  </w:pPr>
                  <w:r>
                    <w:rPr>
                      <w:rFonts w:hint="eastAsia" w:ascii="Times New Roman" w:cs="Times New Roman"/>
                      <w:bCs/>
                      <w:color w:val="auto"/>
                      <w:sz w:val="21"/>
                      <w:szCs w:val="21"/>
                    </w:rPr>
                    <w:t>产生浓度（mg/L）</w:t>
                  </w:r>
                </w:p>
              </w:tc>
              <w:tc>
                <w:tcPr>
                  <w:tcW w:w="738" w:type="pct"/>
                  <w:tcBorders>
                    <w:tl2br w:val="nil"/>
                    <w:tr2bl w:val="nil"/>
                  </w:tcBorders>
                  <w:vAlign w:val="center"/>
                </w:tcPr>
                <w:p>
                  <w:pPr>
                    <w:pStyle w:val="29"/>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产生量</w:t>
                  </w:r>
                </w:p>
                <w:p>
                  <w:pPr>
                    <w:pStyle w:val="29"/>
                    <w:spacing w:line="240" w:lineRule="auto"/>
                    <w:jc w:val="center"/>
                    <w:rPr>
                      <w:rFonts w:ascii="Times New Roman" w:cs="Times New Roman" w:eastAsiaTheme="minorEastAsia"/>
                      <w:bCs/>
                      <w:color w:val="auto"/>
                      <w:sz w:val="21"/>
                      <w:szCs w:val="21"/>
                    </w:rPr>
                  </w:pPr>
                  <w:r>
                    <w:rPr>
                      <w:rFonts w:hint="eastAsia" w:ascii="Times New Roman" w:cs="Times New Roman"/>
                      <w:bCs/>
                      <w:color w:val="auto"/>
                      <w:sz w:val="21"/>
                      <w:szCs w:val="21"/>
                    </w:rPr>
                    <w:t>（t/a）</w:t>
                  </w:r>
                </w:p>
              </w:tc>
              <w:tc>
                <w:tcPr>
                  <w:tcW w:w="738" w:type="pct"/>
                  <w:tcBorders>
                    <w:tl2br w:val="nil"/>
                    <w:tr2bl w:val="nil"/>
                  </w:tcBorders>
                  <w:vAlign w:val="center"/>
                </w:tcPr>
                <w:p>
                  <w:pPr>
                    <w:pStyle w:val="29"/>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排放浓度（mg/L）</w:t>
                  </w:r>
                </w:p>
              </w:tc>
              <w:tc>
                <w:tcPr>
                  <w:tcW w:w="732" w:type="pct"/>
                  <w:tcBorders>
                    <w:tl2br w:val="nil"/>
                    <w:tr2bl w:val="nil"/>
                  </w:tcBorders>
                  <w:vAlign w:val="center"/>
                </w:tcPr>
                <w:p>
                  <w:pPr>
                    <w:pStyle w:val="29"/>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排放量</w:t>
                  </w:r>
                </w:p>
                <w:p>
                  <w:pPr>
                    <w:pStyle w:val="29"/>
                    <w:spacing w:line="240" w:lineRule="auto"/>
                    <w:jc w:val="center"/>
                    <w:rPr>
                      <w:rFonts w:ascii="Times New Roman" w:cs="Times New Roman"/>
                      <w:bCs/>
                      <w:color w:val="auto"/>
                      <w:sz w:val="21"/>
                      <w:szCs w:val="21"/>
                    </w:rPr>
                  </w:pPr>
                  <w:r>
                    <w:rPr>
                      <w:rFonts w:hint="eastAsia" w:ascii="Times New Roman" w:cs="Times New Roman"/>
                      <w:bCs/>
                      <w:color w:val="auto"/>
                      <w:sz w:val="21"/>
                      <w:szCs w:val="21"/>
                    </w:rPr>
                    <w:t>（t/a）</w:t>
                  </w:r>
                </w:p>
              </w:tc>
              <w:tc>
                <w:tcPr>
                  <w:tcW w:w="743" w:type="pct"/>
                  <w:vMerge w:val="continue"/>
                  <w:tcBorders>
                    <w:tl2br w:val="nil"/>
                    <w:tr2bl w:val="nil"/>
                  </w:tcBorders>
                  <w:vAlign w:val="center"/>
                </w:tcPr>
                <w:p>
                  <w:pPr>
                    <w:pStyle w:val="29"/>
                    <w:spacing w:line="240" w:lineRule="auto"/>
                    <w:jc w:val="center"/>
                    <w:rPr>
                      <w:rFonts w:asci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restart"/>
                  <w:tcBorders>
                    <w:tl2br w:val="nil"/>
                    <w:tr2bl w:val="nil"/>
                  </w:tcBorders>
                  <w:vAlign w:val="center"/>
                </w:tcPr>
                <w:p>
                  <w:pPr>
                    <w:pStyle w:val="29"/>
                    <w:spacing w:line="240" w:lineRule="auto"/>
                    <w:jc w:val="center"/>
                    <w:rPr>
                      <w:rFonts w:ascii="Times New Roman" w:cs="Times New Roman"/>
                      <w:b w:val="0"/>
                      <w:bCs/>
                      <w:color w:val="auto"/>
                      <w:sz w:val="21"/>
                      <w:szCs w:val="21"/>
                    </w:rPr>
                  </w:pPr>
                  <w:r>
                    <w:rPr>
                      <w:rFonts w:hint="eastAsia" w:ascii="Times New Roman" w:cs="Times New Roman"/>
                      <w:b w:val="0"/>
                      <w:bCs/>
                      <w:color w:val="auto"/>
                      <w:sz w:val="21"/>
                      <w:szCs w:val="21"/>
                    </w:rPr>
                    <w:t>600</w:t>
                  </w:r>
                </w:p>
                <w:p>
                  <w:pPr>
                    <w:pStyle w:val="29"/>
                    <w:spacing w:line="240" w:lineRule="auto"/>
                    <w:jc w:val="center"/>
                    <w:rPr>
                      <w:rFonts w:ascii="Times New Roman" w:cs="Times New Roman"/>
                      <w:b w:val="0"/>
                      <w:bCs/>
                      <w:color w:val="auto"/>
                      <w:sz w:val="21"/>
                      <w:szCs w:val="21"/>
                    </w:rPr>
                  </w:pPr>
                  <w:r>
                    <w:rPr>
                      <w:rFonts w:hint="eastAsia" w:ascii="Times New Roman" w:cs="Times New Roman"/>
                      <w:b w:val="0"/>
                      <w:bCs/>
                      <w:color w:val="auto"/>
                      <w:sz w:val="21"/>
                      <w:szCs w:val="21"/>
                    </w:rPr>
                    <w:t>m</w:t>
                  </w:r>
                  <w:r>
                    <w:rPr>
                      <w:rFonts w:hint="eastAsia" w:ascii="Times New Roman" w:cs="Times New Roman"/>
                      <w:b w:val="0"/>
                      <w:bCs/>
                      <w:color w:val="auto"/>
                      <w:sz w:val="21"/>
                      <w:szCs w:val="21"/>
                      <w:vertAlign w:val="superscript"/>
                    </w:rPr>
                    <w:t>3</w:t>
                  </w:r>
                  <w:r>
                    <w:rPr>
                      <w:rFonts w:hint="eastAsia" w:ascii="Times New Roman" w:cs="Times New Roman"/>
                      <w:b w:val="0"/>
                      <w:bCs/>
                      <w:color w:val="auto"/>
                      <w:sz w:val="21"/>
                      <w:szCs w:val="21"/>
                    </w:rPr>
                    <w:t>/a</w:t>
                  </w:r>
                </w:p>
              </w:tc>
              <w:tc>
                <w:tcPr>
                  <w:tcW w:w="801"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pH</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6~9</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6~9</w:t>
                  </w:r>
                </w:p>
              </w:tc>
              <w:tc>
                <w:tcPr>
                  <w:tcW w:w="732"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jc w:val="center"/>
              </w:trPr>
              <w:tc>
                <w:tcPr>
                  <w:tcW w:w="507" w:type="pct"/>
                  <w:vMerge w:val="continue"/>
                  <w:tcBorders>
                    <w:tl2br w:val="nil"/>
                    <w:tr2bl w:val="nil"/>
                  </w:tcBorders>
                  <w:vAlign w:val="center"/>
                </w:tcPr>
                <w:p>
                  <w:pPr>
                    <w:pStyle w:val="29"/>
                    <w:spacing w:line="240" w:lineRule="auto"/>
                    <w:jc w:val="center"/>
                    <w:rPr>
                      <w:rFonts w:ascii="Times New Roman" w:cs="Times New Roman" w:eastAsiaTheme="minorEastAsia"/>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CODcr</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400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0.240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200</w:t>
                  </w:r>
                </w:p>
              </w:tc>
              <w:tc>
                <w:tcPr>
                  <w:tcW w:w="732"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0.120</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continue"/>
                  <w:tcBorders>
                    <w:tl2br w:val="nil"/>
                    <w:tr2bl w:val="nil"/>
                  </w:tcBorders>
                  <w:vAlign w:val="center"/>
                </w:tcPr>
                <w:p>
                  <w:pPr>
                    <w:pStyle w:val="29"/>
                    <w:spacing w:line="240" w:lineRule="auto"/>
                    <w:jc w:val="center"/>
                    <w:rPr>
                      <w:rFonts w:ascii="Times New Roman" w:cs="Times New Roman"/>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BOD</w:t>
                  </w:r>
                  <w:r>
                    <w:rPr>
                      <w:rFonts w:hint="eastAsia" w:ascii="Times New Roman" w:cs="Times New Roman"/>
                      <w:b w:val="0"/>
                      <w:bCs/>
                      <w:color w:val="000000" w:themeColor="text1"/>
                      <w:sz w:val="21"/>
                      <w:szCs w:val="21"/>
                      <w:vertAlign w:val="subscript"/>
                      <w14:textFill>
                        <w14:solidFill>
                          <w14:schemeClr w14:val="tx1"/>
                        </w14:solidFill>
                      </w14:textFill>
                    </w:rPr>
                    <w:t>5</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200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0.120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100</w:t>
                  </w:r>
                </w:p>
              </w:tc>
              <w:tc>
                <w:tcPr>
                  <w:tcW w:w="732"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0.060</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continue"/>
                  <w:tcBorders>
                    <w:tl2br w:val="nil"/>
                    <w:tr2bl w:val="nil"/>
                  </w:tcBorders>
                  <w:vAlign w:val="center"/>
                </w:tcPr>
                <w:p>
                  <w:pPr>
                    <w:pStyle w:val="29"/>
                    <w:spacing w:line="240" w:lineRule="auto"/>
                    <w:jc w:val="center"/>
                    <w:rPr>
                      <w:rFonts w:ascii="Times New Roman" w:cs="Times New Roman"/>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SS</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200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0.120</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120</w:t>
                  </w:r>
                </w:p>
              </w:tc>
              <w:tc>
                <w:tcPr>
                  <w:tcW w:w="732"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0.072</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continue"/>
                  <w:tcBorders>
                    <w:tl2br w:val="nil"/>
                    <w:tr2bl w:val="nil"/>
                  </w:tcBorders>
                  <w:vAlign w:val="center"/>
                </w:tcPr>
                <w:p>
                  <w:pPr>
                    <w:pStyle w:val="29"/>
                    <w:spacing w:line="240" w:lineRule="auto"/>
                    <w:jc w:val="center"/>
                    <w:rPr>
                      <w:rFonts w:ascii="Times New Roman" w:cs="Times New Roman"/>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NH</w:t>
                  </w:r>
                  <w:r>
                    <w:rPr>
                      <w:rFonts w:hint="eastAsia" w:ascii="Times New Roman" w:cs="Times New Roman"/>
                      <w:b w:val="0"/>
                      <w:bCs/>
                      <w:color w:val="000000" w:themeColor="text1"/>
                      <w:sz w:val="21"/>
                      <w:szCs w:val="21"/>
                      <w:vertAlign w:val="subscript"/>
                      <w14:textFill>
                        <w14:solidFill>
                          <w14:schemeClr w14:val="tx1"/>
                        </w14:solidFill>
                      </w14:textFill>
                    </w:rPr>
                    <w:t>3</w:t>
                  </w:r>
                  <w:r>
                    <w:rPr>
                      <w:rFonts w:hint="eastAsia" w:ascii="Times New Roman" w:cs="Times New Roman"/>
                      <w:b w:val="0"/>
                      <w:bCs/>
                      <w:color w:val="000000" w:themeColor="text1"/>
                      <w:sz w:val="21"/>
                      <w:szCs w:val="21"/>
                      <w14:textFill>
                        <w14:solidFill>
                          <w14:schemeClr w14:val="tx1"/>
                        </w14:solidFill>
                      </w14:textFill>
                    </w:rPr>
                    <w:t>-N</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40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0.024</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28</w:t>
                  </w:r>
                </w:p>
              </w:tc>
              <w:tc>
                <w:tcPr>
                  <w:tcW w:w="732"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0.017</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continue"/>
                  <w:tcBorders>
                    <w:tl2br w:val="nil"/>
                    <w:tr2bl w:val="nil"/>
                  </w:tcBorders>
                  <w:vAlign w:val="center"/>
                </w:tcPr>
                <w:p>
                  <w:pPr>
                    <w:pStyle w:val="29"/>
                    <w:spacing w:line="240" w:lineRule="auto"/>
                    <w:jc w:val="center"/>
                    <w:rPr>
                      <w:rFonts w:ascii="Times New Roman" w:cs="Times New Roman"/>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动植物油</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100</w:t>
                  </w:r>
                </w:p>
              </w:tc>
              <w:tc>
                <w:tcPr>
                  <w:tcW w:w="738"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0.060</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60</w:t>
                  </w:r>
                </w:p>
              </w:tc>
              <w:tc>
                <w:tcPr>
                  <w:tcW w:w="732"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0.036</w:t>
                  </w:r>
                </w:p>
              </w:tc>
              <w:tc>
                <w:tcPr>
                  <w:tcW w:w="743" w:type="pct"/>
                  <w:tcBorders>
                    <w:tl2br w:val="nil"/>
                    <w:tr2bl w:val="nil"/>
                  </w:tcBorders>
                  <w:vAlign w:val="center"/>
                </w:tcPr>
                <w:p>
                  <w:pPr>
                    <w:pStyle w:val="29"/>
                    <w:spacing w:line="240" w:lineRule="auto"/>
                    <w:jc w:val="center"/>
                    <w:rPr>
                      <w:rFonts w:asci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7" w:type="pct"/>
                  <w:vMerge w:val="continue"/>
                  <w:tcBorders>
                    <w:tl2br w:val="nil"/>
                    <w:tr2bl w:val="nil"/>
                  </w:tcBorders>
                  <w:vAlign w:val="center"/>
                </w:tcPr>
                <w:p>
                  <w:pPr>
                    <w:pStyle w:val="29"/>
                    <w:spacing w:line="240" w:lineRule="auto"/>
                    <w:jc w:val="center"/>
                    <w:rPr>
                      <w:rFonts w:ascii="Times New Roman" w:cs="Times New Roman"/>
                      <w:b w:val="0"/>
                      <w:bCs/>
                      <w:color w:val="auto"/>
                      <w:sz w:val="21"/>
                      <w:szCs w:val="21"/>
                    </w:rPr>
                  </w:pPr>
                </w:p>
              </w:tc>
              <w:tc>
                <w:tcPr>
                  <w:tcW w:w="801"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TP</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0.0006</w:t>
                  </w:r>
                </w:p>
              </w:tc>
              <w:tc>
                <w:tcPr>
                  <w:tcW w:w="738"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1</w:t>
                  </w:r>
                </w:p>
              </w:tc>
              <w:tc>
                <w:tcPr>
                  <w:tcW w:w="732"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0.0006</w:t>
                  </w:r>
                </w:p>
              </w:tc>
              <w:tc>
                <w:tcPr>
                  <w:tcW w:w="743" w:type="pct"/>
                  <w:tcBorders>
                    <w:tl2br w:val="nil"/>
                    <w:tr2bl w:val="nil"/>
                  </w:tcBorders>
                  <w:vAlign w:val="center"/>
                </w:tcPr>
                <w:p>
                  <w:pPr>
                    <w:pStyle w:val="29"/>
                    <w:spacing w:line="240" w:lineRule="auto"/>
                    <w:jc w:val="center"/>
                    <w:rPr>
                      <w:rFonts w:ascii="Times New Roman"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14:textFill>
                        <w14:solidFill>
                          <w14:schemeClr w14:val="tx1"/>
                        </w14:solidFill>
                      </w14:textFill>
                    </w:rPr>
                    <w:t>8</w:t>
                  </w:r>
                </w:p>
              </w:tc>
            </w:tr>
          </w:tbl>
          <w:p>
            <w:pPr>
              <w:spacing w:line="360" w:lineRule="auto"/>
              <w:ind w:firstLine="420" w:firstLineChars="200"/>
              <w:rPr>
                <w:szCs w:val="21"/>
              </w:rPr>
            </w:pPr>
            <w:r>
              <w:rPr>
                <w:rFonts w:hint="eastAsia"/>
                <w:szCs w:val="21"/>
              </w:rPr>
              <w:t>由上表可知，项目生活污水经化粪池处理后可满足《污水排入城镇下水道水质标准》（GB/T3</w:t>
            </w:r>
            <w:r>
              <w:rPr>
                <w:rFonts w:hint="eastAsia"/>
                <w:szCs w:val="21"/>
                <w:lang w:eastAsia="zh-CN"/>
              </w:rPr>
              <w:t>****</w:t>
            </w:r>
            <w:r>
              <w:rPr>
                <w:rFonts w:hint="eastAsia"/>
                <w:szCs w:val="21"/>
              </w:rPr>
              <w:t>-2015）A等级标准后，通过市政污水管网进入四方地碧谷污水处理厂处理。</w:t>
            </w:r>
          </w:p>
          <w:p>
            <w:pPr>
              <w:spacing w:line="360" w:lineRule="auto"/>
              <w:ind w:firstLine="422" w:firstLineChars="200"/>
              <w:rPr>
                <w:b/>
                <w:bCs/>
                <w:szCs w:val="21"/>
              </w:rPr>
            </w:pPr>
            <w:r>
              <w:rPr>
                <w:rFonts w:hint="eastAsia"/>
                <w:b/>
                <w:bCs/>
                <w:szCs w:val="21"/>
              </w:rPr>
              <w:t>（2）污水处理设施可行性分析</w:t>
            </w:r>
          </w:p>
          <w:p>
            <w:pPr>
              <w:numPr>
                <w:ilvl w:val="0"/>
                <w:numId w:val="7"/>
              </w:numPr>
              <w:spacing w:line="360" w:lineRule="auto"/>
              <w:ind w:firstLine="420" w:firstLineChars="200"/>
              <w:rPr>
                <w:szCs w:val="21"/>
              </w:rPr>
            </w:pPr>
            <w:r>
              <w:rPr>
                <w:rFonts w:hint="eastAsia"/>
                <w:szCs w:val="21"/>
              </w:rPr>
              <w:t>化粪池接纳废水可行性分析</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项目生活污水量为2m³/d，600m³/a。根据《建筑给水排水设计规范》（GB</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-2019）4.8.6 中，化粪池停留时间为12~24小时，本项目取化粪池停留时间为24小时，系数取1.2，化粪池落实硬化防渗，从处理规模上分析，则需要化粪池容积4.8m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，园区已建设容积为30m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的化粪池，</w:t>
            </w:r>
            <w:r>
              <w:rPr>
                <w:rFonts w:hint="eastAsia"/>
                <w:color w:val="000000" w:themeColor="text1"/>
                <w:szCs w:val="21"/>
                <w:highlight w:val="none"/>
                <w:lang w:val="en-US" w:eastAsia="zh-CN"/>
                <w14:textFill>
                  <w14:solidFill>
                    <w14:schemeClr w14:val="tx1"/>
                  </w14:solidFill>
                </w14:textFill>
              </w:rPr>
              <w:t>目前全部未使用，余量为30m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能满足本项目生活废水处理需要。</w:t>
            </w:r>
          </w:p>
          <w:p>
            <w:pPr>
              <w:numPr>
                <w:ilvl w:val="0"/>
                <w:numId w:val="7"/>
              </w:num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冷却循环水池和沉淀池规模大小可行性分析</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本项目循环水用量为3m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/d，本项目冷却循环水池容积为200m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，能满足冷却循环用水2个月的暂存能力。</w:t>
            </w:r>
          </w:p>
          <w:p>
            <w:pPr>
              <w:spacing w:line="360" w:lineRule="auto"/>
              <w:ind w:firstLine="420" w:firstLineChars="200"/>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本项目生产废水产生量为6.4m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/d，沉淀池容积为60m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，能满足其处理能力，同时可以暂存9天的生产废水。</w:t>
            </w:r>
            <w:r>
              <w:rPr>
                <w:rFonts w:hint="eastAsia"/>
                <w:color w:val="000000" w:themeColor="text1"/>
                <w:szCs w:val="21"/>
                <w:highlight w:val="none"/>
                <w:lang w:val="en-US" w:eastAsia="zh-CN"/>
                <w14:textFill>
                  <w14:solidFill>
                    <w14:schemeClr w14:val="tx1"/>
                  </w14:solidFill>
                </w14:textFill>
              </w:rPr>
              <w:t>本项目切割用水仅用于降温和除尘</w:t>
            </w:r>
            <w:r>
              <w:rPr>
                <w:rFonts w:hint="eastAsia" w:ascii="Times New Roman" w:hAnsi="Times New Roman" w:cs="Times New Roman"/>
                <w:color w:val="000000" w:themeColor="text1"/>
                <w:szCs w:val="21"/>
                <w:highlight w:val="none"/>
                <w:lang w:val="en-US" w:eastAsia="zh-CN"/>
                <w14:textFill>
                  <w14:solidFill>
                    <w14:schemeClr w14:val="tx1"/>
                  </w14:solidFill>
                </w14:textFill>
              </w:rPr>
              <w:t>，对水质要求不高，</w:t>
            </w:r>
            <w:r>
              <w:rPr>
                <w:rFonts w:hint="eastAsia"/>
                <w:color w:val="000000" w:themeColor="text1"/>
                <w:szCs w:val="21"/>
                <w:highlight w:val="none"/>
                <w:lang w:val="en-US" w:eastAsia="zh-CN"/>
                <w14:textFill>
                  <w14:solidFill>
                    <w14:schemeClr w14:val="tx1"/>
                  </w14:solidFill>
                </w14:textFill>
              </w:rPr>
              <w:t>成品销售后由采购方进行酸洗、水洗，在冷却循环过程中，由于粉尘比较重，且在水中溶解度不高，带入的粉尘会聚集在池底，形成沉渣，经沉淀后可以回用于生产工序，满足其生产用水水质要求。</w:t>
            </w:r>
          </w:p>
          <w:p>
            <w:pPr>
              <w:numPr>
                <w:ilvl w:val="0"/>
                <w:numId w:val="7"/>
              </w:numPr>
              <w:spacing w:line="360" w:lineRule="auto"/>
              <w:ind w:firstLine="420" w:firstLineChars="200"/>
              <w:rPr>
                <w:szCs w:val="21"/>
              </w:rPr>
            </w:pPr>
            <w:r>
              <w:rPr>
                <w:rFonts w:hint="eastAsia"/>
                <w:szCs w:val="21"/>
              </w:rPr>
              <w:t>排水方案可行性和可靠性分析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据现场踏勘，项目园区内市政污水管网已建成运行，项目生活污水拟依托新建容积为30m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的化粪池处理后纳入园区污水管网，进入四方地碧谷污水处理厂；冷却循环水，循环使用，定期补水即可，不外排；生产废水经沉淀池处理后回用，不外排。</w:t>
            </w:r>
          </w:p>
          <w:p>
            <w:pPr>
              <w:spacing w:line="360" w:lineRule="auto"/>
              <w:ind w:firstLine="422" w:firstLineChars="200"/>
              <w:rPr>
                <w:b/>
                <w:bCs/>
                <w:szCs w:val="21"/>
              </w:rPr>
            </w:pPr>
            <w:r>
              <w:rPr>
                <w:rFonts w:hint="eastAsia"/>
                <w:b/>
                <w:bCs/>
                <w:szCs w:val="21"/>
              </w:rPr>
              <w:t>生活污水进入四方地碧谷污水处理厂的可行性分析：</w:t>
            </w:r>
          </w:p>
          <w:p>
            <w:pPr>
              <w:spacing w:line="360" w:lineRule="auto"/>
              <w:ind w:firstLine="420" w:firstLineChars="200"/>
              <w:rPr>
                <w:szCs w:val="21"/>
              </w:rPr>
            </w:pPr>
            <w:r>
              <w:rPr>
                <w:rFonts w:hint="eastAsia"/>
                <w:szCs w:val="21"/>
              </w:rPr>
              <w:t>根据规划环评的调查，目前已针对四方地碧谷工业园区建设了一座处理量为20000m³/d的污水处理厂，主要处理四方地碧谷工业园区企业产生的生活污水，该污水处理厂采用二级生化处理工艺，目前实际运营规模为150m³/d，处理余量较大，可满足项目生活污水的处理要求。根据调查，该项目区域污水管网已建成且通达，项目生活污水经处理后可满足《污水排入城镇下水道水质标准》（GB/T3</w:t>
            </w:r>
            <w:r>
              <w:rPr>
                <w:rFonts w:hint="eastAsia"/>
                <w:szCs w:val="21"/>
                <w:lang w:eastAsia="zh-CN"/>
              </w:rPr>
              <w:t>****</w:t>
            </w:r>
            <w:r>
              <w:rPr>
                <w:rFonts w:hint="eastAsia"/>
                <w:szCs w:val="21"/>
              </w:rPr>
              <w:t>-2015）A等级标准，进入进入四方地碧谷污水处理厂处理可行，对环境影响较小。</w:t>
            </w:r>
          </w:p>
          <w:p>
            <w:pPr>
              <w:spacing w:line="360" w:lineRule="auto"/>
              <w:ind w:firstLine="420" w:firstLineChars="200"/>
              <w:rPr>
                <w:bCs/>
                <w:color w:val="FF0000"/>
                <w:szCs w:val="21"/>
              </w:rPr>
            </w:pPr>
            <w:r>
              <w:rPr>
                <w:rFonts w:hint="eastAsia"/>
                <w:szCs w:val="21"/>
              </w:rPr>
              <w:t>综上所述，从配套管网的设置、污水厂处理能力、接管水质等角度分析，项目废水纳入四方地碧谷污水处理厂处理是可行的，对周边地表水环境影响较小。</w:t>
            </w: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
      <w:tblGrid>
        <w:gridCol w:w="13228"/>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13228" w:type="dxa"/>
            <w:tcBorders>
              <w:tl2br w:val="nil"/>
              <w:tr2bl w:val="nil"/>
            </w:tcBorders>
          </w:tcPr>
          <w:p>
            <w:pPr>
              <w:spacing w:line="360" w:lineRule="auto"/>
              <w:rPr>
                <w:b/>
                <w:bCs/>
              </w:rPr>
            </w:pPr>
            <w:r>
              <w:rPr>
                <w:rFonts w:hint="eastAsia"/>
                <w:b/>
                <w:bCs/>
              </w:rPr>
              <w:t>（三）声环境影响分析</w:t>
            </w:r>
          </w:p>
          <w:p>
            <w:pPr>
              <w:autoSpaceDE w:val="0"/>
              <w:autoSpaceDN w:val="0"/>
              <w:adjustRightInd w:val="0"/>
              <w:spacing w:line="360" w:lineRule="auto"/>
              <w:ind w:firstLine="420" w:firstLineChars="200"/>
              <w:jc w:val="left"/>
            </w:pPr>
            <w:r>
              <w:rPr>
                <w:rFonts w:hint="eastAsia"/>
              </w:rPr>
              <w:t>（1）噪声源及源强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本项目噪声源主要来自各类机械设备，包括多晶硅铸锭炉、水冷式冷水机组、开方机、截断机等设备产生的噪声等，声级值为60～85dB（A），具体产噪设备的数量及声级值见下表：</w:t>
            </w:r>
          </w:p>
          <w:p>
            <w:pPr>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表4-9 工业企业噪声源强调查清单（室内声源）</w:t>
            </w:r>
          </w:p>
          <w:tbl>
            <w:tblPr>
              <w:tblStyle w:val="23"/>
              <w:tblW w:w="130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67"/>
              <w:gridCol w:w="1272"/>
              <w:gridCol w:w="731"/>
              <w:gridCol w:w="731"/>
              <w:gridCol w:w="1362"/>
              <w:gridCol w:w="842"/>
              <w:gridCol w:w="1481"/>
              <w:gridCol w:w="561"/>
              <w:gridCol w:w="600"/>
              <w:gridCol w:w="704"/>
              <w:gridCol w:w="843"/>
              <w:gridCol w:w="911"/>
              <w:gridCol w:w="785"/>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jc w:val="center"/>
              </w:trPr>
              <w:tc>
                <w:tcPr>
                  <w:tcW w:w="44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67"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建筑物名称</w:t>
                  </w:r>
                </w:p>
              </w:tc>
              <w:tc>
                <w:tcPr>
                  <w:tcW w:w="1272"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声源名称</w:t>
                  </w:r>
                </w:p>
              </w:tc>
              <w:tc>
                <w:tcPr>
                  <w:tcW w:w="73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型号</w:t>
                  </w:r>
                </w:p>
              </w:tc>
              <w:tc>
                <w:tcPr>
                  <w:tcW w:w="73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2204"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声源源强（任选一种）</w:t>
                  </w:r>
                </w:p>
              </w:tc>
              <w:tc>
                <w:tcPr>
                  <w:tcW w:w="148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声源控制措施</w:t>
                  </w:r>
                </w:p>
              </w:tc>
              <w:tc>
                <w:tcPr>
                  <w:tcW w:w="1865" w:type="dxa"/>
                  <w:gridSpan w:val="3"/>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空间相对位置/m</w:t>
                  </w:r>
                </w:p>
              </w:tc>
              <w:tc>
                <w:tcPr>
                  <w:tcW w:w="84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距室内边界距离/m</w:t>
                  </w:r>
                </w:p>
              </w:tc>
              <w:tc>
                <w:tcPr>
                  <w:tcW w:w="91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室内边界声级</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/dB(A)</w:t>
                  </w:r>
                </w:p>
              </w:tc>
              <w:tc>
                <w:tcPr>
                  <w:tcW w:w="785"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运行时段</w:t>
                  </w:r>
                </w:p>
              </w:tc>
              <w:tc>
                <w:tcPr>
                  <w:tcW w:w="972"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建筑物插入损失/dB(A)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43"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1"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1" w:type="dxa"/>
                  <w:vMerge w:val="continue"/>
                  <w:tcBorders>
                    <w:tl2br w:val="nil"/>
                    <w:tr2bl w:val="nil"/>
                  </w:tcBorders>
                  <w:vAlign w:val="center"/>
                </w:tcPr>
                <w:p>
                  <w:pPr>
                    <w:jc w:val="center"/>
                    <w:rPr>
                      <w:color w:val="000000" w:themeColor="text1"/>
                      <w14:textFill>
                        <w14:solidFill>
                          <w14:schemeClr w14:val="tx1"/>
                        </w14:solidFill>
                      </w14:textFill>
                    </w:rPr>
                  </w:pP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（声压级/距声源距离）/</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（dB(A)/m）</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声功率级/dB(A)</w:t>
                  </w:r>
                </w:p>
              </w:tc>
              <w:tc>
                <w:tcPr>
                  <w:tcW w:w="1481" w:type="dxa"/>
                  <w:vMerge w:val="continue"/>
                  <w:tcBorders>
                    <w:tl2br w:val="nil"/>
                    <w:tr2bl w:val="nil"/>
                  </w:tcBorders>
                  <w:vAlign w:val="center"/>
                </w:tcPr>
                <w:p>
                  <w:pPr>
                    <w:jc w:val="center"/>
                    <w:rPr>
                      <w:color w:val="000000" w:themeColor="text1"/>
                      <w14:textFill>
                        <w14:solidFill>
                          <w14:schemeClr w14:val="tx1"/>
                        </w14:solidFill>
                      </w14:textFill>
                    </w:rPr>
                  </w:pP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843" w:type="dxa"/>
                  <w:vMerge w:val="continue"/>
                  <w:tcBorders>
                    <w:tl2br w:val="nil"/>
                    <w:tr2bl w:val="nil"/>
                  </w:tcBorders>
                  <w:vAlign w:val="center"/>
                </w:tcPr>
                <w:p>
                  <w:pPr>
                    <w:jc w:val="center"/>
                    <w:rPr>
                      <w:color w:val="000000" w:themeColor="text1"/>
                      <w14:textFill>
                        <w14:solidFill>
                          <w14:schemeClr w14:val="tx1"/>
                        </w14:solidFill>
                      </w14:textFill>
                    </w:rPr>
                  </w:pPr>
                </w:p>
              </w:tc>
              <w:tc>
                <w:tcPr>
                  <w:tcW w:w="911" w:type="dxa"/>
                  <w:vMerge w:val="continue"/>
                  <w:tcBorders>
                    <w:tl2br w:val="nil"/>
                    <w:tr2bl w:val="nil"/>
                  </w:tcBorders>
                  <w:vAlign w:val="center"/>
                </w:tcPr>
                <w:p>
                  <w:pPr>
                    <w:jc w:val="center"/>
                    <w:rPr>
                      <w:color w:val="000000" w:themeColor="text1"/>
                      <w14:textFill>
                        <w14:solidFill>
                          <w14:schemeClr w14:val="tx1"/>
                        </w14:solidFill>
                      </w14:textFill>
                    </w:rPr>
                  </w:pPr>
                </w:p>
              </w:tc>
              <w:tc>
                <w:tcPr>
                  <w:tcW w:w="785" w:type="dxa"/>
                  <w:vMerge w:val="continue"/>
                  <w:tcBorders>
                    <w:tl2br w:val="nil"/>
                    <w:tr2bl w:val="nil"/>
                  </w:tcBorders>
                  <w:vAlign w:val="center"/>
                </w:tcPr>
                <w:p>
                  <w:pPr>
                    <w:jc w:val="center"/>
                    <w:rPr>
                      <w:color w:val="000000" w:themeColor="text1"/>
                      <w14:textFill>
                        <w14:solidFill>
                          <w14:schemeClr w14:val="tx1"/>
                        </w14:solidFill>
                      </w14:textFill>
                    </w:rPr>
                  </w:pPr>
                </w:p>
              </w:tc>
              <w:tc>
                <w:tcPr>
                  <w:tcW w:w="972" w:type="dxa"/>
                  <w:vMerge w:val="continue"/>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67"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多晶硅铸锭炉（1组）</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J2-660</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7.33</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-28.27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多晶硅铸锭炉（2组）</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J2-660</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10套</w:t>
                  </w:r>
                </w:p>
              </w:tc>
              <w:tc>
                <w:tcPr>
                  <w:tcW w:w="136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13.33</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叉车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间断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行车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间断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上料设备</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装载机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起重设备</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手拖车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硅片少子寿命仪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SEMILAB WT-2000D</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红外探伤仪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SEMILAB IRB-55</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电阻率测试仪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50个</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氩气系统</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水冷式冷水机组</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普通水供应系统</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开方机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S1000</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数控多晶硅双平面磨研机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WSK015/1</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3刀6位环线截断机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倒角机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bl>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（2）预测范围及预测点布设</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综合考虑，本次预测范围与评价范围一致，即项目边界向外50m为预测范围。项目厂界东、南、西、北处各设置1个。</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（3）预测模式</w:t>
            </w:r>
          </w:p>
          <w:p>
            <w:pPr>
              <w:autoSpaceDE w:val="0"/>
              <w:autoSpaceDN w:val="0"/>
              <w:adjustRightIn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噪声预测软件采用六五软件工作室开发制作并拥有全部版权的EIAProN2021。该软件以《环境影响评价技术导则—声环境》（HJ2.4-2021）的技术要求和推荐模型为编制依据，满足新导则要求。预测软件版本号位Ver2.5。</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户外声传播衰减包括几何发散（Adiv）、大气吸收（Aatm）、地面效应（Agr）、障碍物屏蔽（Abar）、其他多方面效应（Amisc）引起的衰减。</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a）在环境影响评价中，应根据声源声功率级或参考位置处的声压级、户外声传播衰减，计算预测点的声级，分别按式（A.1）或式（A.2）计算。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43325" cy="238125"/>
                  <wp:effectExtent l="0" t="0" r="9525" b="9525"/>
                  <wp:docPr id="3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7"/>
                          <pic:cNvPicPr>
                            <a:picLocks noChangeAspect="1"/>
                          </pic:cNvPicPr>
                        </pic:nvPicPr>
                        <pic:blipFill>
                          <a:blip r:embed="rId27"/>
                          <a:stretch>
                            <a:fillRect/>
                          </a:stretch>
                        </pic:blipFill>
                        <pic:spPr>
                          <a:xfrm>
                            <a:off x="0" y="0"/>
                            <a:ext cx="3743325" cy="238125"/>
                          </a:xfrm>
                          <a:prstGeom prst="rect">
                            <a:avLst/>
                          </a:prstGeom>
                          <a:noFill/>
                          <a:ln>
                            <a:noFill/>
                          </a:ln>
                        </pic:spPr>
                      </pic:pic>
                    </a:graphicData>
                  </a:graphic>
                </wp:inline>
              </w:drawing>
            </w:r>
            <w:r>
              <w:rPr>
                <w:rFonts w:hint="eastAsia"/>
                <w:color w:val="000000" w:themeColor="text1"/>
                <w14:textFill>
                  <w14:solidFill>
                    <w14:schemeClr w14:val="tx1"/>
                  </w14:solidFill>
                </w14:textFill>
              </w:rPr>
              <w:t>（A.1）</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式中：Lp(r) ——预测点处声压级，dB；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Lw ——由点声源产生的声功率级（A计权或倍频带），dB；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DC ——指向性校正，它描述点声源的等效连续声压级与产生声功率级Lw的全向</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点声源在规定方向的声级的偏差程度，dB；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Abar ——障碍物屏蔽引起的衰减，dB；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11270" cy="248285"/>
                  <wp:effectExtent l="0" t="0" r="17780" b="18415"/>
                  <wp:docPr id="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8"/>
                          <pic:cNvPicPr>
                            <a:picLocks noChangeAspect="1"/>
                          </pic:cNvPicPr>
                        </pic:nvPicPr>
                        <pic:blipFill>
                          <a:blip r:embed="rId28"/>
                          <a:stretch>
                            <a:fillRect/>
                          </a:stretch>
                        </pic:blipFill>
                        <pic:spPr>
                          <a:xfrm>
                            <a:off x="0" y="0"/>
                            <a:ext cx="3811270" cy="248285"/>
                          </a:xfrm>
                          <a:prstGeom prst="rect">
                            <a:avLst/>
                          </a:prstGeom>
                          <a:noFill/>
                          <a:ln>
                            <a:noFill/>
                          </a:ln>
                        </pic:spPr>
                      </pic:pic>
                    </a:graphicData>
                  </a:graphic>
                </wp:inline>
              </w:drawing>
            </w:r>
            <w:r>
              <w:rPr>
                <w:rFonts w:hint="eastAsia"/>
                <w:color w:val="000000" w:themeColor="text1"/>
                <w14:textFill>
                  <w14:solidFill>
                    <w14:schemeClr w14:val="tx1"/>
                  </w14:solidFill>
                </w14:textFill>
              </w:rPr>
              <w:t>（A.2）</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式中：Lp(r) ——预测点处声压级，dB；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Lp(r0) ——参考位置r0处的声压级，dB；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DC——指向性校正，它描述点声源的等效连续声压级与产生声功率级Lw的全向点声源在规定方向的声级的偏差程度，dB；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Abar ——障碍物屏蔽引起的衰减，dB；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b）预测点的A声级 LA(r)可按式（A.3）计算，即将8个倍频带声压级合成，计算出预测点的A声级[LA(r)]。</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76070" cy="432435"/>
                  <wp:effectExtent l="0" t="0" r="5080" b="5715"/>
                  <wp:docPr id="3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9"/>
                          <pic:cNvPicPr>
                            <a:picLocks noChangeAspect="1"/>
                          </pic:cNvPicPr>
                        </pic:nvPicPr>
                        <pic:blipFill>
                          <a:blip r:embed="rId29"/>
                          <a:stretch>
                            <a:fillRect/>
                          </a:stretch>
                        </pic:blipFill>
                        <pic:spPr>
                          <a:xfrm>
                            <a:off x="0" y="0"/>
                            <a:ext cx="1576070" cy="432435"/>
                          </a:xfrm>
                          <a:prstGeom prst="rect">
                            <a:avLst/>
                          </a:prstGeom>
                          <a:noFill/>
                          <a:ln>
                            <a:noFill/>
                          </a:ln>
                        </pic:spPr>
                      </pic:pic>
                    </a:graphicData>
                  </a:graphic>
                </wp:inline>
              </w:drawing>
            </w:r>
            <w:r>
              <w:rPr>
                <w:rFonts w:hint="eastAsia"/>
                <w:color w:val="000000" w:themeColor="text1"/>
                <w14:textFill>
                  <w14:solidFill>
                    <w14:schemeClr w14:val="tx1"/>
                  </w14:solidFill>
                </w14:textFill>
              </w:rPr>
              <w:t>（A.3）</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Lpi(r)——预测点（r）处，第i倍频带声压级，dB；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ΔLi——第i倍频带的A计权网络修正值，dB。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c）在只考虑几何发散衰减时，可按式（A.4）计算。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57325" cy="339725"/>
                  <wp:effectExtent l="0" t="0" r="9525" b="3175"/>
                  <wp:docPr id="3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0"/>
                          <pic:cNvPicPr>
                            <a:picLocks noChangeAspect="1"/>
                          </pic:cNvPicPr>
                        </pic:nvPicPr>
                        <pic:blipFill>
                          <a:blip r:embed="rId30"/>
                          <a:stretch>
                            <a:fillRect/>
                          </a:stretch>
                        </pic:blipFill>
                        <pic:spPr>
                          <a:xfrm>
                            <a:off x="0" y="0"/>
                            <a:ext cx="1457325" cy="339725"/>
                          </a:xfrm>
                          <a:prstGeom prst="rect">
                            <a:avLst/>
                          </a:prstGeom>
                          <a:noFill/>
                          <a:ln>
                            <a:noFill/>
                          </a:ln>
                        </pic:spPr>
                      </pic:pic>
                    </a:graphicData>
                  </a:graphic>
                </wp:inline>
              </w:drawing>
            </w:r>
            <w:r>
              <w:rPr>
                <w:rFonts w:hint="eastAsia"/>
                <w:color w:val="000000" w:themeColor="text1"/>
                <w14:textFill>
                  <w14:solidFill>
                    <w14:schemeClr w14:val="tx1"/>
                  </w14:solidFill>
                </w14:textFill>
              </w:rPr>
              <w:t>（A.4）</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LA(r0)——参考位置r0处的A声级，dB(A)；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点声源的几何发散衰减(Adiv)按下式计算：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64590" cy="448310"/>
                  <wp:effectExtent l="0" t="0" r="16510" b="8890"/>
                  <wp:docPr id="3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1"/>
                          <pic:cNvPicPr>
                            <a:picLocks noChangeAspect="1"/>
                          </pic:cNvPicPr>
                        </pic:nvPicPr>
                        <pic:blipFill>
                          <a:blip r:embed="rId31"/>
                          <a:stretch>
                            <a:fillRect/>
                          </a:stretch>
                        </pic:blipFill>
                        <pic:spPr>
                          <a:xfrm>
                            <a:off x="0" y="0"/>
                            <a:ext cx="1164590" cy="44831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LA(r0)——参考位置r0处的A声级，dB(A)；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点声源的几何发散衰减(Adiv)按下式计算：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156335" cy="482600"/>
                  <wp:effectExtent l="0" t="0" r="5715" b="12700"/>
                  <wp:docPr id="4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2"/>
                          <pic:cNvPicPr>
                            <a:picLocks noChangeAspect="1"/>
                          </pic:cNvPicPr>
                        </pic:nvPicPr>
                        <pic:blipFill>
                          <a:blip r:embed="rId32"/>
                          <a:stretch>
                            <a:fillRect/>
                          </a:stretch>
                        </pic:blipFill>
                        <pic:spPr>
                          <a:xfrm>
                            <a:off x="0" y="0"/>
                            <a:ext cx="1156335" cy="48260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空气吸收引起的衰减(Aatm)按下式计算：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295400" cy="483235"/>
                  <wp:effectExtent l="0" t="0" r="0" b="12065"/>
                  <wp:docPr id="4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3"/>
                          <pic:cNvPicPr>
                            <a:picLocks noChangeAspect="1"/>
                          </pic:cNvPicPr>
                        </pic:nvPicPr>
                        <pic:blipFill>
                          <a:blip r:embed="rId33"/>
                          <a:stretch>
                            <a:fillRect/>
                          </a:stretch>
                        </pic:blipFill>
                        <pic:spPr>
                          <a:xfrm>
                            <a:off x="0" y="0"/>
                            <a:ext cx="1295400" cy="483235"/>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地面效应衰减(Agr)按下式计算：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945005" cy="513080"/>
                  <wp:effectExtent l="0" t="0" r="17145" b="1270"/>
                  <wp:docPr id="4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4"/>
                          <pic:cNvPicPr>
                            <a:picLocks noChangeAspect="1"/>
                          </pic:cNvPicPr>
                        </pic:nvPicPr>
                        <pic:blipFill>
                          <a:blip r:embed="rId34"/>
                          <a:stretch>
                            <a:fillRect/>
                          </a:stretch>
                        </pic:blipFill>
                        <pic:spPr>
                          <a:xfrm>
                            <a:off x="0" y="0"/>
                            <a:ext cx="1945005" cy="51308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 r—声源到预测点的距离，m</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hm—传播路径的平均离地高度，m</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其他多方面原因引起的衰减(Amisc)包括通过工业场所或房屋群的衰减等。</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d)在不能取得声源倍频带声功率级或倍频声压级，只能获得A声功率级或某点的A声级时，单个室外点声源的预测可按下式作近似计算：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661795" cy="397510"/>
                  <wp:effectExtent l="0" t="0" r="14605" b="2540"/>
                  <wp:docPr id="4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5"/>
                          <pic:cNvPicPr>
                            <a:picLocks noChangeAspect="1"/>
                          </pic:cNvPicPr>
                        </pic:nvPicPr>
                        <pic:blipFill>
                          <a:blip r:embed="rId35"/>
                          <a:stretch>
                            <a:fillRect/>
                          </a:stretch>
                        </pic:blipFill>
                        <pic:spPr>
                          <a:xfrm>
                            <a:off x="0" y="0"/>
                            <a:ext cx="1661795" cy="39751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A可选择对A声级影响最大的倍频带计算，一般可选中心频率为500Hz的倍频带作估算。</w:t>
            </w:r>
          </w:p>
          <w:p>
            <w:pPr>
              <w:autoSpaceDE w:val="0"/>
              <w:autoSpaceDN w:val="0"/>
              <w:adjustRightInd w:val="0"/>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工业企业噪声计算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设第i个室外声源在预测点产生的A声级为LAi ，在T时间内该声源工作时间为ti；</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第j个等效室外声源在预测点产生的A声级为LAj，在T时间内该声源工作时间为tj，则拟建工程声源对预测点产生的贡献值（Leqg）为：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44775" cy="555625"/>
                  <wp:effectExtent l="0" t="0" r="3175" b="15875"/>
                  <wp:docPr id="4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16"/>
                          <pic:cNvPicPr>
                            <a:picLocks noChangeAspect="1"/>
                          </pic:cNvPicPr>
                        </pic:nvPicPr>
                        <pic:blipFill>
                          <a:blip r:embed="rId36"/>
                          <a:stretch>
                            <a:fillRect/>
                          </a:stretch>
                        </pic:blipFill>
                        <pic:spPr>
                          <a:xfrm>
                            <a:off x="0" y="0"/>
                            <a:ext cx="2644775" cy="555625"/>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式中：Leqg——建设项目声源在预测点产生的噪声贡献值，dB；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 ——用于计算等效声级的时间，s；</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N ——室外声源个数；</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ti——在T 时间内i 声源工作时间，s；</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M ——等效室外声源个数；</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tj ——在T时间内 j 声源工作时间，s。</w:t>
            </w:r>
          </w:p>
          <w:p>
            <w:pPr>
              <w:autoSpaceDE w:val="0"/>
              <w:autoSpaceDN w:val="0"/>
              <w:adjustRightInd w:val="0"/>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预测值计算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预测点的贡献值和背景值按能量叠加方法计算得到的声级。噪声预测值（Leq）计算公式为：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70125" cy="444500"/>
                  <wp:effectExtent l="0" t="0" r="15875" b="12700"/>
                  <wp:docPr id="4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7"/>
                          <pic:cNvPicPr>
                            <a:picLocks noChangeAspect="1"/>
                          </pic:cNvPicPr>
                        </pic:nvPicPr>
                        <pic:blipFill>
                          <a:blip r:embed="rId37"/>
                          <a:stretch>
                            <a:fillRect/>
                          </a:stretch>
                        </pic:blipFill>
                        <pic:spPr>
                          <a:xfrm>
                            <a:off x="0" y="0"/>
                            <a:ext cx="2270125" cy="44450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式中：Leq——预测点的噪声预测值，dB；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Leqg——建设项目声源在预测点产生的噪声贡献值，dB；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Leqb——预测点的背景噪声值，dB。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
            <w:pPr>
              <w:pStyle w:val="11"/>
            </w:pPr>
          </w:p>
        </w:tc>
      </w:tr>
    </w:tbl>
    <w:p>
      <w:pPr>
        <w:pStyle w:val="8"/>
        <w:sectPr>
          <w:pgSz w:w="16840" w:h="11907" w:orient="landscape"/>
          <w:pgMar w:top="1531" w:right="1701" w:bottom="1531" w:left="2127" w:header="851" w:footer="851" w:gutter="0"/>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
                <w:szCs w:val="21"/>
              </w:rPr>
            </w:pPr>
            <w:r>
              <w:rPr>
                <w:rFonts w:hint="eastAsia" w:ascii="宋体" w:hAnsi="宋体" w:cs="宋体"/>
                <w:b/>
                <w:szCs w:val="21"/>
              </w:rPr>
              <w:t>运营</w:t>
            </w:r>
          </w:p>
          <w:p>
            <w:pPr>
              <w:adjustRightInd w:val="0"/>
              <w:snapToGrid w:val="0"/>
              <w:jc w:val="center"/>
              <w:rPr>
                <w:rFonts w:ascii="宋体" w:hAnsi="宋体" w:cs="宋体"/>
                <w:b/>
                <w:szCs w:val="21"/>
              </w:rPr>
            </w:pPr>
            <w:r>
              <w:rPr>
                <w:rFonts w:hint="eastAsia" w:ascii="宋体" w:hAnsi="宋体" w:cs="宋体"/>
                <w:b/>
                <w:szCs w:val="21"/>
              </w:rPr>
              <w:t>期环</w:t>
            </w:r>
          </w:p>
          <w:p>
            <w:pPr>
              <w:adjustRightInd w:val="0"/>
              <w:snapToGrid w:val="0"/>
              <w:jc w:val="center"/>
              <w:rPr>
                <w:rFonts w:ascii="宋体" w:hAnsi="宋体" w:cs="宋体"/>
                <w:b/>
                <w:szCs w:val="21"/>
              </w:rPr>
            </w:pPr>
            <w:r>
              <w:rPr>
                <w:rFonts w:hint="eastAsia" w:ascii="宋体" w:hAnsi="宋体" w:cs="宋体"/>
                <w:b/>
                <w:szCs w:val="21"/>
              </w:rPr>
              <w:t>境影</w:t>
            </w:r>
          </w:p>
          <w:p>
            <w:pPr>
              <w:adjustRightInd w:val="0"/>
              <w:snapToGrid w:val="0"/>
              <w:jc w:val="center"/>
              <w:rPr>
                <w:rFonts w:ascii="宋体" w:hAnsi="宋体" w:cs="宋体"/>
                <w:b/>
                <w:szCs w:val="21"/>
              </w:rPr>
            </w:pPr>
            <w:r>
              <w:rPr>
                <w:rFonts w:hint="eastAsia" w:ascii="宋体" w:hAnsi="宋体" w:cs="宋体"/>
                <w:b/>
                <w:szCs w:val="21"/>
              </w:rPr>
              <w:t>响和</w:t>
            </w:r>
          </w:p>
          <w:p>
            <w:pPr>
              <w:adjustRightInd w:val="0"/>
              <w:snapToGrid w:val="0"/>
              <w:jc w:val="center"/>
              <w:rPr>
                <w:rFonts w:ascii="宋体" w:hAnsi="宋体" w:cs="宋体"/>
                <w:b/>
                <w:szCs w:val="21"/>
              </w:rPr>
            </w:pPr>
            <w:r>
              <w:rPr>
                <w:rFonts w:hint="eastAsia" w:ascii="宋体" w:hAnsi="宋体" w:cs="宋体"/>
                <w:b/>
                <w:szCs w:val="21"/>
              </w:rPr>
              <w:t>保护</w:t>
            </w:r>
          </w:p>
          <w:p>
            <w:pPr>
              <w:adjustRightInd w:val="0"/>
              <w:snapToGrid w:val="0"/>
              <w:jc w:val="center"/>
              <w:rPr>
                <w:rFonts w:ascii="宋体" w:hAnsi="宋体" w:cs="宋体"/>
                <w:bCs/>
                <w:szCs w:val="21"/>
              </w:rPr>
            </w:pPr>
            <w:r>
              <w:rPr>
                <w:rFonts w:hint="eastAsia" w:ascii="宋体" w:hAnsi="宋体" w:cs="宋体"/>
                <w:b/>
                <w:szCs w:val="21"/>
              </w:rPr>
              <w:t>措施</w:t>
            </w:r>
          </w:p>
        </w:tc>
        <w:tc>
          <w:tcPr>
            <w:tcW w:w="8162" w:type="dxa"/>
            <w:vAlign w:val="center"/>
          </w:tcPr>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（4）预测结果</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项目运营期噪声预测结果见表4-10。</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表4-10 项目厂界噪声预测结果一览表 单位：dB（A）</w:t>
            </w:r>
          </w:p>
          <w:tbl>
            <w:tblPr>
              <w:tblStyle w:val="24"/>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39"/>
              <w:gridCol w:w="743"/>
              <w:gridCol w:w="1592"/>
              <w:gridCol w:w="1107"/>
              <w:gridCol w:w="1256"/>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0" w:type="pct"/>
                  <w:tcBorders>
                    <w:tl2br w:val="nil"/>
                    <w:tr2bl w:val="nil"/>
                  </w:tcBorders>
                  <w:vAlign w:val="center"/>
                </w:tcPr>
                <w:p>
                  <w:pPr>
                    <w:adjustRightInd w:val="0"/>
                    <w:snapToGrid w:val="0"/>
                    <w:jc w:val="center"/>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预测点位</w:t>
                  </w:r>
                </w:p>
              </w:tc>
              <w:tc>
                <w:tcPr>
                  <w:tcW w:w="998" w:type="pct"/>
                  <w:gridSpan w:val="2"/>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坐标</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昼间/夜间等效噪声</w:t>
                  </w:r>
                </w:p>
              </w:tc>
              <w:tc>
                <w:tcPr>
                  <w:tcW w:w="69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背景值</w:t>
                  </w:r>
                </w:p>
              </w:tc>
              <w:tc>
                <w:tcPr>
                  <w:tcW w:w="79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叠加值</w:t>
                  </w:r>
                </w:p>
              </w:tc>
              <w:tc>
                <w:tcPr>
                  <w:tcW w:w="80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5" w:hRule="atLeast"/>
                <w:jc w:val="center"/>
              </w:trPr>
              <w:tc>
                <w:tcPr>
                  <w:tcW w:w="700" w:type="pct"/>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东1#</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36</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16</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52.30</w:t>
                  </w:r>
                </w:p>
              </w:tc>
              <w:tc>
                <w:tcPr>
                  <w:tcW w:w="69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w:t>
                  </w:r>
                </w:p>
              </w:tc>
              <w:tc>
                <w:tcPr>
                  <w:tcW w:w="1257" w:type="dxa"/>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52.30</w:t>
                  </w:r>
                </w:p>
              </w:tc>
              <w:tc>
                <w:tcPr>
                  <w:tcW w:w="80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南2#</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10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-45</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51.19</w:t>
                  </w:r>
                </w:p>
              </w:tc>
              <w:tc>
                <w:tcPr>
                  <w:tcW w:w="69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w:t>
                  </w:r>
                </w:p>
              </w:tc>
              <w:tc>
                <w:tcPr>
                  <w:tcW w:w="1257" w:type="dxa"/>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51.19</w:t>
                  </w:r>
                </w:p>
              </w:tc>
              <w:tc>
                <w:tcPr>
                  <w:tcW w:w="80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西3#</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-60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65</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53.10</w:t>
                  </w:r>
                </w:p>
              </w:tc>
              <w:tc>
                <w:tcPr>
                  <w:tcW w:w="69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w:t>
                  </w:r>
                </w:p>
              </w:tc>
              <w:tc>
                <w:tcPr>
                  <w:tcW w:w="1257" w:type="dxa"/>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53.10</w:t>
                  </w:r>
                </w:p>
              </w:tc>
              <w:tc>
                <w:tcPr>
                  <w:tcW w:w="80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北4#</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20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-45</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49.34</w:t>
                  </w:r>
                </w:p>
              </w:tc>
              <w:tc>
                <w:tcPr>
                  <w:tcW w:w="69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w:t>
                  </w:r>
                </w:p>
              </w:tc>
              <w:tc>
                <w:tcPr>
                  <w:tcW w:w="1257" w:type="dxa"/>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49.34</w:t>
                  </w:r>
                </w:p>
              </w:tc>
              <w:tc>
                <w:tcPr>
                  <w:tcW w:w="803"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bl>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根据表4-17预测结果可知，在考虑隔声降噪等措施，项目厂界东、南、西、北侧昼夜间噪声预测值均能满足《工业企业厂界噪声排放标准》（GB</w:t>
            </w:r>
            <w:r>
              <w:rPr>
                <w:rFonts w:hint="eastAsia" w:hAnsi="宋体"/>
                <w:color w:val="000000" w:themeColor="text1"/>
                <w:kern w:val="0"/>
                <w:szCs w:val="21"/>
                <w:lang w:eastAsia="zh-CN"/>
                <w14:textFill>
                  <w14:solidFill>
                    <w14:schemeClr w14:val="tx1"/>
                  </w14:solidFill>
                </w14:textFill>
              </w:rPr>
              <w:t>*****</w:t>
            </w:r>
            <w:r>
              <w:rPr>
                <w:rFonts w:hint="eastAsia" w:hAnsi="宋体"/>
                <w:color w:val="000000" w:themeColor="text1"/>
                <w:kern w:val="0"/>
                <w:szCs w:val="21"/>
                <w14:textFill>
                  <w14:solidFill>
                    <w14:schemeClr w14:val="tx1"/>
                  </w14:solidFill>
                </w14:textFill>
              </w:rPr>
              <w:t>-2008）3类标准。</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（5）减缓对环境影响对策措施</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在噪声治理上，针对不同性质的噪声，采取了不同的消声、隔声措施，其各种措施的可行性分述如下：</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①选用低噪声设备、安装减震垫</w:t>
            </w:r>
            <w:r>
              <w:rPr>
                <w:rFonts w:hint="eastAsia" w:hAnsi="宋体"/>
                <w:color w:val="000000" w:themeColor="text1"/>
                <w:kern w:val="0"/>
                <w:szCs w:val="21"/>
                <w:lang w:eastAsia="zh-CN"/>
                <w14:textFill>
                  <w14:solidFill>
                    <w14:schemeClr w14:val="tx1"/>
                  </w14:solidFill>
                </w14:textFill>
              </w:rPr>
              <w:t>。</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②日常加强产噪设备的检修工作，确保设备稳定正常运转，防止不良工况下的故障噪声产生。</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③保持设备处于良好的运转状态，防止因设备运转不正常而增大噪声，要经常进行保养，减少磨擦力，降低噪声。</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④加强厂内交通管理，对厂区内道路进行行车方向指示，车辆进入厂区后，禁止鸣喇叭，厂区内进口设禁鸣标志，降低进入厂区内的车速。严格管理进出车辆，避免产生噪声扰民。</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综上，在采取以上措施后，本项目噪声对项目周边声环境质量影响不大。</w:t>
            </w:r>
          </w:p>
          <w:p>
            <w:pPr>
              <w:pStyle w:val="75"/>
              <w:spacing w:line="360" w:lineRule="auto"/>
              <w:ind w:firstLine="42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（6）噪声监测计划</w:t>
            </w:r>
          </w:p>
          <w:p>
            <w:pPr>
              <w:adjustRightInd w:val="0"/>
              <w:spacing w:line="360" w:lineRule="auto"/>
              <w:ind w:firstLine="420" w:firstLineChars="200"/>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对照《排污单位自行监测技术指南 总则》（HJ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-2017），监测计划见表4-11。</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表4-11 噪声监测计划一览表</w:t>
            </w:r>
          </w:p>
          <w:tbl>
            <w:tblPr>
              <w:tblStyle w:val="23"/>
              <w:tblW w:w="7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471"/>
              <w:gridCol w:w="1468"/>
              <w:gridCol w:w="3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1811"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监测点位</w:t>
                  </w:r>
                </w:p>
              </w:tc>
              <w:tc>
                <w:tcPr>
                  <w:tcW w:w="1471"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监测因子</w:t>
                  </w:r>
                </w:p>
              </w:tc>
              <w:tc>
                <w:tcPr>
                  <w:tcW w:w="1468"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监测频次</w:t>
                  </w:r>
                </w:p>
              </w:tc>
              <w:tc>
                <w:tcPr>
                  <w:tcW w:w="3170"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811"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四侧厂界（每个厂界一个点位）</w:t>
                  </w:r>
                </w:p>
              </w:tc>
              <w:tc>
                <w:tcPr>
                  <w:tcW w:w="1471"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等效连续A声级</w:t>
                  </w:r>
                </w:p>
              </w:tc>
              <w:tc>
                <w:tcPr>
                  <w:tcW w:w="1468"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每季度监测一次</w:t>
                  </w:r>
                </w:p>
              </w:tc>
              <w:tc>
                <w:tcPr>
                  <w:tcW w:w="3170"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《工业企业厂界环境噪声排放标准》（GB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-2008）3类标准</w:t>
                  </w:r>
                </w:p>
              </w:tc>
            </w:tr>
          </w:tbl>
          <w:p>
            <w:pPr>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（四）固体废物对环境影响分析</w:t>
            </w:r>
          </w:p>
          <w:p>
            <w:pPr>
              <w:autoSpaceDE w:val="0"/>
              <w:autoSpaceDN w:val="0"/>
              <w:adjustRightInd w:val="0"/>
              <w:spacing w:line="360" w:lineRule="auto"/>
              <w:ind w:firstLine="422" w:firstLineChars="20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（1）项目固体废物产生及处置情况</w:t>
            </w:r>
          </w:p>
          <w:p>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lang w:bidi="ar"/>
                <w14:textFill>
                  <w14:solidFill>
                    <w14:schemeClr w14:val="tx1"/>
                  </w14:solidFill>
                </w14:textFill>
              </w:rPr>
              <w:t>项目产生的固废主要为</w:t>
            </w:r>
            <w:r>
              <w:rPr>
                <w:rFonts w:hint="eastAsia"/>
                <w:color w:val="000000" w:themeColor="text1"/>
                <w:szCs w:val="21"/>
                <w:highlight w:val="none"/>
                <w14:textFill>
                  <w14:solidFill>
                    <w14:schemeClr w14:val="tx1"/>
                  </w14:solidFill>
                </w14:textFill>
              </w:rPr>
              <w:t>生活垃圾、废包装袋、废坩埚、废埚底料</w:t>
            </w:r>
            <w:r>
              <w:rPr>
                <w:rStyle w:val="28"/>
                <w:rFonts w:hint="eastAsia"/>
                <w:color w:val="000000" w:themeColor="text1"/>
                <w:kern w:val="0"/>
                <w:szCs w:val="20"/>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坩埚</w:t>
            </w:r>
            <w:r>
              <w:rPr>
                <w:rFonts w:hint="eastAsia"/>
                <w:color w:val="000000" w:themeColor="text1"/>
                <w:szCs w:val="21"/>
                <w:highlight w:val="none"/>
                <w:lang w:val="en-US" w:eastAsia="zh-CN"/>
                <w14:textFill>
                  <w14:solidFill>
                    <w14:schemeClr w14:val="tx1"/>
                  </w14:solidFill>
                </w14:textFill>
              </w:rPr>
              <w:t>残留碎片</w:t>
            </w:r>
            <w:r>
              <w:rPr>
                <w:rStyle w:val="28"/>
                <w:rFonts w:hint="eastAsia"/>
                <w:color w:val="000000" w:themeColor="text1"/>
                <w:kern w:val="0"/>
                <w:szCs w:val="20"/>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、废金刚线、废边角料、</w:t>
            </w:r>
            <w:r>
              <w:rPr>
                <w:rFonts w:hint="eastAsia"/>
                <w:color w:val="000000" w:themeColor="text1"/>
                <w:szCs w:val="21"/>
                <w:highlight w:val="none"/>
                <w:lang w:val="en-US" w:eastAsia="zh-CN"/>
                <w14:textFill>
                  <w14:solidFill>
                    <w14:schemeClr w14:val="tx1"/>
                  </w14:solidFill>
                </w14:textFill>
              </w:rPr>
              <w:t>吸尘器吸尘灰、</w:t>
            </w:r>
            <w:r>
              <w:rPr>
                <w:rFonts w:hint="eastAsia"/>
                <w:color w:val="000000" w:themeColor="text1"/>
                <w:szCs w:val="21"/>
                <w:highlight w:val="none"/>
                <w14:textFill>
                  <w14:solidFill>
                    <w14:schemeClr w14:val="tx1"/>
                  </w14:solidFill>
                </w14:textFill>
              </w:rPr>
              <w:t>不合格品、沉淀池沉渣、废机油、废机油桶、废含油手套、抹布等</w:t>
            </w:r>
            <w:r>
              <w:rPr>
                <w:color w:val="000000" w:themeColor="text1"/>
                <w:szCs w:val="21"/>
                <w:highlight w:val="none"/>
                <w14:textFill>
                  <w14:solidFill>
                    <w14:schemeClr w14:val="tx1"/>
                  </w14:solidFill>
                </w14:textFill>
              </w:rPr>
              <w:t>。</w:t>
            </w:r>
          </w:p>
          <w:p>
            <w:pPr>
              <w:adjustRightInd w:val="0"/>
              <w:spacing w:line="360" w:lineRule="auto"/>
              <w:ind w:firstLine="420" w:firstLineChars="200"/>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（1）生活垃圾：</w:t>
            </w:r>
            <w:r>
              <w:rPr>
                <w:rFonts w:hint="eastAsia" w:hAnsi="宋体"/>
                <w:color w:val="000000" w:themeColor="text1"/>
                <w:kern w:val="0"/>
                <w:szCs w:val="21"/>
                <w:highlight w:val="none"/>
                <w14:textFill>
                  <w14:solidFill>
                    <w14:schemeClr w14:val="tx1"/>
                  </w14:solidFill>
                </w14:textFill>
              </w:rPr>
              <w:t>项目定员职工50人，厂区不设食宿</w:t>
            </w:r>
            <w:r>
              <w:rPr>
                <w:rFonts w:hint="eastAsia" w:hAnsi="宋体"/>
                <w:color w:val="000000" w:themeColor="text1"/>
                <w:szCs w:val="21"/>
                <w:highlight w:val="none"/>
                <w14:textFill>
                  <w14:solidFill>
                    <w14:schemeClr w14:val="tx1"/>
                  </w14:solidFill>
                </w14:textFill>
              </w:rPr>
              <w:t>。按每人</w:t>
            </w:r>
            <w:r>
              <w:rPr>
                <w:rFonts w:hAnsi="宋体"/>
                <w:color w:val="000000" w:themeColor="text1"/>
                <w:szCs w:val="21"/>
                <w:highlight w:val="none"/>
                <w14:textFill>
                  <w14:solidFill>
                    <w14:schemeClr w14:val="tx1"/>
                  </w14:solidFill>
                </w14:textFill>
              </w:rPr>
              <w:t>0.5kg/d</w:t>
            </w:r>
            <w:r>
              <w:rPr>
                <w:rFonts w:hint="eastAsia" w:hAnsi="宋体"/>
                <w:color w:val="000000" w:themeColor="text1"/>
                <w:szCs w:val="21"/>
                <w:highlight w:val="none"/>
                <w14:textFill>
                  <w14:solidFill>
                    <w14:schemeClr w14:val="tx1"/>
                  </w14:solidFill>
                </w14:textFill>
              </w:rPr>
              <w:t>计算，生活垃圾产生量为25</w:t>
            </w:r>
            <w:r>
              <w:rPr>
                <w:rFonts w:hAnsi="宋体"/>
                <w:color w:val="000000" w:themeColor="text1"/>
                <w:szCs w:val="21"/>
                <w:highlight w:val="none"/>
                <w14:textFill>
                  <w14:solidFill>
                    <w14:schemeClr w14:val="tx1"/>
                  </w14:solidFill>
                </w14:textFill>
              </w:rPr>
              <w:t>kg/d</w:t>
            </w:r>
            <w:r>
              <w:rPr>
                <w:rFonts w:hint="eastAsia" w:hAnsi="宋体"/>
                <w:color w:val="000000" w:themeColor="text1"/>
                <w:szCs w:val="21"/>
                <w:highlight w:val="none"/>
                <w14:textFill>
                  <w14:solidFill>
                    <w14:schemeClr w14:val="tx1"/>
                  </w14:solidFill>
                </w14:textFill>
              </w:rPr>
              <w:t>，7.5</w:t>
            </w:r>
            <w:r>
              <w:rPr>
                <w:rFonts w:hAnsi="宋体"/>
                <w:color w:val="000000" w:themeColor="text1"/>
                <w:szCs w:val="21"/>
                <w:highlight w:val="none"/>
                <w14:textFill>
                  <w14:solidFill>
                    <w14:schemeClr w14:val="tx1"/>
                  </w14:solidFill>
                </w14:textFill>
              </w:rPr>
              <w:t>t/a</w:t>
            </w:r>
            <w:r>
              <w:rPr>
                <w:rFonts w:hint="eastAsia" w:hAnsi="宋体"/>
                <w:color w:val="000000" w:themeColor="text1"/>
                <w:szCs w:val="21"/>
                <w:highlight w:val="none"/>
                <w14:textFill>
                  <w14:solidFill>
                    <w14:schemeClr w14:val="tx1"/>
                  </w14:solidFill>
                </w14:textFill>
              </w:rPr>
              <w:t>。分类收集，并委托环卫部门清运</w:t>
            </w:r>
            <w:r>
              <w:rPr>
                <w:rFonts w:hint="eastAsia" w:hAnsi="宋体"/>
                <w:color w:val="000000" w:themeColor="text1"/>
                <w:szCs w:val="2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化粪池</w:t>
            </w:r>
            <w:r>
              <w:rPr>
                <w:rFonts w:hint="eastAsia"/>
                <w:color w:val="000000" w:themeColor="text1"/>
                <w:highlight w:val="none"/>
                <w:lang w:val="en-US" w:eastAsia="zh-CN"/>
                <w14:textFill>
                  <w14:solidFill>
                    <w14:schemeClr w14:val="tx1"/>
                  </w14:solidFill>
                </w14:textFill>
              </w:rPr>
              <w:t>产生的</w:t>
            </w:r>
            <w:r>
              <w:rPr>
                <w:rFonts w:hint="eastAsia"/>
                <w:color w:val="000000" w:themeColor="text1"/>
                <w:highlight w:val="none"/>
                <w14:textFill>
                  <w14:solidFill>
                    <w14:schemeClr w14:val="tx1"/>
                  </w14:solidFill>
                </w14:textFill>
              </w:rPr>
              <w:t>污泥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因数量较少，由园区定期统组织吸粪车清运。</w:t>
            </w:r>
          </w:p>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color w:val="000000" w:themeColor="text1"/>
                <w:szCs w:val="21"/>
                <w:highlight w:val="none"/>
                <w14:textFill>
                  <w14:solidFill>
                    <w14:schemeClr w14:val="tx1"/>
                  </w14:solidFill>
                </w14:textFill>
              </w:rPr>
              <w:t>废包装袋</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项目废包装袋主要来源于投料后产生的吨袋，约0.05kg/个，项目原料2000吨/年，包装规格为10kg/袋，共200000个/a，则废包装袋产生量为8t/a，暂存于一般固废间，由物资公司回收。</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（3）废坩埚：企业外购免喷涂坩埚用量为10t/a，使用后破碎脱模，为一般固废。废坩埚产生量为10t/a，暂存于一般固废间，由物资公司回收。</w:t>
            </w:r>
          </w:p>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废边角料：根据业主提供资料，</w:t>
            </w:r>
            <w:r>
              <w:rPr>
                <w:rFonts w:hint="eastAsia"/>
                <w:color w:val="000000" w:themeColor="text1"/>
                <w:highlight w:val="none"/>
                <w:lang w:val="en-US" w:eastAsia="zh-CN"/>
                <w14:textFill>
                  <w14:solidFill>
                    <w14:schemeClr w14:val="tx1"/>
                  </w14:solidFill>
                </w14:textFill>
              </w:rPr>
              <w:t>表面切掉的杂质含量稍高，不返回生产线。</w:t>
            </w:r>
            <w:r>
              <w:rPr>
                <w:rFonts w:hint="eastAsia"/>
                <w:color w:val="000000" w:themeColor="text1"/>
                <w:szCs w:val="21"/>
                <w:highlight w:val="none"/>
                <w14:textFill>
                  <w14:solidFill>
                    <w14:schemeClr w14:val="tx1"/>
                  </w14:solidFill>
                </w14:textFill>
              </w:rPr>
              <w:t>项目废边角料产生量为170t/a，为一般固废，暂存于一般固废间，由物资公司回收。</w:t>
            </w:r>
          </w:p>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5</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废埚底料：根据建设单位提供资料，单个坩埚底料产生量约0.5t，项目坩埚80kg/个，共125个，废埚底料产生量为62.5t，为一般固废，暂存于一般固废间，由物资公司回收。</w:t>
            </w:r>
          </w:p>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不合格品：根据业主提供资料</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不合格品</w:t>
            </w:r>
            <w:r>
              <w:rPr>
                <w:rFonts w:hint="eastAsia"/>
                <w:color w:val="000000" w:themeColor="text1"/>
                <w:highlight w:val="none"/>
                <w:lang w:val="en-US" w:eastAsia="zh-CN"/>
                <w14:textFill>
                  <w14:solidFill>
                    <w14:schemeClr w14:val="tx1"/>
                  </w14:solidFill>
                </w14:textFill>
              </w:rPr>
              <w:t>杂质含量稍高，不返回生产线。</w:t>
            </w:r>
            <w:r>
              <w:rPr>
                <w:rFonts w:hint="eastAsia"/>
                <w:color w:val="000000" w:themeColor="text1"/>
                <w:szCs w:val="21"/>
                <w:highlight w:val="none"/>
                <w14:textFill>
                  <w14:solidFill>
                    <w14:schemeClr w14:val="tx1"/>
                  </w14:solidFill>
                </w14:textFill>
              </w:rPr>
              <w:t>不合格品产生量为16.5t/a，为一般固废，暂存于一般固废间，由物资公司回收。</w:t>
            </w:r>
          </w:p>
          <w:p>
            <w:pPr>
              <w:adjustRightInd w:val="0"/>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（7）沉淀池沉渣：沉淀池为60m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，废水处理量为6.4m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/d，年处理量为1920m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。沉渣产生量约为废水量的0.5 %，则沉渣产生量为9.6t/a，为一般固废，清掏后暂存于一般固废间，由云南德沛环保科技有限公司</w:t>
            </w:r>
            <w:r>
              <w:rPr>
                <w:rFonts w:hint="eastAsia"/>
                <w:color w:val="000000" w:themeColor="text1"/>
                <w:szCs w:val="21"/>
                <w:highlight w:val="none"/>
                <w:lang w:val="en-US" w:eastAsia="zh-CN"/>
                <w14:textFill>
                  <w14:solidFill>
                    <w14:schemeClr w14:val="tx1"/>
                  </w14:solidFill>
                </w14:textFill>
              </w:rPr>
              <w:t>进行回收，该公司具有硅泥处置资质</w:t>
            </w:r>
            <w:r>
              <w:rPr>
                <w:rFonts w:hint="eastAsia"/>
                <w:color w:val="000000" w:themeColor="text1"/>
                <w:szCs w:val="21"/>
                <w:highlight w:val="none"/>
                <w14:textFill>
                  <w14:solidFill>
                    <w14:schemeClr w14:val="tx1"/>
                  </w14:solidFill>
                </w14:textFill>
              </w:rPr>
              <w:t>。</w:t>
            </w:r>
          </w:p>
          <w:p>
            <w:pPr>
              <w:adjustRightInd w:val="0"/>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（8）废金刚线：机加工产生的废金刚线5.00t/a，属于“Ⅵ非特定行业生产过程中产生的一般固体废物”中的“900-999-99 非特定行业生产过程中产生的其他废物”。暂时堆存于固废储存间的固定区域，定期外售综合利用。</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（9）废机油：项目员工设备检修过程会产生少量废机油，产生量约0.05t/a。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废机油</w:t>
            </w:r>
            <w:r>
              <w:rPr>
                <w:color w:val="000000" w:themeColor="text1"/>
                <w:szCs w:val="21"/>
                <w14:textFill>
                  <w14:solidFill>
                    <w14:schemeClr w14:val="tx1"/>
                  </w14:solidFill>
                </w14:textFill>
              </w:rPr>
              <w:t>属于HW0</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（900-2</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-08）所列内容，属于危险废物，应委托有资质单位处理</w:t>
            </w:r>
            <w:r>
              <w:rPr>
                <w:rFonts w:hint="eastAsia"/>
                <w:color w:val="000000" w:themeColor="text1"/>
                <w:szCs w:val="21"/>
                <w14:textFill>
                  <w14:solidFill>
                    <w14:schemeClr w14:val="tx1"/>
                  </w14:solidFill>
                </w14:textFill>
              </w:rPr>
              <w:t>。</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（10）废机油</w:t>
            </w:r>
            <w:r>
              <w:rPr>
                <w:rStyle w:val="28"/>
                <w:rFonts w:hint="eastAsia"/>
                <w:color w:val="000000" w:themeColor="text1"/>
                <w:kern w:val="0"/>
                <w:szCs w:val="20"/>
                <w14:textFill>
                  <w14:solidFill>
                    <w14:schemeClr w14:val="tx1"/>
                  </w14:solidFill>
                </w14:textFill>
              </w:rPr>
              <w:t>桶</w:t>
            </w:r>
            <w:r>
              <w:rPr>
                <w:rFonts w:hint="eastAsia"/>
                <w:color w:val="000000" w:themeColor="text1"/>
                <w:szCs w:val="21"/>
                <w14:textFill>
                  <w14:solidFill>
                    <w14:schemeClr w14:val="tx1"/>
                  </w14:solidFill>
                </w14:textFill>
              </w:rPr>
              <w:t>：本项目机油20kg/桶，桶重0.1kg/个，则项目废机油桶产生量约0.005t/a。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废机油桶</w:t>
            </w:r>
            <w:r>
              <w:rPr>
                <w:color w:val="000000" w:themeColor="text1"/>
                <w:szCs w:val="21"/>
                <w14:textFill>
                  <w14:solidFill>
                    <w14:schemeClr w14:val="tx1"/>
                  </w14:solidFill>
                </w14:textFill>
              </w:rPr>
              <w:t>属于</w:t>
            </w:r>
            <w:r>
              <w:rPr>
                <w:rFonts w:hint="eastAsia"/>
                <w:color w:val="000000" w:themeColor="text1"/>
                <w:szCs w:val="21"/>
                <w14:textFill>
                  <w14:solidFill>
                    <w14:schemeClr w14:val="tx1"/>
                  </w14:solidFill>
                </w14:textFill>
              </w:rPr>
              <w:t>HW49（900-041-49）所列内容，属于危险废物，应委托有资质单位处理。</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废含油手套、抹布</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项目员工设备检修过程会产生含油废手套、抹布，根据企业提供资料，本项目含油废手套、抹布的产生量约为0.05t/a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废含油手套、抹布</w:t>
            </w:r>
            <w:r>
              <w:rPr>
                <w:color w:val="000000" w:themeColor="text1"/>
                <w:szCs w:val="21"/>
                <w14:textFill>
                  <w14:solidFill>
                    <w14:schemeClr w14:val="tx1"/>
                  </w14:solidFill>
                </w14:textFill>
              </w:rPr>
              <w:t>属于</w:t>
            </w:r>
            <w:r>
              <w:rPr>
                <w:rFonts w:hint="eastAsia"/>
                <w:color w:val="000000" w:themeColor="text1"/>
                <w:szCs w:val="21"/>
                <w14:textFill>
                  <w14:solidFill>
                    <w14:schemeClr w14:val="tx1"/>
                  </w14:solidFill>
                </w14:textFill>
              </w:rPr>
              <w:t>HW49（900-041-49）所列内容，属于危险废物，应委托有资质单位处理。</w:t>
            </w:r>
          </w:p>
          <w:p>
            <w:pPr>
              <w:adjustRightInd w:val="0"/>
              <w:spacing w:line="360" w:lineRule="auto"/>
              <w:ind w:firstLine="420" w:firstLineChars="200"/>
              <w:rPr>
                <w:rFonts w:hint="default"/>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吸尘器吸尘灰</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根据废气工程分析，项目吸尘灰收集量为1.536t/a，</w:t>
            </w:r>
            <w:r>
              <w:rPr>
                <w:rFonts w:hint="eastAsia"/>
                <w:color w:val="000000" w:themeColor="text1"/>
                <w:szCs w:val="21"/>
                <w:highlight w:val="none"/>
                <w14:textFill>
                  <w14:solidFill>
                    <w14:schemeClr w14:val="tx1"/>
                  </w14:solidFill>
                </w14:textFill>
              </w:rPr>
              <w:t>为一般固废，暂存于一般固废间，由物资公司回收。</w:t>
            </w:r>
          </w:p>
          <w:p>
            <w:pPr>
              <w:adjustRightInd w:val="0"/>
              <w:spacing w:line="360" w:lineRule="auto"/>
              <w:ind w:firstLine="420" w:firstLineChars="200"/>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备注：由于依托园区化粪池，本次评价不考虑园区化粪池清掏污泥。化粪池清掏由园区进行处置，不在本次评价范围内。</w:t>
            </w:r>
          </w:p>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根据《固体废物鉴别标准通则》</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GB</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-2017</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，判断固体废物的属性，具体见下表</w:t>
            </w:r>
            <w:r>
              <w:rPr>
                <w:rFonts w:hint="eastAsia"/>
                <w:color w:val="000000" w:themeColor="text1"/>
                <w:szCs w:val="21"/>
                <w:highlight w:val="none"/>
                <w14:textFill>
                  <w14:solidFill>
                    <w14:schemeClr w14:val="tx1"/>
                  </w14:solidFill>
                </w14:textFill>
              </w:rPr>
              <w:t>。</w:t>
            </w:r>
          </w:p>
          <w:p>
            <w:pPr>
              <w:spacing w:line="360" w:lineRule="auto"/>
              <w:ind w:firstLine="422" w:firstLineChars="200"/>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表4-12 固体废物属性判断（单位：t/a）</w:t>
            </w:r>
          </w:p>
          <w:tbl>
            <w:tblPr>
              <w:tblStyle w:val="23"/>
              <w:tblW w:w="78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04"/>
              <w:gridCol w:w="1007"/>
              <w:gridCol w:w="768"/>
              <w:gridCol w:w="416"/>
              <w:gridCol w:w="1205"/>
              <w:gridCol w:w="716"/>
              <w:gridCol w:w="752"/>
              <w:gridCol w:w="643"/>
              <w:gridCol w:w="1009"/>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504"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序号</w:t>
                  </w:r>
                </w:p>
              </w:tc>
              <w:tc>
                <w:tcPr>
                  <w:tcW w:w="1007"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固废名称</w:t>
                  </w:r>
                </w:p>
              </w:tc>
              <w:tc>
                <w:tcPr>
                  <w:tcW w:w="768"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产生工序</w:t>
                  </w:r>
                </w:p>
              </w:tc>
              <w:tc>
                <w:tcPr>
                  <w:tcW w:w="416"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形态</w:t>
                  </w:r>
                </w:p>
              </w:tc>
              <w:tc>
                <w:tcPr>
                  <w:tcW w:w="1205"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主要成分</w:t>
                  </w:r>
                </w:p>
              </w:tc>
              <w:tc>
                <w:tcPr>
                  <w:tcW w:w="716" w:type="dxa"/>
                  <w:vMerge w:val="restart"/>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产生量</w:t>
                  </w:r>
                </w:p>
              </w:tc>
              <w:tc>
                <w:tcPr>
                  <w:tcW w:w="3279" w:type="dxa"/>
                  <w:gridSpan w:val="4"/>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9" w:hRule="atLeast"/>
                <w:jc w:val="center"/>
              </w:trPr>
              <w:tc>
                <w:tcPr>
                  <w:tcW w:w="504"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1007"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768"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416"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1205"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716" w:type="dxa"/>
                  <w:vMerge w:val="continue"/>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固体</w:t>
                  </w:r>
                </w:p>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废物</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副产</w:t>
                  </w:r>
                </w:p>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品</w:t>
                  </w:r>
                </w:p>
              </w:tc>
              <w:tc>
                <w:tcPr>
                  <w:tcW w:w="1009"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来源鉴别①</w:t>
                  </w:r>
                </w:p>
              </w:tc>
              <w:tc>
                <w:tcPr>
                  <w:tcW w:w="875"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处置鉴别②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007"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生活垃圾</w:t>
                  </w:r>
                </w:p>
              </w:tc>
              <w:tc>
                <w:tcPr>
                  <w:tcW w:w="768"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日常生活</w:t>
                  </w:r>
                </w:p>
              </w:tc>
              <w:tc>
                <w:tcPr>
                  <w:tcW w:w="4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s="宋体"/>
                      <w:bCs/>
                      <w:color w:val="000000" w:themeColor="text1"/>
                      <w:kern w:val="0"/>
                      <w:szCs w:val="21"/>
                      <w:highlight w:val="none"/>
                      <w:lang w:bidi="ar"/>
                      <w14:textFill>
                        <w14:solidFill>
                          <w14:schemeClr w14:val="tx1"/>
                        </w14:solidFill>
                      </w14:textFill>
                    </w:rPr>
                    <w:t>纸张、塑料等</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7.5</w:t>
                  </w:r>
                </w:p>
              </w:tc>
              <w:tc>
                <w:tcPr>
                  <w:tcW w:w="752"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007"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废包装袋</w:t>
                  </w:r>
                </w:p>
              </w:tc>
              <w:tc>
                <w:tcPr>
                  <w:tcW w:w="768"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原料包装</w:t>
                  </w:r>
                </w:p>
              </w:tc>
              <w:tc>
                <w:tcPr>
                  <w:tcW w:w="4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塑料袋、塑料膜等</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752" w:type="dxa"/>
                  <w:vAlign w:val="center"/>
                </w:tcPr>
                <w:p>
                  <w:pPr>
                    <w:tabs>
                      <w:tab w:val="left" w:pos="4500"/>
                    </w:tabs>
                    <w:adjustRightInd w:val="0"/>
                    <w:snapToGrid w:val="0"/>
                    <w:jc w:val="center"/>
                    <w:rPr>
                      <w:color w:val="000000" w:themeColor="text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1h）</w:t>
                  </w:r>
                </w:p>
              </w:tc>
              <w:tc>
                <w:tcPr>
                  <w:tcW w:w="87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1007"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废坩埚</w:t>
                  </w:r>
                </w:p>
              </w:tc>
              <w:tc>
                <w:tcPr>
                  <w:tcW w:w="768"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脱模</w:t>
                  </w:r>
                </w:p>
              </w:tc>
              <w:tc>
                <w:tcPr>
                  <w:tcW w:w="4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坩埚</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752"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a）</w:t>
                  </w:r>
                </w:p>
              </w:tc>
              <w:tc>
                <w:tcPr>
                  <w:tcW w:w="87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8" w:hRule="atLeast"/>
                <w:jc w:val="center"/>
              </w:trPr>
              <w:tc>
                <w:tcPr>
                  <w:tcW w:w="504" w:type="dxa"/>
                  <w:vAlign w:val="center"/>
                </w:tcPr>
                <w:p>
                  <w:pPr>
                    <w:tabs>
                      <w:tab w:val="left" w:pos="4500"/>
                    </w:tabs>
                    <w:adjustRightInd w:val="0"/>
                    <w:snapToGrid w:val="0"/>
                    <w:jc w:val="center"/>
                    <w:rPr>
                      <w:color w:val="000000" w:themeColor="text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4</w:t>
                  </w:r>
                </w:p>
              </w:tc>
              <w:tc>
                <w:tcPr>
                  <w:tcW w:w="1007"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废埚底料</w:t>
                  </w:r>
                </w:p>
              </w:tc>
              <w:tc>
                <w:tcPr>
                  <w:tcW w:w="768"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脱模</w:t>
                  </w:r>
                </w:p>
              </w:tc>
              <w:tc>
                <w:tcPr>
                  <w:tcW w:w="4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硅锭</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62.5</w:t>
                  </w:r>
                </w:p>
              </w:tc>
              <w:tc>
                <w:tcPr>
                  <w:tcW w:w="752"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a）</w:t>
                  </w:r>
                </w:p>
              </w:tc>
              <w:tc>
                <w:tcPr>
                  <w:tcW w:w="87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5</w:t>
                  </w:r>
                </w:p>
              </w:tc>
              <w:tc>
                <w:tcPr>
                  <w:tcW w:w="1007" w:type="dxa"/>
                  <w:vAlign w:val="center"/>
                </w:tcPr>
                <w:p>
                  <w:pPr>
                    <w:pStyle w:val="44"/>
                    <w:spacing w:before="24" w:after="24"/>
                    <w:rPr>
                      <w:rFonts w:ascii="Times New Roman"/>
                      <w:bCs/>
                      <w:color w:val="000000" w:themeColor="text1"/>
                      <w:kern w:val="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废边角料</w:t>
                  </w:r>
                </w:p>
              </w:tc>
              <w:tc>
                <w:tcPr>
                  <w:tcW w:w="768"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开方、裁断</w:t>
                  </w:r>
                </w:p>
              </w:tc>
              <w:tc>
                <w:tcPr>
                  <w:tcW w:w="4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硅锭</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170</w:t>
                  </w:r>
                </w:p>
              </w:tc>
              <w:tc>
                <w:tcPr>
                  <w:tcW w:w="752" w:type="dxa"/>
                  <w:vAlign w:val="center"/>
                </w:tcPr>
                <w:p>
                  <w:pPr>
                    <w:adjustRightInd w:val="0"/>
                    <w:snapToGrid w:val="0"/>
                    <w:spacing w:line="240" w:lineRule="atLeast"/>
                    <w:jc w:val="center"/>
                    <w:rPr>
                      <w:bCs/>
                      <w:color w:val="000000" w:themeColor="text1"/>
                      <w:kern w:val="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a）</w:t>
                  </w:r>
                </w:p>
              </w:tc>
              <w:tc>
                <w:tcPr>
                  <w:tcW w:w="875"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6</w:t>
                  </w:r>
                </w:p>
              </w:tc>
              <w:tc>
                <w:tcPr>
                  <w:tcW w:w="1007" w:type="dxa"/>
                  <w:vAlign w:val="center"/>
                </w:tcPr>
                <w:p>
                  <w:pPr>
                    <w:pStyle w:val="44"/>
                    <w:spacing w:before="24" w:after="24"/>
                    <w:rPr>
                      <w:rFonts w:ascii="Times New Roman"/>
                      <w:bCs/>
                      <w:color w:val="000000" w:themeColor="text1"/>
                      <w:kern w:val="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不合格品</w:t>
                  </w:r>
                </w:p>
              </w:tc>
              <w:tc>
                <w:tcPr>
                  <w:tcW w:w="768" w:type="dxa"/>
                  <w:vAlign w:val="center"/>
                </w:tcPr>
                <w:p>
                  <w:pPr>
                    <w:pStyle w:val="44"/>
                    <w:spacing w:before="24" w:after="24"/>
                    <w:rPr>
                      <w:rFonts w:ascii="Times New Roman"/>
                      <w:bCs/>
                      <w:color w:val="000000" w:themeColor="text1"/>
                      <w:kern w:val="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性能测试</w:t>
                  </w:r>
                </w:p>
              </w:tc>
              <w:tc>
                <w:tcPr>
                  <w:tcW w:w="416" w:type="dxa"/>
                  <w:vAlign w:val="center"/>
                </w:tcPr>
                <w:p>
                  <w:pPr>
                    <w:adjustRightInd w:val="0"/>
                    <w:snapToGrid w:val="0"/>
                    <w:spacing w:line="240" w:lineRule="atLeast"/>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不合格品</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16.5</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7</w:t>
                  </w:r>
                </w:p>
              </w:tc>
              <w:tc>
                <w:tcPr>
                  <w:tcW w:w="1007"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沉淀池沉渣</w:t>
                  </w:r>
                </w:p>
              </w:tc>
              <w:tc>
                <w:tcPr>
                  <w:tcW w:w="768"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废水处理</w:t>
                  </w:r>
                </w:p>
              </w:tc>
              <w:tc>
                <w:tcPr>
                  <w:tcW w:w="416" w:type="dxa"/>
                  <w:vAlign w:val="center"/>
                </w:tcPr>
                <w:p>
                  <w:pPr>
                    <w:adjustRightInd w:val="0"/>
                    <w:snapToGrid w:val="0"/>
                    <w:spacing w:line="240" w:lineRule="atLeast"/>
                    <w:ind w:left="-107" w:leftChars="-51" w:right="-107" w:rightChars="-5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含硅污泥</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9.6</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8"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8</w:t>
                  </w:r>
                </w:p>
              </w:tc>
              <w:tc>
                <w:tcPr>
                  <w:tcW w:w="1007"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废金刚线</w:t>
                  </w:r>
                </w:p>
              </w:tc>
              <w:tc>
                <w:tcPr>
                  <w:tcW w:w="768"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开发</w:t>
                  </w:r>
                </w:p>
              </w:tc>
              <w:tc>
                <w:tcPr>
                  <w:tcW w:w="416" w:type="dxa"/>
                  <w:vAlign w:val="center"/>
                </w:tcPr>
                <w:p>
                  <w:pPr>
                    <w:adjustRightInd w:val="0"/>
                    <w:snapToGrid w:val="0"/>
                    <w:spacing w:line="240" w:lineRule="atLeast"/>
                    <w:ind w:left="-107" w:leftChars="-51" w:right="-107" w:rightChars="-5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金刚线</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752" w:type="dxa"/>
                  <w:vAlign w:val="center"/>
                </w:tcPr>
                <w:p>
                  <w:pPr>
                    <w:adjustRightInd w:val="0"/>
                    <w:snapToGrid w:val="0"/>
                    <w:spacing w:line="240" w:lineRule="atLeast"/>
                    <w:jc w:val="center"/>
                    <w:rPr>
                      <w:bCs/>
                      <w:color w:val="000000" w:themeColor="text1"/>
                      <w:kern w:val="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a）</w:t>
                  </w:r>
                </w:p>
              </w:tc>
              <w:tc>
                <w:tcPr>
                  <w:tcW w:w="875" w:type="dxa"/>
                  <w:vAlign w:val="center"/>
                </w:tcPr>
                <w:p>
                  <w:pPr>
                    <w:adjustRightInd w:val="0"/>
                    <w:snapToGrid w:val="0"/>
                    <w:spacing w:line="240" w:lineRule="atLeast"/>
                    <w:jc w:val="center"/>
                    <w:rPr>
                      <w:bCs/>
                      <w:color w:val="000000" w:themeColor="text1"/>
                      <w:kern w:val="1"/>
                      <w:szCs w:val="21"/>
                      <w:highlight w:val="none"/>
                      <w14:textFill>
                        <w14:solidFill>
                          <w14:schemeClr w14:val="tx1"/>
                        </w14:solidFill>
                      </w14:textFill>
                    </w:rPr>
                  </w:pPr>
                  <w:r>
                    <w:rPr>
                      <w:color w:val="000000" w:themeColor="text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9</w:t>
                  </w:r>
                </w:p>
              </w:tc>
              <w:tc>
                <w:tcPr>
                  <w:tcW w:w="1007" w:type="dxa"/>
                  <w:vAlign w:val="center"/>
                </w:tcPr>
                <w:p>
                  <w:pPr>
                    <w:pStyle w:val="44"/>
                    <w:spacing w:before="24" w:after="24"/>
                    <w:rPr>
                      <w:rFonts w:ascii="Times New Roman"/>
                      <w:bCs/>
                      <w:color w:val="000000" w:themeColor="text1"/>
                      <w:kern w:val="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废机油</w:t>
                  </w:r>
                </w:p>
              </w:tc>
              <w:tc>
                <w:tcPr>
                  <w:tcW w:w="768" w:type="dxa"/>
                  <w:vAlign w:val="center"/>
                </w:tcPr>
                <w:p>
                  <w:pPr>
                    <w:pStyle w:val="44"/>
                    <w:spacing w:before="24" w:after="24"/>
                    <w:rPr>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设备检修</w:t>
                  </w:r>
                </w:p>
              </w:tc>
              <w:tc>
                <w:tcPr>
                  <w:tcW w:w="416" w:type="dxa"/>
                  <w:vAlign w:val="center"/>
                </w:tcPr>
                <w:p>
                  <w:pPr>
                    <w:adjustRightInd w:val="0"/>
                    <w:snapToGrid w:val="0"/>
                    <w:spacing w:line="240" w:lineRule="atLeast"/>
                    <w:ind w:left="-107" w:leftChars="-51" w:right="-107" w:rightChars="-5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液</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润滑油等</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0.05</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10</w:t>
                  </w:r>
                </w:p>
              </w:tc>
              <w:tc>
                <w:tcPr>
                  <w:tcW w:w="1007"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废机油桶</w:t>
                  </w:r>
                </w:p>
              </w:tc>
              <w:tc>
                <w:tcPr>
                  <w:tcW w:w="768"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润滑油包装</w:t>
                  </w:r>
                </w:p>
              </w:tc>
              <w:tc>
                <w:tcPr>
                  <w:tcW w:w="416" w:type="dxa"/>
                  <w:vAlign w:val="center"/>
                </w:tcPr>
                <w:p>
                  <w:pPr>
                    <w:adjustRightInd w:val="0"/>
                    <w:snapToGrid w:val="0"/>
                    <w:spacing w:line="240" w:lineRule="atLeast"/>
                    <w:ind w:left="-107" w:leftChars="-51" w:right="-107" w:rightChars="-5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pacing w:val="-10"/>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润滑油等</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0.005</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rFonts w:hint="eastAsia"/>
                      <w:bCs/>
                      <w:color w:val="000000" w:themeColor="text1"/>
                      <w:kern w:val="1"/>
                      <w:szCs w:val="21"/>
                      <w:highlight w:val="none"/>
                      <w14:textFill>
                        <w14:solidFill>
                          <w14:schemeClr w14:val="tx1"/>
                        </w14:solidFill>
                      </w14:textFill>
                    </w:rPr>
                    <w:t>11</w:t>
                  </w:r>
                </w:p>
              </w:tc>
              <w:tc>
                <w:tcPr>
                  <w:tcW w:w="1007" w:type="dxa"/>
                  <w:vAlign w:val="center"/>
                </w:tcPr>
                <w:p>
                  <w:pPr>
                    <w:pStyle w:val="44"/>
                    <w:spacing w:before="24" w:after="24"/>
                    <w:rPr>
                      <w:rFonts w:ascii="Times New Roman"/>
                      <w:bCs/>
                      <w:color w:val="000000" w:themeColor="text1"/>
                      <w:kern w:val="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废含油手套、抹布</w:t>
                  </w:r>
                </w:p>
              </w:tc>
              <w:tc>
                <w:tcPr>
                  <w:tcW w:w="768" w:type="dxa"/>
                  <w:vAlign w:val="center"/>
                </w:tcPr>
                <w:p>
                  <w:pPr>
                    <w:pStyle w:val="44"/>
                    <w:spacing w:before="24" w:after="24"/>
                    <w:rPr>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设备检修</w:t>
                  </w:r>
                </w:p>
              </w:tc>
              <w:tc>
                <w:tcPr>
                  <w:tcW w:w="416" w:type="dxa"/>
                  <w:vAlign w:val="center"/>
                </w:tcPr>
                <w:p>
                  <w:pPr>
                    <w:adjustRightInd w:val="0"/>
                    <w:snapToGrid w:val="0"/>
                    <w:spacing w:line="240" w:lineRule="atLeast"/>
                    <w:ind w:left="-107" w:leftChars="-51" w:right="-107" w:rightChars="-51"/>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w:t>
                  </w:r>
                </w:p>
              </w:tc>
              <w:tc>
                <w:tcPr>
                  <w:tcW w:w="1205" w:type="dxa"/>
                  <w:vAlign w:val="center"/>
                </w:tcPr>
                <w:p>
                  <w:pPr>
                    <w:pStyle w:val="44"/>
                    <w:spacing w:before="24" w:after="24"/>
                    <w:rPr>
                      <w:rFonts w:ascii="Times New Roman"/>
                      <w:color w:val="000000" w:themeColor="text1"/>
                      <w:szCs w:val="21"/>
                      <w:highlight w:val="none"/>
                      <w14:textFill>
                        <w14:solidFill>
                          <w14:schemeClr w14:val="tx1"/>
                        </w14:solidFill>
                      </w14:textFill>
                    </w:rPr>
                  </w:pPr>
                  <w:r>
                    <w:rPr>
                      <w:rFonts w:hint="eastAsia" w:ascii="Times New Roman"/>
                      <w:color w:val="000000" w:themeColor="text1"/>
                      <w:spacing w:val="-10"/>
                      <w:szCs w:val="21"/>
                      <w:highlight w:val="none"/>
                      <w14:textFill>
                        <w14:solidFill>
                          <w14:schemeClr w14:val="tx1"/>
                        </w14:solidFill>
                      </w14:textFill>
                    </w:rPr>
                    <w:t>手套、抹布、润滑油</w:t>
                  </w:r>
                </w:p>
              </w:tc>
              <w:tc>
                <w:tcPr>
                  <w:tcW w:w="716" w:type="dxa"/>
                  <w:vAlign w:val="center"/>
                </w:tcPr>
                <w:p>
                  <w:pPr>
                    <w:adjustRightInd w:val="0"/>
                    <w:snapToGrid w:val="0"/>
                    <w:spacing w:line="24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0.05</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default" w:eastAsia="宋体"/>
                      <w:bCs/>
                      <w:color w:val="000000" w:themeColor="text1"/>
                      <w:kern w:val="1"/>
                      <w:szCs w:val="21"/>
                      <w:highlight w:val="none"/>
                      <w:lang w:val="en-US" w:eastAsia="zh-CN"/>
                      <w14:textFill>
                        <w14:solidFill>
                          <w14:schemeClr w14:val="tx1"/>
                        </w14:solidFill>
                      </w14:textFill>
                    </w:rPr>
                  </w:pPr>
                  <w:r>
                    <w:rPr>
                      <w:rFonts w:hint="eastAsia"/>
                      <w:bCs/>
                      <w:color w:val="000000" w:themeColor="text1"/>
                      <w:kern w:val="1"/>
                      <w:szCs w:val="21"/>
                      <w:highlight w:val="none"/>
                      <w:lang w:val="en-US" w:eastAsia="zh-CN"/>
                      <w14:textFill>
                        <w14:solidFill>
                          <w14:schemeClr w14:val="tx1"/>
                        </w14:solidFill>
                      </w14:textFill>
                    </w:rPr>
                    <w:t>12</w:t>
                  </w:r>
                </w:p>
              </w:tc>
              <w:tc>
                <w:tcPr>
                  <w:tcW w:w="1007" w:type="dxa"/>
                  <w:vAlign w:val="center"/>
                </w:tcPr>
                <w:p>
                  <w:pPr>
                    <w:pStyle w:val="44"/>
                    <w:spacing w:before="24" w:after="24"/>
                    <w:rPr>
                      <w:rFonts w:hint="default" w:ascii="Times New Roman" w:eastAsia="宋体"/>
                      <w:color w:val="000000" w:themeColor="text1"/>
                      <w:spacing w:val="-10"/>
                      <w:szCs w:val="21"/>
                      <w:highlight w:val="none"/>
                      <w:lang w:val="en-US" w:eastAsia="zh-CN"/>
                      <w14:textFill>
                        <w14:solidFill>
                          <w14:schemeClr w14:val="tx1"/>
                        </w14:solidFill>
                      </w14:textFill>
                    </w:rPr>
                  </w:pPr>
                  <w:r>
                    <w:rPr>
                      <w:rFonts w:hint="eastAsia" w:ascii="Times New Roman"/>
                      <w:color w:val="000000" w:themeColor="text1"/>
                      <w:spacing w:val="-10"/>
                      <w:szCs w:val="21"/>
                      <w:highlight w:val="none"/>
                      <w:lang w:val="en-US" w:eastAsia="zh-CN"/>
                      <w14:textFill>
                        <w14:solidFill>
                          <w14:schemeClr w14:val="tx1"/>
                        </w14:solidFill>
                      </w14:textFill>
                    </w:rPr>
                    <w:t>吸尘器吸尘灰</w:t>
                  </w:r>
                </w:p>
              </w:tc>
              <w:tc>
                <w:tcPr>
                  <w:tcW w:w="768" w:type="dxa"/>
                  <w:vAlign w:val="center"/>
                </w:tcPr>
                <w:p>
                  <w:pPr>
                    <w:pStyle w:val="44"/>
                    <w:spacing w:before="24" w:after="24"/>
                    <w:rPr>
                      <w:rFonts w:hint="default" w:ascii="Times New Roman" w:eastAsia="宋体"/>
                      <w:color w:val="000000" w:themeColor="text1"/>
                      <w:spacing w:val="-10"/>
                      <w:szCs w:val="21"/>
                      <w:highlight w:val="none"/>
                      <w:lang w:val="en-US" w:eastAsia="zh-CN"/>
                      <w14:textFill>
                        <w14:solidFill>
                          <w14:schemeClr w14:val="tx1"/>
                        </w14:solidFill>
                      </w14:textFill>
                    </w:rPr>
                  </w:pPr>
                  <w:r>
                    <w:rPr>
                      <w:rFonts w:hint="eastAsia" w:ascii="Times New Roman"/>
                      <w:color w:val="000000" w:themeColor="text1"/>
                      <w:spacing w:val="-10"/>
                      <w:szCs w:val="21"/>
                      <w:highlight w:val="none"/>
                      <w:lang w:val="en-US" w:eastAsia="zh-CN"/>
                      <w14:textFill>
                        <w14:solidFill>
                          <w14:schemeClr w14:val="tx1"/>
                        </w14:solidFill>
                      </w14:textFill>
                    </w:rPr>
                    <w:t>废气处置</w:t>
                  </w:r>
                </w:p>
              </w:tc>
              <w:tc>
                <w:tcPr>
                  <w:tcW w:w="416" w:type="dxa"/>
                  <w:vAlign w:val="center"/>
                </w:tcPr>
                <w:p>
                  <w:pPr>
                    <w:adjustRightInd w:val="0"/>
                    <w:snapToGrid w:val="0"/>
                    <w:spacing w:line="240" w:lineRule="atLeast"/>
                    <w:ind w:left="-107" w:leftChars="-51" w:right="-107" w:rightChars="-51"/>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固</w:t>
                  </w:r>
                </w:p>
              </w:tc>
              <w:tc>
                <w:tcPr>
                  <w:tcW w:w="1205" w:type="dxa"/>
                  <w:vAlign w:val="center"/>
                </w:tcPr>
                <w:p>
                  <w:pPr>
                    <w:pStyle w:val="44"/>
                    <w:spacing w:before="24" w:after="24"/>
                    <w:rPr>
                      <w:rFonts w:hint="default" w:ascii="Times New Roman" w:eastAsia="宋体"/>
                      <w:color w:val="000000" w:themeColor="text1"/>
                      <w:spacing w:val="-10"/>
                      <w:szCs w:val="21"/>
                      <w:highlight w:val="none"/>
                      <w:lang w:val="en-US" w:eastAsia="zh-CN"/>
                      <w14:textFill>
                        <w14:solidFill>
                          <w14:schemeClr w14:val="tx1"/>
                        </w14:solidFill>
                      </w14:textFill>
                    </w:rPr>
                  </w:pPr>
                  <w:r>
                    <w:rPr>
                      <w:rFonts w:hint="eastAsia" w:ascii="Times New Roman"/>
                      <w:color w:val="000000" w:themeColor="text1"/>
                      <w:spacing w:val="-10"/>
                      <w:szCs w:val="21"/>
                      <w:highlight w:val="none"/>
                      <w:lang w:val="en-US" w:eastAsia="zh-CN"/>
                      <w14:textFill>
                        <w14:solidFill>
                          <w14:schemeClr w14:val="tx1"/>
                        </w14:solidFill>
                      </w14:textFill>
                    </w:rPr>
                    <w:t>硅灰</w:t>
                  </w:r>
                </w:p>
              </w:tc>
              <w:tc>
                <w:tcPr>
                  <w:tcW w:w="716" w:type="dxa"/>
                  <w:vAlign w:val="center"/>
                </w:tcPr>
                <w:p>
                  <w:pPr>
                    <w:adjustRightInd w:val="0"/>
                    <w:snapToGrid w:val="0"/>
                    <w:spacing w:line="24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1.536</w:t>
                  </w:r>
                </w:p>
              </w:tc>
              <w:tc>
                <w:tcPr>
                  <w:tcW w:w="752"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w:t>
                  </w:r>
                </w:p>
              </w:tc>
              <w:tc>
                <w:tcPr>
                  <w:tcW w:w="1009"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highlight w:val="none"/>
                      <w14:textFill>
                        <w14:solidFill>
                          <w14:schemeClr w14:val="tx1"/>
                        </w14:solidFill>
                      </w14:textFill>
                    </w:rPr>
                  </w:pPr>
                  <w:r>
                    <w:rPr>
                      <w:bCs/>
                      <w:color w:val="000000" w:themeColor="text1"/>
                      <w:kern w:val="1"/>
                      <w:szCs w:val="21"/>
                      <w:highlight w:val="none"/>
                      <w14:textFill>
                        <w14:solidFill>
                          <w14:schemeClr w14:val="tx1"/>
                        </w14:solidFill>
                      </w14:textFill>
                    </w:rPr>
                    <w:t>5.1e）</w:t>
                  </w:r>
                </w:p>
              </w:tc>
            </w:tr>
          </w:tbl>
          <w:p>
            <w:pPr>
              <w:adjustRightInd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注：上表中</w:t>
            </w:r>
            <w:r>
              <w:rPr>
                <w:rFonts w:hint="eastAsia"/>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t>《固体废物鉴别标准 通则》（GB</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-2017）来源鉴别中“4.1h）”表示：因丧失原有功能而无法继续使用的物质；“4.2a</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表示：产品加工和制造过程中产生的下脚料、边角料、残余物质等</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t>《固体废物鉴别标准  通则》（GB</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-2017）处置鉴别中“5.1e）”表示：国务院环境保护行政主管部门认定的其他处置方式。</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本项目固体废物产生及排放情况分析结果汇总见表4-</w:t>
            </w:r>
            <w:r>
              <w:rPr>
                <w:rFonts w:hint="eastAsia"/>
                <w:color w:val="000000" w:themeColor="text1"/>
                <w:szCs w:val="21"/>
                <w14:textFill>
                  <w14:solidFill>
                    <w14:schemeClr w14:val="tx1"/>
                  </w14:solidFill>
                </w14:textFill>
              </w:rPr>
              <w:t>13</w:t>
            </w:r>
            <w:r>
              <w:rPr>
                <w:color w:val="000000" w:themeColor="text1"/>
                <w:szCs w:val="21"/>
                <w14:textFill>
                  <w14:solidFill>
                    <w14:schemeClr w14:val="tx1"/>
                  </w14:solidFill>
                </w14:textFill>
              </w:rPr>
              <w:t>，危险废物产生情况见表4-</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表4-13 建设项目固废产生及处置情况</w:t>
            </w:r>
          </w:p>
          <w:tbl>
            <w:tblPr>
              <w:tblStyle w:val="23"/>
              <w:tblW w:w="78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3"/>
              <w:gridCol w:w="804"/>
              <w:gridCol w:w="739"/>
              <w:gridCol w:w="701"/>
              <w:gridCol w:w="615"/>
              <w:gridCol w:w="845"/>
              <w:gridCol w:w="632"/>
              <w:gridCol w:w="686"/>
              <w:gridCol w:w="664"/>
              <w:gridCol w:w="78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34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80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tc>
              <w:tc>
                <w:tcPr>
                  <w:tcW w:w="73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701"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工序</w:t>
                  </w:r>
                </w:p>
              </w:tc>
              <w:tc>
                <w:tcPr>
                  <w:tcW w:w="615"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845"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63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特性</w:t>
                  </w:r>
                </w:p>
              </w:tc>
              <w:tc>
                <w:tcPr>
                  <w:tcW w:w="68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66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固废</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78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107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0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3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01"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日常生活</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s="宋体"/>
                      <w:bCs/>
                      <w:color w:val="000000" w:themeColor="text1"/>
                      <w:kern w:val="0"/>
                      <w:szCs w:val="21"/>
                      <w:lang w:bidi="ar"/>
                      <w14:textFill>
                        <w14:solidFill>
                          <w14:schemeClr w14:val="tx1"/>
                        </w14:solidFill>
                      </w14:textFill>
                    </w:rPr>
                    <w:t>纸张、塑料等</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04"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废包装材料</w:t>
                  </w:r>
                </w:p>
              </w:tc>
              <w:tc>
                <w:tcPr>
                  <w:tcW w:w="739" w:type="dxa"/>
                  <w:vMerge w:val="restart"/>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p>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701"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原料包装</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塑料袋、塑料膜等</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废复合包装</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04"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废坩埚</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脱模</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坩埚</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804"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废埚底料</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脱模</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硅锭</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04"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废边角料</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开方、裁断</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硅锭</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170</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04"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不合格组件</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性能测试</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bCs/>
                      <w:color w:val="000000" w:themeColor="text1"/>
                      <w:kern w:val="1"/>
                      <w:szCs w:val="21"/>
                      <w14:textFill>
                        <w14:solidFill>
                          <w14:schemeClr w14:val="tx1"/>
                        </w14:solidFill>
                      </w14:textFill>
                    </w:rPr>
                    <w:t>固</w:t>
                  </w:r>
                </w:p>
              </w:tc>
              <w:tc>
                <w:tcPr>
                  <w:tcW w:w="845"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不合格品</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废硅锭</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16.5</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04"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沉淀池沉渣</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废水处理</w:t>
                  </w:r>
                </w:p>
              </w:tc>
              <w:tc>
                <w:tcPr>
                  <w:tcW w:w="615" w:type="dxa"/>
                  <w:vAlign w:val="center"/>
                </w:tcPr>
                <w:p>
                  <w:pPr>
                    <w:adjustRightInd w:val="0"/>
                    <w:snapToGrid w:val="0"/>
                    <w:spacing w:line="240" w:lineRule="atLeast"/>
                    <w:ind w:left="-107" w:leftChars="-51" w:right="-107" w:rightChars="-51"/>
                    <w:jc w:val="center"/>
                    <w:rPr>
                      <w:bCs/>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含硅污泥</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9.6</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804"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废金刚线</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开方</w:t>
                  </w:r>
                </w:p>
              </w:tc>
              <w:tc>
                <w:tcPr>
                  <w:tcW w:w="615"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金刚线</w:t>
                  </w:r>
                </w:p>
              </w:tc>
              <w:tc>
                <w:tcPr>
                  <w:tcW w:w="632"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pStyle w:val="44"/>
                    <w:spacing w:before="24" w:after="24"/>
                    <w:rPr>
                      <w:rFonts w:eastAsia="黑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w:t>
                  </w:r>
                </w:p>
              </w:tc>
              <w:tc>
                <w:tcPr>
                  <w:tcW w:w="804" w:type="dxa"/>
                  <w:vAlign w:val="center"/>
                </w:tcPr>
                <w:p>
                  <w:pPr>
                    <w:pStyle w:val="44"/>
                    <w:spacing w:before="24" w:after="24"/>
                    <w:rPr>
                      <w:rFonts w:hint="default" w:ascii="Times New Roman" w:eastAsia="宋体"/>
                      <w:color w:val="000000" w:themeColor="text1"/>
                      <w:spacing w:val="-10"/>
                      <w:szCs w:val="21"/>
                      <w:lang w:val="en-US" w:eastAsia="zh-CN"/>
                      <w14:textFill>
                        <w14:solidFill>
                          <w14:schemeClr w14:val="tx1"/>
                        </w14:solidFill>
                      </w14:textFill>
                    </w:rPr>
                  </w:pPr>
                  <w:r>
                    <w:rPr>
                      <w:rFonts w:hint="eastAsia" w:ascii="Times New Roman"/>
                      <w:color w:val="000000" w:themeColor="text1"/>
                      <w:spacing w:val="-10"/>
                      <w:szCs w:val="21"/>
                      <w:lang w:val="en-US" w:eastAsia="zh-CN"/>
                      <w14:textFill>
                        <w14:solidFill>
                          <w14:schemeClr w14:val="tx1"/>
                        </w14:solidFill>
                      </w14:textFill>
                    </w:rPr>
                    <w:t>吸尘器吸尘灰</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4"/>
                    <w:spacing w:before="24" w:after="24"/>
                    <w:rPr>
                      <w:rFonts w:hint="default" w:ascii="Times New Roman" w:eastAsia="宋体"/>
                      <w:color w:val="000000" w:themeColor="text1"/>
                      <w:spacing w:val="-10"/>
                      <w:szCs w:val="21"/>
                      <w:lang w:val="en-US" w:eastAsia="zh-CN"/>
                      <w14:textFill>
                        <w14:solidFill>
                          <w14:schemeClr w14:val="tx1"/>
                        </w14:solidFill>
                      </w14:textFill>
                    </w:rPr>
                  </w:pPr>
                  <w:r>
                    <w:rPr>
                      <w:rFonts w:hint="eastAsia" w:ascii="Times New Roman"/>
                      <w:color w:val="000000" w:themeColor="text1"/>
                      <w:spacing w:val="-10"/>
                      <w:szCs w:val="21"/>
                      <w:lang w:val="en-US" w:eastAsia="zh-CN"/>
                      <w14:textFill>
                        <w14:solidFill>
                          <w14:schemeClr w14:val="tx1"/>
                        </w14:solidFill>
                      </w14:textFill>
                    </w:rPr>
                    <w:t>废气治理</w:t>
                  </w:r>
                </w:p>
              </w:tc>
              <w:tc>
                <w:tcPr>
                  <w:tcW w:w="615" w:type="dxa"/>
                  <w:vAlign w:val="center"/>
                </w:tcPr>
                <w:p>
                  <w:pPr>
                    <w:adjustRightInd w:val="0"/>
                    <w:snapToGrid w:val="0"/>
                    <w:spacing w:line="240" w:lineRule="atLeast"/>
                    <w:ind w:left="-107" w:leftChars="-51" w:right="-107" w:rightChars="-51"/>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w:t>
                  </w:r>
                </w:p>
              </w:tc>
              <w:tc>
                <w:tcPr>
                  <w:tcW w:w="845" w:type="dxa"/>
                  <w:vAlign w:val="center"/>
                </w:tcPr>
                <w:p>
                  <w:pPr>
                    <w:pStyle w:val="44"/>
                    <w:spacing w:before="24" w:after="24"/>
                    <w:rPr>
                      <w:rFonts w:hint="default" w:ascii="Times New Roman" w:eastAsia="宋体"/>
                      <w:color w:val="000000" w:themeColor="text1"/>
                      <w:spacing w:val="-10"/>
                      <w:szCs w:val="21"/>
                      <w:lang w:val="en-US" w:eastAsia="zh-CN"/>
                      <w14:textFill>
                        <w14:solidFill>
                          <w14:schemeClr w14:val="tx1"/>
                        </w14:solidFill>
                      </w14:textFill>
                    </w:rPr>
                  </w:pPr>
                  <w:r>
                    <w:rPr>
                      <w:rFonts w:hint="eastAsia" w:ascii="Times New Roman"/>
                      <w:color w:val="000000" w:themeColor="text1"/>
                      <w:spacing w:val="-10"/>
                      <w:szCs w:val="21"/>
                      <w:lang w:val="en-US" w:eastAsia="zh-CN"/>
                      <w14:textFill>
                        <w14:solidFill>
                          <w14:schemeClr w14:val="tx1"/>
                        </w14:solidFill>
                      </w14:textFill>
                    </w:rPr>
                    <w:t>硅灰</w:t>
                  </w:r>
                </w:p>
              </w:tc>
              <w:tc>
                <w:tcPr>
                  <w:tcW w:w="632" w:type="dxa"/>
                  <w:vAlign w:val="center"/>
                </w:tcPr>
                <w:p>
                  <w:pPr>
                    <w:adjustRightInd w:val="0"/>
                    <w:snapToGrid w:val="0"/>
                    <w:spacing w:line="240" w:lineRule="atLeast"/>
                    <w:ind w:left="-107" w:leftChars="-51" w:right="-107" w:rightChars="-51"/>
                    <w:jc w:val="center"/>
                    <w:rPr>
                      <w:rFonts w:hint="eastAsia"/>
                      <w:color w:val="000000" w:themeColor="text1"/>
                      <w:szCs w:val="21"/>
                      <w14:textFill>
                        <w14:solidFill>
                          <w14:schemeClr w14:val="tx1"/>
                        </w14:solidFill>
                      </w14:textFill>
                    </w:rPr>
                  </w:pPr>
                </w:p>
              </w:tc>
              <w:tc>
                <w:tcPr>
                  <w:tcW w:w="686"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1.536</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bl>
          <w:p>
            <w:pPr>
              <w:adjustRightInd w:val="0"/>
              <w:spacing w:line="360" w:lineRule="auto"/>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注：*废物类别和废物代码参照《一般固体废物分类与代码》（GB/T39198-2020）</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表4-14  建设项目危险废物产生情况</w:t>
            </w:r>
          </w:p>
          <w:tbl>
            <w:tblPr>
              <w:tblStyle w:val="23"/>
              <w:tblW w:w="80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
              <w:gridCol w:w="658"/>
              <w:gridCol w:w="690"/>
              <w:gridCol w:w="912"/>
              <w:gridCol w:w="686"/>
              <w:gridCol w:w="836"/>
              <w:gridCol w:w="423"/>
              <w:gridCol w:w="798"/>
              <w:gridCol w:w="729"/>
              <w:gridCol w:w="664"/>
              <w:gridCol w:w="579"/>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5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58"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危险废物名称</w:t>
                  </w:r>
                </w:p>
              </w:tc>
              <w:tc>
                <w:tcPr>
                  <w:tcW w:w="690"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危险废物类别</w:t>
                  </w:r>
                </w:p>
              </w:tc>
              <w:tc>
                <w:tcPr>
                  <w:tcW w:w="91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危险废物代码</w:t>
                  </w:r>
                </w:p>
              </w:tc>
              <w:tc>
                <w:tcPr>
                  <w:tcW w:w="68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83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产生工序及装置</w:t>
                  </w:r>
                </w:p>
              </w:tc>
              <w:tc>
                <w:tcPr>
                  <w:tcW w:w="42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798"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72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有害成分</w:t>
                  </w:r>
                </w:p>
              </w:tc>
              <w:tc>
                <w:tcPr>
                  <w:tcW w:w="66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产废周期</w:t>
                  </w:r>
                </w:p>
              </w:tc>
              <w:tc>
                <w:tcPr>
                  <w:tcW w:w="57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危险特性</w:t>
                  </w:r>
                </w:p>
              </w:tc>
              <w:tc>
                <w:tcPr>
                  <w:tcW w:w="69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58" w:type="dxa"/>
                  <w:vAlign w:val="center"/>
                </w:tcPr>
                <w:p>
                  <w:pPr>
                    <w:pStyle w:val="44"/>
                    <w:spacing w:before="24" w:after="24"/>
                    <w:rPr>
                      <w:rFonts w:ascii="Times New Roman"/>
                      <w:bCs/>
                      <w:color w:val="000000" w:themeColor="text1"/>
                      <w:kern w:val="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w:t>
                  </w:r>
                </w:p>
              </w:tc>
              <w:tc>
                <w:tcPr>
                  <w:tcW w:w="69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91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-08</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836" w:type="dxa"/>
                  <w:vAlign w:val="center"/>
                </w:tcPr>
                <w:p>
                  <w:pPr>
                    <w:pStyle w:val="44"/>
                    <w:spacing w:before="24" w:after="24"/>
                    <w:rPr>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设备检修</w:t>
                  </w:r>
                </w:p>
              </w:tc>
              <w:tc>
                <w:tcPr>
                  <w:tcW w:w="423"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798" w:type="dxa"/>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润滑油等</w:t>
                  </w:r>
                </w:p>
              </w:tc>
              <w:tc>
                <w:tcPr>
                  <w:tcW w:w="72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pacing w:val="-10"/>
                      <w:szCs w:val="21"/>
                      <w14:textFill>
                        <w14:solidFill>
                          <w14:schemeClr w14:val="tx1"/>
                        </w14:solidFill>
                      </w14:textFill>
                    </w:rPr>
                    <w:t>润滑油</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30d</w:t>
                  </w:r>
                </w:p>
              </w:tc>
              <w:tc>
                <w:tcPr>
                  <w:tcW w:w="57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w:t>
                  </w:r>
                </w:p>
              </w:tc>
              <w:tc>
                <w:tcPr>
                  <w:tcW w:w="696" w:type="dxa"/>
                  <w:vMerge w:val="restart"/>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委托有资质的单位处置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58"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废机油桶</w:t>
                  </w:r>
                </w:p>
              </w:tc>
              <w:tc>
                <w:tcPr>
                  <w:tcW w:w="69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91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041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836"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润滑油包装</w:t>
                  </w:r>
                </w:p>
              </w:tc>
              <w:tc>
                <w:tcPr>
                  <w:tcW w:w="423"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798"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润滑油</w:t>
                  </w:r>
                </w:p>
              </w:tc>
              <w:tc>
                <w:tcPr>
                  <w:tcW w:w="729" w:type="dxa"/>
                  <w:vAlign w:val="center"/>
                </w:tcPr>
                <w:p>
                  <w:pPr>
                    <w:adjustRightInd w:val="0"/>
                    <w:snapToGrid w:val="0"/>
                    <w:spacing w:line="240" w:lineRule="atLeast"/>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润滑油</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30d</w:t>
                  </w:r>
                </w:p>
              </w:tc>
              <w:tc>
                <w:tcPr>
                  <w:tcW w:w="57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T/In</w:t>
                  </w:r>
                </w:p>
              </w:tc>
              <w:tc>
                <w:tcPr>
                  <w:tcW w:w="696" w:type="dxa"/>
                  <w:vMerge w:val="continue"/>
                  <w:vAlign w:val="center"/>
                </w:tcPr>
                <w:p>
                  <w:pPr>
                    <w:pStyle w:val="44"/>
                    <w:spacing w:before="24" w:after="24"/>
                    <w:ind w:firstLine="420"/>
                    <w:rPr>
                      <w:rFonts w:ascii="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5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58"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废含油手套、抹布</w:t>
                  </w:r>
                </w:p>
              </w:tc>
              <w:tc>
                <w:tcPr>
                  <w:tcW w:w="69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91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041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836"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机修</w:t>
                  </w:r>
                </w:p>
              </w:tc>
              <w:tc>
                <w:tcPr>
                  <w:tcW w:w="423"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798"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润滑油</w:t>
                  </w:r>
                </w:p>
              </w:tc>
              <w:tc>
                <w:tcPr>
                  <w:tcW w:w="729" w:type="dxa"/>
                  <w:vAlign w:val="center"/>
                </w:tcPr>
                <w:p>
                  <w:pPr>
                    <w:adjustRightInd w:val="0"/>
                    <w:snapToGrid w:val="0"/>
                    <w:spacing w:line="240" w:lineRule="atLeast"/>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润滑油</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30d</w:t>
                  </w:r>
                </w:p>
              </w:tc>
              <w:tc>
                <w:tcPr>
                  <w:tcW w:w="57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T/In</w:t>
                  </w:r>
                </w:p>
              </w:tc>
              <w:tc>
                <w:tcPr>
                  <w:tcW w:w="696" w:type="dxa"/>
                  <w:vMerge w:val="continue"/>
                  <w:vAlign w:val="center"/>
                </w:tcPr>
                <w:p>
                  <w:pPr>
                    <w:pStyle w:val="44"/>
                    <w:spacing w:before="24" w:after="24"/>
                    <w:ind w:firstLine="420"/>
                    <w:rPr>
                      <w:rFonts w:ascii="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024" w:type="dxa"/>
                  <w:gridSpan w:val="12"/>
                  <w:vAlign w:val="center"/>
                </w:tcPr>
                <w:p>
                  <w:pPr>
                    <w:pStyle w:val="44"/>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 w:val="18"/>
                      <w:szCs w:val="18"/>
                      <w14:textFill>
                        <w14:solidFill>
                          <w14:schemeClr w14:val="tx1"/>
                        </w14:solidFill>
                      </w14:textFill>
                    </w:rPr>
                    <w:t>备注：毒性（Toxicity,T），感染性（Infectivity,In），易燃性(Ignitability, I)，腐蚀性（corrosivity，C）</w:t>
                  </w:r>
                </w:p>
              </w:tc>
            </w:tr>
          </w:tbl>
          <w:p>
            <w:pPr>
              <w:adjustRightInd w:val="0"/>
              <w:spacing w:line="360" w:lineRule="auto"/>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注：*危险废物类别、危险废物代码、危险特性参照《国家危险废物名录》（2021年版）</w:t>
            </w:r>
          </w:p>
          <w:p>
            <w:pPr>
              <w:adjustRightInd w:val="0"/>
              <w:snapToGrid w:val="0"/>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一般固废环境管理要求</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一般工业固废的暂存场所应按照《一般工业固体废物贮存和填埋污染控制标准》（GB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-2020）要求建设。</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①贮存场投入运行之前，企业应制定突发环境事件应急预案或在突发事件应急预案中制定环境应急预案专章，说明各种可能发生的突发环境事件情景及应急处置措施；</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②贮存场应制定运行计划，运行管理人员应定期参加企业的岗位培训；</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③贮存场运行企业应建立档案管理制度，并按照国家档案管理等法律法规进行整理与归档，永久保存；</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④不相容的一般工业固体废物应设置不同的分区进行贮存作业；</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⑤危险废物和生活垃圾不得进入一般工业固体废物贮存场。国家及地方有关法律法规、标准另有规定的除外；</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⑥贮存场的环境保护图形标志应符合GB 15562.2的规定，并应定期检查和维护；</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⑦易产生扬尘的贮存应采取分区作业、覆盖、洒水等有效抑尘措施防止扬尘污染</w:t>
            </w:r>
            <w:r>
              <w:rPr>
                <w:rFonts w:hint="eastAsia"/>
                <w:color w:val="000000" w:themeColor="text1"/>
                <w:szCs w:val="21"/>
                <w14:textFill>
                  <w14:solidFill>
                    <w14:schemeClr w14:val="tx1"/>
                  </w14:solidFill>
                </w14:textFill>
              </w:rPr>
              <w:t>。</w:t>
            </w:r>
          </w:p>
          <w:p>
            <w:pPr>
              <w:adjustRightInd w:val="0"/>
              <w:snapToGrid w:val="0"/>
              <w:spacing w:line="360" w:lineRule="auto"/>
              <w:ind w:firstLine="422" w:firstLineChars="200"/>
              <w:rPr>
                <w:bCs/>
                <w:color w:val="000000" w:themeColor="text1"/>
                <w:spacing w:val="-10"/>
                <w:szCs w:val="21"/>
                <w14:textFill>
                  <w14:solidFill>
                    <w14:schemeClr w14:val="tx1"/>
                  </w14:solidFill>
                </w14:textFill>
              </w:rPr>
            </w:pP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危险废物环境管理要求</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危险废物在厂内临时贮存时应加强管理，严格执行《危险废物贮存污染控制标准》（GB</w:t>
            </w:r>
            <w:r>
              <w:rPr>
                <w:rFonts w:hint="eastAsia"/>
                <w:color w:val="000000" w:themeColor="text1"/>
                <w:szCs w:val="21"/>
                <w:lang w:eastAsia="zh-CN" w:bidi="ar"/>
                <w14:textFill>
                  <w14:solidFill>
                    <w14:schemeClr w14:val="tx1"/>
                  </w14:solidFill>
                </w14:textFill>
              </w:rPr>
              <w:t>*****</w:t>
            </w:r>
            <w:r>
              <w:rPr>
                <w:rFonts w:hint="eastAsia"/>
                <w:color w:val="000000" w:themeColor="text1"/>
                <w:szCs w:val="21"/>
                <w:lang w:bidi="ar"/>
                <w14:textFill>
                  <w14:solidFill>
                    <w14:schemeClr w14:val="tx1"/>
                  </w14:solidFill>
                </w14:textFill>
              </w:rPr>
              <w:t>-2023）中相关规定：</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①装载危险废物的容器及材质要满足相应的轻度要求；盛装危险废物的容器必须完好无损；盛装危险废物的容器材质和衬里要与危险废物相容；</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②应当设置专用的临时贮存设施，根据危险废物的种类和特性进行分区、分类存放，并必须要做到防雨、防火、防雷、防扬散、防渗漏装置及其他防止污染环境的措施，不得随意露天堆放。</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③危险废物禁止混入非危险废物中贮存，禁止与旅客同一运输工具上载运。</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④在包装箱外可设置醒目的危险废物标志，并用明确易懂的中文标明箱内所装为危险废物等。</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⑤对危险废物的容器或包装物以及收集、贮存、运输、处置危险废物的设施、场所，必须设置危险废物识别标志，配备通讯设备、照明设施和消防设施；在出入口、设施内部、危险废物运输车辆通道等关键位置按照危险废物贮存设施视频监控布设要求设置视频监控。</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⑥将危险废物的实际产生、贮存、利用、处置等情况纳入生产记录，建立危险废物管理台账和企业内部产生的收集、贮存、转移等危险废物交接制度。必须明确企业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危险废物暂存间地面必须采用防渗措施，同时必须防止雨水对危险废物的淋洗，或大风对其卷扬。</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危险废物暂存间，基础采取防渗，防渗层为2毫米厚HDPE防渗膜（渗透系数≤10</w:t>
            </w:r>
            <w:r>
              <w:rPr>
                <w:rFonts w:hint="eastAsia"/>
                <w:color w:val="000000" w:themeColor="text1"/>
                <w:szCs w:val="21"/>
                <w:vertAlign w:val="superscript"/>
                <w:lang w:bidi="ar"/>
                <w14:textFill>
                  <w14:solidFill>
                    <w14:schemeClr w14:val="tx1"/>
                  </w14:solidFill>
                </w14:textFill>
              </w:rPr>
              <w:t>-10</w:t>
            </w:r>
            <w:r>
              <w:rPr>
                <w:rFonts w:hint="eastAsia"/>
                <w:color w:val="000000" w:themeColor="text1"/>
                <w:szCs w:val="21"/>
                <w:lang w:bidi="ar"/>
                <w14:textFill>
                  <w14:solidFill>
                    <w14:schemeClr w14:val="tx1"/>
                  </w14:solidFill>
                </w14:textFill>
              </w:rPr>
              <w:t>cm/s）及防渗混凝土面层，使防渗层渗透系数≤10</w:t>
            </w:r>
            <w:r>
              <w:rPr>
                <w:rFonts w:hint="eastAsia"/>
                <w:color w:val="000000" w:themeColor="text1"/>
                <w:szCs w:val="21"/>
                <w:vertAlign w:val="superscript"/>
                <w:lang w:bidi="ar"/>
                <w14:textFill>
                  <w14:solidFill>
                    <w14:schemeClr w14:val="tx1"/>
                  </w14:solidFill>
                </w14:textFill>
              </w:rPr>
              <w:t>-10</w:t>
            </w:r>
            <w:r>
              <w:rPr>
                <w:rFonts w:hint="eastAsia"/>
                <w:color w:val="000000" w:themeColor="text1"/>
                <w:szCs w:val="21"/>
                <w:lang w:bidi="ar"/>
                <w14:textFill>
                  <w14:solidFill>
                    <w14:schemeClr w14:val="tx1"/>
                  </w14:solidFill>
                </w14:textFill>
              </w:rPr>
              <w:t>cm/s。</w:t>
            </w:r>
          </w:p>
          <w:p>
            <w:pPr>
              <w:adjustRightInd w:val="0"/>
              <w:snapToGrid w:val="0"/>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（4）危险废物环境影响分析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按照《建设项目危险废物环境影响评价指南》要求，对本项目产生的危废的影响及处理处置方式进行如下分析。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①危险废物贮存场所（设施）环境影响分析</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根据《建设项目危险废物环境影响评价指南》要求，危险废物贮存场所（设施）的名称、位置、占地面积、贮存方式、贮存容积、贮存周期等情况详见表4-</w:t>
            </w:r>
            <w:r>
              <w:rPr>
                <w:rFonts w:hint="eastAsia"/>
                <w:color w:val="000000" w:themeColor="text1"/>
                <w:szCs w:val="21"/>
                <w14:textFill>
                  <w14:solidFill>
                    <w14:schemeClr w14:val="tx1"/>
                  </w14:solidFill>
                </w14:textFill>
              </w:rPr>
              <w:t>15。</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表4-15  建设项目危险废物贮存场所（设施）基本情况表</w:t>
            </w:r>
          </w:p>
          <w:tbl>
            <w:tblPr>
              <w:tblStyle w:val="23"/>
              <w:tblW w:w="7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26"/>
              <w:gridCol w:w="1040"/>
              <w:gridCol w:w="900"/>
              <w:gridCol w:w="1232"/>
              <w:gridCol w:w="664"/>
              <w:gridCol w:w="750"/>
              <w:gridCol w:w="729"/>
              <w:gridCol w:w="750"/>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2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贮存场所</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04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危险废物名称</w:t>
                  </w:r>
                </w:p>
              </w:tc>
              <w:tc>
                <w:tcPr>
                  <w:tcW w:w="90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危险废物类别</w:t>
                  </w:r>
                </w:p>
              </w:tc>
              <w:tc>
                <w:tcPr>
                  <w:tcW w:w="1232"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危险废物代码</w:t>
                  </w:r>
                </w:p>
              </w:tc>
              <w:tc>
                <w:tcPr>
                  <w:tcW w:w="66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位置</w:t>
                  </w:r>
                </w:p>
              </w:tc>
              <w:tc>
                <w:tcPr>
                  <w:tcW w:w="75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占地面积</w:t>
                  </w:r>
                </w:p>
              </w:tc>
              <w:tc>
                <w:tcPr>
                  <w:tcW w:w="72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贮存方式</w:t>
                  </w:r>
                </w:p>
              </w:tc>
              <w:tc>
                <w:tcPr>
                  <w:tcW w:w="75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能力</w:t>
                  </w:r>
                </w:p>
              </w:tc>
              <w:tc>
                <w:tcPr>
                  <w:tcW w:w="71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26"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1040" w:type="dxa"/>
                  <w:vAlign w:val="center"/>
                </w:tcPr>
                <w:p>
                  <w:pPr>
                    <w:pStyle w:val="44"/>
                    <w:spacing w:before="24" w:after="24"/>
                    <w:rPr>
                      <w:rFonts w:ascii="Times New Roman"/>
                      <w:bCs/>
                      <w:color w:val="000000" w:themeColor="text1"/>
                      <w:kern w:val="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w:t>
                  </w:r>
                </w:p>
              </w:tc>
              <w:tc>
                <w:tcPr>
                  <w:tcW w:w="9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12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w:t>
                  </w: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-08</w:t>
                  </w:r>
                </w:p>
              </w:tc>
              <w:tc>
                <w:tcPr>
                  <w:tcW w:w="66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厂房内</w:t>
                  </w:r>
                </w:p>
              </w:tc>
              <w:tc>
                <w:tcPr>
                  <w:tcW w:w="7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w:t>
                  </w:r>
                  <w:r>
                    <w:rPr>
                      <w:rFonts w:hint="eastAsia"/>
                      <w:color w:val="000000" w:themeColor="text1"/>
                      <w:szCs w:val="21"/>
                      <w:vertAlign w:val="superscript"/>
                      <w14:textFill>
                        <w14:solidFill>
                          <w14:schemeClr w14:val="tx1"/>
                        </w14:solidFill>
                      </w14:textFill>
                    </w:rPr>
                    <w:t>2</w:t>
                  </w:r>
                </w:p>
              </w:tc>
              <w:tc>
                <w:tcPr>
                  <w:tcW w:w="729" w:type="dxa"/>
                  <w:vAlign w:val="center"/>
                </w:tcPr>
                <w:p>
                  <w:pPr>
                    <w:jc w:val="center"/>
                    <w:rPr>
                      <w:rFonts w:cs="宋体"/>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桶装</w:t>
                  </w:r>
                </w:p>
              </w:tc>
              <w:tc>
                <w:tcPr>
                  <w:tcW w:w="7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0.1t</w:t>
                  </w:r>
                </w:p>
              </w:tc>
              <w:tc>
                <w:tcPr>
                  <w:tcW w:w="71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26" w:type="dxa"/>
                  <w:vMerge w:val="continue"/>
                  <w:vAlign w:val="center"/>
                </w:tcPr>
                <w:p>
                  <w:pPr>
                    <w:jc w:val="center"/>
                    <w:rPr>
                      <w:color w:val="000000" w:themeColor="text1"/>
                      <w:szCs w:val="21"/>
                      <w14:textFill>
                        <w14:solidFill>
                          <w14:schemeClr w14:val="tx1"/>
                        </w14:solidFill>
                      </w14:textFill>
                    </w:rPr>
                  </w:pPr>
                </w:p>
              </w:tc>
              <w:tc>
                <w:tcPr>
                  <w:tcW w:w="1040" w:type="dxa"/>
                  <w:vAlign w:val="center"/>
                </w:tcPr>
                <w:p>
                  <w:pPr>
                    <w:pStyle w:val="44"/>
                    <w:spacing w:before="24" w:after="24"/>
                    <w:rPr>
                      <w:rFonts w:ascii="Times New Roman"/>
                      <w:bCs/>
                      <w:color w:val="000000" w:themeColor="text1"/>
                      <w:kern w:val="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废机油桶</w:t>
                  </w:r>
                </w:p>
              </w:tc>
              <w:tc>
                <w:tcPr>
                  <w:tcW w:w="9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2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041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w:t>
                  </w:r>
                </w:p>
              </w:tc>
              <w:tc>
                <w:tcPr>
                  <w:tcW w:w="664" w:type="dxa"/>
                  <w:vMerge w:val="continue"/>
                  <w:vAlign w:val="center"/>
                </w:tcPr>
                <w:p>
                  <w:pPr>
                    <w:jc w:val="center"/>
                    <w:rPr>
                      <w:color w:val="000000" w:themeColor="text1"/>
                      <w:szCs w:val="21"/>
                      <w14:textFill>
                        <w14:solidFill>
                          <w14:schemeClr w14:val="tx1"/>
                        </w14:solidFill>
                      </w14:textFill>
                    </w:rPr>
                  </w:pPr>
                </w:p>
              </w:tc>
              <w:tc>
                <w:tcPr>
                  <w:tcW w:w="750" w:type="dxa"/>
                  <w:vMerge w:val="continue"/>
                  <w:vAlign w:val="center"/>
                </w:tcPr>
                <w:p>
                  <w:pPr>
                    <w:jc w:val="center"/>
                    <w:rPr>
                      <w:color w:val="000000" w:themeColor="text1"/>
                      <w:szCs w:val="21"/>
                      <w14:textFill>
                        <w14:solidFill>
                          <w14:schemeClr w14:val="tx1"/>
                        </w14:solidFill>
                      </w14:textFill>
                    </w:rPr>
                  </w:pPr>
                </w:p>
              </w:tc>
              <w:tc>
                <w:tcPr>
                  <w:tcW w:w="729" w:type="dxa"/>
                  <w:vAlign w:val="center"/>
                </w:tcPr>
                <w:p>
                  <w:pPr>
                    <w:jc w:val="center"/>
                    <w:rPr>
                      <w:rFonts w:cs="宋体"/>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托盘</w:t>
                  </w:r>
                </w:p>
              </w:tc>
              <w:tc>
                <w:tcPr>
                  <w:tcW w:w="750" w:type="dxa"/>
                  <w:vMerge w:val="continue"/>
                  <w:vAlign w:val="center"/>
                </w:tcPr>
                <w:p>
                  <w:pPr>
                    <w:jc w:val="center"/>
                    <w:rPr>
                      <w:color w:val="000000" w:themeColor="text1"/>
                      <w:szCs w:val="21"/>
                      <w14:textFill>
                        <w14:solidFill>
                          <w14:schemeClr w14:val="tx1"/>
                        </w14:solidFill>
                      </w14:textFill>
                    </w:rPr>
                  </w:pPr>
                </w:p>
              </w:tc>
              <w:tc>
                <w:tcPr>
                  <w:tcW w:w="710"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26" w:type="dxa"/>
                  <w:vMerge w:val="continue"/>
                  <w:vAlign w:val="center"/>
                </w:tcPr>
                <w:p>
                  <w:pPr>
                    <w:jc w:val="center"/>
                    <w:rPr>
                      <w:color w:val="000000" w:themeColor="text1"/>
                      <w:szCs w:val="21"/>
                      <w14:textFill>
                        <w14:solidFill>
                          <w14:schemeClr w14:val="tx1"/>
                        </w14:solidFill>
                      </w14:textFill>
                    </w:rPr>
                  </w:pPr>
                </w:p>
              </w:tc>
              <w:tc>
                <w:tcPr>
                  <w:tcW w:w="1040"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废含油手套、抹布</w:t>
                  </w:r>
                </w:p>
              </w:tc>
              <w:tc>
                <w:tcPr>
                  <w:tcW w:w="9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2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r>
                    <w:rPr>
                      <w:rFonts w:hint="eastAsia"/>
                      <w:color w:val="000000" w:themeColor="text1"/>
                      <w:szCs w:val="21"/>
                      <w14:textFill>
                        <w14:solidFill>
                          <w14:schemeClr w14:val="tx1"/>
                        </w14:solidFill>
                      </w14:textFill>
                    </w:rPr>
                    <w:t>041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49</w:t>
                  </w:r>
                </w:p>
              </w:tc>
              <w:tc>
                <w:tcPr>
                  <w:tcW w:w="664" w:type="dxa"/>
                  <w:vMerge w:val="continue"/>
                  <w:vAlign w:val="center"/>
                </w:tcPr>
                <w:p>
                  <w:pPr>
                    <w:jc w:val="center"/>
                    <w:rPr>
                      <w:color w:val="000000" w:themeColor="text1"/>
                      <w:szCs w:val="21"/>
                      <w14:textFill>
                        <w14:solidFill>
                          <w14:schemeClr w14:val="tx1"/>
                        </w14:solidFill>
                      </w14:textFill>
                    </w:rPr>
                  </w:pPr>
                </w:p>
              </w:tc>
              <w:tc>
                <w:tcPr>
                  <w:tcW w:w="750" w:type="dxa"/>
                  <w:vMerge w:val="continue"/>
                  <w:vAlign w:val="center"/>
                </w:tcPr>
                <w:p>
                  <w:pPr>
                    <w:jc w:val="center"/>
                    <w:rPr>
                      <w:color w:val="000000" w:themeColor="text1"/>
                      <w:szCs w:val="21"/>
                      <w14:textFill>
                        <w14:solidFill>
                          <w14:schemeClr w14:val="tx1"/>
                        </w14:solidFill>
                      </w14:textFill>
                    </w:rPr>
                  </w:pPr>
                </w:p>
              </w:tc>
              <w:tc>
                <w:tcPr>
                  <w:tcW w:w="72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750" w:type="dxa"/>
                  <w:vMerge w:val="continue"/>
                  <w:vAlign w:val="center"/>
                </w:tcPr>
                <w:p>
                  <w:pPr>
                    <w:jc w:val="center"/>
                    <w:rPr>
                      <w:color w:val="000000" w:themeColor="text1"/>
                      <w:szCs w:val="21"/>
                      <w14:textFill>
                        <w14:solidFill>
                          <w14:schemeClr w14:val="tx1"/>
                        </w14:solidFill>
                      </w14:textFill>
                    </w:rPr>
                  </w:pPr>
                </w:p>
              </w:tc>
              <w:tc>
                <w:tcPr>
                  <w:tcW w:w="710" w:type="dxa"/>
                  <w:vMerge w:val="continue"/>
                  <w:vAlign w:val="center"/>
                </w:tcPr>
                <w:p>
                  <w:pPr>
                    <w:jc w:val="center"/>
                    <w:rPr>
                      <w:color w:val="000000" w:themeColor="text1"/>
                      <w:szCs w:val="21"/>
                      <w14:textFill>
                        <w14:solidFill>
                          <w14:schemeClr w14:val="tx1"/>
                        </w14:solidFill>
                      </w14:textFill>
                    </w:rPr>
                  </w:pPr>
                </w:p>
              </w:tc>
            </w:tr>
          </w:tbl>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危废堆场设置合理性分析：</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本项目危废堆场占地面积</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，按照《危险废物贮存污染控制标准》（GB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23</w:t>
            </w:r>
            <w:r>
              <w:rPr>
                <w:color w:val="000000" w:themeColor="text1"/>
                <w:szCs w:val="21"/>
                <w14:textFill>
                  <w14:solidFill>
                    <w14:schemeClr w14:val="tx1"/>
                  </w14:solidFill>
                </w14:textFill>
              </w:rPr>
              <w:t>）要求进行建设，地面基础及内墙采取防渗措施，使用防水混凝土，地面做防滑处理，危险废物临时贮存渗透系数达1.0×10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厘米/秒。本项目危废堆场设置在</w:t>
            </w:r>
            <w:r>
              <w:rPr>
                <w:rFonts w:hint="eastAsia"/>
                <w:color w:val="000000" w:themeColor="text1"/>
                <w:szCs w:val="21"/>
                <w14:textFill>
                  <w14:solidFill>
                    <w14:schemeClr w14:val="tx1"/>
                  </w14:solidFill>
                </w14:textFill>
              </w:rPr>
              <w:t>厂区东南侧</w:t>
            </w:r>
            <w:r>
              <w:rPr>
                <w:color w:val="000000" w:themeColor="text1"/>
                <w:szCs w:val="21"/>
                <w14:textFill>
                  <w14:solidFill>
                    <w14:schemeClr w14:val="tx1"/>
                  </w14:solidFill>
                </w14:textFill>
              </w:rPr>
              <w:t>，运输车辆进出较为方便。</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本项目危废产生量约为0.105t/a，采用桶装、袋装或密封堆放。危险废物周转频率为1年，危废间最大储存量约为0.1t，本报告要求企业每年转运一次。</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存储场所需做到防风、防雨、防晒，存储场所四周设有截留措施，地面为硬化地面、地面无裂缝，需确保地面和裙脚基础防渗措施符合《危险废物贮存污染控制标准》要求。危废贮存区应按照《危险废物污染技术政策》、《危险废物贮存污染控制标准》等法规的相关规定，装载危险废物的容器及材质要满足相应的轻度要求；</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盛装危险废物的容器必须完好无损；盛装危险废物的容器材质和衬里要与危险废物相容。定期对基础防渗进行检查，如不满足要求，则需加强防渗处理。</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建设单位应按相关要求对危险废物识别标识进行规范化设置，并做好信息公开制度，规范危险废物的收集贮存及视频监控布设。</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②运输过程的环境影响分析</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在危险废物清运过程中，应做好密闭措施，防止固废发出臭味或抛洒遗漏而导致污染扩散，保证运输过程中无抛、洒、滴、漏现象发生。危险废物由危废运输单位委托有资质的运输公司运输，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③委托利用的环境影响分析</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本项目委托处置的危险废物为废机油、废机油桶。委托云南省内有危废处置资质的单位处置。</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④危险废物环境风险评价</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按照《建设项目环境风险评价技术导则》(HJ</w:t>
            </w:r>
            <w:r>
              <w:rPr>
                <w:rFonts w:hint="eastAsia" w:cs="宋体"/>
                <w:color w:val="000000" w:themeColor="text1"/>
                <w:szCs w:val="21"/>
                <w:lang w:eastAsia="zh-CN" w:bidi="ar"/>
                <w14:textFill>
                  <w14:solidFill>
                    <w14:schemeClr w14:val="tx1"/>
                  </w14:solidFill>
                </w14:textFill>
              </w:rPr>
              <w:t>***</w:t>
            </w:r>
            <w:r>
              <w:rPr>
                <w:rFonts w:hint="eastAsia" w:cs="宋体"/>
                <w:color w:val="000000" w:themeColor="text1"/>
                <w:szCs w:val="21"/>
                <w:lang w:bidi="ar"/>
                <w14:textFill>
                  <w14:solidFill>
                    <w14:schemeClr w14:val="tx1"/>
                  </w14:solidFill>
                </w14:textFill>
              </w:rPr>
              <w:t>-2018)，废机油、废机油桶含可燃物，应在危险废物仓库周边设置足够数量的灭火器，以便在发生火灾时能尽快扑灭，且应在贮存区外设置围堰或截留沟等防止泄漏扩散。</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综上所述，本项目所产生的固体废物通过以上方法处理处置后，将不会对周围的环境产生影响，但必须指出的是，固体废物处理处置前在厂内的堆放、贮存场所应按照国家固体废物贮存有关要求设置，避免其对周围环境产生二次污染。</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通过以上措施，建设项目产生的固体废物均得到了妥善处置和利用，对外环境的影响较小。</w:t>
            </w:r>
          </w:p>
          <w:p>
            <w:pPr>
              <w:adjustRightInd w:val="0"/>
              <w:snapToGrid w:val="0"/>
              <w:spacing w:line="360" w:lineRule="auto"/>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（五）</w:t>
            </w:r>
            <w:r>
              <w:rPr>
                <w:b/>
                <w:color w:val="000000" w:themeColor="text1"/>
                <w:spacing w:val="-10"/>
                <w:szCs w:val="21"/>
                <w14:textFill>
                  <w14:solidFill>
                    <w14:schemeClr w14:val="tx1"/>
                  </w14:solidFill>
                </w14:textFill>
              </w:rPr>
              <w:t>地下水、土壤环境影响及保护措施</w:t>
            </w:r>
          </w:p>
          <w:p>
            <w:pPr>
              <w:spacing w:line="360" w:lineRule="auto"/>
              <w:ind w:firstLine="48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地下水、土壤污染类型及途径</w:t>
            </w:r>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项目运营期地下水、土壤污染源主要为生产过程中产生的</w:t>
            </w: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大气沉降，污水因输送管道及处理设施破损发生渗漏，危废堆场内</w:t>
            </w:r>
            <w:r>
              <w:rPr>
                <w:rFonts w:hint="eastAsia"/>
                <w:color w:val="000000" w:themeColor="text1"/>
                <w:szCs w:val="21"/>
                <w14:textFill>
                  <w14:solidFill>
                    <w14:schemeClr w14:val="tx1"/>
                  </w14:solidFill>
                </w14:textFill>
              </w:rPr>
              <w:t>废机油</w:t>
            </w:r>
            <w:r>
              <w:rPr>
                <w:color w:val="000000" w:themeColor="text1"/>
                <w:szCs w:val="21"/>
                <w14:textFill>
                  <w14:solidFill>
                    <w14:schemeClr w14:val="tx1"/>
                  </w14:solidFill>
                </w14:textFill>
              </w:rPr>
              <w:t>等物料泄漏垂直下渗。针对企业生产过程中废气、废水及固体废物产生、输送和处理过程，采取合理有效的工程措施可防止污染物对土壤、地下水的污染。</w:t>
            </w:r>
          </w:p>
          <w:p>
            <w:pPr>
              <w:spacing w:line="360" w:lineRule="auto"/>
              <w:ind w:firstLine="48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地下</w:t>
            </w:r>
            <w:r>
              <w:rPr>
                <w:rFonts w:hint="eastAsia"/>
                <w:b/>
                <w:bCs/>
                <w:color w:val="000000" w:themeColor="text1"/>
                <w:szCs w:val="21"/>
                <w14:textFill>
                  <w14:solidFill>
                    <w14:schemeClr w14:val="tx1"/>
                  </w14:solidFill>
                </w14:textFill>
              </w:rPr>
              <w:t>水</w:t>
            </w:r>
            <w:r>
              <w:rPr>
                <w:b/>
                <w:bCs/>
                <w:color w:val="000000" w:themeColor="text1"/>
                <w:szCs w:val="21"/>
                <w14:textFill>
                  <w14:solidFill>
                    <w14:schemeClr w14:val="tx1"/>
                  </w14:solidFill>
                </w14:textFill>
              </w:rPr>
              <w:t>、土壤分区防控措施</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为了更好的保护地下水和土壤资源，将拟建项目对地下水和土壤的影响降至最低限度，建议采取分区防控措施。主要包括厂内污染区地面的防渗措施和泄漏、渗漏污染物收集措施，即在污染区地面进行防渗处理，防止洒落地面的污染物渗入地下，并把滞留在地面的污染物收集起来集中处理，从而避免对环境的污染。结合项目各生产设备、贮存等因素，</w:t>
            </w:r>
            <w:r>
              <w:rPr>
                <w:rFonts w:hint="eastAsia"/>
                <w:color w:val="000000" w:themeColor="text1"/>
                <w:szCs w:val="21"/>
                <w14:textFill>
                  <w14:solidFill>
                    <w14:schemeClr w14:val="tx1"/>
                  </w14:solidFill>
                </w14:textFill>
              </w:rPr>
              <w:t>在生产装置、辅助设施及公用工程设施在布置上严格区分防渗区和非防渗区，根据生产装置、辅助设施及公用工程所处位置不同将防渗区划分为一般防渗区和简单防渗区</w:t>
            </w:r>
            <w:r>
              <w:rPr>
                <w:color w:val="000000" w:themeColor="text1"/>
                <w:szCs w:val="21"/>
                <w14:textFill>
                  <w14:solidFill>
                    <w14:schemeClr w14:val="tx1"/>
                  </w14:solidFill>
                </w14:textFill>
              </w:rPr>
              <w:t>，全厂分区防渗区划见表</w:t>
            </w:r>
            <w:r>
              <w:rPr>
                <w:rFonts w:hint="eastAsia"/>
                <w:color w:val="000000" w:themeColor="text1"/>
                <w:szCs w:val="21"/>
                <w14:textFill>
                  <w14:solidFill>
                    <w14:schemeClr w14:val="tx1"/>
                  </w14:solidFill>
                </w14:textFill>
              </w:rPr>
              <w:t>4-16。</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表4-16  本项目分区防渗方案及防渗措施表</w:t>
            </w:r>
          </w:p>
          <w:tbl>
            <w:tblPr>
              <w:tblStyle w:val="23"/>
              <w:tblW w:w="77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7"/>
              <w:gridCol w:w="1044"/>
              <w:gridCol w:w="1551"/>
              <w:gridCol w:w="4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7"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044"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防治</w:t>
                  </w:r>
                </w:p>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分区</w:t>
                  </w:r>
                </w:p>
              </w:tc>
              <w:tc>
                <w:tcPr>
                  <w:tcW w:w="155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分区位置</w:t>
                  </w:r>
                </w:p>
              </w:tc>
              <w:tc>
                <w:tcPr>
                  <w:tcW w:w="455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4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重点污染防治区</w:t>
                  </w:r>
                </w:p>
              </w:tc>
              <w:tc>
                <w:tcPr>
                  <w:tcW w:w="1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危废暂存场所</w:t>
                  </w:r>
                </w:p>
              </w:tc>
              <w:tc>
                <w:tcPr>
                  <w:tcW w:w="4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依据国家危险贮存标准要求设计、施工，采用</w:t>
                  </w:r>
                  <w:r>
                    <w:rPr>
                      <w:rFonts w:ascii="Times New Roman" w:hAnsi="Times New Roman"/>
                      <w:bCs/>
                      <w:color w:val="000000" w:themeColor="text1"/>
                      <w:sz w:val="21"/>
                      <w:szCs w:val="21"/>
                      <w:lang w:bidi="ar"/>
                      <w14:textFill>
                        <w14:solidFill>
                          <w14:schemeClr w14:val="tx1"/>
                        </w14:solidFill>
                      </w14:textFill>
                    </w:rPr>
                    <w:t>200mm</w:t>
                  </w:r>
                  <w:r>
                    <w:rPr>
                      <w:rFonts w:hint="eastAsia" w:ascii="Times New Roman" w:hAnsi="Times New Roman" w:cs="宋体"/>
                      <w:bCs/>
                      <w:color w:val="000000" w:themeColor="text1"/>
                      <w:sz w:val="21"/>
                      <w:szCs w:val="21"/>
                      <w:lang w:bidi="ar"/>
                      <w14:textFill>
                        <w14:solidFill>
                          <w14:schemeClr w14:val="tx1"/>
                        </w14:solidFill>
                      </w14:textFill>
                    </w:rPr>
                    <w:t>厚</w:t>
                  </w:r>
                  <w:r>
                    <w:rPr>
                      <w:rFonts w:ascii="Times New Roman" w:hAnsi="Times New Roman"/>
                      <w:bCs/>
                      <w:color w:val="000000" w:themeColor="text1"/>
                      <w:sz w:val="21"/>
                      <w:szCs w:val="21"/>
                      <w:lang w:bidi="ar"/>
                      <w14:textFill>
                        <w14:solidFill>
                          <w14:schemeClr w14:val="tx1"/>
                        </w14:solidFill>
                      </w14:textFill>
                    </w:rPr>
                    <w:t>C15</w:t>
                  </w:r>
                  <w:r>
                    <w:rPr>
                      <w:rFonts w:hint="eastAsia" w:ascii="Times New Roman" w:hAnsi="Times New Roman" w:cs="宋体"/>
                      <w:bCs/>
                      <w:color w:val="000000" w:themeColor="text1"/>
                      <w:sz w:val="21"/>
                      <w:szCs w:val="21"/>
                      <w:lang w:bidi="ar"/>
                      <w14:textFill>
                        <w14:solidFill>
                          <w14:schemeClr w14:val="tx1"/>
                        </w14:solidFill>
                      </w14:textFill>
                    </w:rPr>
                    <w:t>砼垫层随打随抹光，设置钢筋混凝土围堰，并采用底部加设土工膜进行防渗，使渗透系数不大于</w:t>
                  </w:r>
                  <w:r>
                    <w:rPr>
                      <w:rFonts w:ascii="Times New Roman" w:hAnsi="Times New Roman"/>
                      <w:bCs/>
                      <w:color w:val="000000" w:themeColor="text1"/>
                      <w:sz w:val="21"/>
                      <w:szCs w:val="21"/>
                      <w:lang w:bidi="ar"/>
                      <w14:textFill>
                        <w14:solidFill>
                          <w14:schemeClr w14:val="tx1"/>
                        </w14:solidFill>
                      </w14:textFill>
                    </w:rPr>
                    <w:t>1.0×10</w:t>
                  </w:r>
                  <w:r>
                    <w:rPr>
                      <w:rFonts w:ascii="Times New Roman" w:hAnsi="Times New Roman"/>
                      <w:bCs/>
                      <w:color w:val="000000" w:themeColor="text1"/>
                      <w:sz w:val="21"/>
                      <w:szCs w:val="21"/>
                      <w:vertAlign w:val="superscript"/>
                      <w:lang w:bidi="ar"/>
                      <w14:textFill>
                        <w14:solidFill>
                          <w14:schemeClr w14:val="tx1"/>
                        </w14:solidFill>
                      </w14:textFill>
                    </w:rPr>
                    <w:t>-10</w:t>
                  </w:r>
                  <w:r>
                    <w:rPr>
                      <w:rFonts w:ascii="Times New Roman" w:hAnsi="Times New Roman"/>
                      <w:bCs/>
                      <w:color w:val="000000" w:themeColor="text1"/>
                      <w:sz w:val="21"/>
                      <w:szCs w:val="21"/>
                      <w:lang w:bidi="ar"/>
                      <w14:textFill>
                        <w14:solidFill>
                          <w14:schemeClr w14:val="tx1"/>
                        </w14:solidFill>
                      </w14:textFill>
                    </w:rPr>
                    <w:t>cm/s</w:t>
                  </w:r>
                  <w:r>
                    <w:rPr>
                      <w:rFonts w:hint="eastAsia" w:ascii="Times New Roman" w:hAnsi="Times New Roman" w:cs="宋体"/>
                      <w:bCs/>
                      <w:color w:val="000000" w:themeColor="text1"/>
                      <w:sz w:val="21"/>
                      <w:szCs w:val="21"/>
                      <w:lang w:bidi="ar"/>
                      <w14:textFill>
                        <w14:solidFill>
                          <w14:schemeClr w14:val="tx1"/>
                        </w14:solidFill>
                      </w14:textFill>
                    </w:rPr>
                    <w:t>，且防雨和防晒。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污水输送、收集管道、化粪池、沉淀池、循环水池</w:t>
                  </w:r>
                </w:p>
              </w:tc>
              <w:tc>
                <w:tcPr>
                  <w:tcW w:w="4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对废水收集沟渠、管网、阀门严格质量管理，如发现问题，应及时解决。管沟、污水渠与污水集水井相连，并设计不低于</w:t>
                  </w:r>
                  <w:r>
                    <w:rPr>
                      <w:rFonts w:ascii="Times New Roman" w:hAnsi="Times New Roman"/>
                      <w:bCs/>
                      <w:color w:val="000000" w:themeColor="text1"/>
                      <w:sz w:val="21"/>
                      <w:szCs w:val="21"/>
                      <w:lang w:bidi="ar"/>
                      <w14:textFill>
                        <w14:solidFill>
                          <w14:schemeClr w14:val="tx1"/>
                        </w14:solidFill>
                      </w14:textFill>
                    </w:rPr>
                    <w:t>5‰</w:t>
                  </w:r>
                  <w:r>
                    <w:rPr>
                      <w:rFonts w:hint="eastAsia" w:ascii="Times New Roman" w:hAnsi="Times New Roman" w:cs="宋体"/>
                      <w:bCs/>
                      <w:color w:val="000000" w:themeColor="text1"/>
                      <w:sz w:val="21"/>
                      <w:szCs w:val="21"/>
                      <w:lang w:bidi="ar"/>
                      <w14:textFill>
                        <w14:solidFill>
                          <w14:schemeClr w14:val="tx1"/>
                        </w14:solidFill>
                      </w14:textFill>
                    </w:rPr>
                    <w:t>的排水坡度，便于废水排至集水井统一处理。要做好沿途污水管网的防渗工作。工程管道</w:t>
                  </w:r>
                  <w:r>
                    <w:rPr>
                      <w:rFonts w:ascii="Times New Roman" w:hAnsi="Times New Roman"/>
                      <w:bCs/>
                      <w:color w:val="000000" w:themeColor="text1"/>
                      <w:sz w:val="21"/>
                      <w:szCs w:val="21"/>
                      <w:lang w:bidi="ar"/>
                      <w14:textFill>
                        <w14:solidFill>
                          <w14:schemeClr w14:val="tx1"/>
                        </w14:solidFill>
                      </w14:textFill>
                    </w:rPr>
                    <w:t>DN500</w:t>
                  </w:r>
                  <w:r>
                    <w:rPr>
                      <w:rFonts w:hint="eastAsia" w:ascii="Times New Roman" w:hAnsi="Times New Roman" w:cs="宋体"/>
                      <w:bCs/>
                      <w:color w:val="000000" w:themeColor="text1"/>
                      <w:sz w:val="21"/>
                      <w:szCs w:val="21"/>
                      <w:lang w:bidi="ar"/>
                      <w14:textFill>
                        <w14:solidFill>
                          <w14:schemeClr w14:val="tx1"/>
                        </w14:solidFill>
                      </w14:textFill>
                    </w:rPr>
                    <w:t>及以上管道采用钢筋混凝土管，管径小于</w:t>
                  </w:r>
                  <w:r>
                    <w:rPr>
                      <w:rFonts w:ascii="Times New Roman" w:hAnsi="Times New Roman"/>
                      <w:bCs/>
                      <w:color w:val="000000" w:themeColor="text1"/>
                      <w:sz w:val="21"/>
                      <w:szCs w:val="21"/>
                      <w:lang w:bidi="ar"/>
                      <w14:textFill>
                        <w14:solidFill>
                          <w14:schemeClr w14:val="tx1"/>
                        </w14:solidFill>
                      </w14:textFill>
                    </w:rPr>
                    <w:t>DN500</w:t>
                  </w:r>
                  <w:r>
                    <w:rPr>
                      <w:rFonts w:hint="eastAsia" w:ascii="Times New Roman" w:hAnsi="Times New Roman" w:cs="宋体"/>
                      <w:bCs/>
                      <w:color w:val="000000" w:themeColor="text1"/>
                      <w:sz w:val="21"/>
                      <w:szCs w:val="21"/>
                      <w:lang w:bidi="ar"/>
                      <w14:textFill>
                        <w14:solidFill>
                          <w14:schemeClr w14:val="tx1"/>
                        </w14:solidFill>
                      </w14:textFill>
                    </w:rPr>
                    <w:t>的管道采用</w:t>
                  </w:r>
                  <w:r>
                    <w:rPr>
                      <w:rFonts w:ascii="Times New Roman" w:hAnsi="Times New Roman"/>
                      <w:bCs/>
                      <w:color w:val="000000" w:themeColor="text1"/>
                      <w:sz w:val="21"/>
                      <w:szCs w:val="21"/>
                      <w:lang w:bidi="ar"/>
                      <w14:textFill>
                        <w14:solidFill>
                          <w14:schemeClr w14:val="tx1"/>
                        </w14:solidFill>
                      </w14:textFill>
                    </w:rPr>
                    <w:t>HDPE</w:t>
                  </w:r>
                  <w:r>
                    <w:rPr>
                      <w:rFonts w:hint="eastAsia" w:ascii="Times New Roman" w:hAnsi="Times New Roman" w:cs="宋体"/>
                      <w:bCs/>
                      <w:color w:val="000000" w:themeColor="text1"/>
                      <w:sz w:val="21"/>
                      <w:szCs w:val="21"/>
                      <w:lang w:bidi="ar"/>
                      <w14:textFill>
                        <w14:solidFill>
                          <w14:schemeClr w14:val="tx1"/>
                        </w14:solidFill>
                      </w14:textFill>
                    </w:rPr>
                    <w:t>管。两种管材防水性均较好。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原料堆放区</w:t>
                  </w:r>
                </w:p>
              </w:tc>
              <w:tc>
                <w:tcPr>
                  <w:tcW w:w="4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等效黏土防渗层Mb≥6.0m，地面基础防渗和构筑物防渗等级达到渗透系数≤1.0×10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cm/s;或者参考GB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4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一般污染防治区</w:t>
                  </w: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一般固废暂存场所</w:t>
                  </w:r>
                </w:p>
              </w:tc>
              <w:tc>
                <w:tcPr>
                  <w:tcW w:w="455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地面基础防渗和构筑物防渗等级达到渗透系数≤1.0×10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cm/s，相当于不小于1.5m厚的粘土防护层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455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简单防渗区</w:t>
                  </w: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w:t>
                  </w:r>
                </w:p>
              </w:tc>
              <w:tc>
                <w:tcPr>
                  <w:tcW w:w="4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一般地面硬化</w:t>
                  </w: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（3）</w:t>
            </w:r>
            <w:r>
              <w:rPr>
                <w:b/>
                <w:color w:val="000000" w:themeColor="text1"/>
                <w:spacing w:val="-10"/>
                <w:szCs w:val="21"/>
                <w14:textFill>
                  <w14:solidFill>
                    <w14:schemeClr w14:val="tx1"/>
                  </w14:solidFill>
                </w14:textFill>
              </w:rPr>
              <w:t>跟踪监测</w:t>
            </w:r>
          </w:p>
          <w:p>
            <w:pPr>
              <w:adjustRightInd w:val="0"/>
              <w:spacing w:line="360" w:lineRule="auto"/>
              <w:ind w:firstLine="420" w:firstLineChars="200"/>
              <w:rPr>
                <w:color w:val="000000" w:themeColor="text1"/>
                <w:szCs w:val="21"/>
                <w:lang w:bidi="ar"/>
                <w14:textFill>
                  <w14:solidFill>
                    <w14:schemeClr w14:val="tx1"/>
                  </w14:solidFill>
                </w14:textFill>
              </w:rPr>
            </w:pPr>
            <w:r>
              <w:rPr>
                <w:color w:val="000000" w:themeColor="text1"/>
                <w:szCs w:val="21"/>
                <w14:textFill>
                  <w14:solidFill>
                    <w14:schemeClr w14:val="tx1"/>
                  </w14:solidFill>
                </w14:textFill>
              </w:rPr>
              <w:t>对照《环境影响评价技术导则 地下水环境》（HJ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-2016）附录A，本项目为“69、石墨及其他非金属矿物制品——其他”，为IV类项目。根据《环境影响评价技术导则—地下水环境》（HJ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—2016）中“4.1一般性原则-Ⅳ类建设项目不开展地下水环境影响评价”。综上，本项目属于Ⅳ类建设项目</w:t>
            </w:r>
            <w:r>
              <w:rPr>
                <w:color w:val="000000" w:themeColor="text1"/>
                <w:szCs w:val="21"/>
                <w:lang w:bidi="ar"/>
                <w14:textFill>
                  <w14:solidFill>
                    <w14:schemeClr w14:val="tx1"/>
                  </w14:solidFill>
                </w14:textFill>
              </w:rPr>
              <w:t>，无需进行跟踪监测。</w:t>
            </w:r>
          </w:p>
          <w:p>
            <w:pPr>
              <w:pStyle w:val="75"/>
              <w:spacing w:line="360" w:lineRule="auto"/>
              <w:ind w:firstLine="0" w:firstLineChars="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（六）环境风险影响和保护措施</w:t>
            </w:r>
          </w:p>
          <w:p>
            <w:pPr>
              <w:adjustRightInd w:val="0"/>
              <w:snapToGrid w:val="0"/>
              <w:spacing w:line="360" w:lineRule="auto"/>
              <w:ind w:firstLine="480"/>
              <w:rPr>
                <w:color w:val="000000" w:themeColor="text1"/>
                <w:szCs w:val="21"/>
                <w14:textFill>
                  <w14:solidFill>
                    <w14:schemeClr w14:val="tx1"/>
                  </w14:solidFill>
                </w14:textFill>
              </w:rPr>
            </w:pPr>
            <w:bookmarkStart w:id="39" w:name="_Toc16561"/>
            <w:r>
              <w:rPr>
                <w:color w:val="000000" w:themeColor="text1"/>
                <w:szCs w:val="21"/>
                <w14:textFill>
                  <w14:solidFill>
                    <w14:schemeClr w14:val="tx1"/>
                  </w14:solidFill>
                </w14:textFill>
              </w:rPr>
              <w:t xml:space="preserve">对照《危险化学品目录》及《建设项目环境风险评价技术导则》（HJ </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-2018）附录B中表B.1突发环境事件风险物质及临界量表，本项目所含有害物质的最大储存量及分布位置见下表。</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表4-17  项目涉及的危险物料最大储存量及分布位置</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707"/>
              <w:gridCol w:w="2285"/>
              <w:gridCol w:w="1360"/>
              <w:gridCol w:w="18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07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43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最大储存量（t）</w:t>
                  </w:r>
                </w:p>
              </w:tc>
              <w:tc>
                <w:tcPr>
                  <w:tcW w:w="855"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储存方式</w:t>
                  </w:r>
                </w:p>
              </w:tc>
              <w:tc>
                <w:tcPr>
                  <w:tcW w:w="1184"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储存位置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73" w:type="pct"/>
                  <w:vAlign w:val="center"/>
                </w:tcPr>
                <w:p>
                  <w:pPr>
                    <w:pStyle w:val="44"/>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机油</w:t>
                  </w:r>
                </w:p>
              </w:tc>
              <w:tc>
                <w:tcPr>
                  <w:tcW w:w="1437" w:type="pc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55" w:type="pct"/>
                  <w:vAlign w:val="center"/>
                </w:tcPr>
                <w:p>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桶装</w:t>
                  </w:r>
                </w:p>
              </w:tc>
              <w:tc>
                <w:tcPr>
                  <w:tcW w:w="1184"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原料暂存间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73" w:type="pct"/>
                  <w:vAlign w:val="center"/>
                </w:tcPr>
                <w:p>
                  <w:pPr>
                    <w:pStyle w:val="44"/>
                    <w:spacing w:before="24" w:after="24"/>
                    <w:rPr>
                      <w:rFonts w:ascii="Times New Roman"/>
                      <w:bCs/>
                      <w:color w:val="000000" w:themeColor="text1"/>
                      <w:kern w:val="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w:t>
                  </w:r>
                </w:p>
              </w:tc>
              <w:tc>
                <w:tcPr>
                  <w:tcW w:w="1437" w:type="pc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855" w:type="pct"/>
                  <w:vAlign w:val="center"/>
                </w:tcPr>
                <w:p>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桶装</w:t>
                  </w:r>
                </w:p>
              </w:tc>
              <w:tc>
                <w:tcPr>
                  <w:tcW w:w="1184"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06"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废机油桶</w:t>
                  </w:r>
                </w:p>
              </w:tc>
              <w:tc>
                <w:tcPr>
                  <w:tcW w:w="228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36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托盘</w:t>
                  </w:r>
                </w:p>
              </w:tc>
              <w:tc>
                <w:tcPr>
                  <w:tcW w:w="1184"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073" w:type="pct"/>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废含油手套、抹布</w:t>
                  </w:r>
                </w:p>
              </w:tc>
              <w:tc>
                <w:tcPr>
                  <w:tcW w:w="1437" w:type="pc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85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1184" w:type="pct"/>
                  <w:vMerge w:val="continue"/>
                  <w:vAlign w:val="center"/>
                </w:tcPr>
                <w:p>
                  <w:pPr>
                    <w:jc w:val="center"/>
                    <w:rPr>
                      <w:color w:val="000000" w:themeColor="text1"/>
                      <w:szCs w:val="21"/>
                      <w14:textFill>
                        <w14:solidFill>
                          <w14:schemeClr w14:val="tx1"/>
                        </w14:solidFill>
                      </w14:textFill>
                    </w:rPr>
                  </w:pP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（1）风险潜势初判和风险评价等级</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w:t>
            </w:r>
            <w:bookmarkStart w:id="40" w:name="_Hlk12633651"/>
            <w:r>
              <w:rPr>
                <w:color w:val="000000" w:themeColor="text1"/>
                <w:szCs w:val="21"/>
                <w14:textFill>
                  <w14:solidFill>
                    <w14:schemeClr w14:val="tx1"/>
                  </w14:solidFill>
                </w14:textFill>
              </w:rPr>
              <w:t>《建设项目环境风险评价技术导则》（HJ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-2018）</w:t>
            </w:r>
            <w:bookmarkEnd w:id="40"/>
            <w:r>
              <w:rPr>
                <w:color w:val="000000" w:themeColor="text1"/>
                <w:szCs w:val="21"/>
                <w14:textFill>
                  <w14:solidFill>
                    <w14:schemeClr w14:val="tx1"/>
                  </w14:solidFill>
                </w14:textFill>
              </w:rPr>
              <w:t>附录B中对物质临界量的规定，确定危险物质的临界量。</w:t>
            </w:r>
          </w:p>
          <w:p>
            <w:pPr>
              <w:spacing w:line="360" w:lineRule="auto"/>
              <w:ind w:firstLine="48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当只涉及一种危险物质时，计算该物质的总量与其临界量的比值，即为Q；</w:t>
            </w:r>
          </w:p>
          <w:p>
            <w:pPr>
              <w:spacing w:line="360" w:lineRule="auto"/>
              <w:ind w:firstLine="48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color w:val="000000" w:themeColor="text1"/>
                <w:szCs w:val="21"/>
                <w14:textFill>
                  <w14:solidFill>
                    <w14:schemeClr w14:val="tx1"/>
                  </w14:solidFill>
                </w14:textFill>
              </w:rPr>
              <w:t>当存在多种危险物质时，则按下列公式计算物质的总量与其临界量的比值（Q）。</w:t>
            </w:r>
          </w:p>
          <w:p>
            <w:pPr>
              <w:ind w:firstLine="482"/>
              <w:jc w:val="center"/>
              <w:rPr>
                <w:color w:val="000000" w:themeColor="text1"/>
                <w:szCs w:val="21"/>
                <w14:textFill>
                  <w14:solidFill>
                    <w14:schemeClr w14:val="tx1"/>
                  </w14:solidFill>
                </w14:textFill>
              </w:rPr>
            </w:pPr>
            <m:oMathPara>
              <m:oMath>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m:t>
                </m:r>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m:t>
                </m:r>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n</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n</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=Q</m:t>
                </m:r>
              </m:oMath>
            </m:oMathPara>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式中：q1、q2、qn-每种危险物质实际存在量，t；</w:t>
            </w:r>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Q1、Q2、Qn-各危险物质相对应的生产场所或贮存区临界量，t。</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本项目厂区较小，且生产单元与储存单元距离较近，因此把整个厂区作为一个单元分析，生产单元和储存单元涉及的危险物质最大使用量及临界量见下表</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 xml:space="preserve">表4-17  </w:t>
            </w:r>
            <w:r>
              <w:rPr>
                <w:b/>
                <w:color w:val="000000" w:themeColor="text1"/>
                <w:szCs w:val="21"/>
                <w14:textFill>
                  <w14:solidFill>
                    <w14:schemeClr w14:val="tx1"/>
                  </w14:solidFill>
                </w14:textFill>
              </w:rPr>
              <w:t>危险物质</w:t>
            </w:r>
            <w:r>
              <w:rPr>
                <w:rFonts w:hint="eastAsia"/>
                <w:b/>
                <w:color w:val="000000" w:themeColor="text1"/>
                <w:szCs w:val="21"/>
                <w14:textFill>
                  <w14:solidFill>
                    <w14:schemeClr w14:val="tx1"/>
                  </w14:solidFill>
                </w14:textFill>
              </w:rPr>
              <w:t>最大储存</w:t>
            </w:r>
            <w:r>
              <w:rPr>
                <w:b/>
                <w:color w:val="000000" w:themeColor="text1"/>
                <w:szCs w:val="21"/>
                <w14:textFill>
                  <w14:solidFill>
                    <w14:schemeClr w14:val="tx1"/>
                  </w14:solidFill>
                </w14:textFill>
              </w:rPr>
              <w:t>量及临界量</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649"/>
              <w:gridCol w:w="1575"/>
              <w:gridCol w:w="1243"/>
              <w:gridCol w:w="1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物料量</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最大储存量t</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临界量t</w:t>
                  </w:r>
                </w:p>
              </w:tc>
              <w:tc>
                <w:tcPr>
                  <w:tcW w:w="12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q/Q</w:t>
                  </w: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是否重大危险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机油</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1243" w:type="dxa"/>
                  <w:vMerge w:val="restar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0.0016</w:t>
                  </w: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43"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废机油桶</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43"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pacing w:val="-10"/>
                      <w:szCs w:val="21"/>
                      <w14:textFill>
                        <w14:solidFill>
                          <w14:schemeClr w14:val="tx1"/>
                        </w14:solidFill>
                      </w14:textFill>
                    </w:rPr>
                    <w:t>废含油手套、抹布</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43"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bl>
          <w:p>
            <w:pPr>
              <w:rPr>
                <w:b/>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w:t>
            </w:r>
            <w:r>
              <w:rPr>
                <w:rFonts w:hint="eastAsia" w:cs="宋体"/>
                <w:b/>
                <w:color w:val="000000" w:themeColor="text1"/>
                <w:sz w:val="18"/>
                <w:szCs w:val="18"/>
                <w:lang w:bidi="ar"/>
                <w14:textFill>
                  <w14:solidFill>
                    <w14:schemeClr w14:val="tx1"/>
                  </w14:solidFill>
                </w14:textFill>
              </w:rPr>
              <w:t>废机油、废机油桶的临界量参照《建设项目环境风险评价技术导则》（</w:t>
            </w:r>
            <w:r>
              <w:rPr>
                <w:b/>
                <w:color w:val="000000" w:themeColor="text1"/>
                <w:sz w:val="18"/>
                <w:szCs w:val="18"/>
                <w:lang w:bidi="ar"/>
                <w14:textFill>
                  <w14:solidFill>
                    <w14:schemeClr w14:val="tx1"/>
                  </w14:solidFill>
                </w14:textFill>
              </w:rPr>
              <w:t>HJ</w:t>
            </w:r>
            <w:r>
              <w:rPr>
                <w:rFonts w:hint="eastAsia"/>
                <w:b/>
                <w:color w:val="000000" w:themeColor="text1"/>
                <w:sz w:val="18"/>
                <w:szCs w:val="18"/>
                <w:lang w:eastAsia="zh-CN" w:bidi="ar"/>
                <w14:textFill>
                  <w14:solidFill>
                    <w14:schemeClr w14:val="tx1"/>
                  </w14:solidFill>
                </w14:textFill>
              </w:rPr>
              <w:t>***</w:t>
            </w:r>
            <w:r>
              <w:rPr>
                <w:b/>
                <w:color w:val="000000" w:themeColor="text1"/>
                <w:sz w:val="18"/>
                <w:szCs w:val="18"/>
                <w:lang w:bidi="ar"/>
                <w14:textFill>
                  <w14:solidFill>
                    <w14:schemeClr w14:val="tx1"/>
                  </w14:solidFill>
                </w14:textFill>
              </w:rPr>
              <w:t>-2018</w:t>
            </w:r>
            <w:r>
              <w:rPr>
                <w:rFonts w:hint="eastAsia" w:cs="宋体"/>
                <w:b/>
                <w:color w:val="000000" w:themeColor="text1"/>
                <w:sz w:val="18"/>
                <w:szCs w:val="18"/>
                <w:lang w:bidi="ar"/>
                <w14:textFill>
                  <w14:solidFill>
                    <w14:schemeClr w14:val="tx1"/>
                  </w14:solidFill>
                </w14:textFill>
              </w:rPr>
              <w:t>）附录</w:t>
            </w:r>
            <w:r>
              <w:rPr>
                <w:b/>
                <w:color w:val="000000" w:themeColor="text1"/>
                <w:sz w:val="18"/>
                <w:szCs w:val="18"/>
                <w:lang w:bidi="ar"/>
                <w14:textFill>
                  <w14:solidFill>
                    <w14:schemeClr w14:val="tx1"/>
                  </w14:solidFill>
                </w14:textFill>
              </w:rPr>
              <w:t>B</w:t>
            </w:r>
            <w:r>
              <w:rPr>
                <w:rFonts w:hint="eastAsia" w:cs="宋体"/>
                <w:b/>
                <w:color w:val="000000" w:themeColor="text1"/>
                <w:sz w:val="18"/>
                <w:szCs w:val="18"/>
                <w:lang w:bidi="ar"/>
                <w14:textFill>
                  <w14:solidFill>
                    <w14:schemeClr w14:val="tx1"/>
                  </w14:solidFill>
                </w14:textFill>
              </w:rPr>
              <w:t>表</w:t>
            </w:r>
            <w:r>
              <w:rPr>
                <w:b/>
                <w:color w:val="000000" w:themeColor="text1"/>
                <w:sz w:val="18"/>
                <w:szCs w:val="18"/>
                <w:lang w:bidi="ar"/>
                <w14:textFill>
                  <w14:solidFill>
                    <w14:schemeClr w14:val="tx1"/>
                  </w14:solidFill>
                </w14:textFill>
              </w:rPr>
              <w:t>B.2</w:t>
            </w:r>
            <w:r>
              <w:rPr>
                <w:rFonts w:hint="eastAsia" w:cs="宋体"/>
                <w:b/>
                <w:color w:val="000000" w:themeColor="text1"/>
                <w:sz w:val="18"/>
                <w:szCs w:val="18"/>
                <w:lang w:bidi="ar"/>
                <w14:textFill>
                  <w14:solidFill>
                    <w14:schemeClr w14:val="tx1"/>
                  </w14:solidFill>
                </w14:textFill>
              </w:rPr>
              <w:t>中健康危险急性毒性物质（类别</w:t>
            </w:r>
            <w:r>
              <w:rPr>
                <w:b/>
                <w:color w:val="000000" w:themeColor="text1"/>
                <w:sz w:val="18"/>
                <w:szCs w:val="18"/>
                <w:lang w:bidi="ar"/>
                <w14:textFill>
                  <w14:solidFill>
                    <w14:schemeClr w14:val="tx1"/>
                  </w14:solidFill>
                </w14:textFill>
              </w:rPr>
              <w:t>2</w:t>
            </w:r>
            <w:r>
              <w:rPr>
                <w:rFonts w:hint="eastAsia" w:cs="宋体"/>
                <w:b/>
                <w:color w:val="000000" w:themeColor="text1"/>
                <w:sz w:val="18"/>
                <w:szCs w:val="18"/>
                <w:lang w:bidi="ar"/>
                <w14:textFill>
                  <w14:solidFill>
                    <w14:schemeClr w14:val="tx1"/>
                  </w14:solidFill>
                </w14:textFill>
              </w:rPr>
              <w:t>，类别</w:t>
            </w:r>
            <w:r>
              <w:rPr>
                <w:b/>
                <w:color w:val="000000" w:themeColor="text1"/>
                <w:sz w:val="18"/>
                <w:szCs w:val="18"/>
                <w:lang w:bidi="ar"/>
                <w14:textFill>
                  <w14:solidFill>
                    <w14:schemeClr w14:val="tx1"/>
                  </w14:solidFill>
                </w14:textFill>
              </w:rPr>
              <w:t>3</w:t>
            </w:r>
            <w:r>
              <w:rPr>
                <w:rFonts w:hint="eastAsia" w:cs="宋体"/>
                <w:b/>
                <w:color w:val="000000" w:themeColor="text1"/>
                <w:sz w:val="18"/>
                <w:szCs w:val="18"/>
                <w:lang w:bidi="ar"/>
                <w14:textFill>
                  <w14:solidFill>
                    <w14:schemeClr w14:val="tx1"/>
                  </w14:solidFill>
                </w14:textFill>
              </w:rPr>
              <w:t>）的临界量。</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根据计算Q=</w:t>
            </w:r>
            <w:r>
              <w:rPr>
                <w:rFonts w:hint="eastAsia"/>
                <w:color w:val="000000" w:themeColor="text1"/>
                <w:szCs w:val="21"/>
                <w14:textFill>
                  <w14:solidFill>
                    <w14:schemeClr w14:val="tx1"/>
                  </w14:solidFill>
                </w14:textFill>
              </w:rPr>
              <w:t>0.0016</w:t>
            </w:r>
            <w:r>
              <w:rPr>
                <w:color w:val="000000" w:themeColor="text1"/>
                <w:szCs w:val="21"/>
                <w14:textFill>
                  <w14:solidFill>
                    <w14:schemeClr w14:val="tx1"/>
                  </w14:solidFill>
                </w14:textFill>
              </w:rPr>
              <w:t>&lt;1，确定本项目环境风险潜势为</w:t>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 1 \* ROMAN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I</w:t>
            </w:r>
            <w:r>
              <w:rPr>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，根据《建设项目环境风险评价技术导则》（HJ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-2018）中表1可知，本项目仅需对环境风险进行简单分析。</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（2）</w:t>
            </w:r>
            <w:r>
              <w:rPr>
                <w:b/>
                <w:color w:val="000000" w:themeColor="text1"/>
                <w:spacing w:val="-10"/>
                <w:szCs w:val="21"/>
                <w14:textFill>
                  <w14:solidFill>
                    <w14:schemeClr w14:val="tx1"/>
                  </w14:solidFill>
                </w14:textFill>
              </w:rPr>
              <w:t>环境</w:t>
            </w:r>
            <w:r>
              <w:rPr>
                <w:rFonts w:hint="eastAsia"/>
                <w:b/>
                <w:color w:val="000000" w:themeColor="text1"/>
                <w:spacing w:val="-10"/>
                <w:szCs w:val="21"/>
                <w14:textFill>
                  <w14:solidFill>
                    <w14:schemeClr w14:val="tx1"/>
                  </w14:solidFill>
                </w14:textFill>
              </w:rPr>
              <w:t>风险简单分析</w:t>
            </w:r>
          </w:p>
          <w:p>
            <w:pPr>
              <w:spacing w:line="360" w:lineRule="auto"/>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18</w:t>
            </w:r>
            <w:r>
              <w:rPr>
                <w:b/>
                <w:color w:val="000000" w:themeColor="text1"/>
                <w:szCs w:val="21"/>
                <w14:textFill>
                  <w14:solidFill>
                    <w14:schemeClr w14:val="tx1"/>
                  </w14:solidFill>
                </w14:textFill>
              </w:rPr>
              <w:t xml:space="preserve">  建设项目环境风险简单分析内容表</w:t>
            </w:r>
          </w:p>
          <w:tbl>
            <w:tblPr>
              <w:tblStyle w:val="23"/>
              <w:tblW w:w="78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5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7" w:hRule="atLeast"/>
                <w:jc w:val="center"/>
              </w:trPr>
              <w:tc>
                <w:tcPr>
                  <w:tcW w:w="2454" w:type="dxa"/>
                  <w:tcBorders>
                    <w:bottom w:val="single" w:color="auto" w:sz="12" w:space="0"/>
                  </w:tcBorders>
                  <w:vAlign w:val="center"/>
                </w:tcPr>
                <w:p>
                  <w:pPr>
                    <w:pStyle w:val="65"/>
                    <w:spacing w:line="240" w:lineRule="auto"/>
                    <w:ind w:firstLine="0" w:firstLineChars="0"/>
                    <w:jc w:val="center"/>
                    <w:rPr>
                      <w:b/>
                      <w:bCs/>
                      <w:snapToGrid w:val="0"/>
                      <w:color w:val="000000" w:themeColor="text1"/>
                      <w:sz w:val="21"/>
                      <w:szCs w:val="21"/>
                      <w14:textFill>
                        <w14:solidFill>
                          <w14:schemeClr w14:val="tx1"/>
                        </w14:solidFill>
                      </w14:textFill>
                    </w:rPr>
                  </w:pPr>
                  <w:r>
                    <w:rPr>
                      <w:b/>
                      <w:bCs/>
                      <w:snapToGrid w:val="0"/>
                      <w:color w:val="000000" w:themeColor="text1"/>
                      <w:sz w:val="21"/>
                      <w:szCs w:val="21"/>
                      <w14:textFill>
                        <w14:solidFill>
                          <w14:schemeClr w14:val="tx1"/>
                        </w14:solidFill>
                      </w14:textFill>
                    </w:rPr>
                    <w:t>建设项目名称</w:t>
                  </w:r>
                </w:p>
              </w:tc>
              <w:tc>
                <w:tcPr>
                  <w:tcW w:w="5392" w:type="dxa"/>
                  <w:tcBorders>
                    <w:bottom w:val="single" w:color="auto" w:sz="12" w:space="0"/>
                  </w:tcBorders>
                  <w:vAlign w:val="center"/>
                </w:tcPr>
                <w:p>
                  <w:pPr>
                    <w:pStyle w:val="65"/>
                    <w:spacing w:line="240" w:lineRule="auto"/>
                    <w:ind w:firstLine="0" w:firstLineChars="0"/>
                    <w:jc w:val="center"/>
                    <w:rPr>
                      <w:b/>
                      <w:bCs/>
                      <w:snapToGrid w:val="0"/>
                      <w:color w:val="000000" w:themeColor="text1"/>
                      <w:sz w:val="21"/>
                      <w:szCs w:val="21"/>
                      <w14:textFill>
                        <w14:solidFill>
                          <w14:schemeClr w14:val="tx1"/>
                        </w14:solidFill>
                      </w14:textFill>
                    </w:rPr>
                  </w:pPr>
                  <w:r>
                    <w:rPr>
                      <w:rFonts w:hint="eastAsia"/>
                      <w:b/>
                      <w:bCs/>
                      <w:snapToGrid w:val="0"/>
                      <w:color w:val="000000" w:themeColor="text1"/>
                      <w:sz w:val="21"/>
                      <w:szCs w:val="21"/>
                      <w14:textFill>
                        <w14:solidFill>
                          <w14:schemeClr w14:val="tx1"/>
                        </w14:solidFill>
                      </w14:textFill>
                    </w:rPr>
                    <w:t>多晶硅碎片综合利用项目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54" w:type="dxa"/>
                  <w:tcBorders>
                    <w:top w:val="single" w:color="auto" w:sz="12" w:space="0"/>
                  </w:tcBorders>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建设地点</w:t>
                  </w:r>
                </w:p>
              </w:tc>
              <w:tc>
                <w:tcPr>
                  <w:tcW w:w="5392" w:type="dxa"/>
                  <w:tcBorders>
                    <w:top w:val="single" w:color="auto" w:sz="12" w:space="0"/>
                  </w:tcBorders>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 xml:space="preserve">云南省昆明市东川区碧谷工业园区（新格路与碧龙路交叉口南上段标准化厂房内）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54" w:type="dxa"/>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地理坐标</w:t>
                  </w:r>
                </w:p>
              </w:tc>
              <w:tc>
                <w:tcPr>
                  <w:tcW w:w="5392" w:type="dxa"/>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经度：103度9分42.653秒；纬度：26度7分42.545秒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54" w:type="dxa"/>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主要危险物质及分布</w:t>
                  </w:r>
                </w:p>
              </w:tc>
              <w:tc>
                <w:tcPr>
                  <w:tcW w:w="5392" w:type="dxa"/>
                  <w:vAlign w:val="center"/>
                </w:tcPr>
                <w:p>
                  <w:pPr>
                    <w:pStyle w:val="65"/>
                    <w:spacing w:line="240" w:lineRule="auto"/>
                    <w:ind w:left="56" w:right="56" w:firstLine="420"/>
                    <w:jc w:val="center"/>
                    <w:rPr>
                      <w:bCs/>
                      <w:snapToGrid w:val="0"/>
                      <w:color w:val="000000" w:themeColor="text1"/>
                      <w:sz w:val="21"/>
                      <w:szCs w:val="21"/>
                      <w14:textFill>
                        <w14:solidFill>
                          <w14:schemeClr w14:val="tx1"/>
                        </w14:solidFill>
                      </w14:textFill>
                    </w:rPr>
                  </w:pPr>
                  <w:r>
                    <w:rPr>
                      <w:rFonts w:hint="eastAsia"/>
                      <w:bCs/>
                      <w:snapToGrid w:val="0"/>
                      <w:color w:val="000000" w:themeColor="text1"/>
                      <w:sz w:val="21"/>
                      <w:szCs w:val="21"/>
                      <w14:textFill>
                        <w14:solidFill>
                          <w14:schemeClr w14:val="tx1"/>
                        </w14:solidFill>
                      </w14:textFill>
                    </w:rPr>
                    <w:t>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54" w:type="dxa"/>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环境影响途径及危害后果（大气、地表水、地下水等）</w:t>
                  </w:r>
                </w:p>
              </w:tc>
              <w:tc>
                <w:tcPr>
                  <w:tcW w:w="5392" w:type="dxa"/>
                  <w:vAlign w:val="center"/>
                </w:tcPr>
                <w:p>
                  <w:pPr>
                    <w:pStyle w:val="5"/>
                    <w:snapToGrid w:val="0"/>
                    <w:ind w:firstLine="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火灾燃烧产物CO、黑烟等，源强不易预测，主要影响区域大气环境；消防废水中污染物主要为SS，可能对项目区下游水环境造成影响。；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54" w:type="dxa"/>
                  <w:vAlign w:val="center"/>
                </w:tcPr>
                <w:p>
                  <w:pPr>
                    <w:pStyle w:val="65"/>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风险防范措施要求</w:t>
                  </w:r>
                </w:p>
              </w:tc>
              <w:tc>
                <w:tcPr>
                  <w:tcW w:w="5392" w:type="dxa"/>
                  <w:vAlign w:val="center"/>
                </w:tcPr>
                <w:p>
                  <w:pPr>
                    <w:pStyle w:val="65"/>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①项目内加强管理，在原料堆场、成品堆场等生产区禁止火源，杜绝火灾事故发生；</w:t>
                  </w:r>
                </w:p>
                <w:p>
                  <w:pPr>
                    <w:pStyle w:val="65"/>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②项目内配备消防箱、灭火器等，事故发生后第一时间采取措施；</w:t>
                  </w:r>
                </w:p>
                <w:p>
                  <w:pPr>
                    <w:pStyle w:val="65"/>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③发现起火，立即报警，通过消防灭火。首先采用抗溶性泡沫、干粉、二氧化碳等灭火器灭火。</w:t>
                  </w:r>
                </w:p>
                <w:p>
                  <w:pPr>
                    <w:pStyle w:val="65"/>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 xml:space="preserve">④切断火势漫延的途径，冷却和疏散受火势威胁的可燃物，控制燃烧范围。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846" w:type="dxa"/>
                  <w:gridSpan w:val="2"/>
                  <w:vAlign w:val="center"/>
                </w:tcPr>
                <w:p>
                  <w:pPr>
                    <w:pStyle w:val="65"/>
                    <w:spacing w:line="240" w:lineRule="auto"/>
                    <w:ind w:firstLine="0" w:firstLineChars="0"/>
                    <w:jc w:val="left"/>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根据《建设项目环境风险评价技术导则》(HJ</w:t>
                  </w:r>
                  <w:r>
                    <w:rPr>
                      <w:rFonts w:hint="eastAsia"/>
                      <w:snapToGrid w:val="0"/>
                      <w:color w:val="000000" w:themeColor="text1"/>
                      <w:sz w:val="21"/>
                      <w:szCs w:val="21"/>
                      <w:lang w:eastAsia="zh-CN"/>
                      <w14:textFill>
                        <w14:solidFill>
                          <w14:schemeClr w14:val="tx1"/>
                        </w14:solidFill>
                      </w14:textFill>
                    </w:rPr>
                    <w:t>***</w:t>
                  </w:r>
                  <w:r>
                    <w:rPr>
                      <w:snapToGrid w:val="0"/>
                      <w:color w:val="000000" w:themeColor="text1"/>
                      <w:sz w:val="21"/>
                      <w:szCs w:val="21"/>
                      <w14:textFill>
                        <w14:solidFill>
                          <w14:schemeClr w14:val="tx1"/>
                        </w14:solidFill>
                      </w14:textFill>
                    </w:rPr>
                    <w:t>-2018)，本项目风险潜势为</w:t>
                  </w:r>
                  <w:r>
                    <w:rPr>
                      <w:snapToGrid w:val="0"/>
                      <w:color w:val="000000" w:themeColor="text1"/>
                      <w:sz w:val="21"/>
                      <w:szCs w:val="21"/>
                      <w14:textFill>
                        <w14:solidFill>
                          <w14:schemeClr w14:val="tx1"/>
                        </w14:solidFill>
                      </w14:textFill>
                    </w:rPr>
                    <w:fldChar w:fldCharType="begin"/>
                  </w:r>
                  <w:r>
                    <w:rPr>
                      <w:snapToGrid w:val="0"/>
                      <w:color w:val="000000" w:themeColor="text1"/>
                      <w:sz w:val="21"/>
                      <w:szCs w:val="21"/>
                      <w14:textFill>
                        <w14:solidFill>
                          <w14:schemeClr w14:val="tx1"/>
                        </w14:solidFill>
                      </w14:textFill>
                    </w:rPr>
                    <w:instrText xml:space="preserve"> = 1 \* ROMAN </w:instrText>
                  </w:r>
                  <w:r>
                    <w:rPr>
                      <w:snapToGrid w:val="0"/>
                      <w:color w:val="000000" w:themeColor="text1"/>
                      <w:sz w:val="21"/>
                      <w:szCs w:val="21"/>
                      <w14:textFill>
                        <w14:solidFill>
                          <w14:schemeClr w14:val="tx1"/>
                        </w14:solidFill>
                      </w14:textFill>
                    </w:rPr>
                    <w:fldChar w:fldCharType="separate"/>
                  </w:r>
                  <w:r>
                    <w:rPr>
                      <w:snapToGrid w:val="0"/>
                      <w:color w:val="000000" w:themeColor="text1"/>
                      <w:sz w:val="21"/>
                      <w:szCs w:val="21"/>
                      <w14:textFill>
                        <w14:solidFill>
                          <w14:schemeClr w14:val="tx1"/>
                        </w14:solidFill>
                      </w14:textFill>
                    </w:rPr>
                    <w:t>I</w:t>
                  </w:r>
                  <w:r>
                    <w:rPr>
                      <w:snapToGrid w:val="0"/>
                      <w:color w:val="000000" w:themeColor="text1"/>
                      <w:sz w:val="21"/>
                      <w:szCs w:val="21"/>
                      <w14:textFill>
                        <w14:solidFill>
                          <w14:schemeClr w14:val="tx1"/>
                        </w14:solidFill>
                      </w14:textFill>
                    </w:rPr>
                    <w:fldChar w:fldCharType="end"/>
                  </w:r>
                  <w:r>
                    <w:rPr>
                      <w:snapToGrid w:val="0"/>
                      <w:color w:val="000000" w:themeColor="text1"/>
                      <w:sz w:val="21"/>
                      <w:szCs w:val="21"/>
                      <w14:textFill>
                        <w14:solidFill>
                          <w14:schemeClr w14:val="tx1"/>
                        </w14:solidFill>
                      </w14:textFill>
                    </w:rPr>
                    <w:t>，仅开展简单分析。</w:t>
                  </w: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（3）源项分析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风险源项分析的主要目的是确定最大可信事故的发生概率。按照《建设项目环境风险评价技术导则》中的定义，最大可信事故指：在所有预测的概率不为零的事故中，对环境(或健康) 危害最严重的重大事故</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若“四防”措施不到位，本项目危废仓库危废可能发生意外泄漏，将通过地面渗漏进而影响土壤和地下水；企业将按照《关于加强危险废物交换和转移管理工作的通知》、《危险废物贮存污染控制标准》（GB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-2023）相关要求进行危险废物的收集、暂存、转移、处置，采取相应的措施后，危险废物渗漏发生的可性较小。本项目废机油、废含油手套、抹布、废抹布易燃，可能引起火灾爆炸事故，其危害远大于物料泄露及废气处理设施出现故障所引起的危害。</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因此，结合项目特点，本项目最大可信事故确定为机油、废机油可能引起的火灾爆炸事故。目前国内绝大多数企业能安全运行。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（4）风险管理要求</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针对本项目特点，提出以下几点环境风险管理要求：</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①严格按照防火规范进行平面布置。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②定期检查、维护原料仓库危险品储存区设施、设备，以确保正常运行。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③危险品储存区设置明显的禁火标志。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④安装火灾设备检测仪表、消防自控设施。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⑤在项目正式投产运行前，制定出供正常、异常或紧急状态下的操作和维修计划，并对操作和维修人员进行岗前培训，避免因严重操作失误而造成人为事故。</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⑦采取相应的火灾、爆炸事故的预防措施。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⑧加强员工的事故安全知识教育，要求全体人员了解事故处理的程序，事故处理器材的使用方法，一旦出现事故可以立即停产，控制事故的危害范围和程度。</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（5）风险防范措施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针对本项目可能发生的环境风险事故，提出以下风险防范措施：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①贮运工程风险防范措施</w:t>
            </w:r>
          </w:p>
          <w:p>
            <w:pPr>
              <w:adjustRightInd w:val="0"/>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a.</w:t>
            </w:r>
            <w:r>
              <w:rPr>
                <w:rFonts w:hint="eastAsia"/>
                <w:color w:val="000000" w:themeColor="text1"/>
                <w:szCs w:val="21"/>
                <w:highlight w:val="none"/>
                <w:lang w:val="en-US" w:eastAsia="zh-CN"/>
                <w14:textFill>
                  <w14:solidFill>
                    <w14:schemeClr w14:val="tx1"/>
                  </w14:solidFill>
                </w14:textFill>
              </w:rPr>
              <w:t>机油</w:t>
            </w:r>
            <w:r>
              <w:rPr>
                <w:rFonts w:hint="eastAsia"/>
                <w:color w:val="000000" w:themeColor="text1"/>
                <w:szCs w:val="21"/>
                <w:highlight w:val="none"/>
                <w14:textFill>
                  <w14:solidFill>
                    <w14:schemeClr w14:val="tx1"/>
                  </w14:solidFill>
                </w14:textFill>
              </w:rPr>
              <w:t>桶不得露天堆放，储存于阴凉通风仓间内，远离火种、热源，防止阳光直射，应与易燃或可燃物分开存放。搬运时轻装轻卸，防止</w:t>
            </w:r>
            <w:r>
              <w:rPr>
                <w:rFonts w:hint="eastAsia"/>
                <w:color w:val="000000" w:themeColor="text1"/>
                <w:szCs w:val="21"/>
                <w:highlight w:val="none"/>
                <w:lang w:val="en-US" w:eastAsia="zh-CN"/>
                <w14:textFill>
                  <w14:solidFill>
                    <w14:schemeClr w14:val="tx1"/>
                  </w14:solidFill>
                </w14:textFill>
              </w:rPr>
              <w:t>机油</w:t>
            </w:r>
            <w:r>
              <w:rPr>
                <w:rFonts w:hint="eastAsia"/>
                <w:color w:val="000000" w:themeColor="text1"/>
                <w:szCs w:val="21"/>
                <w:highlight w:val="none"/>
                <w14:textFill>
                  <w14:solidFill>
                    <w14:schemeClr w14:val="tx1"/>
                  </w14:solidFill>
                </w14:textFill>
              </w:rPr>
              <w:t>桶破损或倾倒。</w:t>
            </w:r>
          </w:p>
          <w:p>
            <w:pPr>
              <w:adjustRightInd w:val="0"/>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b.划定禁火区，在明显地点设有警示标志，输配电线、灯具、火灾事故照明和疏散指示标志均应符合安全要求；严禁未安装灭火星装置的车辆出入生产装置区。 </w:t>
            </w:r>
          </w:p>
          <w:p>
            <w:pPr>
              <w:adjustRightInd w:val="0"/>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③固废暂存及转移过程环境风险措施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a、按《一般工业固体废物贮存和填埋污染控制标准》（GB</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-2020）、</w:t>
            </w:r>
            <w:r>
              <w:rPr>
                <w:rFonts w:hint="eastAsia"/>
                <w:color w:val="000000" w:themeColor="text1"/>
                <w:szCs w:val="21"/>
                <w14:textFill>
                  <w14:solidFill>
                    <w14:schemeClr w14:val="tx1"/>
                  </w14:solidFill>
                </w14:textFill>
              </w:rPr>
              <w:t>《危险废物贮存污染控制标准》（GB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-2023）要求做好地面硬化、防渗处理；对废机油等采用桶装贮存；堆放场所四周设置导流渠，防止雨水径流进入堆放场内。</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b、建设单位应做好危废转移申报、转移联单等相关手续，需满足《关于加强危险废物交换和转移管理工作的通知》要求；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c、加强对固体废弃物管理，做好跟踪管理，建立管理台帐；在转移危险废物前，须按照国家有关规定报批危险废物转移计划；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d、经批准后，应当向移出地环境保护行政主管部门申请。产生单位应当在危险废物转移前三日内报告移出地环境保护行政主管部门，并同时将预期到达时间报告接受地环境保护行政主管部门。</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e、危险废物委托处置单位应具备相应的资质，运输车辆须经主管单位检查，并持有有关单位签发的许可证，承载危险废物的车辆须有明显的标志。 </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④应急事故池设置</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参考《化工建设项目环境保护设计规范》（GB</w:t>
            </w:r>
            <w:r>
              <w:rPr>
                <w:rFonts w:hint="eastAsia"/>
                <w:bCs/>
                <w:color w:val="000000" w:themeColor="text1"/>
                <w:spacing w:val="-10"/>
                <w:szCs w:val="21"/>
                <w:lang w:eastAsia="zh-CN"/>
                <w14:textFill>
                  <w14:solidFill>
                    <w14:schemeClr w14:val="tx1"/>
                  </w14:solidFill>
                </w14:textFill>
              </w:rPr>
              <w:t>*****</w:t>
            </w:r>
            <w:r>
              <w:rPr>
                <w:rFonts w:hint="eastAsia"/>
                <w:bCs/>
                <w:color w:val="000000" w:themeColor="text1"/>
                <w:spacing w:val="-10"/>
                <w:szCs w:val="21"/>
                <w14:textFill>
                  <w14:solidFill>
                    <w14:schemeClr w14:val="tx1"/>
                  </w14:solidFill>
                </w14:textFill>
              </w:rPr>
              <w:t>-2009），应急事故水池应考虑多种因素确定。应急事故废水最大量的确定采用公式法计算，具体算法如下：</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V总＝（V1＋V2＋V3）max-V4-V5</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注：计算应急事故废水量时，装置区或贮罐区事故不作同时发生考虑，取其中的最大值。</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V1—最大一个容量的设备或贮罐。本项目不设置贮罐，按循环水质容量计V1=200m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V2—在装置区或贮罐区一旦发生火灾、爆炸时的消防用水量，包括扑灭火灾所需用水量和保护临近设备或贮罐（最少三个）的喷淋水量。发生事故时的消防水量，m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Q</w:t>
            </w:r>
            <w:r>
              <w:rPr>
                <w:rFonts w:hint="eastAsia"/>
                <w:bCs/>
                <w:color w:val="000000" w:themeColor="text1"/>
                <w:spacing w:val="-10"/>
                <w:szCs w:val="21"/>
                <w:vertAlign w:val="subscript"/>
                <w14:textFill>
                  <w14:solidFill>
                    <w14:schemeClr w14:val="tx1"/>
                  </w14:solidFill>
                </w14:textFill>
              </w:rPr>
              <w:t>消</w:t>
            </w:r>
            <w:r>
              <w:rPr>
                <w:rFonts w:hint="eastAsia"/>
                <w:bCs/>
                <w:color w:val="000000" w:themeColor="text1"/>
                <w:spacing w:val="-10"/>
                <w:szCs w:val="21"/>
                <w14:textFill>
                  <w14:solidFill>
                    <w14:schemeClr w14:val="tx1"/>
                  </w14:solidFill>
                </w14:textFill>
              </w:rPr>
              <w:t>—发生事故的储罐或装置的同时使用的消防设施给水流量，m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/h；</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t</w:t>
            </w:r>
            <w:r>
              <w:rPr>
                <w:rFonts w:hint="eastAsia"/>
                <w:bCs/>
                <w:color w:val="000000" w:themeColor="text1"/>
                <w:spacing w:val="-10"/>
                <w:szCs w:val="21"/>
                <w:vertAlign w:val="subscript"/>
                <w14:textFill>
                  <w14:solidFill>
                    <w14:schemeClr w14:val="tx1"/>
                  </w14:solidFill>
                </w14:textFill>
              </w:rPr>
              <w:t>消</w:t>
            </w:r>
            <w:r>
              <w:rPr>
                <w:rFonts w:hint="eastAsia"/>
                <w:bCs/>
                <w:color w:val="000000" w:themeColor="text1"/>
                <w:spacing w:val="-10"/>
                <w:szCs w:val="21"/>
                <w14:textFill>
                  <w14:solidFill>
                    <w14:schemeClr w14:val="tx1"/>
                  </w14:solidFill>
                </w14:textFill>
              </w:rPr>
              <w:t>—消防设施对应的设计消防历时，h；</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根据建设单位提供，项目消防泵流量为 10L/s，共 2个消防泵同时作业，考虑火灾延续时间为1h，则消防水量V2＝10×2×3600×0.001＝72m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w:t>
            </w:r>
          </w:p>
          <w:p>
            <w:pPr>
              <w:adjustRightInd w:val="0"/>
              <w:snapToGrid w:val="0"/>
              <w:spacing w:line="360" w:lineRule="auto"/>
              <w:ind w:firstLine="380" w:firstLineChars="200"/>
              <w:rPr>
                <w:bCs/>
                <w:color w:val="000000" w:themeColor="text1"/>
                <w:szCs w:val="21"/>
                <w14:textFill>
                  <w14:solidFill>
                    <w14:schemeClr w14:val="tx1"/>
                  </w14:solidFill>
                </w14:textFill>
              </w:rPr>
            </w:pPr>
            <w:r>
              <w:rPr>
                <w:rFonts w:hint="eastAsia"/>
                <w:bCs/>
                <w:color w:val="000000" w:themeColor="text1"/>
                <w:spacing w:val="-10"/>
                <w:szCs w:val="21"/>
                <w14:textFill>
                  <w14:solidFill>
                    <w14:schemeClr w14:val="tx1"/>
                  </w14:solidFill>
                </w14:textFill>
              </w:rPr>
              <w:t>V3—当地的最大降雨量。</w:t>
            </w:r>
            <w:r>
              <w:rPr>
                <w:rFonts w:hint="eastAsia"/>
                <w:bCs/>
                <w:color w:val="000000" w:themeColor="text1"/>
                <w:szCs w:val="21"/>
                <w14:textFill>
                  <w14:solidFill>
                    <w14:schemeClr w14:val="tx1"/>
                  </w14:solidFill>
                </w14:textFill>
              </w:rPr>
              <w:t>项目区初期雨水汇水量根据下面计算公式：</w:t>
            </w:r>
          </w:p>
          <w:p>
            <w:pPr>
              <w:spacing w:line="360" w:lineRule="auto"/>
              <w:ind w:firstLine="420" w:firstLineChars="20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Q=ψ*q*F</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式中：Q——地表径流量（L/s）；</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q——设计暴雨强度（L/s·hm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F——汇水面积（hm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）；（取生产区占地面积</w:t>
            </w:r>
            <w:r>
              <w:rPr>
                <w:rFonts w:hint="eastAsia"/>
                <w:color w:val="000000" w:themeColor="text1"/>
                <w:szCs w:val="21"/>
                <w14:textFill>
                  <w14:solidFill>
                    <w14:schemeClr w14:val="tx1"/>
                  </w14:solidFill>
                </w14:textFill>
              </w:rPr>
              <w:t>10000m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，即1hm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Ψ——径流系数，（混凝土和沥青路面取0.9）；</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降雨强度按昆明市暴雨强度计算公式计算：</w:t>
            </w:r>
          </w:p>
          <w:p>
            <w:pPr>
              <w:spacing w:line="360" w:lineRule="auto"/>
              <w:ind w:firstLine="420" w:firstLineChars="20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q=700（1+0.775lgP）/（t</w:t>
            </w:r>
            <w:r>
              <w:rPr>
                <w:rFonts w:hint="eastAsia"/>
                <w:bCs/>
                <w:color w:val="000000" w:themeColor="text1"/>
                <w:szCs w:val="21"/>
                <w:vertAlign w:val="superscript"/>
                <w14:textFill>
                  <w14:solidFill>
                    <w14:schemeClr w14:val="tx1"/>
                  </w14:solidFill>
                </w14:textFill>
              </w:rPr>
              <w:t>0.496</w:t>
            </w:r>
            <w:r>
              <w:rPr>
                <w:rFonts w:hint="eastAsia"/>
                <w:bCs/>
                <w:color w:val="000000" w:themeColor="text1"/>
                <w:szCs w:val="21"/>
                <w14:textFill>
                  <w14:solidFill>
                    <w14:schemeClr w14:val="tx1"/>
                  </w14:solidFill>
                </w14:textFill>
              </w:rPr>
              <w:t>）</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式中：P——设计降雨重现期2a；</w:t>
            </w:r>
          </w:p>
          <w:p>
            <w:pPr>
              <w:spacing w:line="360" w:lineRule="auto"/>
              <w:ind w:firstLine="1050" w:firstLineChars="5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t——降雨历时（min）；本次核算取降雨前15min；</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按照公式计算，q=225.33L/（s·hm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）；则计算Q=202.797L/s。</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初期雨水收集时间为前15min，计算得15min初期雨水收集量为182.517m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/次。</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V4—为事故废水收集系统的装置或储罐所在区域围堰、防火堤内净空容量（m3），本项目不设置围堰，V4=0。</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V5—事故废水管道容量。根据《全国突发环境事件隐患排查网络交流互动交流问题及解答》中不建议将雨水管网容量作为应急池容量，因此不考虑雨水管网容量作为事故池容量。</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则V总＝（V1＋V2＋V3）max-V4-V5＝（200+72+182.517）-0-0＝454.517m</w:t>
            </w:r>
            <w:r>
              <w:rPr>
                <w:rFonts w:hint="eastAsia"/>
                <w:bCs/>
                <w:color w:val="000000" w:themeColor="text1"/>
                <w:spacing w:val="-10"/>
                <w:szCs w:val="21"/>
                <w:vertAlign w:val="superscript"/>
                <w14:textFill>
                  <w14:solidFill>
                    <w14:schemeClr w14:val="tx1"/>
                  </w14:solidFill>
                </w14:textFill>
              </w:rPr>
              <w:t>3</w:t>
            </w:r>
          </w:p>
          <w:p>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根据上述计算结果，本项目应急事故废水最大量为454.517m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，拟设置1座</w:t>
            </w:r>
            <w:r>
              <w:rPr>
                <w:rFonts w:hint="eastAsia"/>
                <w:bCs/>
                <w:color w:val="000000" w:themeColor="text1"/>
                <w:spacing w:val="-10"/>
                <w:szCs w:val="21"/>
                <w:lang w:val="en-US" w:eastAsia="zh-CN"/>
                <w14:textFill>
                  <w14:solidFill>
                    <w14:schemeClr w14:val="tx1"/>
                  </w14:solidFill>
                </w14:textFill>
              </w:rPr>
              <w:t>460</w:t>
            </w:r>
            <w:r>
              <w:rPr>
                <w:rFonts w:hint="eastAsia"/>
                <w:bCs/>
                <w:color w:val="000000" w:themeColor="text1"/>
                <w:spacing w:val="-10"/>
                <w:szCs w:val="21"/>
                <w14:textFill>
                  <w14:solidFill>
                    <w14:schemeClr w14:val="tx1"/>
                  </w14:solidFill>
                </w14:textFill>
              </w:rPr>
              <w:t>m</w:t>
            </w:r>
            <w:r>
              <w:rPr>
                <w:rFonts w:hint="eastAsia"/>
                <w:bCs/>
                <w:color w:val="000000" w:themeColor="text1"/>
                <w:spacing w:val="-10"/>
                <w:szCs w:val="21"/>
                <w:vertAlign w:val="superscript"/>
                <w14:textFill>
                  <w14:solidFill>
                    <w14:schemeClr w14:val="tx1"/>
                  </w14:solidFill>
                </w14:textFill>
              </w:rPr>
              <w:t>3</w:t>
            </w:r>
            <w:r>
              <w:rPr>
                <w:rFonts w:hint="eastAsia"/>
                <w:bCs/>
                <w:color w:val="000000" w:themeColor="text1"/>
                <w:spacing w:val="-10"/>
                <w:szCs w:val="21"/>
                <w14:textFill>
                  <w14:solidFill>
                    <w14:schemeClr w14:val="tx1"/>
                  </w14:solidFill>
                </w14:textFill>
              </w:rPr>
              <w:t>的应急事故池，以容纳一旦发生事故时产生的事故废水及消防废水。通过以上措施，可以满足本项目事故废水的收集要求。</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（6）事故应急预案</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①制定环境风险应急预案，建立应急组织机构，负责应急突发事件的组织、指挥、抢修、控制、协调等应急响应行动； </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②风险事故应急队伍收到事故信息后，应立即赶赴现场，确认事故应急状态等级和危急程序，确定应急抢修方案，迅速开展各项抢修、抢救工作。若事故严重，同事请求政府应急支援；</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③设置火警专线电话，以确保紧急情况下通讯畅通；</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④应急计划制定后，平时安排人员培训与演练；对邻近地区开展公众教育、培训和发布有关信息等； </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⑤应急预案完成后应向当地生态环境局备案。</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分析，由于项目风险物质存放量较小，产生事故的概率较小，建设单位在加强环境风险管理，制定完善的风险预案的前提下，可确保发生风险事故时不会危及到周围敏感目标及污染外环境，事故风险处于可控状态。应急对策和预案的内容及要求如下表：</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表4-19 应急预案内容</w:t>
            </w:r>
          </w:p>
          <w:tbl>
            <w:tblPr>
              <w:tblStyle w:val="23"/>
              <w:tblW w:w="791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66"/>
              <w:gridCol w:w="2722"/>
              <w:gridCol w:w="443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内容及要求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应急计划区</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危险目标：生产区、贮存区、环境保护目标等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应急组织机构、人员</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工厂、地区应急组织机构、人员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预案分级响应条件</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应急救援保障</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报警、通讯联络方式</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规定应急状态下的报警通讯方式、通知方式和交通保障、管制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应急环境监测、抢险、救援及控制措施</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由专业队伍负责对事故现场进行侦察监测，对事故性质、参数与后果进行评估，为指挥部门提供决策依据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应急检测、防护措施、器材</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事故现场、邻近区域、控制防火区域，控制和清除污染措施及相应设备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人员紧急撤离、疏散，应急剂量控制、撤离组织计划</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事故现场、工厂邻近区、受事故影响的区域人员及公众对毒物应急剂量控制规定，撤离组织计划及救护，医疗救护与公众健康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事故应急救援关闭程序与恢复措施</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事故现场善后处理，恢复措施</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邻近区域解除事故警戒及善后恢复措施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应急培训计划</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公众教育和信息</w:t>
                  </w:r>
                </w:p>
              </w:tc>
              <w:tc>
                <w:tcPr>
                  <w:tcW w:w="44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对厂区邻近地区开展公众教育、培训和发布有关信息</w:t>
                  </w:r>
                </w:p>
              </w:tc>
            </w:tr>
            <w:bookmarkEnd w:id="39"/>
          </w:tbl>
          <w:p>
            <w:pPr>
              <w:pStyle w:val="75"/>
              <w:spacing w:line="360" w:lineRule="auto"/>
              <w:ind w:firstLine="0" w:firstLineChars="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（七）排污许可证管理要求</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根据《国民经济行业分类》（GB/T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-2017）本项目属于</w:t>
            </w:r>
            <w:r>
              <w:rPr>
                <w:color w:val="000000" w:themeColor="text1"/>
                <w:szCs w:val="21"/>
                <w14:textFill>
                  <w14:solidFill>
                    <w14:schemeClr w14:val="tx1"/>
                  </w14:solidFill>
                </w14:textFill>
              </w:rPr>
              <w:t>C3099其他非金属矿物制品制造</w:t>
            </w:r>
            <w:r>
              <w:rPr>
                <w:rFonts w:hint="eastAsia"/>
                <w:color w:val="000000" w:themeColor="text1"/>
                <w:szCs w:val="21"/>
                <w14:textFill>
                  <w14:solidFill>
                    <w14:schemeClr w14:val="tx1"/>
                  </w14:solidFill>
                </w14:textFill>
              </w:rPr>
              <w:t>，根据《固定污染源排污许可分类管理名录》（2019版），属于简化管理，应按时申领排污许可证。</w:t>
            </w: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rPr>
                <w:rFonts w:ascii="宋体" w:hAnsi="宋体" w:cs="宋体"/>
                <w:bCs/>
                <w:color w:val="000000" w:themeColor="text1"/>
                <w:spacing w:val="-10"/>
                <w:szCs w:val="21"/>
                <w14:textFill>
                  <w14:solidFill>
                    <w14:schemeClr w14:val="tx1"/>
                  </w14:solidFill>
                </w14:textFill>
              </w:rPr>
            </w:pPr>
          </w:p>
        </w:tc>
      </w:tr>
    </w:tbl>
    <w:p>
      <w:pPr>
        <w:pStyle w:val="9"/>
        <w:sectPr>
          <w:pgSz w:w="11907" w:h="16840"/>
          <w:pgMar w:top="1701" w:right="1531" w:bottom="2127" w:left="1531" w:header="851" w:footer="851" w:gutter="0"/>
          <w:cols w:space="720" w:num="1"/>
          <w:docGrid w:linePitch="312" w:charSpace="0"/>
        </w:sectPr>
      </w:pPr>
    </w:p>
    <w:p>
      <w:pPr>
        <w:pStyle w:val="19"/>
        <w:jc w:val="center"/>
        <w:outlineLvl w:val="0"/>
        <w:rPr>
          <w:rFonts w:ascii="黑体" w:hAnsi="黑体" w:eastAsia="黑体"/>
          <w:snapToGrid w:val="0"/>
          <w:sz w:val="30"/>
          <w:szCs w:val="30"/>
        </w:rPr>
      </w:pPr>
      <w:bookmarkStart w:id="41" w:name="_Toc21155"/>
      <w:bookmarkStart w:id="42" w:name="_Toc24163"/>
      <w:r>
        <w:rPr>
          <w:rFonts w:hint="eastAsia" w:ascii="黑体" w:hAnsi="黑体" w:eastAsia="黑体"/>
          <w:snapToGrid w:val="0"/>
          <w:sz w:val="30"/>
          <w:szCs w:val="30"/>
        </w:rPr>
        <w:t>五、</w:t>
      </w:r>
      <w:bookmarkStart w:id="43" w:name="_Hlk54167917"/>
      <w:r>
        <w:rPr>
          <w:rFonts w:hint="eastAsia" w:ascii="黑体" w:hAnsi="黑体" w:eastAsia="黑体"/>
          <w:snapToGrid w:val="0"/>
          <w:sz w:val="30"/>
          <w:szCs w:val="30"/>
        </w:rPr>
        <w:t>环境保护措施监督检查清单</w:t>
      </w:r>
      <w:bookmarkEnd w:id="41"/>
      <w:bookmarkEnd w:id="42"/>
      <w:bookmarkEnd w:id="4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329"/>
        <w:gridCol w:w="1716"/>
        <w:gridCol w:w="2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78" w:type="dxa"/>
            <w:tcBorders>
              <w:tl2br w:val="single" w:color="auto" w:sz="4" w:space="0"/>
            </w:tcBorders>
          </w:tcPr>
          <w:p>
            <w:pPr>
              <w:adjustRightInd w:val="0"/>
              <w:snapToGrid w:val="0"/>
              <w:ind w:firstLine="840"/>
              <w:rPr>
                <w:rFonts w:ascii="宋体" w:hAnsi="宋体" w:cs="宋体"/>
                <w:szCs w:val="21"/>
              </w:rPr>
            </w:pPr>
            <w:r>
              <w:rPr>
                <w:rFonts w:hint="eastAsia" w:ascii="宋体" w:hAnsi="宋体" w:cs="宋体"/>
                <w:szCs w:val="21"/>
              </w:rPr>
              <w:t>内容</w:t>
            </w:r>
          </w:p>
          <w:p>
            <w:pPr>
              <w:adjustRightInd w:val="0"/>
              <w:snapToGrid w:val="0"/>
              <w:rPr>
                <w:rFonts w:ascii="宋体" w:hAnsi="宋体" w:cs="宋体"/>
                <w:szCs w:val="21"/>
              </w:rPr>
            </w:pPr>
            <w:r>
              <w:rPr>
                <w:rFonts w:hint="eastAsia" w:ascii="宋体" w:hAnsi="宋体" w:cs="宋体"/>
                <w:szCs w:val="21"/>
              </w:rPr>
              <w:t>要素</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排放口(编号、</w:t>
            </w:r>
          </w:p>
          <w:p>
            <w:pPr>
              <w:adjustRightInd w:val="0"/>
              <w:snapToGrid w:val="0"/>
              <w:jc w:val="center"/>
              <w:rPr>
                <w:rFonts w:ascii="宋体" w:hAnsi="宋体" w:cs="宋体"/>
                <w:szCs w:val="21"/>
              </w:rPr>
            </w:pPr>
            <w:r>
              <w:rPr>
                <w:rFonts w:hint="eastAsia" w:ascii="宋体" w:hAnsi="宋体" w:cs="宋体"/>
                <w:szCs w:val="21"/>
              </w:rPr>
              <w:t>名称)/污染源</w:t>
            </w:r>
          </w:p>
        </w:tc>
        <w:tc>
          <w:tcPr>
            <w:tcW w:w="1329" w:type="dxa"/>
            <w:vAlign w:val="center"/>
          </w:tcPr>
          <w:p>
            <w:pPr>
              <w:adjustRightInd w:val="0"/>
              <w:snapToGrid w:val="0"/>
              <w:jc w:val="center"/>
              <w:rPr>
                <w:rFonts w:ascii="宋体" w:hAnsi="宋体" w:cs="宋体"/>
                <w:szCs w:val="21"/>
              </w:rPr>
            </w:pPr>
            <w:r>
              <w:rPr>
                <w:rFonts w:hint="eastAsia" w:ascii="宋体" w:hAnsi="宋体" w:cs="宋体"/>
                <w:szCs w:val="21"/>
              </w:rPr>
              <w:t>污染物项目</w:t>
            </w:r>
          </w:p>
        </w:tc>
        <w:tc>
          <w:tcPr>
            <w:tcW w:w="1716" w:type="dxa"/>
            <w:vAlign w:val="center"/>
          </w:tcPr>
          <w:p>
            <w:pPr>
              <w:adjustRightInd w:val="0"/>
              <w:snapToGrid w:val="0"/>
              <w:jc w:val="center"/>
              <w:rPr>
                <w:rFonts w:ascii="宋体" w:hAnsi="宋体" w:cs="宋体"/>
                <w:szCs w:val="21"/>
              </w:rPr>
            </w:pPr>
            <w:r>
              <w:rPr>
                <w:rFonts w:hint="eastAsia" w:ascii="宋体" w:hAnsi="宋体" w:cs="宋体"/>
                <w:szCs w:val="21"/>
              </w:rPr>
              <w:t>环境保护措施</w:t>
            </w:r>
          </w:p>
        </w:tc>
        <w:tc>
          <w:tcPr>
            <w:tcW w:w="2222" w:type="dxa"/>
            <w:vAlign w:val="center"/>
          </w:tcPr>
          <w:p>
            <w:pPr>
              <w:adjustRightInd w:val="0"/>
              <w:snapToGrid w:val="0"/>
              <w:jc w:val="center"/>
              <w:rPr>
                <w:rFonts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Cs w:val="21"/>
              </w:rPr>
            </w:pPr>
            <w:r>
              <w:rPr>
                <w:szCs w:val="21"/>
              </w:rPr>
              <w:t>大气环境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厂界无组织</w:t>
            </w:r>
          </w:p>
        </w:tc>
        <w:tc>
          <w:tcPr>
            <w:tcW w:w="132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71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移动吸尘器</w:t>
            </w:r>
          </w:p>
        </w:tc>
        <w:tc>
          <w:tcPr>
            <w:tcW w:w="222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-1996）中表2无组织排放浓度限值要求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szCs w:val="21"/>
              </w:rPr>
            </w:pPr>
            <w:r>
              <w:rPr>
                <w:szCs w:val="21"/>
              </w:rPr>
              <w:t>地表水环境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1329"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、氨氮、动植物油、SS</w:t>
            </w:r>
          </w:p>
        </w:tc>
        <w:tc>
          <w:tcPr>
            <w:tcW w:w="171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w:t>
            </w:r>
          </w:p>
        </w:tc>
        <w:tc>
          <w:tcPr>
            <w:tcW w:w="222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《污水排入城市下水道水质标准》（GB/T3</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-2015）中</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Cs w:val="21"/>
              </w:rPr>
            </w:pP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冷却循环水</w:t>
            </w:r>
          </w:p>
        </w:tc>
        <w:tc>
          <w:tcPr>
            <w:tcW w:w="1329"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COD、SS</w:t>
            </w:r>
          </w:p>
        </w:tc>
        <w:tc>
          <w:tcPr>
            <w:tcW w:w="1716"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冷却循环水池</w:t>
            </w:r>
          </w:p>
        </w:tc>
        <w:tc>
          <w:tcPr>
            <w:tcW w:w="222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szCs w:val="21"/>
              </w:rPr>
            </w:pP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1329"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COD、SS</w:t>
            </w:r>
          </w:p>
        </w:tc>
        <w:tc>
          <w:tcPr>
            <w:tcW w:w="1716"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沉淀池处理</w:t>
            </w:r>
          </w:p>
        </w:tc>
        <w:tc>
          <w:tcPr>
            <w:tcW w:w="222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szCs w:val="21"/>
              </w:rPr>
            </w:pPr>
            <w:r>
              <w:rPr>
                <w:szCs w:val="21"/>
              </w:rPr>
              <w:t>声环境</w:t>
            </w:r>
          </w:p>
        </w:tc>
        <w:tc>
          <w:tcPr>
            <w:tcW w:w="175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设备、车辆、人员</w:t>
            </w:r>
          </w:p>
        </w:tc>
        <w:tc>
          <w:tcPr>
            <w:tcW w:w="132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71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设备加装减震垫、墙体隔声</w:t>
            </w:r>
          </w:p>
        </w:tc>
        <w:tc>
          <w:tcPr>
            <w:tcW w:w="222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达到《工业企业厂界环境噪声排放标准》（GB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电磁辐射</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329"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1716" w:type="dxa"/>
            <w:vAlign w:val="center"/>
          </w:tcPr>
          <w:p>
            <w:pPr>
              <w:adjustRightInd w:val="0"/>
              <w:snapToGrid w:val="0"/>
              <w:jc w:val="center"/>
              <w:rPr>
                <w:rFonts w:ascii="宋体" w:hAnsi="宋体" w:cs="宋体"/>
                <w:szCs w:val="21"/>
              </w:rPr>
            </w:pPr>
            <w:r>
              <w:rPr>
                <w:rFonts w:hint="eastAsia" w:ascii="宋体" w:hAnsi="宋体" w:cs="宋体"/>
                <w:szCs w:val="21"/>
              </w:rPr>
              <w:t>/</w:t>
            </w:r>
          </w:p>
        </w:tc>
        <w:tc>
          <w:tcPr>
            <w:tcW w:w="2222" w:type="dxa"/>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废包装袋、废坩埚、废埚底料、废边角料、不合格品、吸尘器吸尘灰等暂存于一般固废间，由物资公司回收；沉淀池沉渣清掏后由云南德沛环保科技有限公司进行回收；废金刚线暂存于一般固废间，定期外售综合利用；生活垃圾委托环卫部门清运处置；废机油、废机油桶、废含油手套、抹布等分类收集后暂存于危险废物暂存间内，定期委托有资质的单位清运处置。危险废物贮存及危废暂存间设置严格执行《危险废物贮存污染控制标准》（GB</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-2023）的相关规定。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土壤及地下水</w:t>
            </w:r>
          </w:p>
          <w:p>
            <w:pPr>
              <w:adjustRightInd w:val="0"/>
              <w:snapToGrid w:val="0"/>
              <w:jc w:val="center"/>
              <w:rPr>
                <w:rFonts w:ascii="宋体" w:hAnsi="宋体" w:cs="宋体"/>
                <w:szCs w:val="21"/>
              </w:rPr>
            </w:pPr>
            <w:r>
              <w:rPr>
                <w:rFonts w:hint="eastAsia" w:ascii="宋体" w:hAnsi="宋体" w:cs="宋体"/>
                <w:szCs w:val="21"/>
              </w:rPr>
              <w:t>污染防治措施</w:t>
            </w:r>
          </w:p>
        </w:tc>
        <w:tc>
          <w:tcPr>
            <w:tcW w:w="7022" w:type="dxa"/>
            <w:gridSpan w:val="4"/>
            <w:vAlign w:val="center"/>
          </w:tcPr>
          <w:p>
            <w:pPr>
              <w:adjustRightInd w:val="0"/>
              <w:snapToGrid w:val="0"/>
              <w:jc w:val="left"/>
              <w:rPr>
                <w:szCs w:val="21"/>
              </w:rPr>
            </w:pPr>
            <w:r>
              <w:rPr>
                <w:rFonts w:hint="eastAsia"/>
                <w:szCs w:val="21"/>
              </w:rPr>
              <w:t>（1）</w:t>
            </w:r>
            <w:r>
              <w:rPr>
                <w:szCs w:val="21"/>
              </w:rPr>
              <w:t>重点防渗区采用防渗涂料，渗透系数≤1.0×10</w:t>
            </w:r>
            <w:r>
              <w:rPr>
                <w:szCs w:val="21"/>
                <w:vertAlign w:val="superscript"/>
              </w:rPr>
              <w:t>-10</w:t>
            </w:r>
            <w:r>
              <w:rPr>
                <w:szCs w:val="21"/>
              </w:rPr>
              <w:t>cm/s；一般污染防治区，渗透系数≤1.0×1</w:t>
            </w:r>
            <w:r>
              <w:rPr>
                <w:rFonts w:hint="eastAsia"/>
                <w:szCs w:val="21"/>
              </w:rPr>
              <w:t>0</w:t>
            </w:r>
            <w:r>
              <w:rPr>
                <w:szCs w:val="21"/>
                <w:vertAlign w:val="superscript"/>
              </w:rPr>
              <w:t xml:space="preserve"> -7</w:t>
            </w:r>
            <w:r>
              <w:rPr>
                <w:szCs w:val="21"/>
              </w:rPr>
              <w:t>cm/s，通过加强定期检查消除污染隐患，发现有污染物泄漏或渗漏，及时修补。</w:t>
            </w:r>
          </w:p>
          <w:p>
            <w:pPr>
              <w:adjustRightInd w:val="0"/>
              <w:snapToGrid w:val="0"/>
              <w:jc w:val="left"/>
              <w:rPr>
                <w:szCs w:val="21"/>
              </w:rPr>
            </w:pPr>
            <w:r>
              <w:rPr>
                <w:rFonts w:hint="eastAsia"/>
                <w:szCs w:val="21"/>
              </w:rPr>
              <w:t>（2）产品储存：车间内设置产品存储区，面积约200m</w:t>
            </w:r>
            <w:r>
              <w:rPr>
                <w:rFonts w:hint="eastAsia"/>
                <w:szCs w:val="21"/>
                <w:vertAlign w:val="superscript"/>
              </w:rPr>
              <w:t>2</w:t>
            </w:r>
            <w:r>
              <w:rPr>
                <w:rFonts w:hint="eastAsia"/>
                <w:szCs w:val="21"/>
              </w:rPr>
              <w:t>，最大储存量约500吨。产品高纯度硅材料采用吨袋进行包装，产品储存区也在车间内。</w:t>
            </w:r>
          </w:p>
          <w:p>
            <w:pPr>
              <w:adjustRightInd w:val="0"/>
              <w:snapToGrid w:val="0"/>
              <w:jc w:val="left"/>
              <w:rPr>
                <w:szCs w:val="21"/>
              </w:rPr>
            </w:pPr>
            <w:r>
              <w:rPr>
                <w:rFonts w:hint="eastAsia"/>
                <w:szCs w:val="21"/>
              </w:rPr>
              <w:t>（3）原料及产品储存区污染控制及防渗处理要求：</w:t>
            </w:r>
          </w:p>
          <w:p>
            <w:pPr>
              <w:adjustRightInd w:val="0"/>
              <w:snapToGrid w:val="0"/>
              <w:jc w:val="left"/>
              <w:rPr>
                <w:rFonts w:ascii="宋体" w:hAnsi="宋体" w:cs="宋体"/>
                <w:szCs w:val="21"/>
              </w:rPr>
            </w:pPr>
            <w:r>
              <w:rPr>
                <w:rFonts w:hint="eastAsia"/>
                <w:szCs w:val="21"/>
              </w:rPr>
              <w:t>整个生产车间基础进行防渗处理，地基处理由底层至地面分别为：基础→砂层→土工布→HDPE防渗膜→土工布→砂层→混凝土地面→耐磨面层（环氧树脂地坪），渗透系数≤10</w:t>
            </w:r>
            <w:r>
              <w:rPr>
                <w:rFonts w:hint="eastAsia"/>
                <w:szCs w:val="21"/>
                <w:vertAlign w:val="superscript"/>
              </w:rPr>
              <w:t>-10</w:t>
            </w:r>
            <w:r>
              <w:rPr>
                <w:rFonts w:hint="eastAsia"/>
                <w:szCs w:val="21"/>
              </w:rPr>
              <w:t>cm/s；原料暂存库在室内，具有防风、防雨、防晒功能。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生态保护措施</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szCs w:val="21"/>
              </w:rPr>
              <w:t>项目产生的“三废”及噪声通过采取环评的提出的各项措施后，可使其对环境的影响降到最低，对生态环境影响较小。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022" w:type="dxa"/>
            <w:gridSpan w:val="4"/>
            <w:vAlign w:val="center"/>
          </w:tcPr>
          <w:p>
            <w:pPr>
              <w:numPr>
                <w:ilvl w:val="0"/>
                <w:numId w:val="8"/>
              </w:numPr>
              <w:adjustRightInd w:val="0"/>
              <w:snapToGrid w:val="0"/>
              <w:jc w:val="left"/>
              <w:rPr>
                <w:szCs w:val="21"/>
              </w:rPr>
            </w:pPr>
            <w:r>
              <w:rPr>
                <w:szCs w:val="21"/>
              </w:rPr>
              <w:t>编制突发环境事件应急预案，并报</w:t>
            </w:r>
            <w:r>
              <w:rPr>
                <w:rFonts w:hint="eastAsia"/>
                <w:szCs w:val="21"/>
              </w:rPr>
              <w:t>主管部门</w:t>
            </w:r>
            <w:r>
              <w:rPr>
                <w:szCs w:val="21"/>
              </w:rPr>
              <w:t xml:space="preserve">备案。 </w:t>
            </w:r>
          </w:p>
          <w:p>
            <w:pPr>
              <w:numPr>
                <w:ilvl w:val="0"/>
                <w:numId w:val="8"/>
              </w:numPr>
              <w:adjustRightInd w:val="0"/>
              <w:snapToGrid w:val="0"/>
              <w:jc w:val="left"/>
              <w:rPr>
                <w:szCs w:val="21"/>
              </w:rPr>
            </w:pPr>
            <w:r>
              <w:rPr>
                <w:szCs w:val="21"/>
              </w:rPr>
              <w:t>定期或不定期对从业人员进行专业技术培训、安全教育培训等。</w:t>
            </w:r>
          </w:p>
          <w:p>
            <w:pPr>
              <w:numPr>
                <w:ilvl w:val="0"/>
                <w:numId w:val="8"/>
              </w:numPr>
              <w:adjustRightInd w:val="0"/>
              <w:snapToGrid w:val="0"/>
              <w:jc w:val="left"/>
              <w:rPr>
                <w:szCs w:val="21"/>
              </w:rPr>
            </w:pPr>
            <w:r>
              <w:rPr>
                <w:szCs w:val="21"/>
              </w:rPr>
              <w:t>妥善进行机油储存，避免出现泄漏等风险。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7022" w:type="dxa"/>
            <w:gridSpan w:val="4"/>
            <w:vAlign w:val="center"/>
          </w:tcPr>
          <w:p>
            <w:pPr>
              <w:adjustRightInd w:val="0"/>
              <w:snapToGrid w:val="0"/>
              <w:jc w:val="left"/>
              <w:rPr>
                <w:szCs w:val="21"/>
              </w:rPr>
            </w:pPr>
            <w:r>
              <w:rPr>
                <w:szCs w:val="21"/>
              </w:rPr>
              <w:t>1、管理机构</w:t>
            </w:r>
          </w:p>
          <w:p>
            <w:pPr>
              <w:adjustRightInd w:val="0"/>
              <w:snapToGrid w:val="0"/>
              <w:ind w:firstLine="420" w:firstLineChars="200"/>
              <w:jc w:val="left"/>
              <w:rPr>
                <w:szCs w:val="21"/>
              </w:rPr>
            </w:pPr>
            <w:r>
              <w:rPr>
                <w:szCs w:val="21"/>
              </w:rPr>
              <w:t>在项目施工期、运营期，建设方应建立自上而下的专职环境保护机构负责制，并由环境保护主管部门监督，切实落实施工期、运营期各项环保措施，环境管理机构其主要职责是：</w:t>
            </w:r>
          </w:p>
          <w:p>
            <w:pPr>
              <w:numPr>
                <w:ilvl w:val="0"/>
                <w:numId w:val="9"/>
              </w:numPr>
              <w:adjustRightInd w:val="0"/>
              <w:snapToGrid w:val="0"/>
              <w:ind w:firstLine="420" w:firstLineChars="200"/>
              <w:jc w:val="left"/>
              <w:rPr>
                <w:szCs w:val="21"/>
              </w:rPr>
            </w:pPr>
            <w:r>
              <w:rPr>
                <w:szCs w:val="21"/>
              </w:rPr>
              <w:t xml:space="preserve">贯彻执行国家、地方环境保持法规和标准； </w:t>
            </w:r>
          </w:p>
          <w:p>
            <w:pPr>
              <w:numPr>
                <w:ilvl w:val="0"/>
                <w:numId w:val="9"/>
              </w:numPr>
              <w:adjustRightInd w:val="0"/>
              <w:snapToGrid w:val="0"/>
              <w:ind w:firstLine="420" w:firstLineChars="200"/>
              <w:jc w:val="left"/>
              <w:rPr>
                <w:szCs w:val="21"/>
              </w:rPr>
            </w:pPr>
            <w:r>
              <w:rPr>
                <w:szCs w:val="21"/>
              </w:rPr>
              <w:t>随着工程进展情况，不断落实环评中的环境保护措施，确保环境保  护措施与工程同步协调进行；</w:t>
            </w:r>
          </w:p>
          <w:p>
            <w:pPr>
              <w:numPr>
                <w:ilvl w:val="0"/>
                <w:numId w:val="9"/>
              </w:numPr>
              <w:adjustRightInd w:val="0"/>
              <w:snapToGrid w:val="0"/>
              <w:ind w:firstLine="420" w:firstLineChars="200"/>
              <w:jc w:val="left"/>
              <w:rPr>
                <w:szCs w:val="21"/>
              </w:rPr>
            </w:pPr>
            <w:r>
              <w:rPr>
                <w:szCs w:val="21"/>
              </w:rPr>
              <w:t xml:space="preserve">制定项目污染物排放和环保设施运转情况，组织开展环境教育和技术培训、提高全体工作人员环境保护意识。 </w:t>
            </w:r>
          </w:p>
          <w:p>
            <w:pPr>
              <w:adjustRightInd w:val="0"/>
              <w:snapToGrid w:val="0"/>
              <w:jc w:val="left"/>
              <w:rPr>
                <w:szCs w:val="21"/>
              </w:rPr>
            </w:pPr>
            <w:r>
              <w:rPr>
                <w:szCs w:val="21"/>
              </w:rPr>
              <w:t xml:space="preserve">2、环境管理实施计划 </w:t>
            </w:r>
          </w:p>
          <w:p>
            <w:pPr>
              <w:adjustRightInd w:val="0"/>
              <w:snapToGrid w:val="0"/>
              <w:ind w:firstLine="420" w:firstLineChars="200"/>
              <w:jc w:val="left"/>
              <w:rPr>
                <w:szCs w:val="21"/>
              </w:rPr>
            </w:pPr>
            <w:r>
              <w:rPr>
                <w:szCs w:val="21"/>
              </w:rPr>
              <w:t>（1）建立“项目污染物安全管理制度”，环保治理设施不得无故减负荷运行或停运，否则将对责任者予以处罚，确保环保治理设施满负荷正常运行；</w:t>
            </w:r>
          </w:p>
          <w:p>
            <w:pPr>
              <w:adjustRightInd w:val="0"/>
              <w:snapToGrid w:val="0"/>
              <w:ind w:firstLine="420" w:firstLineChars="200"/>
              <w:jc w:val="left"/>
              <w:rPr>
                <w:szCs w:val="21"/>
              </w:rPr>
            </w:pPr>
            <w:r>
              <w:rPr>
                <w:szCs w:val="21"/>
              </w:rPr>
              <w:t>（2）建立严格的环保指标考核制度，做到奖罚分明；</w:t>
            </w:r>
          </w:p>
          <w:p>
            <w:pPr>
              <w:adjustRightInd w:val="0"/>
              <w:snapToGrid w:val="0"/>
              <w:ind w:firstLine="420" w:firstLineChars="200"/>
              <w:jc w:val="left"/>
              <w:rPr>
                <w:szCs w:val="21"/>
              </w:rPr>
            </w:pPr>
            <w:r>
              <w:rPr>
                <w:szCs w:val="21"/>
              </w:rPr>
              <w:t xml:space="preserve">（3）定期组织环保管理人员进行业务学习，技术培训，提高管理水平；  </w:t>
            </w:r>
          </w:p>
          <w:p>
            <w:pPr>
              <w:adjustRightInd w:val="0"/>
              <w:snapToGrid w:val="0"/>
              <w:ind w:firstLine="420" w:firstLineChars="200"/>
              <w:jc w:val="left"/>
              <w:rPr>
                <w:szCs w:val="21"/>
              </w:rPr>
            </w:pPr>
            <w:r>
              <w:rPr>
                <w:szCs w:val="21"/>
              </w:rPr>
              <w:t>（4）加强企业职工环境知识的教育与宣传，在教育中增加环保方针、政 策、法纪等内容，在科普教育中列进环保与生态内容，教育干部职工树立文明 生产，遵纪守法的良好习惯和保护环境造福于人民的责任心。</w:t>
            </w:r>
          </w:p>
          <w:p>
            <w:pPr>
              <w:adjustRightInd w:val="0"/>
              <w:snapToGrid w:val="0"/>
              <w:jc w:val="left"/>
              <w:rPr>
                <w:szCs w:val="21"/>
              </w:rPr>
            </w:pPr>
            <w:r>
              <w:rPr>
                <w:szCs w:val="21"/>
              </w:rPr>
              <w:t xml:space="preserve">3、其他要求 </w:t>
            </w:r>
          </w:p>
          <w:p>
            <w:pPr>
              <w:adjustRightInd w:val="0"/>
              <w:snapToGrid w:val="0"/>
              <w:ind w:firstLine="420" w:firstLineChars="200"/>
              <w:jc w:val="left"/>
              <w:rPr>
                <w:szCs w:val="21"/>
              </w:rPr>
            </w:pPr>
            <w:r>
              <w:rPr>
                <w:szCs w:val="21"/>
              </w:rPr>
              <w:t>（1）要求建设单位应制定相关制度并设立专人负责环保设施的正常运行，定期检查废气处理设施，并设立台账管理制度，记录使用废气处理设施的主要运行和维护信息，如运行时间、废气处理量、操作温度、更换备件的时间等关键运行参数，确保项目产生的污染物均处理达标后排放；</w:t>
            </w:r>
          </w:p>
          <w:p>
            <w:pPr>
              <w:adjustRightInd w:val="0"/>
              <w:snapToGrid w:val="0"/>
              <w:ind w:firstLine="420" w:firstLineChars="200"/>
              <w:jc w:val="left"/>
              <w:rPr>
                <w:szCs w:val="21"/>
              </w:rPr>
            </w:pPr>
            <w:r>
              <w:rPr>
                <w:szCs w:val="21"/>
              </w:rPr>
              <w:t xml:space="preserve">（2）合理安排运营时间，尽量减少项目生产噪声对周边居民的影响。  </w:t>
            </w:r>
          </w:p>
          <w:p>
            <w:pPr>
              <w:adjustRightInd w:val="0"/>
              <w:snapToGrid w:val="0"/>
              <w:ind w:firstLine="420" w:firstLineChars="200"/>
              <w:jc w:val="left"/>
              <w:rPr>
                <w:szCs w:val="21"/>
              </w:rPr>
            </w:pPr>
            <w:r>
              <w:rPr>
                <w:szCs w:val="21"/>
              </w:rPr>
              <w:t>（3）产生、收集、贮存、运输、利用、处置固体废物的单位，应当依法及时公开固体废物污染环境防治信息：包括企业基础信息；排污信息（包括主要污染物及特征污染物的名称、排放方式和排放浓度和总量）、排放口数量和分布情况以及执行的污染物排放标准、核定的排放总量；防治污染设施的建设和运行情况；环境影响评价及“三同时”手续情况；以及其他根据法律法规应公开或临时公开的内容等；一般般工业固体废物贮存、处置场，禁止危险废物和生活垃圾混入。</w:t>
            </w:r>
          </w:p>
          <w:p>
            <w:pPr>
              <w:adjustRightInd w:val="0"/>
              <w:snapToGrid w:val="0"/>
              <w:ind w:firstLine="420" w:firstLineChars="200"/>
              <w:jc w:val="left"/>
              <w:rPr>
                <w:szCs w:val="21"/>
              </w:rPr>
            </w:pPr>
            <w:r>
              <w:rPr>
                <w:szCs w:val="21"/>
              </w:rPr>
              <w:t>（4）排位许可申报</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根据《重点排污单位名录管理规定（试行）》和《固定污染源排污许可分类管理名录（2019年版）》，本项目属于简化管理。需申报排污许可证。</w:t>
            </w:r>
          </w:p>
          <w:p>
            <w:pPr>
              <w:adjustRightInd w:val="0"/>
              <w:snapToGrid w:val="0"/>
              <w:jc w:val="left"/>
              <w:rPr>
                <w:szCs w:val="21"/>
              </w:rPr>
            </w:pPr>
            <w:r>
              <w:rPr>
                <w:szCs w:val="21"/>
              </w:rPr>
              <w:t>4、竣工验收要求</w:t>
            </w:r>
          </w:p>
          <w:p>
            <w:pPr>
              <w:adjustRightInd w:val="0"/>
              <w:snapToGrid w:val="0"/>
              <w:ind w:firstLine="420" w:firstLineChars="200"/>
              <w:jc w:val="left"/>
              <w:rPr>
                <w:rFonts w:hint="eastAsia"/>
                <w:szCs w:val="21"/>
              </w:rPr>
            </w:pPr>
            <w:r>
              <w:rPr>
                <w:szCs w:val="21"/>
              </w:rPr>
              <w:t>项目建成后，根据《建设项目环境保护管理条例》及《建设项目竣工环境保护验收暂行办法》等有关规定自主开展竣工环保验收，待项目验收合格后方可正式投入运行</w:t>
            </w:r>
            <w:r>
              <w:rPr>
                <w:rFonts w:hint="eastAsia"/>
                <w:szCs w:val="21"/>
              </w:rPr>
              <w:t>。</w:t>
            </w: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szCs w:val="21"/>
              </w:rPr>
            </w:pPr>
          </w:p>
          <w:p>
            <w:pPr>
              <w:adjustRightInd w:val="0"/>
              <w:snapToGrid w:val="0"/>
              <w:ind w:firstLine="420" w:firstLineChars="200"/>
              <w:jc w:val="left"/>
              <w:rPr>
                <w:rFonts w:hint="eastAsia" w:eastAsia="宋体"/>
                <w:szCs w:val="21"/>
                <w:lang w:val="en-US" w:eastAsia="zh-CN"/>
              </w:rPr>
            </w:pPr>
          </w:p>
        </w:tc>
      </w:tr>
    </w:tbl>
    <w:p>
      <w:pPr>
        <w:pStyle w:val="19"/>
        <w:jc w:val="center"/>
        <w:outlineLvl w:val="0"/>
        <w:rPr>
          <w:rFonts w:ascii="黑体" w:hAnsi="黑体" w:eastAsia="黑体"/>
          <w:snapToGrid w:val="0"/>
          <w:sz w:val="30"/>
          <w:szCs w:val="30"/>
        </w:rPr>
      </w:pPr>
      <w:r>
        <w:rPr>
          <w:snapToGrid w:val="0"/>
        </w:rPr>
        <w:br w:type="page"/>
      </w:r>
      <w:bookmarkStart w:id="44" w:name="_Toc28854"/>
      <w:bookmarkStart w:id="45" w:name="_Toc10118"/>
      <w:r>
        <w:rPr>
          <w:rFonts w:hint="eastAsia" w:ascii="黑体" w:hAnsi="黑体" w:eastAsia="黑体"/>
          <w:snapToGrid w:val="0"/>
          <w:sz w:val="30"/>
          <w:szCs w:val="30"/>
        </w:rPr>
        <w:t>六、结论</w:t>
      </w:r>
      <w:bookmarkEnd w:id="44"/>
      <w:bookmarkEnd w:id="4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8865" w:type="dxa"/>
            <w:vAlign w:val="center"/>
          </w:tcPr>
          <w:p>
            <w:pPr>
              <w:autoSpaceDE w:val="0"/>
              <w:autoSpaceDN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昆明市东川区嘉粟科技有限责任公司建设的“多晶硅碎片综合利用项目”符合国家产业政策，符合相关规划，选址合理，项目建设满足“三线一单”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 </w:t>
            </w:r>
          </w:p>
          <w:p>
            <w:pPr>
              <w:spacing w:line="360" w:lineRule="auto"/>
              <w:rPr>
                <w:rFonts w:ascii="宋体" w:cs="宋体"/>
                <w:color w:val="0000FF"/>
                <w:sz w:val="24"/>
              </w:rPr>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tc>
      </w:tr>
    </w:tbl>
    <w:p>
      <w:pPr>
        <w:rPr>
          <w:rFonts w:ascii="宋体"/>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outlineLvl w:val="0"/>
        <w:rPr>
          <w:rFonts w:ascii="黑体" w:hAnsi="黑体" w:eastAsia="黑体"/>
          <w:snapToGrid w:val="0"/>
          <w:sz w:val="30"/>
          <w:szCs w:val="30"/>
        </w:rPr>
      </w:pPr>
      <w:bookmarkStart w:id="46" w:name="_Toc28155"/>
      <w:bookmarkStart w:id="47" w:name="_Toc13543"/>
      <w:r>
        <w:rPr>
          <w:rFonts w:hint="eastAsia" w:ascii="黑体" w:hAnsi="黑体" w:eastAsia="黑体"/>
          <w:snapToGrid w:val="0"/>
          <w:sz w:val="30"/>
          <w:szCs w:val="30"/>
        </w:rPr>
        <w:t>附表</w:t>
      </w:r>
      <w:bookmarkEnd w:id="46"/>
      <w:bookmarkEnd w:id="47"/>
    </w:p>
    <w:p>
      <w:pPr>
        <w:pStyle w:val="19"/>
        <w:adjustRightInd w:val="0"/>
        <w:snapToGrid w:val="0"/>
        <w:spacing w:before="0" w:beforeAutospacing="0" w:after="0" w:afterAutospacing="0"/>
        <w:jc w:val="center"/>
        <w:outlineLvl w:val="0"/>
        <w:rPr>
          <w:rFonts w:ascii="方正小标宋_GBK" w:hAnsi="黑体" w:eastAsia="方正小标宋_GBK"/>
          <w:snapToGrid w:val="0"/>
          <w:sz w:val="30"/>
          <w:szCs w:val="30"/>
        </w:rPr>
      </w:pPr>
      <w:bookmarkStart w:id="48" w:name="_Toc11813"/>
      <w:bookmarkStart w:id="49" w:name="_Toc27289"/>
      <w:r>
        <w:rPr>
          <w:rFonts w:hint="eastAsia" w:ascii="方正小标宋_GBK" w:hAnsi="黑体" w:eastAsia="方正小标宋_GBK"/>
          <w:snapToGrid w:val="0"/>
          <w:sz w:val="30"/>
          <w:szCs w:val="30"/>
        </w:rPr>
        <w:t>建设项目污染物排放量汇总表</w:t>
      </w:r>
      <w:bookmarkEnd w:id="48"/>
      <w:bookmarkEnd w:id="49"/>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820"/>
        <w:gridCol w:w="1632"/>
        <w:gridCol w:w="1276"/>
        <w:gridCol w:w="1701"/>
        <w:gridCol w:w="1559"/>
        <w:gridCol w:w="1761"/>
        <w:gridCol w:w="1848"/>
        <w:gridCol w:w="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4" w:type="dxa"/>
            <w:tcBorders>
              <w:tl2br w:val="single" w:color="auto" w:sz="4" w:space="0"/>
            </w:tcBorders>
            <w:tcMar>
              <w:left w:w="28" w:type="dxa"/>
              <w:right w:w="28" w:type="dxa"/>
            </w:tcMar>
            <w:vAlign w:val="center"/>
          </w:tcPr>
          <w:p>
            <w:pPr>
              <w:pStyle w:val="44"/>
              <w:spacing w:beforeLines="0" w:afterLines="0" w:line="240" w:lineRule="auto"/>
              <w:jc w:val="right"/>
              <w:textAlignment w:val="auto"/>
              <w:rPr>
                <w:rFonts w:ascii="Times New Roman" w:eastAsia="黑体"/>
                <w:spacing w:val="-6"/>
                <w:kern w:val="21"/>
                <w:szCs w:val="21"/>
              </w:rPr>
            </w:pPr>
            <w:r>
              <w:rPr>
                <w:rFonts w:ascii="Times New Roman" w:eastAsia="黑体"/>
                <w:spacing w:val="-6"/>
                <w:kern w:val="21"/>
                <w:szCs w:val="21"/>
              </w:rPr>
              <w:t>项目</w:t>
            </w:r>
          </w:p>
          <w:p>
            <w:pPr>
              <w:pStyle w:val="44"/>
              <w:spacing w:beforeLines="0" w:afterLines="0" w:line="240" w:lineRule="auto"/>
              <w:jc w:val="left"/>
              <w:textAlignment w:val="auto"/>
              <w:rPr>
                <w:rFonts w:ascii="Times New Roman" w:eastAsia="黑体"/>
                <w:spacing w:val="-6"/>
                <w:kern w:val="21"/>
                <w:szCs w:val="21"/>
              </w:rPr>
            </w:pPr>
            <w:r>
              <w:rPr>
                <w:rFonts w:ascii="Times New Roman" w:eastAsia="黑体"/>
                <w:spacing w:val="-6"/>
                <w:kern w:val="21"/>
                <w:szCs w:val="21"/>
              </w:rPr>
              <w:t>分类</w:t>
            </w:r>
          </w:p>
        </w:tc>
        <w:tc>
          <w:tcPr>
            <w:tcW w:w="1820"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污染物名称</w:t>
            </w:r>
          </w:p>
        </w:tc>
        <w:tc>
          <w:tcPr>
            <w:tcW w:w="1632"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现有工程</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排放量（固体废物产生量）</w:t>
            </w:r>
            <w:r>
              <w:rPr>
                <w:rFonts w:ascii="Times New Roman" w:eastAsia="黑体"/>
                <w:spacing w:val="-6"/>
                <w:kern w:val="21"/>
                <w:szCs w:val="21"/>
              </w:rPr>
              <w:fldChar w:fldCharType="begin"/>
            </w:r>
            <w:r>
              <w:rPr>
                <w:rFonts w:ascii="Times New Roman" w:eastAsia="黑体"/>
                <w:spacing w:val="-6"/>
                <w:kern w:val="21"/>
                <w:szCs w:val="21"/>
              </w:rPr>
              <w:instrText xml:space="preserve"> = 1 \* GB3 \* MERGEFORMAT </w:instrText>
            </w:r>
            <w:r>
              <w:rPr>
                <w:rFonts w:ascii="Times New Roman" w:eastAsia="黑体"/>
                <w:spacing w:val="-6"/>
                <w:kern w:val="21"/>
                <w:szCs w:val="21"/>
              </w:rPr>
              <w:fldChar w:fldCharType="separate"/>
            </w:r>
            <w:r>
              <w:rPr>
                <w:rFonts w:ascii="Times New Roman" w:eastAsia="黑体"/>
                <w:kern w:val="2"/>
                <w:szCs w:val="21"/>
              </w:rPr>
              <w:t>①</w:t>
            </w:r>
            <w:r>
              <w:rPr>
                <w:rFonts w:ascii="Times New Roman" w:eastAsia="黑体"/>
                <w:spacing w:val="-6"/>
                <w:kern w:val="21"/>
                <w:szCs w:val="21"/>
              </w:rPr>
              <w:fldChar w:fldCharType="end"/>
            </w:r>
          </w:p>
        </w:tc>
        <w:tc>
          <w:tcPr>
            <w:tcW w:w="1276"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现有工程</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许可排放量</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fldChar w:fldCharType="begin"/>
            </w:r>
            <w:r>
              <w:rPr>
                <w:rFonts w:ascii="Times New Roman" w:eastAsia="黑体"/>
                <w:spacing w:val="-6"/>
                <w:kern w:val="21"/>
                <w:szCs w:val="21"/>
              </w:rPr>
              <w:instrText xml:space="preserve"> = 2 \* GB3 \* MERGEFORMAT </w:instrText>
            </w:r>
            <w:r>
              <w:rPr>
                <w:rFonts w:ascii="Times New Roman" w:eastAsia="黑体"/>
                <w:spacing w:val="-6"/>
                <w:kern w:val="21"/>
                <w:szCs w:val="21"/>
              </w:rPr>
              <w:fldChar w:fldCharType="separate"/>
            </w:r>
            <w:r>
              <w:rPr>
                <w:rFonts w:ascii="Times New Roman" w:eastAsia="黑体"/>
                <w:spacing w:val="-6"/>
                <w:kern w:val="21"/>
                <w:szCs w:val="21"/>
              </w:rPr>
              <w:t>②</w:t>
            </w:r>
            <w:r>
              <w:rPr>
                <w:rFonts w:ascii="Times New Roman" w:eastAsia="黑体"/>
                <w:spacing w:val="-6"/>
                <w:kern w:val="21"/>
                <w:szCs w:val="21"/>
              </w:rPr>
              <w:fldChar w:fldCharType="end"/>
            </w:r>
          </w:p>
        </w:tc>
        <w:tc>
          <w:tcPr>
            <w:tcW w:w="1701"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在建工程</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排放量（固体废物产生量）</w:t>
            </w:r>
            <w:r>
              <w:rPr>
                <w:rFonts w:ascii="Times New Roman" w:eastAsia="黑体"/>
                <w:spacing w:val="-6"/>
                <w:kern w:val="21"/>
                <w:szCs w:val="21"/>
              </w:rPr>
              <w:fldChar w:fldCharType="begin"/>
            </w:r>
            <w:r>
              <w:rPr>
                <w:rFonts w:ascii="Times New Roman" w:eastAsia="黑体"/>
                <w:spacing w:val="-6"/>
                <w:kern w:val="21"/>
                <w:szCs w:val="21"/>
              </w:rPr>
              <w:instrText xml:space="preserve"> = 3 \* GB3 \* MERGEFORMAT </w:instrText>
            </w:r>
            <w:r>
              <w:rPr>
                <w:rFonts w:ascii="Times New Roman" w:eastAsia="黑体"/>
                <w:spacing w:val="-6"/>
                <w:kern w:val="21"/>
                <w:szCs w:val="21"/>
              </w:rPr>
              <w:fldChar w:fldCharType="separate"/>
            </w:r>
            <w:r>
              <w:rPr>
                <w:rFonts w:ascii="Times New Roman" w:eastAsia="黑体"/>
                <w:kern w:val="2"/>
                <w:szCs w:val="21"/>
              </w:rPr>
              <w:t>③</w:t>
            </w:r>
            <w:r>
              <w:rPr>
                <w:rFonts w:ascii="Times New Roman" w:eastAsia="黑体"/>
                <w:spacing w:val="-6"/>
                <w:kern w:val="21"/>
                <w:szCs w:val="21"/>
              </w:rPr>
              <w:fldChar w:fldCharType="end"/>
            </w:r>
          </w:p>
        </w:tc>
        <w:tc>
          <w:tcPr>
            <w:tcW w:w="1559"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本项目</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排放量（固体废物产生量）</w:t>
            </w:r>
            <w:r>
              <w:rPr>
                <w:rFonts w:ascii="Times New Roman" w:eastAsia="黑体"/>
                <w:spacing w:val="-6"/>
                <w:kern w:val="21"/>
                <w:szCs w:val="21"/>
              </w:rPr>
              <w:fldChar w:fldCharType="begin"/>
            </w:r>
            <w:r>
              <w:rPr>
                <w:rFonts w:ascii="Times New Roman" w:eastAsia="黑体"/>
                <w:spacing w:val="-6"/>
                <w:kern w:val="21"/>
                <w:szCs w:val="21"/>
              </w:rPr>
              <w:instrText xml:space="preserve"> = 4 \* GB3 \* MERGEFORMAT </w:instrText>
            </w:r>
            <w:r>
              <w:rPr>
                <w:rFonts w:ascii="Times New Roman" w:eastAsia="黑体"/>
                <w:spacing w:val="-6"/>
                <w:kern w:val="21"/>
                <w:szCs w:val="21"/>
              </w:rPr>
              <w:fldChar w:fldCharType="separate"/>
            </w:r>
            <w:r>
              <w:rPr>
                <w:rFonts w:ascii="Times New Roman" w:eastAsia="黑体"/>
                <w:kern w:val="2"/>
                <w:szCs w:val="21"/>
              </w:rPr>
              <w:t>④</w:t>
            </w:r>
            <w:r>
              <w:rPr>
                <w:rFonts w:ascii="Times New Roman" w:eastAsia="黑体"/>
                <w:spacing w:val="-6"/>
                <w:kern w:val="21"/>
                <w:szCs w:val="21"/>
              </w:rPr>
              <w:fldChar w:fldCharType="end"/>
            </w:r>
          </w:p>
        </w:tc>
        <w:tc>
          <w:tcPr>
            <w:tcW w:w="1761" w:type="dxa"/>
            <w:tcMar>
              <w:left w:w="28" w:type="dxa"/>
              <w:right w:w="28" w:type="dxa"/>
            </w:tcMar>
            <w:vAlign w:val="center"/>
          </w:tcPr>
          <w:p>
            <w:pPr>
              <w:pStyle w:val="44"/>
              <w:spacing w:beforeLines="0" w:afterLines="0" w:line="240" w:lineRule="auto"/>
              <w:textAlignment w:val="auto"/>
              <w:rPr>
                <w:rFonts w:ascii="Times New Roman" w:eastAsia="黑体"/>
                <w:spacing w:val="-16"/>
                <w:kern w:val="21"/>
                <w:szCs w:val="21"/>
              </w:rPr>
            </w:pPr>
            <w:r>
              <w:rPr>
                <w:rFonts w:ascii="Times New Roman" w:eastAsia="黑体"/>
                <w:spacing w:val="-16"/>
                <w:kern w:val="21"/>
                <w:szCs w:val="21"/>
              </w:rPr>
              <w:t>以新带老削减量</w:t>
            </w:r>
          </w:p>
          <w:p>
            <w:pPr>
              <w:pStyle w:val="44"/>
              <w:spacing w:beforeLines="0" w:afterLines="0" w:line="240" w:lineRule="auto"/>
              <w:textAlignment w:val="auto"/>
              <w:rPr>
                <w:rFonts w:ascii="Times New Roman" w:eastAsia="黑体"/>
                <w:spacing w:val="-16"/>
                <w:kern w:val="21"/>
                <w:szCs w:val="21"/>
              </w:rPr>
            </w:pPr>
            <w:r>
              <w:rPr>
                <w:rFonts w:ascii="Times New Roman" w:eastAsia="黑体"/>
                <w:spacing w:val="-16"/>
                <w:kern w:val="21"/>
                <w:szCs w:val="21"/>
              </w:rPr>
              <w:t>（新建项目不填）</w:t>
            </w:r>
            <w:r>
              <w:rPr>
                <w:rFonts w:ascii="Times New Roman" w:eastAsia="黑体"/>
                <w:spacing w:val="-16"/>
                <w:kern w:val="21"/>
                <w:szCs w:val="21"/>
              </w:rPr>
              <w:fldChar w:fldCharType="begin"/>
            </w:r>
            <w:r>
              <w:rPr>
                <w:rFonts w:ascii="Times New Roman" w:eastAsia="黑体"/>
                <w:spacing w:val="-16"/>
                <w:kern w:val="21"/>
                <w:szCs w:val="21"/>
              </w:rPr>
              <w:instrText xml:space="preserve"> = 5 \* GB3 \* MERGEFORMAT </w:instrText>
            </w:r>
            <w:r>
              <w:rPr>
                <w:rFonts w:ascii="Times New Roman" w:eastAsia="黑体"/>
                <w:spacing w:val="-16"/>
                <w:kern w:val="21"/>
                <w:szCs w:val="21"/>
              </w:rPr>
              <w:fldChar w:fldCharType="separate"/>
            </w:r>
            <w:r>
              <w:rPr>
                <w:rFonts w:ascii="Times New Roman" w:eastAsia="黑体"/>
                <w:kern w:val="2"/>
                <w:szCs w:val="21"/>
              </w:rPr>
              <w:t>⑤</w:t>
            </w:r>
            <w:r>
              <w:rPr>
                <w:rFonts w:ascii="Times New Roman" w:eastAsia="黑体"/>
                <w:spacing w:val="-16"/>
                <w:kern w:val="21"/>
                <w:szCs w:val="21"/>
              </w:rPr>
              <w:fldChar w:fldCharType="end"/>
            </w:r>
          </w:p>
        </w:tc>
        <w:tc>
          <w:tcPr>
            <w:tcW w:w="1848" w:type="dxa"/>
            <w:tcMar>
              <w:left w:w="28" w:type="dxa"/>
              <w:right w:w="28" w:type="dxa"/>
            </w:tcMar>
            <w:vAlign w:val="center"/>
          </w:tcPr>
          <w:p>
            <w:pPr>
              <w:pStyle w:val="44"/>
              <w:spacing w:beforeLines="0" w:afterLines="0" w:line="240" w:lineRule="auto"/>
              <w:textAlignment w:val="auto"/>
              <w:rPr>
                <w:rFonts w:ascii="Times New Roman" w:eastAsia="黑体"/>
                <w:spacing w:val="-16"/>
                <w:kern w:val="21"/>
                <w:szCs w:val="21"/>
              </w:rPr>
            </w:pPr>
            <w:r>
              <w:rPr>
                <w:rFonts w:ascii="Times New Roman" w:eastAsia="黑体"/>
                <w:spacing w:val="-16"/>
                <w:kern w:val="21"/>
                <w:szCs w:val="21"/>
              </w:rPr>
              <w:t>本项目建成后</w:t>
            </w:r>
          </w:p>
          <w:p>
            <w:pPr>
              <w:pStyle w:val="44"/>
              <w:spacing w:beforeLines="0" w:afterLines="0" w:line="240" w:lineRule="auto"/>
              <w:textAlignment w:val="auto"/>
              <w:rPr>
                <w:rFonts w:ascii="Times New Roman" w:eastAsia="黑体"/>
                <w:spacing w:val="-16"/>
                <w:kern w:val="21"/>
                <w:szCs w:val="21"/>
              </w:rPr>
            </w:pPr>
            <w:r>
              <w:rPr>
                <w:rFonts w:ascii="Times New Roman" w:eastAsia="黑体"/>
                <w:spacing w:val="-16"/>
                <w:kern w:val="21"/>
                <w:szCs w:val="21"/>
              </w:rPr>
              <w:t>全厂排放量（固体废物产生量）</w:t>
            </w:r>
            <w:r>
              <w:rPr>
                <w:rFonts w:ascii="Times New Roman" w:eastAsia="黑体"/>
                <w:spacing w:val="-16"/>
                <w:kern w:val="21"/>
                <w:szCs w:val="21"/>
              </w:rPr>
              <w:fldChar w:fldCharType="begin"/>
            </w:r>
            <w:r>
              <w:rPr>
                <w:rFonts w:ascii="Times New Roman" w:eastAsia="黑体"/>
                <w:spacing w:val="-16"/>
                <w:kern w:val="21"/>
                <w:szCs w:val="21"/>
              </w:rPr>
              <w:instrText xml:space="preserve"> = 6 \* GB3 \* MERGEFORMAT </w:instrText>
            </w:r>
            <w:r>
              <w:rPr>
                <w:rFonts w:ascii="Times New Roman" w:eastAsia="黑体"/>
                <w:spacing w:val="-16"/>
                <w:kern w:val="21"/>
                <w:szCs w:val="21"/>
              </w:rPr>
              <w:fldChar w:fldCharType="separate"/>
            </w:r>
            <w:r>
              <w:rPr>
                <w:rFonts w:ascii="Times New Roman" w:eastAsia="黑体"/>
                <w:kern w:val="2"/>
                <w:szCs w:val="21"/>
              </w:rPr>
              <w:t>⑥</w:t>
            </w:r>
            <w:r>
              <w:rPr>
                <w:rFonts w:ascii="Times New Roman" w:eastAsia="黑体"/>
                <w:spacing w:val="-16"/>
                <w:kern w:val="21"/>
                <w:szCs w:val="21"/>
              </w:rPr>
              <w:fldChar w:fldCharType="end"/>
            </w:r>
          </w:p>
        </w:tc>
        <w:tc>
          <w:tcPr>
            <w:tcW w:w="937" w:type="dxa"/>
            <w:tcMar>
              <w:left w:w="28" w:type="dxa"/>
              <w:right w:w="28" w:type="dxa"/>
            </w:tcMar>
            <w:vAlign w:val="center"/>
          </w:tcPr>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t>变化量</w:t>
            </w:r>
          </w:p>
          <w:p>
            <w:pPr>
              <w:pStyle w:val="44"/>
              <w:spacing w:beforeLines="0" w:afterLines="0" w:line="240" w:lineRule="auto"/>
              <w:textAlignment w:val="auto"/>
              <w:rPr>
                <w:rFonts w:ascii="Times New Roman" w:eastAsia="黑体"/>
                <w:spacing w:val="-6"/>
                <w:kern w:val="21"/>
                <w:szCs w:val="21"/>
              </w:rPr>
            </w:pPr>
            <w:r>
              <w:rPr>
                <w:rFonts w:ascii="Times New Roman" w:eastAsia="黑体"/>
                <w:spacing w:val="-6"/>
                <w:kern w:val="21"/>
                <w:szCs w:val="21"/>
              </w:rPr>
              <w:fldChar w:fldCharType="begin"/>
            </w:r>
            <w:r>
              <w:rPr>
                <w:rFonts w:ascii="Times New Roman" w:eastAsia="黑体"/>
                <w:spacing w:val="-6"/>
                <w:kern w:val="21"/>
                <w:szCs w:val="21"/>
              </w:rPr>
              <w:instrText xml:space="preserve"> = 7 \* GB3 \* MERGEFORMAT </w:instrText>
            </w:r>
            <w:r>
              <w:rPr>
                <w:rFonts w:ascii="Times New Roman" w:eastAsia="黑体"/>
                <w:spacing w:val="-6"/>
                <w:kern w:val="21"/>
                <w:szCs w:val="21"/>
              </w:rPr>
              <w:fldChar w:fldCharType="separate"/>
            </w:r>
            <w:r>
              <w:rPr>
                <w:rFonts w:ascii="Times New Roman" w:eastAsia="黑体"/>
                <w:kern w:val="2"/>
                <w:szCs w:val="21"/>
              </w:rPr>
              <w:t>⑦</w:t>
            </w:r>
            <w:r>
              <w:rPr>
                <w:rFonts w:ascii="Times New Roman" w:eastAsia="黑体"/>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54" w:type="dxa"/>
            <w:vAlign w:val="center"/>
          </w:tcPr>
          <w:p>
            <w:pPr>
              <w:pStyle w:val="44"/>
              <w:spacing w:beforeLines="0" w:afterLines="0" w:line="240" w:lineRule="auto"/>
              <w:textAlignment w:val="auto"/>
              <w:rPr>
                <w:rFonts w:ascii="Times New Roman"/>
                <w:kern w:val="21"/>
                <w:szCs w:val="21"/>
              </w:rPr>
            </w:pPr>
            <w:r>
              <w:rPr>
                <w:rFonts w:ascii="Times New Roman"/>
                <w:kern w:val="21"/>
                <w:szCs w:val="21"/>
              </w:rPr>
              <w:t>废气</w:t>
            </w:r>
          </w:p>
        </w:tc>
        <w:tc>
          <w:tcPr>
            <w:tcW w:w="1820" w:type="dxa"/>
            <w:vAlign w:val="center"/>
          </w:tcPr>
          <w:p>
            <w:pPr>
              <w:pStyle w:val="44"/>
              <w:spacing w:beforeLines="0" w:afterLines="0" w:line="240" w:lineRule="auto"/>
              <w:textAlignment w:val="auto"/>
              <w:rPr>
                <w:rFonts w:ascii="Times New Roman"/>
                <w:kern w:val="21"/>
                <w:szCs w:val="21"/>
              </w:rPr>
            </w:pPr>
            <w:r>
              <w:rPr>
                <w:rFonts w:hint="eastAsia" w:ascii="Times New Roman"/>
                <w:kern w:val="21"/>
                <w:szCs w:val="21"/>
              </w:rPr>
              <w:t>颗粒物</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pStyle w:val="44"/>
              <w:spacing w:beforeLines="0" w:afterLines="0" w:line="240" w:lineRule="auto"/>
              <w:textAlignment w:val="auto"/>
              <w:rPr>
                <w:rFonts w:ascii="Times New Roman"/>
                <w:kern w:val="21"/>
                <w:szCs w:val="21"/>
              </w:rPr>
            </w:pPr>
            <w:r>
              <w:rPr>
                <w:rFonts w:hint="eastAsia" w:ascii="Times New Roman"/>
                <w:kern w:val="21"/>
                <w:szCs w:val="21"/>
              </w:rPr>
              <w:t>1.024</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jc w:val="center"/>
              <w:rPr>
                <w:szCs w:val="21"/>
              </w:rPr>
            </w:pPr>
            <w:r>
              <w:rPr>
                <w:rFonts w:hint="eastAsia"/>
                <w:snapToGrid w:val="0"/>
                <w:kern w:val="21"/>
                <w:szCs w:val="21"/>
              </w:rPr>
              <w:t>1.024</w:t>
            </w:r>
          </w:p>
        </w:tc>
        <w:tc>
          <w:tcPr>
            <w:tcW w:w="937" w:type="dxa"/>
            <w:vAlign w:val="center"/>
          </w:tcPr>
          <w:p>
            <w:pPr>
              <w:jc w:val="center"/>
              <w:rPr>
                <w:szCs w:val="21"/>
              </w:rPr>
            </w:pPr>
            <w:r>
              <w:rPr>
                <w:rFonts w:hint="eastAsia"/>
                <w:snapToGrid w:val="0"/>
                <w:kern w:val="21"/>
                <w:szCs w:val="21"/>
              </w:rPr>
              <w:t>1.024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54" w:type="dxa"/>
            <w:vMerge w:val="restart"/>
            <w:vAlign w:val="center"/>
          </w:tcPr>
          <w:p>
            <w:pPr>
              <w:pStyle w:val="44"/>
              <w:spacing w:beforeLines="0" w:afterLines="0" w:line="240" w:lineRule="auto"/>
              <w:textAlignment w:val="auto"/>
              <w:rPr>
                <w:rFonts w:ascii="Times New Roman"/>
                <w:kern w:val="21"/>
                <w:szCs w:val="21"/>
              </w:rPr>
            </w:pPr>
            <w:r>
              <w:rPr>
                <w:rFonts w:ascii="Times New Roman"/>
                <w:kern w:val="21"/>
                <w:szCs w:val="21"/>
              </w:rPr>
              <w:t>废水</w:t>
            </w:r>
            <w:r>
              <w:rPr>
                <w:rFonts w:hint="eastAsia" w:ascii="Times New Roman"/>
                <w:kern w:val="21"/>
                <w:szCs w:val="21"/>
              </w:rPr>
              <w:t>（600t/a）</w:t>
            </w:r>
          </w:p>
        </w:tc>
        <w:tc>
          <w:tcPr>
            <w:tcW w:w="1820" w:type="dxa"/>
            <w:vAlign w:val="center"/>
          </w:tcPr>
          <w:p>
            <w:pPr>
              <w:widowControl/>
              <w:snapToGrid w:val="0"/>
              <w:jc w:val="center"/>
              <w:rPr>
                <w:bCs/>
                <w:kern w:val="0"/>
                <w:szCs w:val="21"/>
              </w:rPr>
            </w:pPr>
            <w:r>
              <w:rPr>
                <w:rFonts w:hint="eastAsia"/>
                <w:bCs/>
                <w:kern w:val="0"/>
                <w:szCs w:val="21"/>
              </w:rPr>
              <w:t>CODcr</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0.120</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0.120</w:t>
            </w:r>
          </w:p>
        </w:tc>
        <w:tc>
          <w:tcPr>
            <w:tcW w:w="937" w:type="dxa"/>
            <w:vAlign w:val="center"/>
          </w:tcPr>
          <w:p>
            <w:pPr>
              <w:widowControl/>
              <w:snapToGrid w:val="0"/>
              <w:jc w:val="center"/>
              <w:rPr>
                <w:snapToGrid w:val="0"/>
                <w:kern w:val="21"/>
                <w:szCs w:val="21"/>
              </w:rPr>
            </w:pPr>
            <w:r>
              <w:rPr>
                <w:rFonts w:hint="eastAsia"/>
                <w:bCs/>
                <w:kern w:val="0"/>
                <w:szCs w:val="21"/>
              </w:rPr>
              <w:t>0.120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widowControl/>
              <w:snapToGrid w:val="0"/>
              <w:jc w:val="center"/>
              <w:rPr>
                <w:bCs/>
                <w:kern w:val="0"/>
                <w:szCs w:val="21"/>
              </w:rPr>
            </w:pPr>
            <w:r>
              <w:rPr>
                <w:rFonts w:hint="eastAsia"/>
                <w:bCs/>
                <w:kern w:val="0"/>
                <w:szCs w:val="21"/>
              </w:rPr>
              <w:t>BOD</w:t>
            </w:r>
            <w:r>
              <w:rPr>
                <w:rFonts w:hint="eastAsia"/>
                <w:bCs/>
                <w:kern w:val="0"/>
                <w:szCs w:val="21"/>
                <w:vertAlign w:val="subscript"/>
              </w:rPr>
              <w:t>5</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0.060</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0.060</w:t>
            </w:r>
          </w:p>
        </w:tc>
        <w:tc>
          <w:tcPr>
            <w:tcW w:w="937" w:type="dxa"/>
            <w:vAlign w:val="center"/>
          </w:tcPr>
          <w:p>
            <w:pPr>
              <w:widowControl/>
              <w:snapToGrid w:val="0"/>
              <w:jc w:val="center"/>
              <w:rPr>
                <w:snapToGrid w:val="0"/>
                <w:kern w:val="21"/>
                <w:szCs w:val="21"/>
              </w:rPr>
            </w:pPr>
            <w:r>
              <w:rPr>
                <w:rFonts w:hint="eastAsia"/>
                <w:bCs/>
                <w:kern w:val="0"/>
                <w:szCs w:val="21"/>
              </w:rPr>
              <w:t>0.060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widowControl/>
              <w:snapToGrid w:val="0"/>
              <w:jc w:val="center"/>
              <w:rPr>
                <w:bCs/>
                <w:kern w:val="0"/>
                <w:szCs w:val="21"/>
              </w:rPr>
            </w:pPr>
            <w:r>
              <w:rPr>
                <w:rFonts w:hint="eastAsia"/>
                <w:bCs/>
                <w:kern w:val="0"/>
                <w:szCs w:val="21"/>
              </w:rPr>
              <w:t>SS</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0.072</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0.072</w:t>
            </w:r>
          </w:p>
        </w:tc>
        <w:tc>
          <w:tcPr>
            <w:tcW w:w="937" w:type="dxa"/>
            <w:vAlign w:val="center"/>
          </w:tcPr>
          <w:p>
            <w:pPr>
              <w:widowControl/>
              <w:snapToGrid w:val="0"/>
              <w:jc w:val="center"/>
              <w:rPr>
                <w:snapToGrid w:val="0"/>
                <w:kern w:val="21"/>
                <w:szCs w:val="21"/>
              </w:rPr>
            </w:pPr>
            <w:r>
              <w:rPr>
                <w:rFonts w:hint="eastAsia"/>
                <w:bCs/>
                <w:kern w:val="0"/>
                <w:szCs w:val="21"/>
              </w:rPr>
              <w:t>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widowControl/>
              <w:snapToGrid w:val="0"/>
              <w:jc w:val="center"/>
              <w:rPr>
                <w:bCs/>
                <w:kern w:val="0"/>
                <w:szCs w:val="21"/>
              </w:rPr>
            </w:pPr>
            <w:r>
              <w:rPr>
                <w:rFonts w:hint="eastAsia"/>
                <w:bCs/>
                <w:kern w:val="0"/>
                <w:szCs w:val="21"/>
              </w:rPr>
              <w:t>NH</w:t>
            </w:r>
            <w:r>
              <w:rPr>
                <w:rFonts w:hint="eastAsia"/>
                <w:bCs/>
                <w:kern w:val="0"/>
                <w:szCs w:val="21"/>
                <w:vertAlign w:val="subscript"/>
              </w:rPr>
              <w:t>3</w:t>
            </w:r>
            <w:r>
              <w:rPr>
                <w:rFonts w:hint="eastAsia"/>
                <w:bCs/>
                <w:kern w:val="0"/>
                <w:szCs w:val="21"/>
              </w:rPr>
              <w:t>-N</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0.017</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0.017</w:t>
            </w:r>
          </w:p>
        </w:tc>
        <w:tc>
          <w:tcPr>
            <w:tcW w:w="937" w:type="dxa"/>
            <w:vAlign w:val="center"/>
          </w:tcPr>
          <w:p>
            <w:pPr>
              <w:widowControl/>
              <w:snapToGrid w:val="0"/>
              <w:jc w:val="center"/>
              <w:rPr>
                <w:snapToGrid w:val="0"/>
                <w:kern w:val="21"/>
                <w:szCs w:val="21"/>
              </w:rPr>
            </w:pPr>
            <w:r>
              <w:rPr>
                <w:rFonts w:hint="eastAsia"/>
                <w:bCs/>
                <w:kern w:val="0"/>
                <w:szCs w:val="21"/>
              </w:rPr>
              <w:t>0.017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widowControl/>
              <w:snapToGrid w:val="0"/>
              <w:jc w:val="center"/>
              <w:rPr>
                <w:bCs/>
                <w:kern w:val="0"/>
                <w:szCs w:val="21"/>
              </w:rPr>
            </w:pPr>
            <w:r>
              <w:rPr>
                <w:rFonts w:hint="eastAsia"/>
                <w:bCs/>
                <w:kern w:val="0"/>
                <w:szCs w:val="21"/>
              </w:rPr>
              <w:t>动植物油</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0.036</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0.036</w:t>
            </w:r>
          </w:p>
        </w:tc>
        <w:tc>
          <w:tcPr>
            <w:tcW w:w="937" w:type="dxa"/>
            <w:vAlign w:val="center"/>
          </w:tcPr>
          <w:p>
            <w:pPr>
              <w:widowControl/>
              <w:snapToGrid w:val="0"/>
              <w:jc w:val="center"/>
              <w:rPr>
                <w:snapToGrid w:val="0"/>
                <w:kern w:val="21"/>
                <w:szCs w:val="21"/>
              </w:rPr>
            </w:pPr>
            <w:r>
              <w:rPr>
                <w:rFonts w:hint="eastAsia"/>
                <w:bCs/>
                <w:kern w:val="0"/>
                <w:szCs w:val="21"/>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widowControl/>
              <w:snapToGrid w:val="0"/>
              <w:jc w:val="center"/>
              <w:rPr>
                <w:bCs/>
                <w:kern w:val="0"/>
                <w:szCs w:val="21"/>
              </w:rPr>
            </w:pPr>
            <w:r>
              <w:rPr>
                <w:rFonts w:hint="eastAsia"/>
                <w:bCs/>
                <w:kern w:val="0"/>
                <w:szCs w:val="21"/>
              </w:rPr>
              <w:t>TP</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widowControl/>
              <w:snapToGrid w:val="0"/>
              <w:jc w:val="center"/>
              <w:rPr>
                <w:bCs/>
                <w:kern w:val="0"/>
                <w:szCs w:val="21"/>
              </w:rPr>
            </w:pPr>
            <w:r>
              <w:rPr>
                <w:rFonts w:hint="eastAsia"/>
                <w:bCs/>
                <w:kern w:val="0"/>
                <w:szCs w:val="21"/>
              </w:rPr>
              <w:t>0.0006</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widowControl/>
              <w:snapToGrid w:val="0"/>
              <w:jc w:val="center"/>
              <w:rPr>
                <w:snapToGrid w:val="0"/>
                <w:kern w:val="21"/>
                <w:szCs w:val="21"/>
              </w:rPr>
            </w:pPr>
            <w:r>
              <w:rPr>
                <w:rFonts w:hint="eastAsia"/>
                <w:bCs/>
                <w:kern w:val="0"/>
                <w:szCs w:val="21"/>
              </w:rPr>
              <w:t>0.0006</w:t>
            </w:r>
          </w:p>
        </w:tc>
        <w:tc>
          <w:tcPr>
            <w:tcW w:w="937" w:type="dxa"/>
            <w:vAlign w:val="center"/>
          </w:tcPr>
          <w:p>
            <w:pPr>
              <w:widowControl/>
              <w:snapToGrid w:val="0"/>
              <w:jc w:val="center"/>
              <w:rPr>
                <w:snapToGrid w:val="0"/>
                <w:kern w:val="21"/>
                <w:szCs w:val="21"/>
              </w:rPr>
            </w:pPr>
            <w:r>
              <w:rPr>
                <w:rFonts w:hint="eastAsia"/>
                <w:bCs/>
                <w:kern w:val="0"/>
                <w:szCs w:val="21"/>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54" w:type="dxa"/>
            <w:vMerge w:val="restart"/>
            <w:vAlign w:val="center"/>
          </w:tcPr>
          <w:p>
            <w:pPr>
              <w:pStyle w:val="44"/>
              <w:spacing w:beforeLines="0" w:afterLines="0" w:line="240" w:lineRule="auto"/>
              <w:textAlignment w:val="auto"/>
              <w:rPr>
                <w:rFonts w:ascii="Times New Roman"/>
                <w:kern w:val="21"/>
                <w:szCs w:val="21"/>
              </w:rPr>
            </w:pPr>
            <w:r>
              <w:rPr>
                <w:rFonts w:ascii="Times New Roman"/>
                <w:kern w:val="21"/>
                <w:szCs w:val="21"/>
              </w:rPr>
              <w:t>一般工业</w:t>
            </w:r>
          </w:p>
          <w:p>
            <w:pPr>
              <w:pStyle w:val="44"/>
              <w:spacing w:beforeLines="0" w:afterLines="0" w:line="240" w:lineRule="auto"/>
              <w:textAlignment w:val="auto"/>
              <w:rPr>
                <w:rFonts w:ascii="Times New Roman"/>
                <w:kern w:val="21"/>
                <w:szCs w:val="21"/>
              </w:rPr>
            </w:pPr>
            <w:r>
              <w:rPr>
                <w:rFonts w:ascii="Times New Roman"/>
                <w:kern w:val="21"/>
                <w:szCs w:val="21"/>
              </w:rPr>
              <w:t>固体废物</w:t>
            </w:r>
          </w:p>
        </w:tc>
        <w:tc>
          <w:tcPr>
            <w:tcW w:w="1820" w:type="dxa"/>
            <w:vAlign w:val="center"/>
          </w:tcPr>
          <w:p>
            <w:pPr>
              <w:pStyle w:val="44"/>
              <w:spacing w:before="24" w:after="24"/>
              <w:rPr>
                <w:bCs/>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废包装袋</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37" w:type="dxa"/>
            <w:vAlign w:val="center"/>
          </w:tcPr>
          <w:p>
            <w:pPr>
              <w:adjustRightInd w:val="0"/>
              <w:snapToGrid w:val="0"/>
              <w:spacing w:line="240" w:lineRule="atLeast"/>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bCs/>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废坩埚</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7"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废埚底料</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w:t>
            </w:r>
          </w:p>
        </w:tc>
        <w:tc>
          <w:tcPr>
            <w:tcW w:w="93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bCs/>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废边角料</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170</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170</w:t>
            </w:r>
          </w:p>
        </w:tc>
        <w:tc>
          <w:tcPr>
            <w:tcW w:w="937"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bCs/>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不合格品</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16.5</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16.5</w:t>
            </w:r>
          </w:p>
        </w:tc>
        <w:tc>
          <w:tcPr>
            <w:tcW w:w="937"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rFonts w:ascii="Times New Roman"/>
                <w:color w:val="000000" w:themeColor="text1"/>
                <w:spacing w:val="-10"/>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废金刚线</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93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bCs/>
                <w:color w:val="000000" w:themeColor="text1"/>
                <w:szCs w:val="21"/>
                <w14:textFill>
                  <w14:solidFill>
                    <w14:schemeClr w14:val="tx1"/>
                  </w14:solidFill>
                </w14:textFill>
              </w:rPr>
            </w:pPr>
            <w:r>
              <w:rPr>
                <w:rFonts w:hint="eastAsia" w:ascii="Times New Roman"/>
                <w:color w:val="000000" w:themeColor="text1"/>
                <w:spacing w:val="-10"/>
                <w:szCs w:val="21"/>
                <w14:textFill>
                  <w14:solidFill>
                    <w14:schemeClr w14:val="tx1"/>
                  </w14:solidFill>
                </w14:textFill>
              </w:rPr>
              <w:t>沉淀池沉渣</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9.6</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9.6</w:t>
            </w:r>
          </w:p>
        </w:tc>
        <w:tc>
          <w:tcPr>
            <w:tcW w:w="937" w:type="dxa"/>
            <w:vAlign w:val="center"/>
          </w:tcPr>
          <w:p>
            <w:pPr>
              <w:adjustRightInd w:val="0"/>
              <w:snapToGrid w:val="0"/>
              <w:spacing w:line="240" w:lineRule="atLeast"/>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44"/>
              <w:spacing w:before="24" w:after="24"/>
              <w:rPr>
                <w:rFonts w:hint="default" w:ascii="Times New Roman" w:eastAsia="宋体"/>
                <w:color w:val="000000" w:themeColor="text1"/>
                <w:spacing w:val="-10"/>
                <w:szCs w:val="21"/>
                <w:lang w:val="en-US" w:eastAsia="zh-CN"/>
                <w14:textFill>
                  <w14:solidFill>
                    <w14:schemeClr w14:val="tx1"/>
                  </w14:solidFill>
                </w14:textFill>
              </w:rPr>
            </w:pPr>
            <w:r>
              <w:rPr>
                <w:rFonts w:hint="eastAsia" w:ascii="Times New Roman"/>
                <w:color w:val="000000" w:themeColor="text1"/>
                <w:spacing w:val="-10"/>
                <w:szCs w:val="21"/>
                <w:lang w:val="en-US" w:eastAsia="zh-CN"/>
                <w14:textFill>
                  <w14:solidFill>
                    <w14:schemeClr w14:val="tx1"/>
                  </w14:solidFill>
                </w14:textFill>
              </w:rPr>
              <w:t>吸尘器吸尘灰</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1.536</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1.536</w:t>
            </w:r>
          </w:p>
        </w:tc>
        <w:tc>
          <w:tcPr>
            <w:tcW w:w="937"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54" w:type="dxa"/>
            <w:vMerge w:val="restart"/>
            <w:vAlign w:val="center"/>
          </w:tcPr>
          <w:p>
            <w:pPr>
              <w:pStyle w:val="44"/>
              <w:spacing w:beforeLines="0" w:afterLines="0" w:line="240" w:lineRule="auto"/>
              <w:textAlignment w:val="auto"/>
              <w:rPr>
                <w:rFonts w:ascii="Times New Roman"/>
                <w:kern w:val="21"/>
                <w:szCs w:val="21"/>
              </w:rPr>
            </w:pPr>
            <w:r>
              <w:rPr>
                <w:rFonts w:ascii="Times New Roman"/>
                <w:kern w:val="21"/>
                <w:szCs w:val="21"/>
              </w:rPr>
              <w:t>危险废物</w:t>
            </w:r>
          </w:p>
        </w:tc>
        <w:tc>
          <w:tcPr>
            <w:tcW w:w="1820" w:type="dxa"/>
            <w:vAlign w:val="center"/>
          </w:tcPr>
          <w:p>
            <w:pPr>
              <w:pStyle w:val="83"/>
              <w:rPr>
                <w:rFonts w:eastAsia="宋体"/>
                <w:snapToGrid w:val="0"/>
                <w:color w:val="000000" w:themeColor="text1"/>
                <w:kern w:val="2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废机油</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pStyle w:val="83"/>
              <w:rPr>
                <w:rFonts w:eastAsia="宋体"/>
                <w:snapToGrid w:val="0"/>
                <w:color w:val="000000" w:themeColor="text1"/>
                <w:kern w:val="2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0.05</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pStyle w:val="83"/>
              <w:rPr>
                <w:rFonts w:eastAsia="宋体"/>
                <w:snapToGrid w:val="0"/>
                <w:color w:val="000000" w:themeColor="text1"/>
                <w:kern w:val="2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0.05</w:t>
            </w:r>
          </w:p>
        </w:tc>
        <w:tc>
          <w:tcPr>
            <w:tcW w:w="937" w:type="dxa"/>
            <w:vAlign w:val="center"/>
          </w:tcPr>
          <w:p>
            <w:pPr>
              <w:pStyle w:val="83"/>
              <w:rPr>
                <w:rFonts w:eastAsia="宋体"/>
                <w:snapToGrid w:val="0"/>
                <w:color w:val="000000" w:themeColor="text1"/>
                <w:kern w:val="2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83"/>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废机油桶</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pStyle w:val="83"/>
              <w:rPr>
                <w:rFonts w:eastAsia="宋体"/>
                <w:color w:val="000000" w:themeColor="text1"/>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0.005</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pStyle w:val="83"/>
              <w:rPr>
                <w:rFonts w:eastAsia="宋体"/>
                <w:color w:val="000000" w:themeColor="text1"/>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0.005</w:t>
            </w:r>
          </w:p>
        </w:tc>
        <w:tc>
          <w:tcPr>
            <w:tcW w:w="937" w:type="dxa"/>
            <w:vAlign w:val="center"/>
          </w:tcPr>
          <w:p>
            <w:pPr>
              <w:pStyle w:val="83"/>
              <w:rPr>
                <w:rFonts w:eastAsia="宋体"/>
                <w:color w:val="000000" w:themeColor="text1"/>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54" w:type="dxa"/>
            <w:vMerge w:val="continue"/>
            <w:vAlign w:val="center"/>
          </w:tcPr>
          <w:p>
            <w:pPr>
              <w:pStyle w:val="44"/>
              <w:spacing w:beforeLines="0" w:afterLines="0" w:line="240" w:lineRule="auto"/>
              <w:textAlignment w:val="auto"/>
              <w:rPr>
                <w:rFonts w:ascii="Times New Roman"/>
                <w:kern w:val="21"/>
                <w:szCs w:val="21"/>
              </w:rPr>
            </w:pPr>
          </w:p>
        </w:tc>
        <w:tc>
          <w:tcPr>
            <w:tcW w:w="1820" w:type="dxa"/>
            <w:vAlign w:val="center"/>
          </w:tcPr>
          <w:p>
            <w:pPr>
              <w:pStyle w:val="83"/>
              <w:rPr>
                <w:rFonts w:eastAsia="宋体"/>
                <w:color w:val="000000" w:themeColor="text1"/>
                <w:sz w:val="21"/>
                <w:szCs w:val="21"/>
                <w14:textFill>
                  <w14:solidFill>
                    <w14:schemeClr w14:val="tx1"/>
                  </w14:solidFill>
                </w14:textFill>
              </w:rPr>
            </w:pPr>
            <w:r>
              <w:rPr>
                <w:rFonts w:hint="eastAsia" w:eastAsia="宋体"/>
                <w:sz w:val="21"/>
                <w:szCs w:val="21"/>
              </w:rPr>
              <w:t>废含油手套、抹布</w:t>
            </w:r>
          </w:p>
        </w:tc>
        <w:tc>
          <w:tcPr>
            <w:tcW w:w="1632"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70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559" w:type="dxa"/>
            <w:vAlign w:val="center"/>
          </w:tcPr>
          <w:p>
            <w:pPr>
              <w:pStyle w:val="83"/>
              <w:rPr>
                <w:rFonts w:eastAsia="宋体"/>
                <w:bCs/>
                <w:color w:val="000000" w:themeColor="text1"/>
                <w:kern w:val="2"/>
                <w:sz w:val="21"/>
                <w:szCs w:val="21"/>
                <w14:textFill>
                  <w14:solidFill>
                    <w14:schemeClr w14:val="tx1"/>
                  </w14:solidFill>
                </w14:textFill>
              </w:rPr>
            </w:pPr>
            <w:r>
              <w:rPr>
                <w:rFonts w:hint="eastAsia" w:eastAsia="宋体"/>
                <w:bCs/>
                <w:kern w:val="2"/>
                <w:sz w:val="21"/>
                <w:szCs w:val="21"/>
              </w:rPr>
              <w:t>0.05</w:t>
            </w:r>
          </w:p>
        </w:tc>
        <w:tc>
          <w:tcPr>
            <w:tcW w:w="1761" w:type="dxa"/>
            <w:vAlign w:val="center"/>
          </w:tcPr>
          <w:p>
            <w:pPr>
              <w:pStyle w:val="44"/>
              <w:spacing w:beforeLines="0" w:afterLines="0" w:line="240" w:lineRule="auto"/>
              <w:textAlignment w:val="auto"/>
              <w:rPr>
                <w:rFonts w:ascii="Times New Roman"/>
                <w:color w:val="000000" w:themeColor="text1"/>
                <w:kern w:val="21"/>
                <w:szCs w:val="21"/>
                <w14:textFill>
                  <w14:solidFill>
                    <w14:schemeClr w14:val="tx1"/>
                  </w14:solidFill>
                </w14:textFill>
              </w:rPr>
            </w:pPr>
          </w:p>
        </w:tc>
        <w:tc>
          <w:tcPr>
            <w:tcW w:w="1848" w:type="dxa"/>
            <w:vAlign w:val="center"/>
          </w:tcPr>
          <w:p>
            <w:pPr>
              <w:pStyle w:val="83"/>
              <w:rPr>
                <w:rFonts w:eastAsia="宋体"/>
                <w:bCs/>
                <w:color w:val="000000" w:themeColor="text1"/>
                <w:kern w:val="2"/>
                <w:sz w:val="21"/>
                <w:szCs w:val="21"/>
                <w14:textFill>
                  <w14:solidFill>
                    <w14:schemeClr w14:val="tx1"/>
                  </w14:solidFill>
                </w14:textFill>
              </w:rPr>
            </w:pPr>
            <w:r>
              <w:rPr>
                <w:rFonts w:hint="eastAsia" w:eastAsia="宋体"/>
                <w:bCs/>
                <w:kern w:val="2"/>
                <w:sz w:val="21"/>
                <w:szCs w:val="21"/>
              </w:rPr>
              <w:t>0.05</w:t>
            </w:r>
          </w:p>
        </w:tc>
        <w:tc>
          <w:tcPr>
            <w:tcW w:w="937" w:type="dxa"/>
            <w:vAlign w:val="center"/>
          </w:tcPr>
          <w:p>
            <w:pPr>
              <w:pStyle w:val="83"/>
              <w:rPr>
                <w:rFonts w:eastAsia="宋体"/>
                <w:bCs/>
                <w:color w:val="000000" w:themeColor="text1"/>
                <w:kern w:val="2"/>
                <w:sz w:val="21"/>
                <w:szCs w:val="21"/>
                <w14:textFill>
                  <w14:solidFill>
                    <w14:schemeClr w14:val="tx1"/>
                  </w14:solidFill>
                </w14:textFill>
              </w:rPr>
            </w:pPr>
            <w:r>
              <w:rPr>
                <w:rFonts w:hint="eastAsia" w:eastAsia="宋体"/>
                <w:bCs/>
                <w:kern w:val="2"/>
                <w:sz w:val="21"/>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54" w:type="dxa"/>
            <w:vAlign w:val="center"/>
          </w:tcPr>
          <w:p>
            <w:pPr>
              <w:pStyle w:val="44"/>
              <w:spacing w:beforeLines="0" w:afterLines="0" w:line="240" w:lineRule="auto"/>
              <w:textAlignment w:val="auto"/>
              <w:rPr>
                <w:rFonts w:ascii="Times New Roman"/>
                <w:kern w:val="21"/>
                <w:szCs w:val="21"/>
              </w:rPr>
            </w:pPr>
            <w:r>
              <w:rPr>
                <w:rFonts w:hint="eastAsia" w:ascii="Times New Roman"/>
                <w:kern w:val="21"/>
                <w:szCs w:val="21"/>
              </w:rPr>
              <w:t>生活垃圾</w:t>
            </w:r>
          </w:p>
        </w:tc>
        <w:tc>
          <w:tcPr>
            <w:tcW w:w="1820" w:type="dxa"/>
            <w:vAlign w:val="center"/>
          </w:tcPr>
          <w:p>
            <w:pPr>
              <w:pStyle w:val="83"/>
              <w:rPr>
                <w:rFonts w:eastAsia="宋体"/>
                <w:sz w:val="21"/>
                <w:szCs w:val="21"/>
              </w:rPr>
            </w:pPr>
            <w:r>
              <w:rPr>
                <w:rFonts w:hint="eastAsia" w:eastAsia="宋体"/>
                <w:sz w:val="21"/>
                <w:szCs w:val="21"/>
              </w:rPr>
              <w:t>生活垃圾</w:t>
            </w:r>
          </w:p>
        </w:tc>
        <w:tc>
          <w:tcPr>
            <w:tcW w:w="1632" w:type="dxa"/>
            <w:vAlign w:val="center"/>
          </w:tcPr>
          <w:p>
            <w:pPr>
              <w:pStyle w:val="44"/>
              <w:spacing w:beforeLines="0" w:afterLines="0" w:line="240" w:lineRule="auto"/>
              <w:textAlignment w:val="auto"/>
              <w:rPr>
                <w:rFonts w:ascii="Times New Roman"/>
                <w:kern w:val="21"/>
                <w:szCs w:val="21"/>
              </w:rPr>
            </w:pPr>
          </w:p>
        </w:tc>
        <w:tc>
          <w:tcPr>
            <w:tcW w:w="1276" w:type="dxa"/>
            <w:vAlign w:val="center"/>
          </w:tcPr>
          <w:p>
            <w:pPr>
              <w:pStyle w:val="44"/>
              <w:spacing w:beforeLines="0" w:afterLines="0" w:line="240" w:lineRule="auto"/>
              <w:textAlignment w:val="auto"/>
              <w:rPr>
                <w:rFonts w:ascii="Times New Roman"/>
                <w:kern w:val="21"/>
                <w:szCs w:val="21"/>
              </w:rPr>
            </w:pPr>
          </w:p>
        </w:tc>
        <w:tc>
          <w:tcPr>
            <w:tcW w:w="1701" w:type="dxa"/>
            <w:vAlign w:val="center"/>
          </w:tcPr>
          <w:p>
            <w:pPr>
              <w:pStyle w:val="44"/>
              <w:spacing w:beforeLines="0" w:afterLines="0" w:line="240" w:lineRule="auto"/>
              <w:textAlignment w:val="auto"/>
              <w:rPr>
                <w:rFonts w:ascii="Times New Roman"/>
                <w:kern w:val="21"/>
                <w:szCs w:val="21"/>
              </w:rPr>
            </w:pPr>
          </w:p>
        </w:tc>
        <w:tc>
          <w:tcPr>
            <w:tcW w:w="1559" w:type="dxa"/>
            <w:vAlign w:val="center"/>
          </w:tcPr>
          <w:p>
            <w:pPr>
              <w:pStyle w:val="83"/>
              <w:rPr>
                <w:rFonts w:eastAsia="宋体"/>
                <w:bCs/>
                <w:kern w:val="2"/>
                <w:sz w:val="21"/>
                <w:szCs w:val="21"/>
              </w:rPr>
            </w:pPr>
            <w:r>
              <w:rPr>
                <w:rFonts w:hint="eastAsia" w:eastAsia="宋体"/>
                <w:bCs/>
                <w:kern w:val="2"/>
                <w:sz w:val="21"/>
                <w:szCs w:val="21"/>
              </w:rPr>
              <w:t>7.5</w:t>
            </w:r>
          </w:p>
        </w:tc>
        <w:tc>
          <w:tcPr>
            <w:tcW w:w="1761" w:type="dxa"/>
            <w:vAlign w:val="center"/>
          </w:tcPr>
          <w:p>
            <w:pPr>
              <w:pStyle w:val="44"/>
              <w:spacing w:beforeLines="0" w:afterLines="0" w:line="240" w:lineRule="auto"/>
              <w:textAlignment w:val="auto"/>
              <w:rPr>
                <w:rFonts w:ascii="Times New Roman"/>
                <w:kern w:val="21"/>
                <w:szCs w:val="21"/>
              </w:rPr>
            </w:pPr>
          </w:p>
        </w:tc>
        <w:tc>
          <w:tcPr>
            <w:tcW w:w="1848" w:type="dxa"/>
            <w:vAlign w:val="center"/>
          </w:tcPr>
          <w:p>
            <w:pPr>
              <w:pStyle w:val="83"/>
              <w:rPr>
                <w:rFonts w:eastAsia="宋体"/>
                <w:bCs/>
                <w:kern w:val="2"/>
                <w:sz w:val="21"/>
                <w:szCs w:val="21"/>
              </w:rPr>
            </w:pPr>
            <w:r>
              <w:rPr>
                <w:rFonts w:hint="eastAsia" w:eastAsia="宋体"/>
                <w:bCs/>
                <w:kern w:val="2"/>
                <w:sz w:val="21"/>
                <w:szCs w:val="21"/>
              </w:rPr>
              <w:t>7.5</w:t>
            </w:r>
          </w:p>
        </w:tc>
        <w:tc>
          <w:tcPr>
            <w:tcW w:w="937" w:type="dxa"/>
            <w:vAlign w:val="center"/>
          </w:tcPr>
          <w:p>
            <w:pPr>
              <w:pStyle w:val="83"/>
              <w:rPr>
                <w:rFonts w:eastAsia="宋体"/>
                <w:bCs/>
                <w:kern w:val="2"/>
                <w:sz w:val="21"/>
                <w:szCs w:val="21"/>
              </w:rPr>
            </w:pPr>
            <w:r>
              <w:rPr>
                <w:rFonts w:hint="eastAsia" w:eastAsia="宋体"/>
                <w:bCs/>
                <w:kern w:val="2"/>
                <w:sz w:val="21"/>
                <w:szCs w:val="21"/>
              </w:rPr>
              <w:t>7.5</w:t>
            </w:r>
          </w:p>
        </w:tc>
      </w:tr>
    </w:tbl>
    <w:p>
      <w:pPr>
        <w:pStyle w:val="44"/>
        <w:spacing w:before="192" w:beforeLines="80" w:after="24"/>
        <w:jc w:val="left"/>
        <w:outlineLvl w:val="0"/>
        <w:rPr>
          <w:rFonts w:hAnsi="宋体" w:eastAsia="黑体"/>
        </w:rPr>
      </w:pPr>
      <w:bookmarkStart w:id="50" w:name="_Toc10096"/>
      <w:bookmarkStart w:id="51" w:name="_Toc19049"/>
      <w:r>
        <w:rPr>
          <w:rFonts w:hAnsi="宋体"/>
          <w:color w:val="000000"/>
          <w:kern w:val="21"/>
          <w:szCs w:val="21"/>
        </w:rPr>
        <w:t>注：</w:t>
      </w:r>
      <w:r>
        <w:rPr>
          <w:rFonts w:hAnsi="宋体"/>
          <w:color w:val="000000"/>
          <w:spacing w:val="-16"/>
          <w:kern w:val="21"/>
          <w:szCs w:val="21"/>
        </w:rPr>
        <w:fldChar w:fldCharType="begin"/>
      </w:r>
      <w:r>
        <w:rPr>
          <w:rFonts w:hAnsi="宋体"/>
          <w:color w:val="000000"/>
          <w:spacing w:val="-16"/>
          <w:kern w:val="21"/>
          <w:szCs w:val="21"/>
        </w:rPr>
        <w:instrText xml:space="preserve"> = 6 \* GB3 \* MERGEFORMAT </w:instrText>
      </w:r>
      <w:r>
        <w:rPr>
          <w:rFonts w:hAnsi="宋体"/>
          <w:color w:val="000000"/>
          <w:spacing w:val="-16"/>
          <w:kern w:val="21"/>
          <w:szCs w:val="21"/>
        </w:rPr>
        <w:fldChar w:fldCharType="separate"/>
      </w:r>
      <w:r>
        <w:rPr>
          <w:rFonts w:hint="eastAsia" w:hAnsi="宋体"/>
          <w:szCs w:val="21"/>
        </w:rPr>
        <w:t>⑥</w:t>
      </w:r>
      <w:r>
        <w:rPr>
          <w:rFonts w:hAnsi="宋体"/>
          <w:color w:val="000000"/>
          <w:spacing w:val="-16"/>
          <w:kern w:val="21"/>
          <w:szCs w:val="21"/>
        </w:rPr>
        <w:fldChar w:fldCharType="end"/>
      </w:r>
      <w:r>
        <w:rPr>
          <w:rFonts w:hAnsi="宋体"/>
          <w:color w:val="000000"/>
          <w:spacing w:val="-16"/>
          <w:kern w:val="21"/>
          <w:szCs w:val="21"/>
        </w:rPr>
        <w:t>=</w:t>
      </w:r>
      <w:r>
        <w:rPr>
          <w:rFonts w:hAnsi="宋体"/>
          <w:color w:val="000000"/>
          <w:spacing w:val="-6"/>
          <w:kern w:val="21"/>
          <w:szCs w:val="21"/>
        </w:rPr>
        <w:fldChar w:fldCharType="begin"/>
      </w:r>
      <w:r>
        <w:rPr>
          <w:rFonts w:hAnsi="宋体"/>
          <w:color w:val="000000"/>
          <w:spacing w:val="-6"/>
          <w:kern w:val="21"/>
          <w:szCs w:val="21"/>
        </w:rPr>
        <w:instrText xml:space="preserve"> = 1 \* GB3 \* MERGEFORMAT </w:instrText>
      </w:r>
      <w:r>
        <w:rPr>
          <w:rFonts w:hAnsi="宋体"/>
          <w:color w:val="000000"/>
          <w:spacing w:val="-6"/>
          <w:kern w:val="21"/>
          <w:szCs w:val="21"/>
        </w:rPr>
        <w:fldChar w:fldCharType="separate"/>
      </w:r>
      <w:r>
        <w:rPr>
          <w:rFonts w:hint="eastAsia" w:hAnsi="宋体"/>
          <w:szCs w:val="21"/>
        </w:rPr>
        <w:t>①</w:t>
      </w:r>
      <w:r>
        <w:rPr>
          <w:rFonts w:hAnsi="宋体"/>
          <w:color w:val="000000"/>
          <w:spacing w:val="-6"/>
          <w:kern w:val="21"/>
          <w:szCs w:val="21"/>
        </w:rPr>
        <w:fldChar w:fldCharType="end"/>
      </w:r>
      <w:r>
        <w:rPr>
          <w:rFonts w:hAnsi="宋体"/>
          <w:color w:val="000000"/>
          <w:spacing w:val="-6"/>
          <w:kern w:val="21"/>
          <w:szCs w:val="21"/>
        </w:rPr>
        <w:t>+</w:t>
      </w:r>
      <w:r>
        <w:rPr>
          <w:rFonts w:hAnsi="宋体"/>
          <w:color w:val="000000"/>
          <w:spacing w:val="-6"/>
          <w:kern w:val="21"/>
          <w:szCs w:val="21"/>
        </w:rPr>
        <w:fldChar w:fldCharType="begin"/>
      </w:r>
      <w:r>
        <w:rPr>
          <w:rFonts w:hAnsi="宋体"/>
          <w:color w:val="000000"/>
          <w:spacing w:val="-6"/>
          <w:kern w:val="21"/>
          <w:szCs w:val="21"/>
        </w:rPr>
        <w:instrText xml:space="preserve"> = 3 \* GB3 \* MERGEFORMAT </w:instrText>
      </w:r>
      <w:r>
        <w:rPr>
          <w:rFonts w:hAnsi="宋体"/>
          <w:color w:val="000000"/>
          <w:spacing w:val="-6"/>
          <w:kern w:val="21"/>
          <w:szCs w:val="21"/>
        </w:rPr>
        <w:fldChar w:fldCharType="separate"/>
      </w:r>
      <w:r>
        <w:rPr>
          <w:rFonts w:hint="eastAsia" w:hAnsi="宋体"/>
          <w:szCs w:val="21"/>
        </w:rPr>
        <w:t>③</w:t>
      </w:r>
      <w:r>
        <w:rPr>
          <w:rFonts w:hAnsi="宋体"/>
          <w:color w:val="000000"/>
          <w:spacing w:val="-6"/>
          <w:kern w:val="21"/>
          <w:szCs w:val="21"/>
        </w:rPr>
        <w:fldChar w:fldCharType="end"/>
      </w:r>
      <w:r>
        <w:rPr>
          <w:rFonts w:hAnsi="宋体"/>
          <w:color w:val="000000"/>
          <w:spacing w:val="-6"/>
          <w:kern w:val="21"/>
          <w:szCs w:val="21"/>
        </w:rPr>
        <w:t>+</w:t>
      </w:r>
      <w:r>
        <w:rPr>
          <w:rFonts w:hAnsi="宋体"/>
          <w:color w:val="000000"/>
          <w:spacing w:val="-6"/>
          <w:kern w:val="21"/>
          <w:szCs w:val="21"/>
        </w:rPr>
        <w:fldChar w:fldCharType="begin"/>
      </w:r>
      <w:r>
        <w:rPr>
          <w:rFonts w:hAnsi="宋体"/>
          <w:color w:val="000000"/>
          <w:spacing w:val="-6"/>
          <w:kern w:val="21"/>
          <w:szCs w:val="21"/>
        </w:rPr>
        <w:instrText xml:space="preserve"> = 4 \* GB3 \* MERGEFORMAT </w:instrText>
      </w:r>
      <w:r>
        <w:rPr>
          <w:rFonts w:hAnsi="宋体"/>
          <w:color w:val="000000"/>
          <w:spacing w:val="-6"/>
          <w:kern w:val="21"/>
          <w:szCs w:val="21"/>
        </w:rPr>
        <w:fldChar w:fldCharType="separate"/>
      </w:r>
      <w:r>
        <w:rPr>
          <w:rFonts w:hint="eastAsia" w:hAnsi="宋体"/>
          <w:szCs w:val="21"/>
        </w:rPr>
        <w:t>④</w:t>
      </w:r>
      <w:r>
        <w:rPr>
          <w:rFonts w:hAnsi="宋体"/>
          <w:color w:val="000000"/>
          <w:spacing w:val="-6"/>
          <w:kern w:val="21"/>
          <w:szCs w:val="21"/>
        </w:rPr>
        <w:fldChar w:fldCharType="end"/>
      </w:r>
      <w:r>
        <w:rPr>
          <w:rFonts w:hAnsi="宋体"/>
          <w:color w:val="000000"/>
          <w:spacing w:val="-6"/>
          <w:kern w:val="21"/>
          <w:szCs w:val="21"/>
        </w:rPr>
        <w:t>-</w:t>
      </w:r>
      <w:r>
        <w:rPr>
          <w:rFonts w:hAnsi="宋体"/>
          <w:color w:val="000000"/>
          <w:spacing w:val="-16"/>
          <w:kern w:val="21"/>
          <w:szCs w:val="21"/>
        </w:rPr>
        <w:fldChar w:fldCharType="begin"/>
      </w:r>
      <w:r>
        <w:rPr>
          <w:rFonts w:hAnsi="宋体"/>
          <w:color w:val="000000"/>
          <w:spacing w:val="-16"/>
          <w:kern w:val="21"/>
          <w:szCs w:val="21"/>
        </w:rPr>
        <w:instrText xml:space="preserve"> = 5 \* GB3 \* MERGEFORMAT </w:instrText>
      </w:r>
      <w:r>
        <w:rPr>
          <w:rFonts w:hAnsi="宋体"/>
          <w:color w:val="000000"/>
          <w:spacing w:val="-16"/>
          <w:kern w:val="21"/>
          <w:szCs w:val="21"/>
        </w:rPr>
        <w:fldChar w:fldCharType="separate"/>
      </w:r>
      <w:r>
        <w:rPr>
          <w:rFonts w:hint="eastAsia" w:hAnsi="宋体"/>
          <w:szCs w:val="21"/>
        </w:rPr>
        <w:t>⑤</w:t>
      </w:r>
      <w:r>
        <w:rPr>
          <w:rFonts w:hAnsi="宋体"/>
          <w:color w:val="000000"/>
          <w:spacing w:val="-16"/>
          <w:kern w:val="21"/>
          <w:szCs w:val="21"/>
        </w:rPr>
        <w:fldChar w:fldCharType="end"/>
      </w:r>
      <w:r>
        <w:rPr>
          <w:rFonts w:hAnsi="宋体"/>
          <w:color w:val="000000"/>
          <w:spacing w:val="-16"/>
          <w:kern w:val="21"/>
          <w:szCs w:val="21"/>
        </w:rPr>
        <w:t>；</w:t>
      </w:r>
      <w:r>
        <w:rPr>
          <w:rFonts w:hAnsi="宋体"/>
          <w:color w:val="000000"/>
          <w:spacing w:val="-6"/>
          <w:kern w:val="21"/>
          <w:szCs w:val="21"/>
        </w:rPr>
        <w:fldChar w:fldCharType="begin"/>
      </w:r>
      <w:r>
        <w:rPr>
          <w:rFonts w:hAnsi="宋体"/>
          <w:color w:val="000000"/>
          <w:spacing w:val="-6"/>
          <w:kern w:val="21"/>
          <w:szCs w:val="21"/>
        </w:rPr>
        <w:instrText xml:space="preserve"> = 7 \* GB3 \* MERGEFORMAT </w:instrText>
      </w:r>
      <w:r>
        <w:rPr>
          <w:rFonts w:hAnsi="宋体"/>
          <w:color w:val="000000"/>
          <w:spacing w:val="-6"/>
          <w:kern w:val="21"/>
          <w:szCs w:val="21"/>
        </w:rPr>
        <w:fldChar w:fldCharType="separate"/>
      </w:r>
      <w:r>
        <w:rPr>
          <w:rFonts w:hint="eastAsia" w:hAnsi="宋体"/>
          <w:szCs w:val="21"/>
        </w:rPr>
        <w:t>⑦</w:t>
      </w:r>
      <w:r>
        <w:rPr>
          <w:rFonts w:hAnsi="宋体"/>
          <w:color w:val="000000"/>
          <w:spacing w:val="-6"/>
          <w:kern w:val="21"/>
          <w:szCs w:val="21"/>
        </w:rPr>
        <w:fldChar w:fldCharType="end"/>
      </w:r>
      <w:r>
        <w:rPr>
          <w:rFonts w:hAnsi="宋体"/>
          <w:color w:val="000000"/>
          <w:spacing w:val="-6"/>
          <w:kern w:val="21"/>
          <w:szCs w:val="21"/>
        </w:rPr>
        <w:t>=</w:t>
      </w:r>
      <w:r>
        <w:rPr>
          <w:rFonts w:hAnsi="宋体"/>
          <w:color w:val="000000"/>
          <w:spacing w:val="-16"/>
          <w:kern w:val="21"/>
          <w:szCs w:val="21"/>
        </w:rPr>
        <w:fldChar w:fldCharType="begin"/>
      </w:r>
      <w:r>
        <w:rPr>
          <w:rFonts w:hAnsi="宋体"/>
          <w:color w:val="000000"/>
          <w:spacing w:val="-16"/>
          <w:kern w:val="21"/>
          <w:szCs w:val="21"/>
        </w:rPr>
        <w:instrText xml:space="preserve"> = 6 \* GB3 \* MERGEFORMAT </w:instrText>
      </w:r>
      <w:r>
        <w:rPr>
          <w:rFonts w:hAnsi="宋体"/>
          <w:color w:val="000000"/>
          <w:spacing w:val="-16"/>
          <w:kern w:val="21"/>
          <w:szCs w:val="21"/>
        </w:rPr>
        <w:fldChar w:fldCharType="separate"/>
      </w:r>
      <w:r>
        <w:rPr>
          <w:rFonts w:hint="eastAsia" w:hAnsi="宋体"/>
          <w:szCs w:val="21"/>
        </w:rPr>
        <w:t>⑥</w:t>
      </w:r>
      <w:r>
        <w:rPr>
          <w:rFonts w:hAnsi="宋体"/>
          <w:color w:val="000000"/>
          <w:spacing w:val="-16"/>
          <w:kern w:val="21"/>
          <w:szCs w:val="21"/>
        </w:rPr>
        <w:fldChar w:fldCharType="end"/>
      </w:r>
      <w:r>
        <w:rPr>
          <w:rFonts w:hAnsi="宋体"/>
          <w:color w:val="000000"/>
          <w:spacing w:val="-16"/>
          <w:kern w:val="21"/>
          <w:szCs w:val="21"/>
        </w:rPr>
        <w:t>-</w:t>
      </w:r>
      <w:r>
        <w:rPr>
          <w:rFonts w:hAnsi="宋体"/>
          <w:color w:val="000000"/>
          <w:spacing w:val="-6"/>
          <w:kern w:val="21"/>
          <w:szCs w:val="21"/>
        </w:rPr>
        <w:fldChar w:fldCharType="begin"/>
      </w:r>
      <w:r>
        <w:rPr>
          <w:rFonts w:hAnsi="宋体"/>
          <w:color w:val="000000"/>
          <w:spacing w:val="-6"/>
          <w:kern w:val="21"/>
          <w:szCs w:val="21"/>
        </w:rPr>
        <w:instrText xml:space="preserve"> = 1 \* GB3 \* MERGEFORMAT </w:instrText>
      </w:r>
      <w:r>
        <w:rPr>
          <w:rFonts w:hAnsi="宋体"/>
          <w:color w:val="000000"/>
          <w:spacing w:val="-6"/>
          <w:kern w:val="21"/>
          <w:szCs w:val="21"/>
        </w:rPr>
        <w:fldChar w:fldCharType="separate"/>
      </w:r>
      <w:r>
        <w:rPr>
          <w:rFonts w:hint="eastAsia" w:hAnsi="宋体"/>
          <w:szCs w:val="21"/>
        </w:rPr>
        <w:t>①</w:t>
      </w:r>
      <w:r>
        <w:rPr>
          <w:rFonts w:hAnsi="宋体"/>
          <w:color w:val="000000"/>
          <w:spacing w:val="-6"/>
          <w:kern w:val="21"/>
          <w:szCs w:val="21"/>
        </w:rPr>
        <w:fldChar w:fldCharType="end"/>
      </w:r>
      <w:bookmarkEnd w:id="50"/>
      <w:bookmarkEnd w:id="51"/>
    </w:p>
    <w:sectPr>
      <w:footerReference r:id="rId8"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体">
    <w:altName w:val="微软雅黑"/>
    <w:panose1 w:val="00000000000000000000"/>
    <w:charset w:val="86"/>
    <w:family w:val="swiss"/>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rPr>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13</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8FYt42AEAALQDAAAOAAAAAAAAAAEAIAAA&#10;AB4BAABkcnMvZTJvRG9jLnhtbFBLBQYAAAAABgAGAFkBAABo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63</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5fqArXAQAAtAMAAA4AAAAAAAAAAQAgAAAA&#10;HgEAAGRycy9lMm9Eb2MueG1sUEsFBgAAAAAGAAYAWQEAAGc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rPr>
        <w:rFonts w:ascii="宋体" w:hAnsi="宋体" w:cs="宋体"/>
        <w:color w:val="000000"/>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793E9C"/>
    <w:multiLevelType w:val="singleLevel"/>
    <w:tmpl w:val="EA793E9C"/>
    <w:lvl w:ilvl="0" w:tentative="0">
      <w:start w:val="1"/>
      <w:numFmt w:val="upperLetter"/>
      <w:suff w:val="nothing"/>
      <w:lvlText w:val="%1、"/>
      <w:lvlJc w:val="left"/>
    </w:lvl>
  </w:abstractNum>
  <w:abstractNum w:abstractNumId="1">
    <w:nsid w:val="FDD0673C"/>
    <w:multiLevelType w:val="singleLevel"/>
    <w:tmpl w:val="FDD0673C"/>
    <w:lvl w:ilvl="0" w:tentative="0">
      <w:start w:val="1"/>
      <w:numFmt w:val="decimal"/>
      <w:lvlText w:val="%1."/>
      <w:lvlJc w:val="left"/>
      <w:pPr>
        <w:tabs>
          <w:tab w:val="left" w:pos="312"/>
        </w:tabs>
      </w:pPr>
    </w:lvl>
  </w:abstractNum>
  <w:abstractNum w:abstractNumId="2">
    <w:nsid w:val="FE3ABAAE"/>
    <w:multiLevelType w:val="singleLevel"/>
    <w:tmpl w:val="FE3ABAAE"/>
    <w:lvl w:ilvl="0" w:tentative="0">
      <w:start w:val="2"/>
      <w:numFmt w:val="decimal"/>
      <w:suff w:val="nothing"/>
      <w:lvlText w:val="（%1）"/>
      <w:lvlJc w:val="left"/>
    </w:lvl>
  </w:abstractNum>
  <w:abstractNum w:abstractNumId="3">
    <w:nsid w:val="0000001A"/>
    <w:multiLevelType w:val="singleLevel"/>
    <w:tmpl w:val="0000001A"/>
    <w:lvl w:ilvl="0" w:tentative="0">
      <w:start w:val="1"/>
      <w:numFmt w:val="decimal"/>
      <w:lvlText w:val="%1."/>
      <w:lvlJc w:val="left"/>
      <w:pPr>
        <w:tabs>
          <w:tab w:val="left" w:pos="842"/>
        </w:tabs>
        <w:ind w:left="0" w:firstLine="482"/>
      </w:pPr>
      <w:rPr>
        <w:rFonts w:hint="eastAsia"/>
      </w:rPr>
    </w:lvl>
  </w:abstractNum>
  <w:abstractNum w:abstractNumId="4">
    <w:nsid w:val="00892BB5"/>
    <w:multiLevelType w:val="singleLevel"/>
    <w:tmpl w:val="00892BB5"/>
    <w:lvl w:ilvl="0" w:tentative="0">
      <w:start w:val="1"/>
      <w:numFmt w:val="decimal"/>
      <w:suff w:val="nothing"/>
      <w:lvlText w:val="%1）"/>
      <w:lvlJc w:val="left"/>
    </w:lvl>
  </w:abstractNum>
  <w:abstractNum w:abstractNumId="5">
    <w:nsid w:val="208ECA38"/>
    <w:multiLevelType w:val="singleLevel"/>
    <w:tmpl w:val="208ECA38"/>
    <w:lvl w:ilvl="0" w:tentative="0">
      <w:start w:val="1"/>
      <w:numFmt w:val="decimal"/>
      <w:suff w:val="nothing"/>
      <w:lvlText w:val="（%1）"/>
      <w:lvlJc w:val="left"/>
    </w:lvl>
  </w:abstractNum>
  <w:abstractNum w:abstractNumId="6">
    <w:nsid w:val="4B0DE8A8"/>
    <w:multiLevelType w:val="singleLevel"/>
    <w:tmpl w:val="4B0DE8A8"/>
    <w:lvl w:ilvl="0" w:tentative="0">
      <w:start w:val="1"/>
      <w:numFmt w:val="decimal"/>
      <w:suff w:val="nothing"/>
      <w:lvlText w:val="%1、"/>
      <w:lvlJc w:val="left"/>
    </w:lvl>
  </w:abstractNum>
  <w:abstractNum w:abstractNumId="7">
    <w:nsid w:val="5DB25411"/>
    <w:multiLevelType w:val="singleLevel"/>
    <w:tmpl w:val="5DB25411"/>
    <w:lvl w:ilvl="0" w:tentative="0">
      <w:start w:val="1"/>
      <w:numFmt w:val="chineseCounting"/>
      <w:suff w:val="nothing"/>
      <w:lvlText w:val="（%1）"/>
      <w:lvlJc w:val="left"/>
      <w:rPr>
        <w:rFonts w:hint="eastAsia"/>
      </w:rPr>
    </w:lvl>
  </w:abstractNum>
  <w:abstractNum w:abstractNumId="8">
    <w:nsid w:val="737551B7"/>
    <w:multiLevelType w:val="singleLevel"/>
    <w:tmpl w:val="737551B7"/>
    <w:lvl w:ilvl="0" w:tentative="0">
      <w:start w:val="1"/>
      <w:numFmt w:val="decimal"/>
      <w:suff w:val="nothing"/>
      <w:lvlText w:val="（%1）"/>
      <w:lvlJc w:val="left"/>
    </w:lvl>
  </w:abstractNum>
  <w:num w:numId="1">
    <w:abstractNumId w:val="3"/>
  </w:num>
  <w:num w:numId="2">
    <w:abstractNumId w:val="8"/>
  </w:num>
  <w:num w:numId="3">
    <w:abstractNumId w:val="7"/>
  </w:num>
  <w:num w:numId="4">
    <w:abstractNumId w:val="2"/>
  </w:num>
  <w:num w:numId="5">
    <w:abstractNumId w:val="0"/>
  </w:num>
  <w:num w:numId="6">
    <w:abstractNumId w:val="1"/>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1" w:cryptProviderType="rsaFull" w:cryptAlgorithmClass="hash" w:cryptAlgorithmType="typeAny" w:cryptAlgorithmSid="4" w:cryptSpinCount="0" w:hash="lhLkVUp0WNqS+WmYawReJ4B4QQY=" w:salt="hC8jPjjdA9jM9DFWczK9pg=="/>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M2VhNWI3Y2NlNTRmOTViMzQ3N2IwZDJiZGVlNW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00E3"/>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3122"/>
    <w:rsid w:val="002506BC"/>
    <w:rsid w:val="00254345"/>
    <w:rsid w:val="00264557"/>
    <w:rsid w:val="00275599"/>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755"/>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76C60"/>
    <w:rsid w:val="00594D77"/>
    <w:rsid w:val="005969E4"/>
    <w:rsid w:val="005A06B7"/>
    <w:rsid w:val="005A1759"/>
    <w:rsid w:val="005A68A7"/>
    <w:rsid w:val="005B7D64"/>
    <w:rsid w:val="005D36AB"/>
    <w:rsid w:val="00617CC3"/>
    <w:rsid w:val="006377A6"/>
    <w:rsid w:val="00637A3D"/>
    <w:rsid w:val="006411EF"/>
    <w:rsid w:val="006748B8"/>
    <w:rsid w:val="006775C3"/>
    <w:rsid w:val="0069290A"/>
    <w:rsid w:val="006960E0"/>
    <w:rsid w:val="0069775A"/>
    <w:rsid w:val="00697813"/>
    <w:rsid w:val="006A3EE8"/>
    <w:rsid w:val="006A446C"/>
    <w:rsid w:val="006A72BF"/>
    <w:rsid w:val="006B03F2"/>
    <w:rsid w:val="006B37DC"/>
    <w:rsid w:val="006B4F68"/>
    <w:rsid w:val="006C0592"/>
    <w:rsid w:val="006C272E"/>
    <w:rsid w:val="006C5479"/>
    <w:rsid w:val="006D13B5"/>
    <w:rsid w:val="006E12FF"/>
    <w:rsid w:val="006E607E"/>
    <w:rsid w:val="00706C5D"/>
    <w:rsid w:val="00724977"/>
    <w:rsid w:val="00732922"/>
    <w:rsid w:val="0075162E"/>
    <w:rsid w:val="00754034"/>
    <w:rsid w:val="00756556"/>
    <w:rsid w:val="007618C4"/>
    <w:rsid w:val="00767980"/>
    <w:rsid w:val="00770B19"/>
    <w:rsid w:val="0077463F"/>
    <w:rsid w:val="007836EA"/>
    <w:rsid w:val="0078457C"/>
    <w:rsid w:val="00784CDA"/>
    <w:rsid w:val="007906C4"/>
    <w:rsid w:val="007940EA"/>
    <w:rsid w:val="007967E8"/>
    <w:rsid w:val="007A2170"/>
    <w:rsid w:val="007A22BF"/>
    <w:rsid w:val="007A3323"/>
    <w:rsid w:val="007B72B8"/>
    <w:rsid w:val="007B7A58"/>
    <w:rsid w:val="007C21B5"/>
    <w:rsid w:val="007E4BD2"/>
    <w:rsid w:val="00801393"/>
    <w:rsid w:val="00802F88"/>
    <w:rsid w:val="00810D18"/>
    <w:rsid w:val="0081293E"/>
    <w:rsid w:val="00815465"/>
    <w:rsid w:val="00817E9A"/>
    <w:rsid w:val="008306BD"/>
    <w:rsid w:val="00831A80"/>
    <w:rsid w:val="00833743"/>
    <w:rsid w:val="008340A4"/>
    <w:rsid w:val="00864670"/>
    <w:rsid w:val="0087135F"/>
    <w:rsid w:val="00872D94"/>
    <w:rsid w:val="00876676"/>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2BD4"/>
    <w:rsid w:val="00A368DB"/>
    <w:rsid w:val="00A423AA"/>
    <w:rsid w:val="00A53EC6"/>
    <w:rsid w:val="00A55C0F"/>
    <w:rsid w:val="00A563D8"/>
    <w:rsid w:val="00A8713F"/>
    <w:rsid w:val="00A90BA1"/>
    <w:rsid w:val="00A97A9A"/>
    <w:rsid w:val="00AA0671"/>
    <w:rsid w:val="00AA2531"/>
    <w:rsid w:val="00AA7357"/>
    <w:rsid w:val="00AB1E09"/>
    <w:rsid w:val="00AB5330"/>
    <w:rsid w:val="00AB7747"/>
    <w:rsid w:val="00AC14CE"/>
    <w:rsid w:val="00AC2A56"/>
    <w:rsid w:val="00AC51D7"/>
    <w:rsid w:val="00AD055E"/>
    <w:rsid w:val="00AD47A7"/>
    <w:rsid w:val="00AD49A9"/>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55F9B"/>
    <w:rsid w:val="00D614F8"/>
    <w:rsid w:val="00D94A7C"/>
    <w:rsid w:val="00D95896"/>
    <w:rsid w:val="00DA733A"/>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73527"/>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E15E9"/>
    <w:rsid w:val="01290F7E"/>
    <w:rsid w:val="01301F0B"/>
    <w:rsid w:val="015D1E09"/>
    <w:rsid w:val="020713D7"/>
    <w:rsid w:val="025530AD"/>
    <w:rsid w:val="02697903"/>
    <w:rsid w:val="02F96569"/>
    <w:rsid w:val="030D32EC"/>
    <w:rsid w:val="03EA7B21"/>
    <w:rsid w:val="05EF5014"/>
    <w:rsid w:val="05F83EAE"/>
    <w:rsid w:val="063E7D85"/>
    <w:rsid w:val="06EF528C"/>
    <w:rsid w:val="07293586"/>
    <w:rsid w:val="07295285"/>
    <w:rsid w:val="075A118C"/>
    <w:rsid w:val="07636392"/>
    <w:rsid w:val="07770C56"/>
    <w:rsid w:val="08042C69"/>
    <w:rsid w:val="08FB402E"/>
    <w:rsid w:val="092217DD"/>
    <w:rsid w:val="093A7294"/>
    <w:rsid w:val="09BE5016"/>
    <w:rsid w:val="0A263993"/>
    <w:rsid w:val="0A2D3AC2"/>
    <w:rsid w:val="0A343092"/>
    <w:rsid w:val="0AA755DF"/>
    <w:rsid w:val="0AC90DEE"/>
    <w:rsid w:val="0B120D44"/>
    <w:rsid w:val="0B2027B9"/>
    <w:rsid w:val="0BD27BF6"/>
    <w:rsid w:val="0C3B3C7D"/>
    <w:rsid w:val="0C9F7C02"/>
    <w:rsid w:val="0CA20585"/>
    <w:rsid w:val="0CAB2EAE"/>
    <w:rsid w:val="0D621C7D"/>
    <w:rsid w:val="0D730B18"/>
    <w:rsid w:val="0DA371A3"/>
    <w:rsid w:val="0E28785D"/>
    <w:rsid w:val="0E73034D"/>
    <w:rsid w:val="0E866B5C"/>
    <w:rsid w:val="0F13775A"/>
    <w:rsid w:val="0F4719A8"/>
    <w:rsid w:val="0F5F45FE"/>
    <w:rsid w:val="0F63637C"/>
    <w:rsid w:val="0F9A112B"/>
    <w:rsid w:val="104229AB"/>
    <w:rsid w:val="106D2F64"/>
    <w:rsid w:val="10B63710"/>
    <w:rsid w:val="10F10820"/>
    <w:rsid w:val="111C2F7A"/>
    <w:rsid w:val="11665CA1"/>
    <w:rsid w:val="11A6405B"/>
    <w:rsid w:val="11BC7571"/>
    <w:rsid w:val="125626EB"/>
    <w:rsid w:val="12EB059C"/>
    <w:rsid w:val="13065D45"/>
    <w:rsid w:val="13951726"/>
    <w:rsid w:val="13D7291C"/>
    <w:rsid w:val="14396509"/>
    <w:rsid w:val="149A477F"/>
    <w:rsid w:val="14D82D4D"/>
    <w:rsid w:val="14DD2C3C"/>
    <w:rsid w:val="153D3B26"/>
    <w:rsid w:val="16087E1D"/>
    <w:rsid w:val="16D4634C"/>
    <w:rsid w:val="17701D14"/>
    <w:rsid w:val="17735226"/>
    <w:rsid w:val="189F624C"/>
    <w:rsid w:val="19AA370F"/>
    <w:rsid w:val="1A1C66C0"/>
    <w:rsid w:val="1A42393B"/>
    <w:rsid w:val="1A65530C"/>
    <w:rsid w:val="1A812911"/>
    <w:rsid w:val="1A9C050E"/>
    <w:rsid w:val="1AAD45DE"/>
    <w:rsid w:val="1B046F80"/>
    <w:rsid w:val="1B106D81"/>
    <w:rsid w:val="1B3267B5"/>
    <w:rsid w:val="1B40161D"/>
    <w:rsid w:val="1B441859"/>
    <w:rsid w:val="1B6606B1"/>
    <w:rsid w:val="1C5E7925"/>
    <w:rsid w:val="1CFD070F"/>
    <w:rsid w:val="1D5576EE"/>
    <w:rsid w:val="1D5F6196"/>
    <w:rsid w:val="1D6132A5"/>
    <w:rsid w:val="1D8E56D5"/>
    <w:rsid w:val="1E7A43DA"/>
    <w:rsid w:val="1E9E217C"/>
    <w:rsid w:val="1F274302"/>
    <w:rsid w:val="1FE7539E"/>
    <w:rsid w:val="20671BE0"/>
    <w:rsid w:val="20963CB8"/>
    <w:rsid w:val="20A81A1B"/>
    <w:rsid w:val="20B07FB6"/>
    <w:rsid w:val="20B646FB"/>
    <w:rsid w:val="213B74B1"/>
    <w:rsid w:val="215A2310"/>
    <w:rsid w:val="218B3C37"/>
    <w:rsid w:val="21CF2494"/>
    <w:rsid w:val="21DE318A"/>
    <w:rsid w:val="21EF5B80"/>
    <w:rsid w:val="22511AE3"/>
    <w:rsid w:val="22576990"/>
    <w:rsid w:val="22F47480"/>
    <w:rsid w:val="238F23E9"/>
    <w:rsid w:val="23C40081"/>
    <w:rsid w:val="23DE1C48"/>
    <w:rsid w:val="240210CD"/>
    <w:rsid w:val="24BF09F7"/>
    <w:rsid w:val="24DA5A85"/>
    <w:rsid w:val="252D53FE"/>
    <w:rsid w:val="25542F9A"/>
    <w:rsid w:val="25EC2D81"/>
    <w:rsid w:val="262E18B0"/>
    <w:rsid w:val="2698171C"/>
    <w:rsid w:val="27006A6A"/>
    <w:rsid w:val="275C263C"/>
    <w:rsid w:val="277057A2"/>
    <w:rsid w:val="289C1BD0"/>
    <w:rsid w:val="28CF57EE"/>
    <w:rsid w:val="29206EB8"/>
    <w:rsid w:val="29595666"/>
    <w:rsid w:val="29874881"/>
    <w:rsid w:val="29AF1164"/>
    <w:rsid w:val="29BD04DE"/>
    <w:rsid w:val="29E325E0"/>
    <w:rsid w:val="2A452503"/>
    <w:rsid w:val="2A9C1A44"/>
    <w:rsid w:val="2B6D64D6"/>
    <w:rsid w:val="2BA936A8"/>
    <w:rsid w:val="2C315A5A"/>
    <w:rsid w:val="2C4B1C25"/>
    <w:rsid w:val="2CA72B88"/>
    <w:rsid w:val="2CDC302E"/>
    <w:rsid w:val="2D263C9E"/>
    <w:rsid w:val="2D9E56F5"/>
    <w:rsid w:val="2DAA62ED"/>
    <w:rsid w:val="2E667F96"/>
    <w:rsid w:val="2E6B26ED"/>
    <w:rsid w:val="2E8226AB"/>
    <w:rsid w:val="2F2E2553"/>
    <w:rsid w:val="2F740E97"/>
    <w:rsid w:val="2F7A6F28"/>
    <w:rsid w:val="2FD065E6"/>
    <w:rsid w:val="2FD96870"/>
    <w:rsid w:val="30580BC9"/>
    <w:rsid w:val="311E2ED7"/>
    <w:rsid w:val="315619EE"/>
    <w:rsid w:val="315C449C"/>
    <w:rsid w:val="31B82709"/>
    <w:rsid w:val="31D05482"/>
    <w:rsid w:val="32400B34"/>
    <w:rsid w:val="324A1A89"/>
    <w:rsid w:val="326E0826"/>
    <w:rsid w:val="329E6876"/>
    <w:rsid w:val="333015F2"/>
    <w:rsid w:val="334B6320"/>
    <w:rsid w:val="33527864"/>
    <w:rsid w:val="33675D4F"/>
    <w:rsid w:val="33C0215C"/>
    <w:rsid w:val="33D934D4"/>
    <w:rsid w:val="33FE2F6A"/>
    <w:rsid w:val="340E07E5"/>
    <w:rsid w:val="34235BF7"/>
    <w:rsid w:val="345E722D"/>
    <w:rsid w:val="358C5FA8"/>
    <w:rsid w:val="35B8355A"/>
    <w:rsid w:val="35C15DF1"/>
    <w:rsid w:val="36074A7F"/>
    <w:rsid w:val="362E7E30"/>
    <w:rsid w:val="36923549"/>
    <w:rsid w:val="36B75FBF"/>
    <w:rsid w:val="36BD0C45"/>
    <w:rsid w:val="374829D8"/>
    <w:rsid w:val="37D6090D"/>
    <w:rsid w:val="37DD56F8"/>
    <w:rsid w:val="37E00298"/>
    <w:rsid w:val="37F2207F"/>
    <w:rsid w:val="384A557E"/>
    <w:rsid w:val="38B302F9"/>
    <w:rsid w:val="38F12CD3"/>
    <w:rsid w:val="38F94775"/>
    <w:rsid w:val="392971ED"/>
    <w:rsid w:val="39325651"/>
    <w:rsid w:val="39463B55"/>
    <w:rsid w:val="39547874"/>
    <w:rsid w:val="3A1B3E31"/>
    <w:rsid w:val="3A872856"/>
    <w:rsid w:val="3AA343F7"/>
    <w:rsid w:val="3B2E1D9C"/>
    <w:rsid w:val="3B3763D1"/>
    <w:rsid w:val="3BD03F0B"/>
    <w:rsid w:val="3BEF6B1D"/>
    <w:rsid w:val="3C2F6E1E"/>
    <w:rsid w:val="3C4F64BA"/>
    <w:rsid w:val="3CA84516"/>
    <w:rsid w:val="3CDA245A"/>
    <w:rsid w:val="3D1E06B7"/>
    <w:rsid w:val="3D5E2036"/>
    <w:rsid w:val="3D8D1CBC"/>
    <w:rsid w:val="3EDA0523"/>
    <w:rsid w:val="3EDB4B00"/>
    <w:rsid w:val="3F55073D"/>
    <w:rsid w:val="407A6407"/>
    <w:rsid w:val="408A4B8F"/>
    <w:rsid w:val="4200449D"/>
    <w:rsid w:val="42137F29"/>
    <w:rsid w:val="423A3BCC"/>
    <w:rsid w:val="424E57D2"/>
    <w:rsid w:val="42B26C49"/>
    <w:rsid w:val="433A6FE6"/>
    <w:rsid w:val="43480868"/>
    <w:rsid w:val="4350713C"/>
    <w:rsid w:val="435D3AE4"/>
    <w:rsid w:val="436653E0"/>
    <w:rsid w:val="43C4431A"/>
    <w:rsid w:val="43E840AB"/>
    <w:rsid w:val="441A605F"/>
    <w:rsid w:val="443E2AC1"/>
    <w:rsid w:val="44B951CC"/>
    <w:rsid w:val="44CD14E0"/>
    <w:rsid w:val="44F20B0B"/>
    <w:rsid w:val="452E5F4C"/>
    <w:rsid w:val="4550182E"/>
    <w:rsid w:val="45612018"/>
    <w:rsid w:val="458946E9"/>
    <w:rsid w:val="45A47C0E"/>
    <w:rsid w:val="45C6554D"/>
    <w:rsid w:val="46577FD6"/>
    <w:rsid w:val="469D4EE8"/>
    <w:rsid w:val="46B53E1D"/>
    <w:rsid w:val="46D955A7"/>
    <w:rsid w:val="46E52A0F"/>
    <w:rsid w:val="47133957"/>
    <w:rsid w:val="4735245D"/>
    <w:rsid w:val="47A07E0C"/>
    <w:rsid w:val="481D6E94"/>
    <w:rsid w:val="4870272E"/>
    <w:rsid w:val="488B2C47"/>
    <w:rsid w:val="489D3768"/>
    <w:rsid w:val="491B577D"/>
    <w:rsid w:val="49DC7715"/>
    <w:rsid w:val="4A023139"/>
    <w:rsid w:val="4A3F0932"/>
    <w:rsid w:val="4A4F7DD7"/>
    <w:rsid w:val="4A7B576F"/>
    <w:rsid w:val="4A891CD9"/>
    <w:rsid w:val="4AF561A9"/>
    <w:rsid w:val="4BFB5A29"/>
    <w:rsid w:val="4C4A0649"/>
    <w:rsid w:val="4C6325CA"/>
    <w:rsid w:val="4C7E5ECA"/>
    <w:rsid w:val="4C876AA5"/>
    <w:rsid w:val="4CDE5AD8"/>
    <w:rsid w:val="4D0E00FB"/>
    <w:rsid w:val="4D176606"/>
    <w:rsid w:val="4D673FEB"/>
    <w:rsid w:val="4D815224"/>
    <w:rsid w:val="4DEC4FB0"/>
    <w:rsid w:val="4E075D8A"/>
    <w:rsid w:val="4E5862CB"/>
    <w:rsid w:val="4EC00FAD"/>
    <w:rsid w:val="4EEB5F20"/>
    <w:rsid w:val="4F503003"/>
    <w:rsid w:val="4F9843DC"/>
    <w:rsid w:val="4FC62A8C"/>
    <w:rsid w:val="4FE20F0D"/>
    <w:rsid w:val="4FE51552"/>
    <w:rsid w:val="4FF61E6D"/>
    <w:rsid w:val="501057A9"/>
    <w:rsid w:val="50504C4B"/>
    <w:rsid w:val="50595D47"/>
    <w:rsid w:val="509C6E7C"/>
    <w:rsid w:val="50D82611"/>
    <w:rsid w:val="511F2916"/>
    <w:rsid w:val="515F392D"/>
    <w:rsid w:val="5162104E"/>
    <w:rsid w:val="52C45661"/>
    <w:rsid w:val="53505621"/>
    <w:rsid w:val="53A039CC"/>
    <w:rsid w:val="53A1505A"/>
    <w:rsid w:val="53DD4D33"/>
    <w:rsid w:val="53E91CA7"/>
    <w:rsid w:val="54063E08"/>
    <w:rsid w:val="543437E8"/>
    <w:rsid w:val="54F36406"/>
    <w:rsid w:val="54F73313"/>
    <w:rsid w:val="54F80955"/>
    <w:rsid w:val="555170A7"/>
    <w:rsid w:val="5587536D"/>
    <w:rsid w:val="559B174B"/>
    <w:rsid w:val="55CE0CF4"/>
    <w:rsid w:val="55E801A9"/>
    <w:rsid w:val="56B22A9C"/>
    <w:rsid w:val="56D540AC"/>
    <w:rsid w:val="56F13CE2"/>
    <w:rsid w:val="57142DDF"/>
    <w:rsid w:val="57B72A76"/>
    <w:rsid w:val="57C3426C"/>
    <w:rsid w:val="57CE1F93"/>
    <w:rsid w:val="588743D1"/>
    <w:rsid w:val="5887701A"/>
    <w:rsid w:val="58B574CB"/>
    <w:rsid w:val="59611F14"/>
    <w:rsid w:val="59C0439F"/>
    <w:rsid w:val="59CF0737"/>
    <w:rsid w:val="59E65F2B"/>
    <w:rsid w:val="5ABE2233"/>
    <w:rsid w:val="5BD93B92"/>
    <w:rsid w:val="5BDF5D95"/>
    <w:rsid w:val="5BFE7528"/>
    <w:rsid w:val="5CC876B3"/>
    <w:rsid w:val="5D511478"/>
    <w:rsid w:val="5E2467F1"/>
    <w:rsid w:val="5E753140"/>
    <w:rsid w:val="5EE925AF"/>
    <w:rsid w:val="5F1A2B43"/>
    <w:rsid w:val="5FB837BB"/>
    <w:rsid w:val="60020007"/>
    <w:rsid w:val="60CC405A"/>
    <w:rsid w:val="60CE0985"/>
    <w:rsid w:val="61E215D8"/>
    <w:rsid w:val="62150410"/>
    <w:rsid w:val="621B3775"/>
    <w:rsid w:val="62364782"/>
    <w:rsid w:val="636700A3"/>
    <w:rsid w:val="6394356A"/>
    <w:rsid w:val="63A453F5"/>
    <w:rsid w:val="63C61B2C"/>
    <w:rsid w:val="63D40BE9"/>
    <w:rsid w:val="64102431"/>
    <w:rsid w:val="64A5243A"/>
    <w:rsid w:val="64F531DE"/>
    <w:rsid w:val="65373578"/>
    <w:rsid w:val="671F124A"/>
    <w:rsid w:val="67315545"/>
    <w:rsid w:val="677A33C6"/>
    <w:rsid w:val="681F6961"/>
    <w:rsid w:val="682A3D3A"/>
    <w:rsid w:val="68610A2F"/>
    <w:rsid w:val="68805514"/>
    <w:rsid w:val="692A3AC4"/>
    <w:rsid w:val="69316E2F"/>
    <w:rsid w:val="694E2071"/>
    <w:rsid w:val="69766163"/>
    <w:rsid w:val="697A3B33"/>
    <w:rsid w:val="69D44760"/>
    <w:rsid w:val="6A02528F"/>
    <w:rsid w:val="6A256849"/>
    <w:rsid w:val="6A520EC7"/>
    <w:rsid w:val="6AF87E20"/>
    <w:rsid w:val="6B322639"/>
    <w:rsid w:val="6C4F294A"/>
    <w:rsid w:val="6C636C38"/>
    <w:rsid w:val="6D501CFF"/>
    <w:rsid w:val="6DB34098"/>
    <w:rsid w:val="6DB545B6"/>
    <w:rsid w:val="6DE02FB4"/>
    <w:rsid w:val="6E1C6639"/>
    <w:rsid w:val="6E514CED"/>
    <w:rsid w:val="6EB563D5"/>
    <w:rsid w:val="6ED92677"/>
    <w:rsid w:val="6F225983"/>
    <w:rsid w:val="6F334F1A"/>
    <w:rsid w:val="6F714572"/>
    <w:rsid w:val="6FCE24F0"/>
    <w:rsid w:val="6FFC5590"/>
    <w:rsid w:val="706D1DD0"/>
    <w:rsid w:val="70856B87"/>
    <w:rsid w:val="70D527EE"/>
    <w:rsid w:val="70FF605A"/>
    <w:rsid w:val="710D1049"/>
    <w:rsid w:val="715B5300"/>
    <w:rsid w:val="71D27F8A"/>
    <w:rsid w:val="71D5166B"/>
    <w:rsid w:val="72553024"/>
    <w:rsid w:val="725C3D0A"/>
    <w:rsid w:val="72D56A7D"/>
    <w:rsid w:val="73122968"/>
    <w:rsid w:val="731F5D5E"/>
    <w:rsid w:val="73AA068F"/>
    <w:rsid w:val="73C51AD5"/>
    <w:rsid w:val="741E793C"/>
    <w:rsid w:val="744254BA"/>
    <w:rsid w:val="745E3944"/>
    <w:rsid w:val="745F0469"/>
    <w:rsid w:val="7468094E"/>
    <w:rsid w:val="7512727C"/>
    <w:rsid w:val="7635099D"/>
    <w:rsid w:val="76A0073D"/>
    <w:rsid w:val="77762421"/>
    <w:rsid w:val="77B56B1F"/>
    <w:rsid w:val="77CD0717"/>
    <w:rsid w:val="77F42AFA"/>
    <w:rsid w:val="780F09F4"/>
    <w:rsid w:val="780F71BE"/>
    <w:rsid w:val="78A90480"/>
    <w:rsid w:val="797B1D9A"/>
    <w:rsid w:val="79906D23"/>
    <w:rsid w:val="7A364017"/>
    <w:rsid w:val="7A8265E1"/>
    <w:rsid w:val="7AD105D0"/>
    <w:rsid w:val="7AF718EC"/>
    <w:rsid w:val="7B686D42"/>
    <w:rsid w:val="7B841746"/>
    <w:rsid w:val="7B891212"/>
    <w:rsid w:val="7C2A4295"/>
    <w:rsid w:val="7C6C5AC7"/>
    <w:rsid w:val="7CB37264"/>
    <w:rsid w:val="7CC6544B"/>
    <w:rsid w:val="7D0239FF"/>
    <w:rsid w:val="7D1312C2"/>
    <w:rsid w:val="7D213021"/>
    <w:rsid w:val="7D4A0450"/>
    <w:rsid w:val="7D5E1312"/>
    <w:rsid w:val="7D5E40CD"/>
    <w:rsid w:val="7DAA666A"/>
    <w:rsid w:val="7DCD56F2"/>
    <w:rsid w:val="7E2A7C52"/>
    <w:rsid w:val="7E2B6169"/>
    <w:rsid w:val="7EA96C28"/>
    <w:rsid w:val="7EED214E"/>
    <w:rsid w:val="7F001CE7"/>
    <w:rsid w:val="7FE47E50"/>
    <w:rsid w:val="7FF86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adjustRightInd w:val="0"/>
      <w:spacing w:line="348" w:lineRule="auto"/>
      <w:textAlignment w:val="baseline"/>
      <w:outlineLvl w:val="2"/>
    </w:pPr>
    <w:rPr>
      <w:kern w:val="0"/>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firstLineChars="200"/>
    </w:pPr>
    <w:rPr>
      <w:rFonts w:cs="宋体"/>
    </w:rPr>
  </w:style>
  <w:style w:type="paragraph" w:styleId="5">
    <w:name w:val="Normal Indent"/>
    <w:basedOn w:val="1"/>
    <w:qFormat/>
    <w:locked/>
    <w:uiPriority w:val="0"/>
    <w:pPr>
      <w:ind w:firstLine="420"/>
    </w:pPr>
    <w:rPr>
      <w:rFonts w:ascii="Calibri" w:hAnsi="Calibri"/>
      <w:szCs w:val="22"/>
    </w:rPr>
  </w:style>
  <w:style w:type="paragraph" w:styleId="6">
    <w:name w:val="caption"/>
    <w:basedOn w:val="1"/>
    <w:next w:val="1"/>
    <w:qFormat/>
    <w:locked/>
    <w:uiPriority w:val="0"/>
    <w:pPr>
      <w:widowControl/>
      <w:jc w:val="left"/>
    </w:pPr>
    <w:rPr>
      <w:rFonts w:ascii="Arial" w:hAnsi="Arial" w:eastAsia="黑体" w:cs="Arial"/>
      <w:sz w:val="20"/>
      <w:szCs w:val="20"/>
    </w:rPr>
  </w:style>
  <w:style w:type="paragraph" w:styleId="7">
    <w:name w:val="annotation text"/>
    <w:basedOn w:val="1"/>
    <w:link w:val="31"/>
    <w:semiHidden/>
    <w:qFormat/>
    <w:uiPriority w:val="0"/>
    <w:pPr>
      <w:jc w:val="left"/>
    </w:pPr>
    <w:rPr>
      <w:kern w:val="0"/>
      <w:sz w:val="24"/>
      <w:szCs w:val="20"/>
    </w:rPr>
  </w:style>
  <w:style w:type="paragraph" w:styleId="8">
    <w:name w:val="Body Text"/>
    <w:basedOn w:val="1"/>
    <w:next w:val="9"/>
    <w:link w:val="32"/>
    <w:qFormat/>
    <w:uiPriority w:val="0"/>
    <w:pPr>
      <w:widowControl/>
      <w:snapToGrid w:val="0"/>
      <w:spacing w:before="60" w:after="160" w:line="259" w:lineRule="auto"/>
      <w:ind w:right="113"/>
    </w:pPr>
    <w:rPr>
      <w:kern w:val="0"/>
      <w:sz w:val="18"/>
      <w:szCs w:val="20"/>
    </w:rPr>
  </w:style>
  <w:style w:type="paragraph" w:customStyle="1" w:styleId="9">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0">
    <w:name w:val="Body Text Indent"/>
    <w:basedOn w:val="1"/>
    <w:link w:val="33"/>
    <w:qFormat/>
    <w:uiPriority w:val="0"/>
    <w:pPr>
      <w:spacing w:after="120"/>
      <w:ind w:left="420" w:leftChars="200"/>
    </w:pPr>
    <w:rPr>
      <w:kern w:val="0"/>
      <w:sz w:val="24"/>
      <w:szCs w:val="20"/>
    </w:rPr>
  </w:style>
  <w:style w:type="paragraph" w:styleId="11">
    <w:name w:val="Plain Text"/>
    <w:basedOn w:val="1"/>
    <w:next w:val="1"/>
    <w:qFormat/>
    <w:locked/>
    <w:uiPriority w:val="0"/>
    <w:rPr>
      <w:rFonts w:ascii="仿宋_GB2312" w:hAnsi="仿宋_GB2312"/>
      <w:szCs w:val="22"/>
    </w:rPr>
  </w:style>
  <w:style w:type="paragraph" w:styleId="12">
    <w:name w:val="Date"/>
    <w:basedOn w:val="1"/>
    <w:next w:val="1"/>
    <w:link w:val="34"/>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35"/>
    <w:semiHidden/>
    <w:qFormat/>
    <w:uiPriority w:val="0"/>
    <w:rPr>
      <w:kern w:val="0"/>
      <w:sz w:val="18"/>
      <w:szCs w:val="20"/>
    </w:rPr>
  </w:style>
  <w:style w:type="paragraph" w:styleId="15">
    <w:name w:val="footer"/>
    <w:basedOn w:val="1"/>
    <w:link w:val="36"/>
    <w:qFormat/>
    <w:uiPriority w:val="99"/>
    <w:pPr>
      <w:tabs>
        <w:tab w:val="center" w:pos="4153"/>
        <w:tab w:val="right" w:pos="8306"/>
      </w:tabs>
      <w:snapToGrid w:val="0"/>
      <w:jc w:val="left"/>
    </w:pPr>
    <w:rPr>
      <w:kern w:val="0"/>
      <w:sz w:val="18"/>
      <w:szCs w:val="20"/>
    </w:rPr>
  </w:style>
  <w:style w:type="paragraph" w:styleId="16">
    <w:name w:val="header"/>
    <w:basedOn w:val="1"/>
    <w:next w:val="6"/>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qFormat/>
    <w:locked/>
    <w:uiPriority w:val="0"/>
    <w:pPr>
      <w:ind w:left="200" w:hanging="200" w:hangingChars="200"/>
      <w:contextualSpacing/>
    </w:pPr>
  </w:style>
  <w:style w:type="paragraph" w:styleId="18">
    <w:name w:val="Body Text Indent 3"/>
    <w:basedOn w:val="1"/>
    <w:qFormat/>
    <w:locked/>
    <w:uiPriority w:val="0"/>
    <w:pPr>
      <w:spacing w:line="360" w:lineRule="auto"/>
      <w:ind w:firstLine="560" w:firstLineChars="200"/>
    </w:pPr>
    <w:rPr>
      <w:rFonts w:ascii="宋体" w:hAnsi="宋体"/>
      <w:sz w:val="28"/>
      <w:szCs w:val="22"/>
    </w:rPr>
  </w:style>
  <w:style w:type="paragraph" w:styleId="19">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39"/>
    <w:semiHidden/>
    <w:qFormat/>
    <w:uiPriority w:val="0"/>
    <w:rPr>
      <w:b/>
    </w:rPr>
  </w:style>
  <w:style w:type="paragraph" w:styleId="21">
    <w:name w:val="Body Text First Indent"/>
    <w:basedOn w:val="8"/>
    <w:qFormat/>
    <w:locked/>
    <w:uiPriority w:val="0"/>
    <w:pPr>
      <w:ind w:firstLine="420" w:firstLineChars="100"/>
    </w:pPr>
  </w:style>
  <w:style w:type="paragraph" w:styleId="22">
    <w:name w:val="Body Text First Indent 2"/>
    <w:basedOn w:val="10"/>
    <w:unhideWhenUsed/>
    <w:qFormat/>
    <w:locked/>
    <w:uiPriority w:val="99"/>
    <w:pPr>
      <w:ind w:firstLine="420" w:firstLineChars="20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locked/>
    <w:uiPriority w:val="0"/>
  </w:style>
  <w:style w:type="character" w:styleId="27">
    <w:name w:val="Hyperlink"/>
    <w:basedOn w:val="25"/>
    <w:qFormat/>
    <w:locked/>
    <w:uiPriority w:val="0"/>
    <w:rPr>
      <w:color w:val="0000FF"/>
      <w:u w:val="single"/>
    </w:rPr>
  </w:style>
  <w:style w:type="character" w:styleId="28">
    <w:name w:val="annotation reference"/>
    <w:semiHidden/>
    <w:qFormat/>
    <w:uiPriority w:val="0"/>
    <w:rPr>
      <w:sz w:val="21"/>
    </w:rPr>
  </w:style>
  <w:style w:type="paragraph" w:customStyle="1" w:styleId="29">
    <w:name w:val="Default"/>
    <w:basedOn w:val="30"/>
    <w:qFormat/>
    <w:uiPriority w:val="0"/>
    <w:pPr>
      <w:widowControl w:val="0"/>
      <w:autoSpaceDE w:val="0"/>
      <w:autoSpaceDN w:val="0"/>
      <w:adjustRightInd w:val="0"/>
    </w:pPr>
    <w:rPr>
      <w:rFonts w:ascii="宋体" w:hAnsi="宋体" w:eastAsia="宋体" w:cs="宋体"/>
      <w:color w:val="000000"/>
      <w:sz w:val="24"/>
    </w:rPr>
  </w:style>
  <w:style w:type="paragraph" w:customStyle="1" w:styleId="30">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character" w:customStyle="1" w:styleId="31">
    <w:name w:val="批注文字 Char"/>
    <w:link w:val="7"/>
    <w:qFormat/>
    <w:locked/>
    <w:uiPriority w:val="0"/>
    <w:rPr>
      <w:rFonts w:ascii="Times New Roman" w:hAnsi="Times New Roman" w:eastAsia="宋体"/>
      <w:sz w:val="24"/>
    </w:rPr>
  </w:style>
  <w:style w:type="character" w:customStyle="1" w:styleId="32">
    <w:name w:val="正文文本 Char"/>
    <w:basedOn w:val="25"/>
    <w:link w:val="8"/>
    <w:qFormat/>
    <w:locked/>
    <w:uiPriority w:val="0"/>
    <w:rPr>
      <w:sz w:val="18"/>
    </w:rPr>
  </w:style>
  <w:style w:type="character" w:customStyle="1" w:styleId="33">
    <w:name w:val="正文文本缩进 Char"/>
    <w:link w:val="10"/>
    <w:semiHidden/>
    <w:qFormat/>
    <w:locked/>
    <w:uiPriority w:val="0"/>
    <w:rPr>
      <w:rFonts w:ascii="Times New Roman" w:hAnsi="Times New Roman" w:eastAsia="宋体"/>
      <w:sz w:val="24"/>
    </w:rPr>
  </w:style>
  <w:style w:type="character" w:customStyle="1" w:styleId="34">
    <w:name w:val="日期 Char"/>
    <w:link w:val="12"/>
    <w:qFormat/>
    <w:locked/>
    <w:uiPriority w:val="0"/>
    <w:rPr>
      <w:rFonts w:ascii="Times New Roman" w:hAnsi="Times New Roman" w:eastAsia="宋体"/>
      <w:sz w:val="24"/>
    </w:rPr>
  </w:style>
  <w:style w:type="character" w:customStyle="1" w:styleId="35">
    <w:name w:val="批注框文本 Char"/>
    <w:link w:val="14"/>
    <w:semiHidden/>
    <w:qFormat/>
    <w:locked/>
    <w:uiPriority w:val="0"/>
    <w:rPr>
      <w:rFonts w:ascii="Times New Roman" w:hAnsi="Times New Roman" w:eastAsia="宋体"/>
      <w:sz w:val="18"/>
    </w:rPr>
  </w:style>
  <w:style w:type="character" w:customStyle="1" w:styleId="36">
    <w:name w:val="页脚 Char"/>
    <w:link w:val="15"/>
    <w:qFormat/>
    <w:locked/>
    <w:uiPriority w:val="99"/>
    <w:rPr>
      <w:sz w:val="18"/>
    </w:rPr>
  </w:style>
  <w:style w:type="character" w:customStyle="1" w:styleId="37">
    <w:name w:val="页眉 Char"/>
    <w:link w:val="16"/>
    <w:qFormat/>
    <w:locked/>
    <w:uiPriority w:val="0"/>
    <w:rPr>
      <w:sz w:val="18"/>
    </w:rPr>
  </w:style>
  <w:style w:type="character" w:customStyle="1" w:styleId="38">
    <w:name w:val="普通(网站) Char"/>
    <w:link w:val="19"/>
    <w:qFormat/>
    <w:locked/>
    <w:uiPriority w:val="0"/>
    <w:rPr>
      <w:rFonts w:ascii="宋体" w:hAnsi="宋体" w:eastAsia="宋体"/>
      <w:sz w:val="24"/>
    </w:rPr>
  </w:style>
  <w:style w:type="character" w:customStyle="1" w:styleId="39">
    <w:name w:val="批注主题 Char"/>
    <w:link w:val="20"/>
    <w:semiHidden/>
    <w:qFormat/>
    <w:locked/>
    <w:uiPriority w:val="0"/>
    <w:rPr>
      <w:rFonts w:ascii="Times New Roman" w:hAnsi="Times New Roman" w:eastAsia="宋体"/>
      <w:b/>
      <w:kern w:val="2"/>
      <w:sz w:val="24"/>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日期 字符"/>
    <w:semiHidden/>
    <w:qFormat/>
    <w:uiPriority w:val="0"/>
    <w:rPr>
      <w:rFonts w:ascii="Times New Roman" w:hAnsi="Times New Roman" w:eastAsia="宋体"/>
      <w:sz w:val="24"/>
    </w:rPr>
  </w:style>
  <w:style w:type="character" w:customStyle="1" w:styleId="42">
    <w:name w:val="页脚 字符"/>
    <w:basedOn w:val="25"/>
    <w:qFormat/>
    <w:uiPriority w:val="99"/>
  </w:style>
  <w:style w:type="character" w:customStyle="1" w:styleId="43">
    <w:name w:val="表格 Char"/>
    <w:link w:val="44"/>
    <w:qFormat/>
    <w:locked/>
    <w:uiPriority w:val="0"/>
    <w:rPr>
      <w:rFonts w:ascii="宋体"/>
      <w:sz w:val="21"/>
    </w:rPr>
  </w:style>
  <w:style w:type="paragraph" w:customStyle="1" w:styleId="44">
    <w:name w:val="表格"/>
    <w:basedOn w:val="45"/>
    <w:next w:val="1"/>
    <w:link w:val="43"/>
    <w:qFormat/>
    <w:uiPriority w:val="0"/>
    <w:pPr>
      <w:spacing w:beforeLines="10" w:afterLines="10" w:line="259" w:lineRule="auto"/>
    </w:pPr>
    <w:rPr>
      <w:rFonts w:ascii="宋体"/>
      <w:szCs w:val="20"/>
    </w:rPr>
  </w:style>
  <w:style w:type="paragraph" w:customStyle="1" w:styleId="45">
    <w:name w:val="表格正文"/>
    <w:basedOn w:val="1"/>
    <w:next w:val="1"/>
    <w:qFormat/>
    <w:uiPriority w:val="0"/>
    <w:pPr>
      <w:adjustRightInd w:val="0"/>
      <w:snapToGrid w:val="0"/>
      <w:jc w:val="center"/>
      <w:textAlignment w:val="baseline"/>
    </w:pPr>
    <w:rPr>
      <w:snapToGrid w:val="0"/>
      <w:kern w:val="0"/>
      <w:szCs w:val="21"/>
    </w:rPr>
  </w:style>
  <w:style w:type="character" w:customStyle="1" w:styleId="46">
    <w:name w:val="批注文字 字符1"/>
    <w:semiHidden/>
    <w:qFormat/>
    <w:uiPriority w:val="0"/>
    <w:rPr>
      <w:rFonts w:ascii="Times New Roman" w:hAnsi="Times New Roman" w:eastAsia="宋体"/>
      <w:sz w:val="24"/>
    </w:rPr>
  </w:style>
  <w:style w:type="paragraph" w:customStyle="1" w:styleId="47">
    <w:name w:val="表格内文字"/>
    <w:basedOn w:val="1"/>
    <w:next w:val="1"/>
    <w:qFormat/>
    <w:uiPriority w:val="0"/>
    <w:pPr>
      <w:widowControl/>
      <w:tabs>
        <w:tab w:val="left" w:pos="3345"/>
      </w:tabs>
      <w:adjustRightInd w:val="0"/>
      <w:snapToGrid w:val="0"/>
      <w:jc w:val="center"/>
    </w:pPr>
    <w:rPr>
      <w:iCs/>
      <w:kern w:val="0"/>
      <w:szCs w:val="18"/>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正1"/>
    <w:basedOn w:val="1"/>
    <w:qFormat/>
    <w:uiPriority w:val="0"/>
    <w:pPr>
      <w:spacing w:line="360" w:lineRule="auto"/>
      <w:ind w:firstLine="200" w:firstLineChars="200"/>
      <w:jc w:val="left"/>
    </w:pPr>
    <w:rPr>
      <w:rFonts w:eastAsia="楷体_GB2312"/>
      <w:sz w:val="24"/>
    </w:rPr>
  </w:style>
  <w:style w:type="paragraph" w:customStyle="1" w:styleId="51">
    <w:name w:val="表格内容"/>
    <w:basedOn w:val="1"/>
    <w:qFormat/>
    <w:uiPriority w:val="0"/>
    <w:pPr>
      <w:jc w:val="center"/>
    </w:pPr>
    <w:rPr>
      <w:rFonts w:cs="宋体"/>
      <w:szCs w:val="20"/>
    </w:rPr>
  </w:style>
  <w:style w:type="paragraph" w:customStyle="1" w:styleId="52">
    <w:name w:val="表头"/>
    <w:basedOn w:val="53"/>
    <w:next w:val="1"/>
    <w:qFormat/>
    <w:uiPriority w:val="0"/>
    <w:pPr>
      <w:textAlignment w:val="baseline"/>
    </w:pPr>
    <w:rPr>
      <w:rFonts w:ascii="黑体" w:eastAsia="黑体"/>
      <w:kern w:val="0"/>
    </w:rPr>
  </w:style>
  <w:style w:type="paragraph" w:customStyle="1" w:styleId="53">
    <w:name w:val="文本"/>
    <w:basedOn w:val="1"/>
    <w:qFormat/>
    <w:uiPriority w:val="0"/>
    <w:pPr>
      <w:adjustRightInd w:val="0"/>
      <w:snapToGrid w:val="0"/>
      <w:spacing w:line="360" w:lineRule="auto"/>
      <w:ind w:firstLine="1446" w:firstLineChars="200"/>
    </w:pPr>
    <w:rPr>
      <w:sz w:val="24"/>
    </w:rPr>
  </w:style>
  <w:style w:type="paragraph" w:customStyle="1" w:styleId="54">
    <w:name w:val="样式1"/>
    <w:basedOn w:val="5"/>
    <w:qFormat/>
    <w:uiPriority w:val="0"/>
    <w:pPr>
      <w:spacing w:after="40" w:line="300" w:lineRule="atLeast"/>
      <w:jc w:val="center"/>
      <w:outlineLvl w:val="2"/>
    </w:pPr>
    <w:rPr>
      <w:rFonts w:eastAsia="楷体_GB2312"/>
    </w:rPr>
  </w:style>
  <w:style w:type="character" w:customStyle="1" w:styleId="55">
    <w:name w:val="font01"/>
    <w:basedOn w:val="25"/>
    <w:qFormat/>
    <w:uiPriority w:val="0"/>
    <w:rPr>
      <w:rFonts w:hint="eastAsia" w:ascii="宋体" w:hAnsi="宋体" w:eastAsia="宋体" w:cs="宋体"/>
      <w:b/>
      <w:color w:val="000000"/>
      <w:sz w:val="20"/>
      <w:szCs w:val="20"/>
      <w:u w:val="none"/>
    </w:rPr>
  </w:style>
  <w:style w:type="character" w:customStyle="1" w:styleId="56">
    <w:name w:val="font41"/>
    <w:basedOn w:val="25"/>
    <w:qFormat/>
    <w:uiPriority w:val="0"/>
    <w:rPr>
      <w:rFonts w:hint="default" w:ascii="Times New Roman" w:hAnsi="Times New Roman" w:cs="Times New Roman"/>
      <w:color w:val="000000"/>
      <w:sz w:val="18"/>
      <w:szCs w:val="18"/>
      <w:u w:val="none"/>
    </w:rPr>
  </w:style>
  <w:style w:type="paragraph" w:customStyle="1" w:styleId="57">
    <w:name w:val="正文表头"/>
    <w:basedOn w:val="58"/>
    <w:qFormat/>
    <w:uiPriority w:val="0"/>
    <w:pPr>
      <w:jc w:val="center"/>
    </w:pPr>
  </w:style>
  <w:style w:type="paragraph" w:customStyle="1" w:styleId="58">
    <w:name w:val="正文加粗"/>
    <w:basedOn w:val="59"/>
    <w:qFormat/>
    <w:uiPriority w:val="0"/>
    <w:pPr>
      <w:spacing w:after="0"/>
      <w:ind w:firstLine="0" w:firstLineChars="0"/>
    </w:pPr>
    <w:rPr>
      <w:b/>
      <w:color w:val="auto"/>
      <w:szCs w:val="24"/>
    </w:rPr>
  </w:style>
  <w:style w:type="paragraph" w:customStyle="1" w:styleId="59">
    <w:name w:val="样式 君邦正文 + 蓝色1"/>
    <w:basedOn w:val="60"/>
    <w:qFormat/>
    <w:uiPriority w:val="0"/>
    <w:rPr>
      <w:color w:val="0000FF"/>
    </w:rPr>
  </w:style>
  <w:style w:type="paragraph" w:customStyle="1" w:styleId="60">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61">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62">
    <w:name w:val="列出段落1"/>
    <w:basedOn w:val="1"/>
    <w:qFormat/>
    <w:uiPriority w:val="0"/>
    <w:pPr>
      <w:jc w:val="center"/>
      <w:outlineLvl w:val="8"/>
    </w:pPr>
    <w:rPr>
      <w:sz w:val="18"/>
      <w:szCs w:val="22"/>
    </w:rPr>
  </w:style>
  <w:style w:type="character" w:customStyle="1" w:styleId="63">
    <w:name w:val="font11"/>
    <w:basedOn w:val="25"/>
    <w:qFormat/>
    <w:uiPriority w:val="0"/>
    <w:rPr>
      <w:rFonts w:hint="default" w:ascii="Times New Roman" w:hAnsi="Times New Roman" w:cs="Times New Roman"/>
      <w:b/>
      <w:color w:val="000000"/>
      <w:sz w:val="21"/>
      <w:szCs w:val="21"/>
      <w:u w:val="none"/>
      <w:vertAlign w:val="superscript"/>
    </w:rPr>
  </w:style>
  <w:style w:type="paragraph" w:customStyle="1" w:styleId="64">
    <w:name w:val="表内文字"/>
    <w:basedOn w:val="1"/>
    <w:next w:val="1"/>
    <w:qFormat/>
    <w:uiPriority w:val="0"/>
    <w:pPr>
      <w:tabs>
        <w:tab w:val="left" w:pos="3345"/>
      </w:tabs>
      <w:snapToGrid w:val="0"/>
      <w:jc w:val="center"/>
    </w:pPr>
    <w:rPr>
      <w:iCs/>
      <w:szCs w:val="18"/>
    </w:rPr>
  </w:style>
  <w:style w:type="paragraph" w:customStyle="1" w:styleId="65">
    <w:name w:val="1正文，首行缩进"/>
    <w:basedOn w:val="1"/>
    <w:qFormat/>
    <w:uiPriority w:val="0"/>
    <w:pPr>
      <w:topLinePunct/>
      <w:adjustRightInd w:val="0"/>
      <w:snapToGrid w:val="0"/>
      <w:spacing w:line="360" w:lineRule="auto"/>
      <w:ind w:firstLine="200" w:firstLineChars="200"/>
    </w:pPr>
    <w:rPr>
      <w:color w:val="000000"/>
      <w:kern w:val="0"/>
      <w:sz w:val="24"/>
    </w:rPr>
  </w:style>
  <w:style w:type="paragraph" w:styleId="66">
    <w:name w:val="List Paragraph"/>
    <w:basedOn w:val="1"/>
    <w:unhideWhenUsed/>
    <w:qFormat/>
    <w:uiPriority w:val="99"/>
    <w:pPr>
      <w:ind w:firstLine="420" w:firstLineChars="200"/>
    </w:pPr>
  </w:style>
  <w:style w:type="paragraph" w:customStyle="1" w:styleId="67">
    <w:name w:val="UserStyle_1"/>
    <w:basedOn w:val="1"/>
    <w:qFormat/>
    <w:uiPriority w:val="0"/>
    <w:pPr>
      <w:snapToGrid w:val="0"/>
      <w:spacing w:line="400" w:lineRule="exact"/>
      <w:jc w:val="center"/>
      <w:textAlignment w:val="baseline"/>
    </w:pPr>
    <w:rPr>
      <w:kern w:val="0"/>
      <w:szCs w:val="18"/>
    </w:rPr>
  </w:style>
  <w:style w:type="character" w:customStyle="1" w:styleId="68">
    <w:name w:val="NormalCharacter"/>
    <w:qFormat/>
    <w:uiPriority w:val="0"/>
    <w:rPr>
      <w:rFonts w:ascii="Times New Roman" w:hAnsi="Times New Roman" w:eastAsia="宋体" w:cs="Times New Roman"/>
      <w:kern w:val="2"/>
      <w:sz w:val="21"/>
      <w:lang w:val="en-US" w:eastAsia="zh-CN" w:bidi="ar-SA"/>
    </w:rPr>
  </w:style>
  <w:style w:type="paragraph" w:customStyle="1" w:styleId="69">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bCs/>
      <w:snapToGrid w:val="0"/>
      <w:color w:val="000000"/>
      <w:kern w:val="32"/>
      <w:szCs w:val="20"/>
      <w:lang w:val="zh-CN"/>
    </w:rPr>
  </w:style>
  <w:style w:type="paragraph" w:customStyle="1" w:styleId="70">
    <w:name w:val="Table caption|1"/>
    <w:basedOn w:val="1"/>
    <w:qFormat/>
    <w:uiPriority w:val="0"/>
    <w:rPr>
      <w:rFonts w:ascii="宋体" w:hAnsi="宋体" w:cs="宋体"/>
      <w:sz w:val="22"/>
      <w:szCs w:val="22"/>
      <w:lang w:val="zh-TW" w:eastAsia="zh-TW" w:bidi="zh-TW"/>
    </w:rPr>
  </w:style>
  <w:style w:type="paragraph" w:customStyle="1" w:styleId="71">
    <w:name w:val="Other|1"/>
    <w:basedOn w:val="1"/>
    <w:qFormat/>
    <w:uiPriority w:val="0"/>
    <w:pPr>
      <w:spacing w:line="300" w:lineRule="exact"/>
      <w:jc w:val="center"/>
    </w:pPr>
    <w:rPr>
      <w:rFonts w:ascii="宋体" w:hAnsi="宋体" w:cs="宋体"/>
      <w:sz w:val="20"/>
      <w:szCs w:val="20"/>
      <w:lang w:val="zh-TW" w:eastAsia="zh-TW" w:bidi="zh-TW"/>
    </w:rPr>
  </w:style>
  <w:style w:type="paragraph" w:customStyle="1" w:styleId="72">
    <w:name w:val="魏秀珍   正文"/>
    <w:basedOn w:val="5"/>
    <w:qFormat/>
    <w:uiPriority w:val="0"/>
    <w:rPr>
      <w:rFonts w:cs="宋体"/>
      <w:kern w:val="0"/>
      <w:szCs w:val="20"/>
    </w:rPr>
  </w:style>
  <w:style w:type="paragraph" w:customStyle="1" w:styleId="73">
    <w:name w:val="Char"/>
    <w:basedOn w:val="1"/>
    <w:qFormat/>
    <w:uiPriority w:val="0"/>
  </w:style>
  <w:style w:type="paragraph" w:customStyle="1" w:styleId="74">
    <w:name w:val="WPSOffice手动目录 1"/>
    <w:qFormat/>
    <w:uiPriority w:val="0"/>
    <w:rPr>
      <w:rFonts w:ascii="等线" w:hAnsi="等线" w:eastAsia="等线" w:cs="Times New Roman"/>
      <w:lang w:val="en-US" w:eastAsia="zh-CN" w:bidi="ar-SA"/>
    </w:rPr>
  </w:style>
  <w:style w:type="paragraph" w:customStyle="1" w:styleId="75">
    <w:name w:val="报告表正文"/>
    <w:basedOn w:val="76"/>
    <w:qFormat/>
    <w:uiPriority w:val="0"/>
    <w:pPr>
      <w:ind w:firstLine="200" w:firstLineChars="200"/>
      <w:jc w:val="left"/>
    </w:pPr>
    <w:rPr>
      <w:rFonts w:ascii="Times New Roman" w:hAnsi="Times New Roman"/>
      <w:szCs w:val="24"/>
    </w:rPr>
  </w:style>
  <w:style w:type="paragraph" w:customStyle="1" w:styleId="76">
    <w:name w:val="列表1"/>
    <w:basedOn w:val="1"/>
    <w:qFormat/>
    <w:uiPriority w:val="0"/>
    <w:pPr>
      <w:spacing w:line="400" w:lineRule="exact"/>
      <w:jc w:val="center"/>
    </w:pPr>
    <w:rPr>
      <w:rFonts w:ascii="宋体" w:hAnsi="宋体" w:eastAsia="仿宋_GB2312"/>
      <w:sz w:val="24"/>
      <w:szCs w:val="20"/>
    </w:rPr>
  </w:style>
  <w:style w:type="paragraph" w:customStyle="1" w:styleId="77">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8">
    <w:name w:val="表格普通"/>
    <w:basedOn w:val="1"/>
    <w:qFormat/>
    <w:uiPriority w:val="0"/>
    <w:pPr>
      <w:jc w:val="center"/>
    </w:pPr>
    <w:rPr>
      <w:rFonts w:eastAsia="仿宋_GB2312"/>
      <w:szCs w:val="21"/>
    </w:rPr>
  </w:style>
  <w:style w:type="paragraph" w:customStyle="1" w:styleId="79">
    <w:name w:val="表格式"/>
    <w:basedOn w:val="17"/>
    <w:qFormat/>
    <w:uiPriority w:val="0"/>
    <w:pPr>
      <w:spacing w:line="400" w:lineRule="exact"/>
      <w:ind w:left="0" w:firstLine="0" w:firstLineChars="0"/>
      <w:jc w:val="center"/>
    </w:pPr>
    <w:rPr>
      <w:rFonts w:ascii="宋体" w:hAnsi="Calibri"/>
      <w:szCs w:val="20"/>
    </w:rPr>
  </w:style>
  <w:style w:type="paragraph" w:customStyle="1" w:styleId="80">
    <w:name w:val="Table Paragraph"/>
    <w:basedOn w:val="1"/>
    <w:qFormat/>
    <w:uiPriority w:val="1"/>
    <w:pPr>
      <w:jc w:val="center"/>
    </w:pPr>
    <w:rPr>
      <w:rFonts w:eastAsia="Times New Roman"/>
    </w:rPr>
  </w:style>
  <w:style w:type="paragraph" w:customStyle="1" w:styleId="81">
    <w:name w:val="友朋表内文字（中）"/>
    <w:qFormat/>
    <w:uiPriority w:val="0"/>
    <w:pPr>
      <w:jc w:val="center"/>
    </w:pPr>
    <w:rPr>
      <w:rFonts w:ascii="Times New Roman" w:hAnsi="Times New Roman" w:eastAsia="宋体" w:cs="Times New Roman"/>
      <w:sz w:val="18"/>
      <w:lang w:val="en-US" w:eastAsia="zh-CN" w:bidi="ar-SA"/>
    </w:rPr>
  </w:style>
  <w:style w:type="paragraph" w:customStyle="1" w:styleId="82">
    <w:name w:val="表格 32"/>
    <w:basedOn w:val="1"/>
    <w:qFormat/>
    <w:uiPriority w:val="0"/>
    <w:pPr>
      <w:autoSpaceDE w:val="0"/>
      <w:autoSpaceDN w:val="0"/>
      <w:adjustRightInd w:val="0"/>
      <w:jc w:val="center"/>
      <w:textAlignment w:val="baseline"/>
    </w:pPr>
    <w:rPr>
      <w:rFonts w:eastAsia="楷体_GB2312"/>
      <w:sz w:val="24"/>
    </w:rPr>
  </w:style>
  <w:style w:type="paragraph" w:customStyle="1" w:styleId="83">
    <w:name w:val="表1表2"/>
    <w:basedOn w:val="1"/>
    <w:qFormat/>
    <w:uiPriority w:val="0"/>
    <w:pPr>
      <w:autoSpaceDE w:val="0"/>
      <w:autoSpaceDN w:val="0"/>
      <w:adjustRightInd w:val="0"/>
      <w:jc w:val="center"/>
      <w:textAlignment w:val="center"/>
    </w:pPr>
    <w:rPr>
      <w:rFonts w:eastAsia="仿宋体"/>
      <w:kern w:val="0"/>
      <w:sz w:val="24"/>
    </w:rPr>
  </w:style>
  <w:style w:type="paragraph" w:customStyle="1" w:styleId="84">
    <w:name w:val="Table Text"/>
    <w:basedOn w:val="1"/>
    <w:semiHidden/>
    <w:qFormat/>
    <w:uiPriority w:val="0"/>
    <w:rPr>
      <w:rFonts w:ascii="宋体" w:hAnsi="宋体" w:cs="宋体"/>
      <w:sz w:val="24"/>
      <w:lang w:eastAsia="en-US"/>
    </w:rPr>
  </w:style>
  <w:style w:type="table" w:customStyle="1" w:styleId="8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3.bin"/><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emf"/><Relationship Id="rId21" Type="http://schemas.openxmlformats.org/officeDocument/2006/relationships/oleObject" Target="embeddings/oleObject2.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65</Pages>
  <Words>43167</Words>
  <Characters>48324</Characters>
  <Lines>84</Lines>
  <Paragraphs>106</Paragraphs>
  <TotalTime>88</TotalTime>
  <ScaleCrop>false</ScaleCrop>
  <LinksUpToDate>false</LinksUpToDate>
  <CharactersWithSpaces>48606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2021-11-10T11:25:00Z</dcterms:created>
  <dc:creator>lhj</dc:creator>
  <cp:lastModifiedBy>Administrator</cp:lastModifiedBy>
  <cp:lastPrinted>2020-12-29T02:43:00Z</cp:lastPrinted>
  <dcterms:modified xsi:type="dcterms:W3CDTF">2023-08-01T02:11:25Z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8F5DACC722164014855894B2873CB78C_13</vt:lpwstr>
  </property>
</Properties>
</file>