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sz w:val="28"/>
          <w:szCs w:val="20"/>
        </w:rPr>
      </w:pPr>
      <w:bookmarkStart w:id="13" w:name="_GoBack"/>
      <w:bookmarkEnd w:id="13"/>
      <w:r>
        <w:rPr>
          <w:rFonts w:ascii="Times New Roman" w:hAnsi="Times New Roman" w:cs="Times New Roman"/>
          <w:b/>
          <w:sz w:val="28"/>
          <w:szCs w:val="20"/>
        </w:rPr>
        <w:t>一、建设项目基本情况</w:t>
      </w:r>
    </w:p>
    <w:tbl>
      <w:tblPr>
        <w:tblStyle w:val="2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6"/>
        <w:gridCol w:w="1134"/>
        <w:gridCol w:w="2410"/>
        <w:gridCol w:w="1984"/>
        <w:gridCol w:w="30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cs="宋体"/>
                <w:sz w:val="24"/>
              </w:rPr>
            </w:pPr>
            <w:r>
              <w:rPr>
                <w:rFonts w:hint="eastAsia" w:cs="宋体"/>
                <w:sz w:val="24"/>
              </w:rPr>
              <w:t>建设项目名称</w:t>
            </w:r>
          </w:p>
        </w:tc>
        <w:tc>
          <w:tcPr>
            <w:tcW w:w="7416" w:type="dxa"/>
            <w:gridSpan w:val="3"/>
            <w:vAlign w:val="center"/>
          </w:tcPr>
          <w:p>
            <w:pPr>
              <w:adjustRightInd w:val="0"/>
              <w:snapToGrid w:val="0"/>
              <w:spacing w:line="360" w:lineRule="exact"/>
              <w:jc w:val="center"/>
              <w:rPr>
                <w:sz w:val="24"/>
              </w:rPr>
            </w:pPr>
            <w:r>
              <w:rPr>
                <w:rFonts w:hint="eastAsia"/>
                <w:sz w:val="24"/>
              </w:rPr>
              <w:t>拖布卡镇象鼻村产业发展光伏提水项目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项目代码</w:t>
            </w:r>
          </w:p>
        </w:tc>
        <w:tc>
          <w:tcPr>
            <w:tcW w:w="7416" w:type="dxa"/>
            <w:gridSpan w:val="3"/>
            <w:vAlign w:val="center"/>
          </w:tcPr>
          <w:p>
            <w:pPr>
              <w:adjustRightInd w:val="0"/>
              <w:snapToGrid w:val="0"/>
              <w:spacing w:line="360" w:lineRule="exact"/>
              <w:jc w:val="center"/>
              <w:rPr>
                <w:rFonts w:hint="eastAsia" w:ascii="Times New Roman" w:hAnsi="Times New Roman" w:cs="Times New Roman" w:eastAsiaTheme="minorEastAsia"/>
                <w:sz w:val="24"/>
                <w:lang w:eastAsia="zh-CN"/>
              </w:rPr>
            </w:pPr>
            <w:r>
              <w:rPr>
                <w:rFonts w:hint="eastAsia" w:ascii="Times New Roman" w:hAnsi="Times New Roman" w:cs="Times New Roman"/>
                <w:sz w:val="24"/>
                <w:lang w:eastAsia="zh-CN"/>
              </w:rPr>
              <w:t>****</w:t>
            </w:r>
            <w:r>
              <w:rPr>
                <w:rFonts w:ascii="Times New Roman" w:hAnsi="Times New Roman" w:cs="Times New Roman"/>
                <w:sz w:val="24"/>
              </w:rPr>
              <w:t>-</w:t>
            </w:r>
            <w:r>
              <w:rPr>
                <w:rFonts w:hint="eastAsia" w:ascii="Times New Roman" w:hAnsi="Times New Roman" w:cs="Times New Roman"/>
                <w:sz w:val="24"/>
                <w:lang w:eastAsia="zh-CN"/>
              </w:rPr>
              <w:t>******</w:t>
            </w:r>
            <w:r>
              <w:rPr>
                <w:rFonts w:ascii="Times New Roman" w:hAnsi="Times New Roman" w:cs="Times New Roman"/>
                <w:sz w:val="24"/>
              </w:rPr>
              <w:t>-04-01-</w:t>
            </w:r>
            <w:r>
              <w:rPr>
                <w:rFonts w:hint="eastAsia" w:ascii="Times New Roman" w:hAnsi="Times New Roman" w:cs="Times New Roman"/>
                <w:sz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tcBorders>
              <w:right w:val="single" w:color="000000" w:themeColor="text1"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建设单位联系人</w:t>
            </w:r>
          </w:p>
        </w:tc>
        <w:tc>
          <w:tcPr>
            <w:tcW w:w="2410" w:type="dxa"/>
            <w:tcBorders>
              <w:left w:val="single" w:color="000000" w:themeColor="text1" w:sz="4" w:space="0"/>
              <w:right w:val="single" w:color="000000" w:themeColor="text1" w:sz="4" w:space="0"/>
            </w:tcBorders>
            <w:vAlign w:val="center"/>
          </w:tcPr>
          <w:p>
            <w:pPr>
              <w:adjustRightInd w:val="0"/>
              <w:snapToGrid w:val="0"/>
              <w:spacing w:line="360" w:lineRule="exact"/>
              <w:jc w:val="center"/>
              <w:rPr>
                <w:rFonts w:hint="default" w:ascii="Times New Roman" w:hAnsi="Times New Roman" w:cs="Times New Roman" w:eastAsiaTheme="minorEastAsia"/>
                <w:sz w:val="24"/>
                <w:lang w:val="en-US" w:eastAsia="zh-CN"/>
              </w:rPr>
            </w:pPr>
            <w:r>
              <w:rPr>
                <w:rFonts w:ascii="Times New Roman" w:hAnsi="Times New Roman" w:cs="Times New Roman"/>
                <w:sz w:val="24"/>
              </w:rPr>
              <w:t>李</w:t>
            </w:r>
            <w:r>
              <w:rPr>
                <w:rFonts w:hint="eastAsia" w:ascii="Times New Roman" w:hAnsi="Times New Roman" w:cs="Times New Roman"/>
                <w:sz w:val="24"/>
                <w:lang w:val="en-US" w:eastAsia="zh-CN"/>
              </w:rPr>
              <w:t>**</w:t>
            </w:r>
          </w:p>
        </w:tc>
        <w:tc>
          <w:tcPr>
            <w:tcW w:w="1984" w:type="dxa"/>
            <w:tcBorders>
              <w:left w:val="single" w:color="000000" w:themeColor="text1" w:sz="4" w:space="0"/>
              <w:right w:val="single" w:color="000000" w:themeColor="text1"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联系方式</w:t>
            </w:r>
          </w:p>
        </w:tc>
        <w:tc>
          <w:tcPr>
            <w:tcW w:w="3022" w:type="dxa"/>
            <w:tcBorders>
              <w:left w:val="single" w:color="000000" w:themeColor="text1" w:sz="4" w:space="0"/>
            </w:tcBorders>
            <w:vAlign w:val="center"/>
          </w:tcPr>
          <w:p>
            <w:pPr>
              <w:adjustRightInd w:val="0"/>
              <w:snapToGrid w:val="0"/>
              <w:spacing w:line="360" w:lineRule="exact"/>
              <w:jc w:val="center"/>
              <w:rPr>
                <w:rFonts w:hint="default" w:ascii="Times New Roman" w:hAnsi="Times New Roman" w:cs="Times New Roman" w:eastAsiaTheme="minorEastAsia"/>
                <w:sz w:val="24"/>
                <w:lang w:val="en-US" w:eastAsia="zh-CN"/>
              </w:rPr>
            </w:pPr>
            <w:r>
              <w:rPr>
                <w:rFonts w:ascii="Times New Roman" w:hAnsi="Times New Roman" w:cs="Times New Roman"/>
                <w:sz w:val="24"/>
              </w:rPr>
              <w:t>138</w:t>
            </w:r>
            <w:r>
              <w:rPr>
                <w:rFonts w:hint="eastAsia" w:ascii="Times New Roman" w:hAnsi="Times New Roman" w:cs="Times New Roman"/>
                <w:sz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940" w:type="dxa"/>
            <w:gridSpan w:val="2"/>
            <w:vAlign w:val="center"/>
          </w:tcPr>
          <w:p>
            <w:pPr>
              <w:adjustRightInd w:val="0"/>
              <w:snapToGrid w:val="0"/>
              <w:spacing w:line="360" w:lineRule="exact"/>
              <w:jc w:val="center"/>
              <w:rPr>
                <w:rFonts w:cs="宋体"/>
                <w:sz w:val="24"/>
              </w:rPr>
            </w:pPr>
            <w:r>
              <w:rPr>
                <w:rFonts w:hint="eastAsia" w:cs="宋体"/>
                <w:sz w:val="24"/>
              </w:rPr>
              <w:t>建设地点</w:t>
            </w:r>
          </w:p>
        </w:tc>
        <w:tc>
          <w:tcPr>
            <w:tcW w:w="7416" w:type="dxa"/>
            <w:gridSpan w:val="3"/>
            <w:vAlign w:val="center"/>
          </w:tcPr>
          <w:p>
            <w:pPr>
              <w:adjustRightInd w:val="0"/>
              <w:snapToGrid w:val="0"/>
              <w:spacing w:line="360" w:lineRule="exact"/>
              <w:jc w:val="center"/>
              <w:rPr>
                <w:sz w:val="24"/>
              </w:rPr>
            </w:pPr>
            <w:r>
              <w:rPr>
                <w:sz w:val="24"/>
                <w:u w:val="single"/>
              </w:rPr>
              <w:t>云南</w:t>
            </w:r>
            <w:r>
              <w:rPr>
                <w:sz w:val="24"/>
              </w:rPr>
              <w:t>省（自治区）</w:t>
            </w:r>
            <w:r>
              <w:rPr>
                <w:sz w:val="24"/>
                <w:u w:val="single"/>
              </w:rPr>
              <w:t>昆明（</w:t>
            </w:r>
            <w:r>
              <w:rPr>
                <w:sz w:val="24"/>
              </w:rPr>
              <w:t>市）</w:t>
            </w:r>
            <w:r>
              <w:rPr>
                <w:sz w:val="24"/>
                <w:u w:val="single"/>
              </w:rPr>
              <w:t>东川</w:t>
            </w:r>
            <w:r>
              <w:rPr>
                <w:sz w:val="24"/>
              </w:rPr>
              <w:t>（区）</w:t>
            </w:r>
            <w:r>
              <w:rPr>
                <w:rFonts w:hint="eastAsia"/>
                <w:sz w:val="24"/>
                <w:u w:val="single"/>
              </w:rPr>
              <w:t>拖布卡镇象鼻村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地理坐标</w:t>
            </w:r>
          </w:p>
        </w:tc>
        <w:tc>
          <w:tcPr>
            <w:tcW w:w="7416" w:type="dxa"/>
            <w:gridSpan w:val="3"/>
            <w:vAlign w:val="center"/>
          </w:tcPr>
          <w:p>
            <w:pPr>
              <w:spacing w:line="360" w:lineRule="exact"/>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）光伏</w:t>
            </w:r>
            <w:r>
              <w:rPr>
                <w:rFonts w:hint="eastAsia" w:hAnsi="Times New Roman"/>
                <w:sz w:val="24"/>
                <w:szCs w:val="24"/>
              </w:rPr>
              <w:t>泵站位置：</w:t>
            </w:r>
            <w:r>
              <w:rPr>
                <w:rFonts w:ascii="Times New Roman" w:hAnsi="Times New Roman" w:cs="Times New Roman"/>
                <w:sz w:val="24"/>
                <w:szCs w:val="24"/>
              </w:rPr>
              <w:t>东经10</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0.591</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5.068</w:t>
            </w:r>
            <w:r>
              <w:rPr>
                <w:rFonts w:ascii="Times New Roman" w:hAnsi="Times New Roman" w:cs="Times New Roman"/>
                <w:sz w:val="24"/>
                <w:szCs w:val="24"/>
              </w:rPr>
              <w:t>″</w:t>
            </w:r>
            <w:r>
              <w:rPr>
                <w:rFonts w:hint="eastAsia" w:hAnsi="Times New Roman"/>
                <w:sz w:val="24"/>
                <w:szCs w:val="24"/>
              </w:rPr>
              <w:t>。</w:t>
            </w:r>
          </w:p>
          <w:p>
            <w:pPr>
              <w:spacing w:line="360" w:lineRule="exact"/>
              <w:rPr>
                <w:rFonts w:ascii="Times New Roman" w:hAnsi="Times New Roman" w:cs="Times New Roman"/>
                <w:sz w:val="24"/>
                <w:szCs w:val="24"/>
              </w:rPr>
            </w:pPr>
            <w:r>
              <w:rPr>
                <w:rFonts w:hint="eastAsia" w:ascii="Times New Roman" w:hAnsi="Times New Roman" w:cs="Times New Roman"/>
                <w:sz w:val="24"/>
                <w:szCs w:val="24"/>
              </w:rPr>
              <w:t>（2）供水主管总长4757.3m，</w:t>
            </w:r>
            <w:r>
              <w:rPr>
                <w:rFonts w:ascii="Times New Roman" w:hAnsi="Times New Roman" w:cs="Times New Roman"/>
                <w:sz w:val="24"/>
                <w:szCs w:val="24"/>
              </w:rPr>
              <w:t>起点坐标东经103°</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0.700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9.791</w:t>
            </w:r>
            <w:r>
              <w:rPr>
                <w:rFonts w:ascii="Times New Roman" w:hAnsi="Times New Roman" w:cs="Times New Roman"/>
                <w:sz w:val="24"/>
                <w:szCs w:val="24"/>
              </w:rPr>
              <w:t>″。</w:t>
            </w:r>
            <w:r>
              <w:rPr>
                <w:rFonts w:hint="eastAsia" w:ascii="Times New Roman" w:hAnsi="Times New Roman" w:cs="Times New Roman"/>
                <w:sz w:val="24"/>
                <w:szCs w:val="24"/>
              </w:rPr>
              <w:t>大致呈东北走向，途经老黑岩、小凹子、张家湾，终点至小坪子300m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的0#高位水池</w:t>
            </w:r>
            <w:r>
              <w:rPr>
                <w:rFonts w:ascii="Times New Roman" w:hAnsi="Times New Roman" w:cs="Times New Roman"/>
                <w:sz w:val="24"/>
                <w:szCs w:val="24"/>
              </w:rPr>
              <w:t>。</w:t>
            </w:r>
            <w:r>
              <w:rPr>
                <w:rFonts w:hint="eastAsia" w:ascii="Times New Roman" w:hAnsi="Times New Roman" w:cs="Times New Roman"/>
                <w:sz w:val="24"/>
                <w:szCs w:val="24"/>
              </w:rPr>
              <w:t>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29.690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56.758</w:t>
            </w:r>
            <w:r>
              <w:rPr>
                <w:rFonts w:ascii="Times New Roman" w:hAnsi="Times New Roman" w:cs="Times New Roman"/>
                <w:sz w:val="24"/>
                <w:szCs w:val="24"/>
              </w:rPr>
              <w:t>″。</w:t>
            </w:r>
          </w:p>
          <w:p>
            <w:pPr>
              <w:spacing w:line="360" w:lineRule="exact"/>
              <w:rPr>
                <w:rFonts w:ascii="Times New Roman" w:hAnsi="Times New Roman" w:cs="Times New Roman"/>
                <w:sz w:val="24"/>
                <w:szCs w:val="24"/>
              </w:rPr>
            </w:pPr>
            <w:r>
              <w:rPr>
                <w:rFonts w:hint="eastAsia" w:ascii="Times New Roman" w:hAnsi="Times New Roman" w:cs="Times New Roman"/>
                <w:sz w:val="24"/>
                <w:szCs w:val="24"/>
              </w:rPr>
              <w:t>（3）配水主管总长2940m，</w:t>
            </w:r>
            <w:r>
              <w:rPr>
                <w:rFonts w:ascii="Times New Roman" w:hAnsi="Times New Roman" w:cs="Times New Roman"/>
                <w:sz w:val="24"/>
                <w:szCs w:val="24"/>
              </w:rPr>
              <w:t>起点坐标东经103°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28.685</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49.728</w:t>
            </w:r>
            <w:r>
              <w:rPr>
                <w:rFonts w:ascii="Times New Roman" w:hAnsi="Times New Roman" w:cs="Times New Roman"/>
                <w:sz w:val="24"/>
                <w:szCs w:val="24"/>
              </w:rPr>
              <w:t>″。</w:t>
            </w:r>
            <w:r>
              <w:rPr>
                <w:rFonts w:hint="eastAsia" w:ascii="Times New Roman" w:hAnsi="Times New Roman" w:cs="Times New Roman"/>
                <w:sz w:val="24"/>
                <w:szCs w:val="24"/>
              </w:rPr>
              <w:t>大致呈东西走向，途径小坪子后沿布格公路东西向走向，经赵家村、象鼻村，终点至金家包200m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55.606</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3.110</w:t>
            </w: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建设项目</w:t>
            </w:r>
          </w:p>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行业类别</w:t>
            </w:r>
          </w:p>
        </w:tc>
        <w:tc>
          <w:tcPr>
            <w:tcW w:w="2410" w:type="dxa"/>
            <w:tcBorders>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五十一、水利；12</w:t>
            </w:r>
            <w:r>
              <w:rPr>
                <w:rFonts w:hint="eastAsia" w:ascii="Times New Roman" w:hAnsi="Times New Roman" w:cs="Times New Roman"/>
                <w:sz w:val="24"/>
              </w:rPr>
              <w:t>6引水</w:t>
            </w:r>
            <w:r>
              <w:rPr>
                <w:rFonts w:ascii="Times New Roman" w:hAnsi="Times New Roman" w:cs="Times New Roman"/>
                <w:sz w:val="24"/>
              </w:rPr>
              <w:t>工程中的其他</w:t>
            </w:r>
          </w:p>
        </w:tc>
        <w:tc>
          <w:tcPr>
            <w:tcW w:w="1984" w:type="dxa"/>
            <w:tcBorders>
              <w:left w:val="single" w:color="auto" w:sz="4" w:space="0"/>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用地（用海）面积（m</w:t>
            </w:r>
            <w:r>
              <w:rPr>
                <w:rFonts w:ascii="Times New Roman" w:hAnsi="Times New Roman" w:cs="Times New Roman"/>
                <w:sz w:val="24"/>
                <w:vertAlign w:val="superscript"/>
              </w:rPr>
              <w:t>2</w:t>
            </w:r>
            <w:r>
              <w:rPr>
                <w:rFonts w:ascii="Times New Roman" w:hAnsi="Times New Roman" w:cs="Times New Roman"/>
                <w:sz w:val="24"/>
              </w:rPr>
              <w:t>）/长度（km）</w:t>
            </w:r>
          </w:p>
        </w:tc>
        <w:tc>
          <w:tcPr>
            <w:tcW w:w="3022" w:type="dxa"/>
            <w:tcBorders>
              <w:left w:val="single" w:color="auto" w:sz="4" w:space="0"/>
            </w:tcBorders>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（1）总占地面积21.07亩，其中永久占地16.93亩，临时占地4.14亩。</w:t>
            </w:r>
          </w:p>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（2）供水主管总长4757.3m，配水主管总长2940m，配水支管7380m。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cs="宋体"/>
                <w:sz w:val="24"/>
              </w:rPr>
            </w:pPr>
            <w:r>
              <w:rPr>
                <w:rFonts w:hint="eastAsia" w:cs="宋体"/>
                <w:sz w:val="24"/>
              </w:rPr>
              <w:t>建设性质</w:t>
            </w:r>
          </w:p>
        </w:tc>
        <w:tc>
          <w:tcPr>
            <w:tcW w:w="2410" w:type="dxa"/>
            <w:tcBorders>
              <w:right w:val="single" w:color="auto" w:sz="4" w:space="0"/>
            </w:tcBorders>
            <w:vAlign w:val="center"/>
          </w:tcPr>
          <w:p>
            <w:pPr>
              <w:adjustRightInd w:val="0"/>
              <w:snapToGrid w:val="0"/>
              <w:spacing w:line="360" w:lineRule="exact"/>
              <w:jc w:val="left"/>
              <w:rPr>
                <w:sz w:val="24"/>
              </w:rPr>
            </w:pPr>
            <w:r>
              <w:rPr>
                <w:sz w:val="24"/>
              </w:rPr>
              <w:sym w:font="Wingdings 2" w:char="0052"/>
            </w:r>
            <w:r>
              <w:rPr>
                <w:rFonts w:hint="eastAsia"/>
                <w:sz w:val="24"/>
              </w:rPr>
              <w:t xml:space="preserve"> </w:t>
            </w:r>
            <w:r>
              <w:rPr>
                <w:sz w:val="24"/>
              </w:rPr>
              <w:t>新建（迁建）</w:t>
            </w:r>
          </w:p>
          <w:p>
            <w:pPr>
              <w:adjustRightInd w:val="0"/>
              <w:snapToGrid w:val="0"/>
              <w:spacing w:line="360" w:lineRule="exact"/>
              <w:jc w:val="left"/>
              <w:rPr>
                <w:sz w:val="24"/>
              </w:rPr>
            </w:pPr>
            <w:r>
              <w:rPr>
                <w:rFonts w:hint="eastAsia" w:cs="宋体"/>
                <w:sz w:val="24"/>
              </w:rPr>
              <w:t xml:space="preserve">□ </w:t>
            </w:r>
            <w:r>
              <w:rPr>
                <w:sz w:val="24"/>
              </w:rPr>
              <w:t>改建</w:t>
            </w:r>
          </w:p>
          <w:p>
            <w:pPr>
              <w:adjustRightInd w:val="0"/>
              <w:snapToGrid w:val="0"/>
              <w:spacing w:line="360" w:lineRule="exact"/>
              <w:jc w:val="left"/>
              <w:rPr>
                <w:sz w:val="24"/>
              </w:rPr>
            </w:pPr>
            <w:r>
              <w:rPr>
                <w:rFonts w:hint="eastAsia" w:cs="宋体"/>
                <w:sz w:val="24"/>
              </w:rPr>
              <w:t xml:space="preserve">□ </w:t>
            </w:r>
            <w:r>
              <w:rPr>
                <w:sz w:val="24"/>
              </w:rPr>
              <w:t>扩建</w:t>
            </w:r>
          </w:p>
          <w:p>
            <w:pPr>
              <w:adjustRightInd w:val="0"/>
              <w:snapToGrid w:val="0"/>
              <w:spacing w:line="360" w:lineRule="exact"/>
              <w:jc w:val="left"/>
              <w:rPr>
                <w:sz w:val="24"/>
              </w:rPr>
            </w:pPr>
            <w:r>
              <w:rPr>
                <w:rFonts w:hint="eastAsia" w:cs="宋体"/>
                <w:sz w:val="24"/>
              </w:rPr>
              <w:t xml:space="preserve">□ </w:t>
            </w:r>
            <w:r>
              <w:rPr>
                <w:sz w:val="24"/>
              </w:rPr>
              <w:t>技术改造</w:t>
            </w:r>
          </w:p>
        </w:tc>
        <w:tc>
          <w:tcPr>
            <w:tcW w:w="1984" w:type="dxa"/>
            <w:tcBorders>
              <w:left w:val="single" w:color="auto" w:sz="4" w:space="0"/>
              <w:right w:val="single" w:color="auto" w:sz="4" w:space="0"/>
            </w:tcBorders>
            <w:vAlign w:val="center"/>
          </w:tcPr>
          <w:p>
            <w:pPr>
              <w:adjustRightInd w:val="0"/>
              <w:snapToGrid w:val="0"/>
              <w:spacing w:line="360" w:lineRule="exact"/>
              <w:jc w:val="center"/>
              <w:rPr>
                <w:sz w:val="24"/>
              </w:rPr>
            </w:pPr>
            <w:r>
              <w:rPr>
                <w:sz w:val="24"/>
              </w:rPr>
              <w:t>建设项目</w:t>
            </w:r>
          </w:p>
          <w:p>
            <w:pPr>
              <w:adjustRightInd w:val="0"/>
              <w:snapToGrid w:val="0"/>
              <w:spacing w:line="360" w:lineRule="exact"/>
              <w:jc w:val="center"/>
              <w:rPr>
                <w:sz w:val="24"/>
              </w:rPr>
            </w:pPr>
            <w:r>
              <w:rPr>
                <w:sz w:val="24"/>
              </w:rPr>
              <w:t>申报情形</w:t>
            </w:r>
          </w:p>
        </w:tc>
        <w:tc>
          <w:tcPr>
            <w:tcW w:w="3022" w:type="dxa"/>
            <w:tcBorders>
              <w:left w:val="single" w:color="auto" w:sz="4" w:space="0"/>
            </w:tcBorders>
            <w:vAlign w:val="center"/>
          </w:tcPr>
          <w:p>
            <w:pPr>
              <w:adjustRightInd w:val="0"/>
              <w:snapToGrid w:val="0"/>
              <w:spacing w:line="360" w:lineRule="exact"/>
              <w:jc w:val="left"/>
              <w:rPr>
                <w:sz w:val="24"/>
              </w:rPr>
            </w:pPr>
            <w:r>
              <w:rPr>
                <w:sz w:val="24"/>
              </w:rPr>
              <w:sym w:font="Wingdings 2" w:char="0052"/>
            </w:r>
            <w:r>
              <w:rPr>
                <w:sz w:val="24"/>
              </w:rPr>
              <w:t>首次申报项目</w:t>
            </w:r>
          </w:p>
          <w:p>
            <w:pPr>
              <w:adjustRightInd w:val="0"/>
              <w:snapToGrid w:val="0"/>
              <w:spacing w:line="360" w:lineRule="exact"/>
              <w:jc w:val="left"/>
              <w:rPr>
                <w:sz w:val="24"/>
              </w:rPr>
            </w:pPr>
            <w:r>
              <w:rPr>
                <w:rFonts w:hint="eastAsia" w:cs="宋体"/>
                <w:sz w:val="24"/>
              </w:rPr>
              <w:t xml:space="preserve">□ </w:t>
            </w:r>
            <w:r>
              <w:rPr>
                <w:sz w:val="24"/>
              </w:rPr>
              <w:t>不予批准后再次申报项目</w:t>
            </w:r>
          </w:p>
          <w:p>
            <w:pPr>
              <w:adjustRightInd w:val="0"/>
              <w:snapToGrid w:val="0"/>
              <w:spacing w:line="360" w:lineRule="exact"/>
              <w:jc w:val="left"/>
              <w:rPr>
                <w:sz w:val="24"/>
              </w:rPr>
            </w:pPr>
            <w:r>
              <w:rPr>
                <w:rFonts w:hint="eastAsia" w:cs="宋体"/>
                <w:sz w:val="24"/>
              </w:rPr>
              <w:t xml:space="preserve">□ </w:t>
            </w:r>
            <w:r>
              <w:rPr>
                <w:sz w:val="24"/>
              </w:rPr>
              <w:t>超五年重新审核项目</w:t>
            </w:r>
          </w:p>
          <w:p>
            <w:pPr>
              <w:adjustRightInd w:val="0"/>
              <w:snapToGrid w:val="0"/>
              <w:spacing w:line="360" w:lineRule="exact"/>
              <w:rPr>
                <w:sz w:val="24"/>
              </w:rPr>
            </w:pPr>
            <w:r>
              <w:rPr>
                <w:rFonts w:hint="eastAsia" w:cs="宋体"/>
                <w:sz w:val="24"/>
              </w:rPr>
              <w:t xml:space="preserve">□ </w:t>
            </w:r>
            <w:r>
              <w:rPr>
                <w:sz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项目审批（核准/备案）部门（选填）</w:t>
            </w:r>
          </w:p>
        </w:tc>
        <w:tc>
          <w:tcPr>
            <w:tcW w:w="2410" w:type="dxa"/>
            <w:tcBorders>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昆明市东川区发展和改革局</w:t>
            </w:r>
          </w:p>
        </w:tc>
        <w:tc>
          <w:tcPr>
            <w:tcW w:w="1984" w:type="dxa"/>
            <w:tcBorders>
              <w:left w:val="single" w:color="auto" w:sz="4" w:space="0"/>
              <w:right w:val="single" w:color="auto" w:sz="4" w:space="0"/>
            </w:tcBorders>
            <w:vAlign w:val="center"/>
          </w:tcPr>
          <w:p>
            <w:pPr>
              <w:adjustRightInd w:val="0"/>
              <w:snapToGrid w:val="0"/>
              <w:spacing w:line="360" w:lineRule="exact"/>
              <w:rPr>
                <w:rFonts w:ascii="Times New Roman" w:hAnsi="Times New Roman" w:cs="Times New Roman"/>
                <w:sz w:val="24"/>
              </w:rPr>
            </w:pPr>
            <w:r>
              <w:rPr>
                <w:rFonts w:ascii="Times New Roman" w:hAnsi="Times New Roman" w:cs="Times New Roman"/>
                <w:sz w:val="24"/>
              </w:rPr>
              <w:t>项目审批（核准/备案）文号（选填）</w:t>
            </w:r>
          </w:p>
        </w:tc>
        <w:tc>
          <w:tcPr>
            <w:tcW w:w="3022" w:type="dxa"/>
            <w:tcBorders>
              <w:lef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东发改复[2023]73号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总投资（万元）</w:t>
            </w:r>
          </w:p>
        </w:tc>
        <w:tc>
          <w:tcPr>
            <w:tcW w:w="2410" w:type="dxa"/>
            <w:tcBorders>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16</w:t>
            </w:r>
            <w:r>
              <w:rPr>
                <w:rFonts w:hint="eastAsia" w:ascii="Times New Roman" w:hAnsi="Times New Roman" w:cs="Times New Roman"/>
                <w:sz w:val="24"/>
              </w:rPr>
              <w:t>86.78</w:t>
            </w:r>
          </w:p>
        </w:tc>
        <w:tc>
          <w:tcPr>
            <w:tcW w:w="1984" w:type="dxa"/>
            <w:tcBorders>
              <w:left w:val="single" w:color="auto" w:sz="4" w:space="0"/>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环保投资（万元）</w:t>
            </w:r>
          </w:p>
        </w:tc>
        <w:tc>
          <w:tcPr>
            <w:tcW w:w="3022" w:type="dxa"/>
            <w:tcBorders>
              <w:lef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环保投资占比（%）</w:t>
            </w:r>
          </w:p>
        </w:tc>
        <w:tc>
          <w:tcPr>
            <w:tcW w:w="2410" w:type="dxa"/>
            <w:tcBorders>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5.49</w:t>
            </w:r>
          </w:p>
        </w:tc>
        <w:tc>
          <w:tcPr>
            <w:tcW w:w="1984" w:type="dxa"/>
            <w:tcBorders>
              <w:left w:val="single" w:color="auto" w:sz="4" w:space="0"/>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施工工期</w:t>
            </w:r>
          </w:p>
        </w:tc>
        <w:tc>
          <w:tcPr>
            <w:tcW w:w="3022" w:type="dxa"/>
            <w:tcBorders>
              <w:lef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cs="宋体"/>
                <w:sz w:val="24"/>
              </w:rPr>
            </w:pPr>
            <w:r>
              <w:rPr>
                <w:rFonts w:hint="eastAsia" w:cs="宋体"/>
                <w:sz w:val="24"/>
              </w:rPr>
              <w:t>是否开工建设</w:t>
            </w:r>
          </w:p>
        </w:tc>
        <w:tc>
          <w:tcPr>
            <w:tcW w:w="7416" w:type="dxa"/>
            <w:gridSpan w:val="3"/>
            <w:vAlign w:val="center"/>
          </w:tcPr>
          <w:p>
            <w:pPr>
              <w:adjustRightInd w:val="0"/>
              <w:snapToGrid w:val="0"/>
              <w:spacing w:line="360" w:lineRule="exact"/>
              <w:rPr>
                <w:rFonts w:cs="宋体"/>
                <w:sz w:val="24"/>
              </w:rPr>
            </w:pPr>
            <w:r>
              <w:rPr>
                <w:rFonts w:hint="eastAsia" w:cs="宋体"/>
                <w:sz w:val="24"/>
              </w:rPr>
              <w:t xml:space="preserve"> </w:t>
            </w:r>
            <w:r>
              <w:rPr>
                <w:sz w:val="24"/>
              </w:rPr>
              <w:sym w:font="Wingdings 2" w:char="0052"/>
            </w:r>
            <w:r>
              <w:rPr>
                <w:rFonts w:hint="eastAsia" w:cs="宋体"/>
                <w:sz w:val="24"/>
              </w:rPr>
              <w:t>否</w:t>
            </w:r>
          </w:p>
          <w:p>
            <w:pPr>
              <w:adjustRightInd w:val="0"/>
              <w:snapToGrid w:val="0"/>
              <w:spacing w:line="360" w:lineRule="exact"/>
              <w:ind w:firstLine="92"/>
              <w:rPr>
                <w:rFonts w:cs="宋体"/>
                <w:sz w:val="24"/>
              </w:rPr>
            </w:pPr>
            <w:r>
              <w:rPr>
                <w:rFonts w:hint="eastAsia" w:cs="宋体"/>
                <w:sz w:val="24"/>
              </w:rPr>
              <w:t>□ 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专项评价设置情况</w:t>
            </w:r>
          </w:p>
        </w:tc>
        <w:tc>
          <w:tcPr>
            <w:tcW w:w="8550" w:type="dxa"/>
            <w:gridSpan w:val="4"/>
            <w:vAlign w:val="center"/>
          </w:tcPr>
          <w:p>
            <w:pPr>
              <w:spacing w:beforeLines="50" w:line="360" w:lineRule="auto"/>
              <w:ind w:firstLine="480" w:firstLineChars="200"/>
              <w:rPr>
                <w:rFonts w:ascii="Times New Roman" w:hAnsi="Times New Roman" w:cs="Times New Roman"/>
                <w:sz w:val="24"/>
              </w:rPr>
            </w:pPr>
            <w:r>
              <w:rPr>
                <w:rFonts w:ascii="Times New Roman" w:hAnsi="Times New Roman" w:cs="Times New Roman"/>
                <w:sz w:val="24"/>
              </w:rPr>
              <w:t>根据《建设项目环境影响报告表编制技术指南》（生态影响类）（试行）“表1专项评价设置原则表”的要求，</w:t>
            </w:r>
            <w:r>
              <w:rPr>
                <w:rFonts w:hint="eastAsia" w:ascii="Times New Roman" w:hAnsi="Times New Roman" w:cs="Times New Roman"/>
                <w:sz w:val="24"/>
              </w:rPr>
              <w:t>本项目属于引水工程，主要为“光伏泵站+提水管道+新建高位水池”的模式为灌区供水，需设置地表水环境影响专项评价。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规划情况</w:t>
            </w:r>
          </w:p>
        </w:tc>
        <w:tc>
          <w:tcPr>
            <w:tcW w:w="8550" w:type="dxa"/>
            <w:gridSpan w:val="4"/>
            <w:tcBorders>
              <w:left w:val="single" w:color="auto" w:sz="4" w:space="0"/>
            </w:tcBorders>
            <w:vAlign w:val="center"/>
          </w:tcPr>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规划环境影响评价情况</w:t>
            </w:r>
          </w:p>
        </w:tc>
        <w:tc>
          <w:tcPr>
            <w:tcW w:w="8550" w:type="dxa"/>
            <w:gridSpan w:val="4"/>
            <w:tcBorders>
              <w:left w:val="single" w:color="auto" w:sz="4" w:space="0"/>
            </w:tcBorders>
            <w:vAlign w:val="center"/>
          </w:tcPr>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规划及规划环境影响评价符合性分析</w:t>
            </w:r>
          </w:p>
        </w:tc>
        <w:tc>
          <w:tcPr>
            <w:tcW w:w="8550" w:type="dxa"/>
            <w:gridSpan w:val="4"/>
            <w:tcBorders>
              <w:left w:val="single" w:color="auto" w:sz="4" w:space="0"/>
            </w:tcBorders>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其他符合性分析</w:t>
            </w:r>
          </w:p>
        </w:tc>
        <w:tc>
          <w:tcPr>
            <w:tcW w:w="8550" w:type="dxa"/>
            <w:gridSpan w:val="4"/>
            <w:tcBorders>
              <w:left w:val="single" w:color="auto" w:sz="4" w:space="0"/>
            </w:tcBorders>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根据《建设项目环境影响报告表编制技术指南》（生态影响类）（试行）的要求，其他符合性包括“三线一单”符合性、生态环境保护法律法规政策符合性和生态环境保护规划的符合性，具体如下</w:t>
            </w:r>
            <w:r>
              <w:rPr>
                <w:rFonts w:hint="eastAsia" w:ascii="Times New Roman" w:hAnsi="Times New Roman" w:cs="Times New Roman"/>
                <w:sz w:val="24"/>
                <w:szCs w:val="24"/>
              </w:rPr>
              <w:t>：</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（1）产业政策符合性分析</w:t>
            </w:r>
          </w:p>
          <w:p>
            <w:pPr>
              <w:spacing w:line="360" w:lineRule="auto"/>
              <w:ind w:firstLine="360" w:firstLineChars="150"/>
              <w:rPr>
                <w:rFonts w:ascii="Times New Roman" w:hAnsi="Times New Roman" w:cs="Times New Roman"/>
                <w:b/>
                <w:sz w:val="24"/>
                <w:szCs w:val="24"/>
              </w:rPr>
            </w:pPr>
            <w:r>
              <w:rPr>
                <w:rFonts w:hint="eastAsia" w:ascii="Times New Roman" w:hAnsi="Times New Roman" w:cs="Times New Roman"/>
                <w:sz w:val="24"/>
                <w:szCs w:val="24"/>
              </w:rPr>
              <w:t>本项目属于</w:t>
            </w:r>
            <w:r>
              <w:rPr>
                <w:rFonts w:hint="eastAsia" w:ascii="Times New Roman" w:hAnsi="Times New Roman" w:cs="Times New Roman"/>
                <w:sz w:val="24"/>
              </w:rPr>
              <w:t>引水</w:t>
            </w:r>
            <w:r>
              <w:rPr>
                <w:rFonts w:hint="eastAsia" w:ascii="Times New Roman" w:hAnsi="Times New Roman" w:cs="Times New Roman"/>
                <w:sz w:val="24"/>
                <w:szCs w:val="24"/>
              </w:rPr>
              <w:t>工程项目，根据《产业结构调整指导目录（2019年本）》，该项目属于鼓励类中二、水利中“3、城乡供水水源工程”，同时项目已取得昆明市东川区发展和改革局关于拖布卡镇象鼻村产业发展光伏提水项目实施方案（代可行性研究报告）的批复（东发改复[2023]73号），</w:t>
            </w:r>
            <w:r>
              <w:rPr>
                <w:rFonts w:ascii="Times New Roman" w:hAnsi="Times New Roman" w:cs="Times New Roman"/>
                <w:sz w:val="24"/>
                <w:szCs w:val="24"/>
              </w:rPr>
              <w:t>项目代码：</w:t>
            </w:r>
            <w:r>
              <w:rPr>
                <w:rFonts w:hint="eastAsia" w:ascii="Times New Roman" w:hAnsi="Times New Roman" w:cs="Times New Roman"/>
                <w:sz w:val="24"/>
                <w:lang w:eastAsia="zh-CN"/>
              </w:rPr>
              <w:t>****</w:t>
            </w:r>
            <w:r>
              <w:rPr>
                <w:rFonts w:ascii="Times New Roman" w:hAnsi="Times New Roman" w:cs="Times New Roman"/>
                <w:sz w:val="24"/>
              </w:rPr>
              <w:t>-</w:t>
            </w:r>
            <w:r>
              <w:rPr>
                <w:rFonts w:hint="eastAsia" w:ascii="Times New Roman" w:hAnsi="Times New Roman" w:cs="Times New Roman"/>
                <w:sz w:val="24"/>
                <w:lang w:eastAsia="zh-CN"/>
              </w:rPr>
              <w:t>******</w:t>
            </w:r>
            <w:r>
              <w:rPr>
                <w:rFonts w:ascii="Times New Roman" w:hAnsi="Times New Roman" w:cs="Times New Roman"/>
                <w:sz w:val="24"/>
              </w:rPr>
              <w:t>-04-01-</w:t>
            </w:r>
            <w:r>
              <w:rPr>
                <w:rFonts w:hint="eastAsia" w:ascii="Times New Roman" w:hAnsi="Times New Roman" w:cs="Times New Roman"/>
                <w:sz w:val="24"/>
                <w:lang w:eastAsia="zh-CN"/>
              </w:rPr>
              <w:t>******</w:t>
            </w:r>
            <w:r>
              <w:rPr>
                <w:rFonts w:hint="eastAsia" w:ascii="Times New Roman" w:hAnsi="Times New Roman" w:cs="Times New Roman"/>
                <w:sz w:val="24"/>
                <w:szCs w:val="24"/>
              </w:rPr>
              <w:t>。</w:t>
            </w:r>
            <w:r>
              <w:rPr>
                <w:rFonts w:ascii="Times New Roman" w:hAnsi="Times New Roman" w:cs="Times New Roman"/>
                <w:sz w:val="24"/>
                <w:szCs w:val="24"/>
              </w:rPr>
              <w:t>故项目的建设符合国家和地方现行的产业政策要求。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2</w:t>
            </w:r>
            <w:r>
              <w:rPr>
                <w:rFonts w:ascii="Times New Roman" w:hAnsi="Times New Roman" w:cs="Times New Roman"/>
                <w:b/>
                <w:sz w:val="24"/>
                <w:szCs w:val="24"/>
              </w:rPr>
              <w:t>）“三线一单”符合性分析</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昆明市人民政府已发布《昆明市人民政府关于昆明市“三线一单” 生态环境分区管控的实施意见》，该项目符合性分析具体如下：</w:t>
            </w:r>
          </w:p>
          <w:p>
            <w:pPr>
              <w:spacing w:line="360" w:lineRule="auto"/>
              <w:ind w:firstLine="481" w:firstLineChars="200"/>
              <w:rPr>
                <w:rFonts w:ascii="Times New Roman" w:cs="Times New Roman" w:hAnsiTheme="minorEastAsia"/>
                <w:b/>
                <w:sz w:val="24"/>
                <w:szCs w:val="24"/>
              </w:rPr>
            </w:pPr>
            <w:r>
              <w:rPr>
                <w:rFonts w:hint="eastAsia" w:ascii="Times New Roman" w:cs="Times New Roman" w:hAnsiTheme="minorEastAsia"/>
                <w:b/>
                <w:sz w:val="24"/>
                <w:szCs w:val="24"/>
              </w:rPr>
              <w:t>①</w:t>
            </w:r>
            <w:r>
              <w:rPr>
                <w:rFonts w:ascii="Times New Roman" w:cs="Times New Roman" w:hAnsiTheme="minorEastAsia"/>
                <w:b/>
                <w:sz w:val="24"/>
                <w:szCs w:val="24"/>
              </w:rPr>
              <w:t>生态保护红线和一般生态空间</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又《昆明市人民政府关于昆明市“三线一单”生态环境分区管控的实施意见》明确将“</w:t>
            </w:r>
            <w:r>
              <w:rPr>
                <w:rFonts w:ascii="Times New Roman" w:cs="Times New Roman" w:hAnsiTheme="minorEastAsia"/>
                <w:sz w:val="24"/>
              </w:rPr>
              <w:t>将未划入生态保护红线的自然保护地、饮用水水源保护区、重要湿地、基本草原、生态公益林、天然林等生态功能重要、生态环境敏感区域划为一般生态空间</w:t>
            </w:r>
            <w:r>
              <w:rPr>
                <w:rFonts w:hint="eastAsia" w:ascii="Times New Roman" w:cs="Times New Roman" w:hAnsiTheme="minorEastAsia"/>
                <w:sz w:val="24"/>
              </w:rPr>
              <w:t>”，该项目位于</w:t>
            </w:r>
            <w:r>
              <w:rPr>
                <w:rFonts w:ascii="Times New Roman" w:cs="Times New Roman" w:hAnsiTheme="minorEastAsia"/>
                <w:sz w:val="24"/>
              </w:rPr>
              <w:t>昆明市</w:t>
            </w:r>
            <w:r>
              <w:rPr>
                <w:rFonts w:hint="eastAsia" w:ascii="Times New Roman" w:cs="Times New Roman" w:hAnsiTheme="minorEastAsia"/>
                <w:sz w:val="24"/>
              </w:rPr>
              <w:t>东川区拖布卡镇象鼻村，根据昆明市东川区自然资源局出具的文件（具体见附件），项目范围与生态保护红线无冲突，不占用永久基本农田，项目不涉及</w:t>
            </w:r>
            <w:r>
              <w:rPr>
                <w:rFonts w:ascii="Times New Roman" w:cs="Times New Roman" w:hAnsiTheme="minorEastAsia"/>
                <w:sz w:val="24"/>
              </w:rPr>
              <w:t>饮用水水源保护区</w:t>
            </w:r>
            <w:r>
              <w:rPr>
                <w:rFonts w:hint="eastAsia" w:ascii="Times New Roman" w:cs="Times New Roman" w:hAnsiTheme="minorEastAsia"/>
                <w:sz w:val="24"/>
              </w:rPr>
              <w:t>，同时根据调查，项目所在地不涉及</w:t>
            </w:r>
            <w:r>
              <w:rPr>
                <w:rFonts w:ascii="Times New Roman" w:cs="Times New Roman" w:hAnsiTheme="minorEastAsia"/>
                <w:sz w:val="24"/>
              </w:rPr>
              <w:t>自然保护地、重要湿地、基本草原、生态公益林、天然林等生态功能重要、生态环境敏感区</w:t>
            </w:r>
            <w:r>
              <w:rPr>
                <w:rFonts w:hint="eastAsia" w:ascii="Times New Roman" w:cs="Times New Roman" w:hAnsiTheme="minorEastAsia"/>
                <w:sz w:val="24"/>
              </w:rPr>
              <w:t>，因此项目建设不涉及一般生态空间。</w:t>
            </w:r>
          </w:p>
          <w:p>
            <w:pPr>
              <w:spacing w:line="360" w:lineRule="auto"/>
              <w:ind w:firstLine="481" w:firstLineChars="200"/>
              <w:rPr>
                <w:rFonts w:ascii="Times New Roman" w:hAnsi="Times New Roman" w:cs="Times New Roman"/>
                <w:b/>
                <w:sz w:val="24"/>
              </w:rPr>
            </w:pPr>
            <w:r>
              <w:rPr>
                <w:rFonts w:hint="eastAsia" w:ascii="宋体" w:hAnsi="宋体" w:eastAsia="宋体" w:cs="宋体"/>
                <w:b/>
                <w:sz w:val="24"/>
              </w:rPr>
              <w:t>②</w:t>
            </w:r>
            <w:r>
              <w:rPr>
                <w:rFonts w:ascii="Times New Roman" w:hAnsi="Times New Roman" w:cs="Times New Roman"/>
                <w:b/>
                <w:sz w:val="24"/>
              </w:rPr>
              <w:t>环境质量底线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《昆明市人民政府关于昆明市“三线一单”生态环境分区管控的实施意见》对环境质量底线设定了2025年和2035年两个目标，该项目位于</w:t>
            </w:r>
            <w:r>
              <w:rPr>
                <w:rFonts w:ascii="Times New Roman" w:cs="Times New Roman" w:hAnsiTheme="minorEastAsia"/>
                <w:sz w:val="24"/>
              </w:rPr>
              <w:t>昆明市</w:t>
            </w:r>
            <w:r>
              <w:rPr>
                <w:rFonts w:hint="eastAsia" w:ascii="Times New Roman" w:cs="Times New Roman" w:hAnsiTheme="minorEastAsia"/>
                <w:sz w:val="24"/>
              </w:rPr>
              <w:t>东川区拖布卡镇象鼻村，环境质量底线和该项目相关的要求及符合性分析如下：</w:t>
            </w:r>
          </w:p>
          <w:p>
            <w:pPr>
              <w:spacing w:line="360" w:lineRule="auto"/>
              <w:ind w:firstLine="481"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1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⑴</w:t>
            </w:r>
            <w:r>
              <w:rPr>
                <w:rFonts w:ascii="Times New Roman" w:cs="Times New Roman" w:hAnsiTheme="minorEastAsia"/>
                <w:b/>
                <w:sz w:val="24"/>
              </w:rPr>
              <w:fldChar w:fldCharType="end"/>
            </w:r>
            <w:r>
              <w:rPr>
                <w:rFonts w:hint="eastAsia" w:ascii="Times New Roman" w:cs="Times New Roman" w:hAnsiTheme="minorEastAsia"/>
                <w:b/>
                <w:sz w:val="24"/>
              </w:rPr>
              <w:t>生态环境质量</w:t>
            </w:r>
            <w:r>
              <w:rPr>
                <w:rFonts w:ascii="Times New Roman" w:cs="Times New Roman" w:hAnsiTheme="minorEastAsia"/>
                <w:b/>
                <w:sz w:val="24"/>
              </w:rPr>
              <w:t>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根据调查，项目的建设不涉及到</w:t>
            </w:r>
            <w:r>
              <w:rPr>
                <w:rFonts w:ascii="Times New Roman" w:cs="Times New Roman" w:hAnsiTheme="minorEastAsia"/>
                <w:sz w:val="24"/>
              </w:rPr>
              <w:t>生态保护红线和一般生态空间</w:t>
            </w:r>
            <w:r>
              <w:rPr>
                <w:rFonts w:hint="eastAsia" w:ascii="Times New Roman" w:cs="Times New Roman" w:hAnsiTheme="minorEastAsia"/>
                <w:sz w:val="24"/>
              </w:rPr>
              <w:t>，因此项目建设和生态环境质量底线不冲突。且项目为</w:t>
            </w:r>
            <w:r>
              <w:rPr>
                <w:rFonts w:hint="eastAsia" w:ascii="Times New Roman" w:hAnsi="Times New Roman" w:cs="Times New Roman"/>
                <w:sz w:val="24"/>
              </w:rPr>
              <w:t>引水</w:t>
            </w:r>
            <w:r>
              <w:rPr>
                <w:rFonts w:hint="eastAsia" w:ascii="Times New Roman" w:hAnsi="Times New Roman" w:cs="Times New Roman"/>
                <w:sz w:val="24"/>
                <w:szCs w:val="24"/>
              </w:rPr>
              <w:t>工程项目，</w:t>
            </w:r>
            <w:r>
              <w:rPr>
                <w:rFonts w:hint="eastAsia" w:ascii="Times New Roman" w:cs="Times New Roman" w:hAnsiTheme="minorEastAsia"/>
                <w:sz w:val="24"/>
              </w:rPr>
              <w:t>属于水利类</w:t>
            </w:r>
            <w:r>
              <w:rPr>
                <w:rFonts w:hint="eastAsia" w:ascii="Times New Roman" w:hAnsi="Times New Roman" w:cs="Times New Roman"/>
                <w:sz w:val="24"/>
              </w:rPr>
              <w:t>引水</w:t>
            </w:r>
            <w:r>
              <w:rPr>
                <w:rFonts w:hint="eastAsia" w:ascii="Times New Roman" w:cs="Times New Roman" w:hAnsiTheme="minorEastAsia"/>
                <w:sz w:val="24"/>
              </w:rPr>
              <w:t>工程项目，施工期结束后其不利环境影响结束，因此，项目建设</w:t>
            </w:r>
            <w:r>
              <w:rPr>
                <w:rFonts w:ascii="Times New Roman" w:cs="Times New Roman" w:hAnsiTheme="minorEastAsia"/>
                <w:sz w:val="24"/>
              </w:rPr>
              <w:t>不会改变区域</w:t>
            </w:r>
            <w:r>
              <w:rPr>
                <w:rFonts w:hint="eastAsia" w:ascii="Times New Roman" w:cs="Times New Roman" w:hAnsiTheme="minorEastAsia"/>
                <w:sz w:val="24"/>
              </w:rPr>
              <w:t>生态</w:t>
            </w:r>
            <w:r>
              <w:rPr>
                <w:rFonts w:ascii="Times New Roman" w:cs="Times New Roman" w:hAnsiTheme="minorEastAsia"/>
                <w:sz w:val="24"/>
              </w:rPr>
              <w:t>环境质量功能要求。</w:t>
            </w:r>
          </w:p>
          <w:p>
            <w:pPr>
              <w:spacing w:line="360" w:lineRule="auto"/>
              <w:ind w:firstLine="481"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2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⑵</w:t>
            </w:r>
            <w:r>
              <w:rPr>
                <w:rFonts w:ascii="Times New Roman" w:cs="Times New Roman" w:hAnsiTheme="minorEastAsia"/>
                <w:b/>
                <w:sz w:val="24"/>
              </w:rPr>
              <w:fldChar w:fldCharType="end"/>
            </w:r>
            <w:r>
              <w:rPr>
                <w:rFonts w:hint="eastAsia" w:ascii="Times New Roman" w:cs="Times New Roman" w:hAnsiTheme="minorEastAsia"/>
                <w:b/>
                <w:sz w:val="24"/>
              </w:rPr>
              <w:t>环境空气环境质量</w:t>
            </w:r>
            <w:r>
              <w:rPr>
                <w:rFonts w:ascii="Times New Roman" w:cs="Times New Roman" w:hAnsiTheme="minorEastAsia"/>
                <w:b/>
                <w:sz w:val="24"/>
              </w:rPr>
              <w:t>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到2025年，全市环境空气质量总体保持优良，主城建成区空气质量优良天数占比达99%以上，二氧化硫（SO</w:t>
            </w:r>
            <w:r>
              <w:rPr>
                <w:rFonts w:ascii="Times New Roman" w:cs="Times New Roman" w:hAnsiTheme="minorEastAsia"/>
                <w:sz w:val="24"/>
                <w:vertAlign w:val="subscript"/>
              </w:rPr>
              <w:t>2</w:t>
            </w:r>
            <w:r>
              <w:rPr>
                <w:rFonts w:ascii="Times New Roman" w:cs="Times New Roman" w:hAnsiTheme="minorEastAsia"/>
                <w:sz w:val="24"/>
              </w:rPr>
              <w:t>）和氮氧化物（NO</w:t>
            </w:r>
            <w:r>
              <w:rPr>
                <w:rFonts w:hint="eastAsia" w:ascii="Times New Roman" w:cs="Times New Roman" w:hAnsiTheme="minorEastAsia"/>
                <w:sz w:val="24"/>
              </w:rPr>
              <w:t>x</w:t>
            </w:r>
            <w:r>
              <w:rPr>
                <w:rFonts w:ascii="Times New Roman" w:cs="Times New Roman" w:hAnsiTheme="minorEastAsia"/>
                <w:sz w:val="24"/>
              </w:rPr>
              <w:t>）排放总量控制在省下达的目标以内，主城区空气中颗粒物（PM</w:t>
            </w:r>
            <w:r>
              <w:rPr>
                <w:rFonts w:ascii="Times New Roman" w:cs="Times New Roman" w:hAnsiTheme="minorEastAsia"/>
                <w:sz w:val="24"/>
                <w:vertAlign w:val="subscript"/>
              </w:rPr>
              <w:t>10</w:t>
            </w:r>
            <w:r>
              <w:rPr>
                <w:rFonts w:ascii="Times New Roman" w:cs="Times New Roman" w:hAnsiTheme="minorEastAsia"/>
                <w:sz w:val="24"/>
              </w:rPr>
              <w:t>、PM</w:t>
            </w:r>
            <w:r>
              <w:rPr>
                <w:rFonts w:ascii="Times New Roman" w:cs="Times New Roman" w:hAnsiTheme="minorEastAsia"/>
                <w:sz w:val="24"/>
                <w:vertAlign w:val="subscript"/>
              </w:rPr>
              <w:t>2.5</w:t>
            </w:r>
            <w:r>
              <w:rPr>
                <w:rFonts w:ascii="Times New Roman" w:cs="Times New Roman" w:hAnsiTheme="minorEastAsia"/>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sz w:val="24"/>
              </w:rPr>
            </w:pPr>
            <w:r>
              <w:rPr>
                <w:rFonts w:ascii="Times New Roman" w:hAnsi="Times New Roman" w:cs="Times New Roman"/>
                <w:sz w:val="24"/>
              </w:rPr>
              <w:t>根据《202</w:t>
            </w:r>
            <w:r>
              <w:rPr>
                <w:rFonts w:hint="eastAsia" w:ascii="Times New Roman" w:hAnsi="Times New Roman" w:cs="Times New Roman"/>
                <w:sz w:val="24"/>
              </w:rPr>
              <w:t>2</w:t>
            </w:r>
            <w:r>
              <w:rPr>
                <w:rFonts w:ascii="Times New Roman" w:hAnsi="Times New Roman" w:cs="Times New Roman"/>
                <w:sz w:val="24"/>
              </w:rPr>
              <w:t>年度昆明市生态环境状况公报》相关数据，</w:t>
            </w:r>
            <w:r>
              <w:rPr>
                <w:rFonts w:ascii="Times New Roman" w:cs="Times New Roman" w:hAnsiTheme="minorEastAsia"/>
                <w:sz w:val="24"/>
              </w:rPr>
              <w:t>现目区域空气环境可达到《环境空气质量标准》（GB</w:t>
            </w:r>
            <w:r>
              <w:rPr>
                <w:rFonts w:hint="eastAsia" w:ascii="Times New Roman" w:cs="Times New Roman" w:hAnsiTheme="minorEastAsia"/>
                <w:sz w:val="24"/>
                <w:lang w:eastAsia="zh-CN"/>
              </w:rPr>
              <w:t>****</w:t>
            </w:r>
            <w:r>
              <w:rPr>
                <w:rFonts w:ascii="Times New Roman" w:cs="Times New Roman" w:hAnsiTheme="minorEastAsia"/>
                <w:sz w:val="24"/>
              </w:rPr>
              <w:t>-2012）二级标准，属于空气达标区</w:t>
            </w:r>
            <w:r>
              <w:rPr>
                <w:rFonts w:hint="eastAsia" w:ascii="Times New Roman" w:cs="Times New Roman" w:hAnsiTheme="minorEastAsia"/>
                <w:sz w:val="24"/>
              </w:rPr>
              <w:t>，且项目属于引水工程项目，施工期结束后其不利环境影响结束，</w:t>
            </w:r>
            <w:r>
              <w:rPr>
                <w:rFonts w:ascii="Times New Roman" w:cs="Times New Roman" w:hAnsiTheme="minorEastAsia"/>
                <w:sz w:val="24"/>
              </w:rPr>
              <w:t>不会改变</w:t>
            </w:r>
            <w:r>
              <w:rPr>
                <w:rFonts w:hint="eastAsia" w:ascii="Times New Roman" w:cs="Times New Roman" w:hAnsiTheme="minorEastAsia"/>
                <w:sz w:val="24"/>
              </w:rPr>
              <w:t>区域</w:t>
            </w:r>
            <w:r>
              <w:rPr>
                <w:rFonts w:ascii="Times New Roman" w:cs="Times New Roman" w:hAnsiTheme="minorEastAsia"/>
                <w:sz w:val="24"/>
              </w:rPr>
              <w:t>环境</w:t>
            </w:r>
            <w:r>
              <w:rPr>
                <w:rFonts w:hint="eastAsia" w:ascii="Times New Roman" w:cs="Times New Roman" w:hAnsiTheme="minorEastAsia"/>
                <w:sz w:val="24"/>
              </w:rPr>
              <w:t>空气</w:t>
            </w:r>
            <w:r>
              <w:rPr>
                <w:rFonts w:ascii="Times New Roman" w:cs="Times New Roman" w:hAnsiTheme="minorEastAsia"/>
                <w:sz w:val="24"/>
              </w:rPr>
              <w:t>质量功能要求。</w:t>
            </w:r>
          </w:p>
          <w:p>
            <w:pPr>
              <w:spacing w:line="360" w:lineRule="auto"/>
              <w:ind w:firstLine="481"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3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⑶</w:t>
            </w:r>
            <w:r>
              <w:rPr>
                <w:rFonts w:ascii="Times New Roman" w:cs="Times New Roman" w:hAnsiTheme="minorEastAsia"/>
                <w:b/>
                <w:sz w:val="24"/>
              </w:rPr>
              <w:fldChar w:fldCharType="end"/>
            </w:r>
            <w:r>
              <w:rPr>
                <w:rFonts w:hint="eastAsia" w:ascii="Times New Roman" w:cs="Times New Roman" w:hAnsiTheme="minorEastAsia"/>
                <w:b/>
                <w:sz w:val="24"/>
              </w:rPr>
              <w:t>地表水环境质量</w:t>
            </w:r>
            <w:r>
              <w:rPr>
                <w:rFonts w:ascii="Times New Roman" w:cs="Times New Roman" w:hAnsiTheme="minorEastAsia"/>
                <w:b/>
                <w:sz w:val="24"/>
              </w:rPr>
              <w:t>底线</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实施意见”要求：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V类水体，集中式饮用水水源水质稳定达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根据《202</w:t>
            </w:r>
            <w:r>
              <w:rPr>
                <w:rFonts w:hint="eastAsia" w:ascii="Times New Roman" w:hAnsi="Times New Roman" w:cs="Times New Roman"/>
                <w:sz w:val="24"/>
              </w:rPr>
              <w:t>2</w:t>
            </w:r>
            <w:r>
              <w:rPr>
                <w:rFonts w:ascii="Times New Roman" w:hAnsi="Times New Roman" w:cs="Times New Roman"/>
                <w:sz w:val="24"/>
              </w:rPr>
              <w:t>年度昆明市生态环境状况公报》相关数据，金沙江与</w:t>
            </w:r>
            <w:r>
              <w:rPr>
                <w:rFonts w:hint="eastAsia" w:ascii="Times New Roman" w:hAnsi="Times New Roman" w:cs="Times New Roman"/>
                <w:sz w:val="24"/>
              </w:rPr>
              <w:t>2021年相比，蒙姑断面水质类别保持</w:t>
            </w:r>
            <w:r>
              <w:rPr>
                <w:rFonts w:ascii="Times New Roman" w:hAnsi="Times New Roman" w:cs="Times New Roman"/>
                <w:sz w:val="24"/>
              </w:rPr>
              <w:t>II</w:t>
            </w:r>
            <w:r>
              <w:rPr>
                <w:rFonts w:hint="eastAsia" w:ascii="Times New Roman" w:hAnsi="Times New Roman" w:cs="Times New Roman"/>
                <w:sz w:val="24"/>
              </w:rPr>
              <w:t>类不变。</w:t>
            </w:r>
            <w:r>
              <w:rPr>
                <w:rFonts w:ascii="Times New Roman" w:hAnsi="Times New Roman" w:cs="Times New Roman"/>
                <w:sz w:val="24"/>
              </w:rPr>
              <w:t>该项目地表水体</w:t>
            </w:r>
            <w:r>
              <w:rPr>
                <w:rFonts w:ascii="Times New Roman" w:hAnsi="Times New Roman" w:cs="Times New Roman"/>
                <w:sz w:val="24"/>
                <w:szCs w:val="24"/>
              </w:rPr>
              <w:t>金沙江，根据《云南省水功能区划（2014年修订）》，项目区段为“金沙江滇川4号缓冲区”，由金沙江干流距元谋县出境口5km处至向家坝水电站坝轴线线下1.8km，即水富县城出境口，属左右岸关系，为云南与四川两省间的界河段，全长585.0km，现状水质为</w:t>
            </w:r>
            <w:r>
              <w:rPr>
                <w:rFonts w:hint="eastAsia" w:ascii="Times New Roman" w:hAnsi="Times New Roman" w:cs="Times New Roman"/>
                <w:sz w:val="24"/>
              </w:rPr>
              <w:t>III</w:t>
            </w:r>
            <w:r>
              <w:rPr>
                <w:rFonts w:ascii="Times New Roman" w:hAnsi="Times New Roman" w:cs="Times New Roman"/>
                <w:sz w:val="24"/>
                <w:szCs w:val="24"/>
              </w:rPr>
              <w:t>类，执行</w:t>
            </w:r>
            <w:r>
              <w:rPr>
                <w:rFonts w:ascii="Times New Roman" w:hAnsi="Times New Roman" w:cs="Times New Roman"/>
                <w:sz w:val="24"/>
              </w:rPr>
              <w:t>《地表水环境质量标准》（GB</w:t>
            </w:r>
            <w:r>
              <w:rPr>
                <w:rFonts w:hint="eastAsia" w:ascii="Times New Roman" w:hAnsi="Times New Roman" w:cs="Times New Roman"/>
                <w:sz w:val="24"/>
                <w:lang w:eastAsia="zh-CN"/>
              </w:rPr>
              <w:t>****</w:t>
            </w:r>
            <w:r>
              <w:rPr>
                <w:rFonts w:ascii="Times New Roman" w:hAnsi="Times New Roman" w:cs="Times New Roman"/>
                <w:sz w:val="24"/>
              </w:rPr>
              <w:t>-2002）</w:t>
            </w:r>
            <w:r>
              <w:rPr>
                <w:rFonts w:hint="eastAsia" w:ascii="Times New Roman" w:hAnsi="Times New Roman" w:cs="Times New Roman"/>
                <w:sz w:val="24"/>
              </w:rPr>
              <w:t>III</w:t>
            </w:r>
            <w:r>
              <w:rPr>
                <w:rFonts w:ascii="Times New Roman" w:hAnsi="Times New Roman" w:cs="Times New Roman"/>
                <w:sz w:val="24"/>
              </w:rPr>
              <w:t>类标准；且项目属于</w:t>
            </w:r>
            <w:r>
              <w:rPr>
                <w:rFonts w:hint="eastAsia" w:ascii="Times New Roman" w:hAnsi="Times New Roman" w:cs="Times New Roman"/>
                <w:sz w:val="24"/>
              </w:rPr>
              <w:t>引水</w:t>
            </w:r>
            <w:r>
              <w:rPr>
                <w:rFonts w:ascii="Times New Roman" w:hAnsi="Times New Roman" w:cs="Times New Roman"/>
                <w:sz w:val="24"/>
              </w:rPr>
              <w:t>工程项目，施工期结束后其不利环境影响结束，不会改变区域地表水环境质量功能要求。</w:t>
            </w:r>
          </w:p>
          <w:p>
            <w:pPr>
              <w:spacing w:line="360" w:lineRule="auto"/>
              <w:ind w:firstLine="481"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4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⑷</w:t>
            </w:r>
            <w:r>
              <w:rPr>
                <w:rFonts w:ascii="Times New Roman" w:cs="Times New Roman" w:hAnsiTheme="minorEastAsia"/>
                <w:b/>
                <w:sz w:val="24"/>
              </w:rPr>
              <w:fldChar w:fldCharType="end"/>
            </w:r>
            <w:r>
              <w:rPr>
                <w:rFonts w:hint="eastAsia" w:ascii="Times New Roman" w:cs="Times New Roman" w:hAnsiTheme="minorEastAsia"/>
                <w:b/>
                <w:sz w:val="24"/>
              </w:rPr>
              <w:t>土壤环境质量底线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“实施意见”要求：</w:t>
            </w:r>
            <w:r>
              <w:rPr>
                <w:rFonts w:ascii="Times New Roman" w:cs="Times New Roman" w:hAnsiTheme="minorEastAsia"/>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项目属于引水工程项目，施工期结束后其不利环境影响结束，</w:t>
            </w:r>
            <w:r>
              <w:rPr>
                <w:rFonts w:ascii="Times New Roman" w:cs="Times New Roman" w:hAnsiTheme="minorEastAsia"/>
                <w:sz w:val="24"/>
              </w:rPr>
              <w:t>不会改变区域</w:t>
            </w:r>
            <w:r>
              <w:rPr>
                <w:rFonts w:hint="eastAsia" w:ascii="Times New Roman" w:cs="Times New Roman" w:hAnsiTheme="minorEastAsia"/>
                <w:sz w:val="24"/>
              </w:rPr>
              <w:t>土壤</w:t>
            </w:r>
            <w:r>
              <w:rPr>
                <w:rFonts w:ascii="Times New Roman" w:cs="Times New Roman" w:hAnsiTheme="minorEastAsia"/>
                <w:sz w:val="24"/>
              </w:rPr>
              <w:t>环境质量功能要求。</w:t>
            </w:r>
          </w:p>
          <w:p>
            <w:pPr>
              <w:spacing w:line="360" w:lineRule="auto"/>
              <w:ind w:firstLine="481" w:firstLineChars="200"/>
              <w:rPr>
                <w:rFonts w:ascii="Times New Roman" w:hAnsi="Times New Roman" w:cs="Times New Roman"/>
                <w:b/>
                <w:sz w:val="24"/>
              </w:rPr>
            </w:pPr>
            <w:r>
              <w:rPr>
                <w:rFonts w:hint="eastAsia" w:ascii="宋体" w:hAnsi="宋体" w:eastAsia="宋体" w:cs="宋体"/>
                <w:b/>
                <w:sz w:val="24"/>
              </w:rPr>
              <w:t>③</w:t>
            </w:r>
            <w:r>
              <w:rPr>
                <w:rFonts w:ascii="Times New Roman" w:hAnsi="Times New Roman" w:cs="Times New Roman"/>
                <w:b/>
                <w:sz w:val="24"/>
              </w:rPr>
              <w:t>资源利用上线</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《昆明市人民政府关于昆明市“三线一单” 生态环境分区管控的实施意见》对资源利用上限的要求为：</w:t>
            </w:r>
            <w:r>
              <w:rPr>
                <w:rFonts w:ascii="Times New Roman" w:cs="Times New Roman" w:hAnsiTheme="minorEastAsia"/>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项目属于引水工程项目，其建成后的</w:t>
            </w:r>
            <w:r>
              <w:rPr>
                <w:rFonts w:hint="eastAsia" w:hAnsi="Times New Roman"/>
                <w:sz w:val="24"/>
                <w:szCs w:val="24"/>
              </w:rPr>
              <w:t>能改变目前的灌溉条件，能有效提高象鼻村以工代赈灌区水资源利用效率和灌溉保证率，有利于减轻水资源短缺给农业生产造成的损失，保证作物稳产、高产</w:t>
            </w:r>
            <w:r>
              <w:rPr>
                <w:rFonts w:hint="eastAsia" w:ascii="Times New Roman" w:cs="Times New Roman" w:hAnsiTheme="minorEastAsia"/>
                <w:sz w:val="24"/>
              </w:rPr>
              <w:t>，不涉及资源利用。因此</w:t>
            </w:r>
            <w:r>
              <w:rPr>
                <w:rFonts w:ascii="Times New Roman" w:cs="Times New Roman" w:hAnsiTheme="minorEastAsia"/>
                <w:sz w:val="24"/>
              </w:rPr>
              <w:t>项目资源利用符合国家相关要求。</w:t>
            </w:r>
          </w:p>
          <w:p>
            <w:pPr>
              <w:spacing w:line="360" w:lineRule="auto"/>
              <w:ind w:firstLine="481" w:firstLineChars="200"/>
              <w:rPr>
                <w:rFonts w:ascii="Times New Roman" w:hAnsi="Times New Roman" w:cs="Times New Roman"/>
                <w:b/>
                <w:sz w:val="24"/>
              </w:rPr>
            </w:pPr>
            <w:r>
              <w:rPr>
                <w:rFonts w:hint="eastAsia" w:ascii="宋体" w:hAnsi="宋体" w:eastAsia="宋体" w:cs="宋体"/>
                <w:b/>
                <w:sz w:val="24"/>
              </w:rPr>
              <w:t>④</w:t>
            </w:r>
            <w:r>
              <w:rPr>
                <w:rFonts w:ascii="Times New Roman" w:hAnsi="Times New Roman" w:cs="Times New Roman"/>
                <w:b/>
                <w:sz w:val="24"/>
              </w:rPr>
              <w:t>环境准入负面清单</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sz w:val="24"/>
              </w:rPr>
            </w:pPr>
            <w:r>
              <w:rPr>
                <w:rFonts w:hint="eastAsia" w:ascii="Times New Roman" w:cs="Times New Roman" w:hAnsiTheme="minorEastAsia"/>
                <w:sz w:val="24"/>
              </w:rPr>
              <w:t>根据调查，该项目位于</w:t>
            </w:r>
            <w:r>
              <w:rPr>
                <w:rFonts w:ascii="Times New Roman" w:cs="Times New Roman" w:hAnsiTheme="minorEastAsia"/>
                <w:sz w:val="24"/>
              </w:rPr>
              <w:t>昆明市东川区拖布卡镇象鼻村，</w:t>
            </w:r>
            <w:r>
              <w:rPr>
                <w:rFonts w:hint="eastAsia" w:ascii="Times New Roman" w:cs="Times New Roman" w:hAnsiTheme="minorEastAsia"/>
                <w:sz w:val="24"/>
              </w:rPr>
              <w:t>项目所在地属于</w:t>
            </w:r>
            <w:r>
              <w:rPr>
                <w:rFonts w:ascii="Times New Roman" w:cs="Times New Roman" w:hAnsiTheme="minorEastAsia"/>
                <w:sz w:val="24"/>
              </w:rPr>
              <w:t>东川区一般管控单元</w:t>
            </w:r>
            <w:r>
              <w:rPr>
                <w:rFonts w:hint="eastAsia" w:ascii="Times New Roman" w:cs="Times New Roman" w:hAnsiTheme="minorEastAsia"/>
                <w:sz w:val="24"/>
              </w:rPr>
              <w:t>，根据</w:t>
            </w:r>
            <w:r>
              <w:rPr>
                <w:rFonts w:ascii="Times New Roman" w:cs="Times New Roman" w:hAnsiTheme="minorEastAsia"/>
                <w:sz w:val="24"/>
              </w:rPr>
              <w:t>东川区环境管控单元生态环境准入清单</w:t>
            </w:r>
            <w:r>
              <w:rPr>
                <w:rFonts w:hint="eastAsia" w:ascii="Times New Roman" w:cs="Times New Roman" w:hAnsiTheme="minorEastAsia"/>
                <w:sz w:val="24"/>
              </w:rPr>
              <w:t>的管理要求，该项目</w:t>
            </w:r>
            <w:r>
              <w:rPr>
                <w:rFonts w:ascii="Times New Roman" w:cs="Times New Roman" w:hAnsiTheme="minorEastAsia"/>
                <w:sz w:val="24"/>
              </w:rPr>
              <w:t>环境准入负面清单</w:t>
            </w:r>
            <w:r>
              <w:rPr>
                <w:rFonts w:hint="eastAsia" w:ascii="Times New Roman" w:cs="Times New Roman" w:hAnsiTheme="minorEastAsia"/>
                <w:sz w:val="24"/>
              </w:rPr>
              <w:t>符合性具体下表所示。</w:t>
            </w:r>
          </w:p>
          <w:p>
            <w:pPr>
              <w:jc w:val="center"/>
              <w:rPr>
                <w:rFonts w:ascii="Times New Roman" w:hAnsi="Times New Roman" w:cs="Times New Roman"/>
                <w:b/>
              </w:rPr>
            </w:pPr>
            <w:r>
              <w:rPr>
                <w:rFonts w:hint="eastAsia" w:ascii="Times New Roman" w:hAnsi="Times New Roman" w:cs="Times New Roman"/>
                <w:b/>
              </w:rPr>
              <w:t>表1-1</w:t>
            </w:r>
            <w:r>
              <w:rPr>
                <w:rFonts w:ascii="Times New Roman" w:hAnsi="Times New Roman" w:cs="Times New Roman"/>
                <w:b/>
              </w:rPr>
              <w:t xml:space="preserve"> </w:t>
            </w:r>
            <w:r>
              <w:rPr>
                <w:rFonts w:hint="eastAsia" w:ascii="Times New Roman" w:hAnsi="Times New Roman" w:cs="Times New Roman"/>
                <w:b/>
              </w:rPr>
              <w:t>与</w:t>
            </w:r>
            <w:r>
              <w:rPr>
                <w:rFonts w:ascii="Times New Roman" w:hAnsi="Times New Roman" w:cs="Times New Roman"/>
                <w:b/>
              </w:rPr>
              <w:t>东川区环境管控单元生态环境准入清单</w:t>
            </w:r>
            <w:r>
              <w:rPr>
                <w:rFonts w:hint="eastAsia" w:ascii="Times New Roman" w:hAnsi="Times New Roman" w:cs="Times New Roman"/>
                <w:b/>
              </w:rPr>
              <w:t>符合性分析一览表</w:t>
            </w:r>
          </w:p>
          <w:tbl>
            <w:tblPr>
              <w:tblStyle w:val="2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0"/>
              <w:gridCol w:w="753"/>
              <w:gridCol w:w="3390"/>
              <w:gridCol w:w="2779"/>
              <w:gridCol w:w="7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pPr>
                    <w:pStyle w:val="34"/>
                    <w:spacing w:line="360" w:lineRule="exact"/>
                    <w:rPr>
                      <w:rFonts w:hAnsiTheme="minorEastAsia" w:eastAsiaTheme="minorEastAsia"/>
                      <w:color w:val="auto"/>
                      <w:szCs w:val="21"/>
                    </w:rPr>
                  </w:pPr>
                  <w:r>
                    <w:rPr>
                      <w:rFonts w:hint="eastAsia" w:hAnsiTheme="minorEastAsia" w:eastAsiaTheme="minorEastAsia"/>
                      <w:color w:val="auto"/>
                      <w:szCs w:val="21"/>
                    </w:rPr>
                    <w:t>单元名称</w:t>
                  </w:r>
                </w:p>
              </w:tc>
              <w:tc>
                <w:tcPr>
                  <w:tcW w:w="4250" w:type="dxa"/>
                  <w:gridSpan w:val="2"/>
                  <w:vAlign w:val="center"/>
                </w:tcPr>
                <w:p>
                  <w:pPr>
                    <w:pStyle w:val="34"/>
                    <w:spacing w:line="360" w:lineRule="exact"/>
                    <w:rPr>
                      <w:rFonts w:hAnsiTheme="minorEastAsia" w:eastAsiaTheme="minorEastAsia"/>
                      <w:color w:val="auto"/>
                      <w:szCs w:val="21"/>
                    </w:rPr>
                  </w:pPr>
                  <w:r>
                    <w:rPr>
                      <w:rFonts w:hint="eastAsia" w:hAnsiTheme="minorEastAsia" w:eastAsiaTheme="minorEastAsia"/>
                      <w:color w:val="auto"/>
                      <w:szCs w:val="21"/>
                    </w:rPr>
                    <w:t>管控要求</w:t>
                  </w:r>
                </w:p>
              </w:tc>
              <w:tc>
                <w:tcPr>
                  <w:tcW w:w="2845" w:type="dxa"/>
                  <w:vAlign w:val="center"/>
                </w:tcPr>
                <w:p>
                  <w:pPr>
                    <w:pStyle w:val="34"/>
                    <w:spacing w:line="360" w:lineRule="exact"/>
                    <w:rPr>
                      <w:rFonts w:hAnsiTheme="minorEastAsia" w:eastAsiaTheme="minorEastAsia"/>
                      <w:color w:val="auto"/>
                      <w:szCs w:val="21"/>
                    </w:rPr>
                  </w:pPr>
                  <w:r>
                    <w:rPr>
                      <w:rFonts w:hint="eastAsia" w:hAnsiTheme="minorEastAsia" w:eastAsiaTheme="minorEastAsia"/>
                      <w:color w:val="auto"/>
                      <w:szCs w:val="21"/>
                    </w:rPr>
                    <w:t>项目实际情况</w:t>
                  </w:r>
                </w:p>
              </w:tc>
              <w:tc>
                <w:tcPr>
                  <w:tcW w:w="714" w:type="dxa"/>
                  <w:vAlign w:val="center"/>
                </w:tcPr>
                <w:p>
                  <w:pPr>
                    <w:pStyle w:val="34"/>
                    <w:spacing w:line="360" w:lineRule="exact"/>
                    <w:rPr>
                      <w:rFonts w:hAnsiTheme="minorEastAsia" w:eastAsiaTheme="minorEastAsia"/>
                      <w:color w:val="auto"/>
                      <w:szCs w:val="21"/>
                    </w:rPr>
                  </w:pPr>
                  <w:r>
                    <w:rPr>
                      <w:rFonts w:hint="eastAsia" w:hAnsiTheme="minorEastAsia" w:eastAsiaTheme="minorEastAsia"/>
                      <w:color w:val="auto"/>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Merge w:val="restart"/>
                  <w:vAlign w:val="center"/>
                </w:tcPr>
                <w:p>
                  <w:pPr>
                    <w:pStyle w:val="34"/>
                    <w:spacing w:line="360" w:lineRule="exact"/>
                    <w:rPr>
                      <w:rFonts w:hAnsiTheme="minorEastAsia" w:eastAsiaTheme="minorEastAsia"/>
                      <w:color w:val="auto"/>
                      <w:szCs w:val="21"/>
                    </w:rPr>
                  </w:pPr>
                  <w:r>
                    <w:rPr>
                      <w:rFonts w:hAnsiTheme="minorEastAsia" w:eastAsiaTheme="minorEastAsia"/>
                      <w:color w:val="auto"/>
                      <w:szCs w:val="21"/>
                    </w:rPr>
                    <w:t>一般管控单元</w:t>
                  </w:r>
                </w:p>
              </w:tc>
              <w:tc>
                <w:tcPr>
                  <w:tcW w:w="767" w:type="dxa"/>
                  <w:vAlign w:val="center"/>
                </w:tcPr>
                <w:p>
                  <w:pPr>
                    <w:pStyle w:val="34"/>
                    <w:spacing w:line="360" w:lineRule="exact"/>
                    <w:rPr>
                      <w:rFonts w:hAnsiTheme="minorEastAsia" w:eastAsiaTheme="minorEastAsia"/>
                      <w:color w:val="auto"/>
                    </w:rPr>
                  </w:pPr>
                  <w:r>
                    <w:rPr>
                      <w:rFonts w:hAnsiTheme="minorEastAsia" w:eastAsiaTheme="minorEastAsia"/>
                      <w:color w:val="auto"/>
                    </w:rPr>
                    <w:t>空间布局</w:t>
                  </w:r>
                </w:p>
                <w:p>
                  <w:pPr>
                    <w:pStyle w:val="34"/>
                    <w:spacing w:line="360" w:lineRule="exact"/>
                    <w:rPr>
                      <w:rFonts w:hAnsiTheme="minorEastAsia" w:eastAsiaTheme="minorEastAsia"/>
                      <w:color w:val="auto"/>
                      <w:szCs w:val="21"/>
                    </w:rPr>
                  </w:pPr>
                  <w:r>
                    <w:rPr>
                      <w:rFonts w:hAnsiTheme="minorEastAsia" w:eastAsiaTheme="minorEastAsia"/>
                      <w:color w:val="auto"/>
                    </w:rPr>
                    <w:t>约束</w:t>
                  </w:r>
                </w:p>
              </w:tc>
              <w:tc>
                <w:tcPr>
                  <w:tcW w:w="3483" w:type="dxa"/>
                  <w:vAlign w:val="center"/>
                </w:tcPr>
                <w:p>
                  <w:pPr>
                    <w:pStyle w:val="34"/>
                    <w:spacing w:line="360" w:lineRule="exact"/>
                    <w:ind w:firstLine="210" w:firstLineChars="100"/>
                    <w:jc w:val="both"/>
                    <w:rPr>
                      <w:color w:val="auto"/>
                    </w:rPr>
                  </w:pPr>
                  <w:r>
                    <w:rPr>
                      <w:color w:val="auto"/>
                    </w:rPr>
                    <w:t>1、禁止在林地、河湖管理范围内新建、改建、扩建房地产开发项目。禁止围湖造田和侵占江河滩地。</w:t>
                  </w:r>
                </w:p>
                <w:p>
                  <w:pPr>
                    <w:pStyle w:val="34"/>
                    <w:spacing w:line="360" w:lineRule="exact"/>
                    <w:ind w:firstLine="210" w:firstLineChars="100"/>
                    <w:jc w:val="both"/>
                    <w:rPr>
                      <w:color w:val="auto"/>
                    </w:rPr>
                  </w:pPr>
                  <w:r>
                    <w:rPr>
                      <w:color w:val="auto"/>
                    </w:rPr>
                    <w:t>2、禁止破坏珍稀野生动植物的重要栖息地，不得阻碍野生动物的重要迁徙通道。</w:t>
                  </w:r>
                </w:p>
                <w:p>
                  <w:pPr>
                    <w:pStyle w:val="34"/>
                    <w:spacing w:line="360" w:lineRule="exact"/>
                    <w:ind w:firstLine="210" w:firstLineChars="100"/>
                    <w:jc w:val="both"/>
                    <w:rPr>
                      <w:color w:val="auto"/>
                    </w:rPr>
                  </w:pPr>
                  <w:r>
                    <w:rPr>
                      <w:color w:val="auto"/>
                    </w:rPr>
                    <w:t>3、禁止猎捕国家重点保护陆生野生动物，因特殊需要捕猎的，按照国家有关法规办理。</w:t>
                  </w:r>
                </w:p>
                <w:p>
                  <w:pPr>
                    <w:pStyle w:val="34"/>
                    <w:spacing w:line="360" w:lineRule="exact"/>
                    <w:ind w:firstLine="210" w:firstLineChars="100"/>
                    <w:jc w:val="both"/>
                    <w:rPr>
                      <w:color w:val="auto"/>
                    </w:rPr>
                  </w:pPr>
                  <w:r>
                    <w:rPr>
                      <w:color w:val="auto"/>
                    </w:rPr>
                    <w:t>4、禁止企业向滩涂、沼泽、荒地等未利用地非法排污、倾倒有毒有害物质。</w:t>
                  </w:r>
                </w:p>
              </w:tc>
              <w:tc>
                <w:tcPr>
                  <w:tcW w:w="2845" w:type="dxa"/>
                  <w:vAlign w:val="center"/>
                </w:tcPr>
                <w:p>
                  <w:pPr>
                    <w:pStyle w:val="34"/>
                    <w:spacing w:line="360" w:lineRule="exact"/>
                    <w:ind w:firstLine="210" w:firstLineChars="100"/>
                    <w:jc w:val="both"/>
                    <w:rPr>
                      <w:color w:val="auto"/>
                    </w:rPr>
                  </w:pPr>
                  <w:r>
                    <w:rPr>
                      <w:rFonts w:hint="eastAsia"/>
                      <w:color w:val="auto"/>
                    </w:rPr>
                    <w:t>1、项目属于</w:t>
                  </w:r>
                  <w:r>
                    <w:rPr>
                      <w:rFonts w:hint="eastAsia" w:hAnsiTheme="minorEastAsia"/>
                      <w:color w:val="auto"/>
                      <w:sz w:val="24"/>
                    </w:rPr>
                    <w:t>引水</w:t>
                  </w:r>
                  <w:r>
                    <w:rPr>
                      <w:rFonts w:hint="eastAsia"/>
                      <w:color w:val="auto"/>
                    </w:rPr>
                    <w:t>工程项目，不属于房地产开发；</w:t>
                  </w:r>
                  <w:r>
                    <w:rPr>
                      <w:rFonts w:hint="eastAsia"/>
                      <w:color w:val="auto"/>
                      <w:kern w:val="0"/>
                      <w:szCs w:val="21"/>
                    </w:rPr>
                    <w:t>项目主要采用“光伏泵站+提水管道+新建高位水池”的模式为灌区供水，</w:t>
                  </w:r>
                  <w:r>
                    <w:rPr>
                      <w:rFonts w:hint="eastAsia"/>
                      <w:color w:val="auto"/>
                    </w:rPr>
                    <w:t>不属于</w:t>
                  </w:r>
                  <w:r>
                    <w:rPr>
                      <w:color w:val="auto"/>
                    </w:rPr>
                    <w:t>围湖造田和侵占江河滩地。</w:t>
                  </w:r>
                </w:p>
                <w:p>
                  <w:pPr>
                    <w:pStyle w:val="34"/>
                    <w:spacing w:line="360" w:lineRule="exact"/>
                    <w:ind w:firstLine="210" w:firstLineChars="100"/>
                    <w:jc w:val="both"/>
                    <w:rPr>
                      <w:color w:val="auto"/>
                    </w:rPr>
                  </w:pPr>
                  <w:r>
                    <w:rPr>
                      <w:rFonts w:hint="eastAsia"/>
                      <w:color w:val="auto"/>
                    </w:rPr>
                    <w:t>2、项目的建设不会破坏</w:t>
                  </w:r>
                  <w:r>
                    <w:rPr>
                      <w:color w:val="auto"/>
                    </w:rPr>
                    <w:t>珍稀野生动植物的重要栖息地，</w:t>
                  </w:r>
                  <w:r>
                    <w:rPr>
                      <w:rFonts w:hint="eastAsia"/>
                      <w:color w:val="auto"/>
                    </w:rPr>
                    <w:t>不会</w:t>
                  </w:r>
                  <w:r>
                    <w:rPr>
                      <w:color w:val="auto"/>
                    </w:rPr>
                    <w:t>阻碍野生动物的重要迁徙通道。</w:t>
                  </w:r>
                </w:p>
                <w:p>
                  <w:pPr>
                    <w:pStyle w:val="34"/>
                    <w:spacing w:line="360" w:lineRule="exact"/>
                    <w:ind w:firstLine="210" w:firstLineChars="100"/>
                    <w:jc w:val="both"/>
                    <w:rPr>
                      <w:color w:val="auto"/>
                    </w:rPr>
                  </w:pPr>
                  <w:r>
                    <w:rPr>
                      <w:rFonts w:hint="eastAsia"/>
                      <w:color w:val="auto"/>
                    </w:rPr>
                    <w:t>3、项目施工期严格进行管理，严禁施工人员</w:t>
                  </w:r>
                  <w:r>
                    <w:rPr>
                      <w:color w:val="auto"/>
                    </w:rPr>
                    <w:t>猎捕国家重点保护陆生野生动物</w:t>
                  </w:r>
                  <w:r>
                    <w:rPr>
                      <w:rFonts w:hint="eastAsia"/>
                      <w:color w:val="auto"/>
                    </w:rPr>
                    <w:t>。</w:t>
                  </w:r>
                </w:p>
                <w:p>
                  <w:pPr>
                    <w:pStyle w:val="34"/>
                    <w:spacing w:line="360" w:lineRule="exact"/>
                    <w:ind w:firstLine="210" w:firstLineChars="100"/>
                    <w:jc w:val="both"/>
                    <w:rPr>
                      <w:color w:val="auto"/>
                    </w:rPr>
                  </w:pPr>
                  <w:r>
                    <w:rPr>
                      <w:rFonts w:hint="eastAsia"/>
                      <w:color w:val="auto"/>
                    </w:rPr>
                    <w:t>4、项目施工期加强管理，不存在排污及</w:t>
                  </w:r>
                  <w:r>
                    <w:rPr>
                      <w:color w:val="auto"/>
                    </w:rPr>
                    <w:t>倾倒有毒有害物质。</w:t>
                  </w:r>
                </w:p>
              </w:tc>
              <w:tc>
                <w:tcPr>
                  <w:tcW w:w="714" w:type="dxa"/>
                  <w:vAlign w:val="center"/>
                </w:tcPr>
                <w:p>
                  <w:pPr>
                    <w:pStyle w:val="34"/>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Merge w:val="continue"/>
                  <w:vAlign w:val="center"/>
                </w:tcPr>
                <w:p>
                  <w:pPr>
                    <w:pStyle w:val="34"/>
                    <w:spacing w:line="360" w:lineRule="exact"/>
                    <w:rPr>
                      <w:rFonts w:hAnsiTheme="minorEastAsia" w:eastAsiaTheme="minorEastAsia"/>
                      <w:color w:val="auto"/>
                      <w:szCs w:val="21"/>
                    </w:rPr>
                  </w:pPr>
                </w:p>
              </w:tc>
              <w:tc>
                <w:tcPr>
                  <w:tcW w:w="767" w:type="dxa"/>
                  <w:vAlign w:val="center"/>
                </w:tcPr>
                <w:p>
                  <w:pPr>
                    <w:pStyle w:val="34"/>
                    <w:spacing w:line="360" w:lineRule="exact"/>
                    <w:rPr>
                      <w:rFonts w:hAnsiTheme="minorEastAsia" w:eastAsiaTheme="minorEastAsia"/>
                      <w:color w:val="auto"/>
                    </w:rPr>
                  </w:pPr>
                  <w:r>
                    <w:rPr>
                      <w:rFonts w:hAnsiTheme="minorEastAsia" w:eastAsiaTheme="minorEastAsia"/>
                      <w:color w:val="auto"/>
                    </w:rPr>
                    <w:t>污染物</w:t>
                  </w:r>
                </w:p>
                <w:p>
                  <w:pPr>
                    <w:pStyle w:val="34"/>
                    <w:spacing w:line="360" w:lineRule="exact"/>
                    <w:rPr>
                      <w:rFonts w:hAnsiTheme="minorEastAsia" w:eastAsiaTheme="minorEastAsia"/>
                      <w:color w:val="auto"/>
                      <w:szCs w:val="21"/>
                    </w:rPr>
                  </w:pPr>
                  <w:r>
                    <w:rPr>
                      <w:rFonts w:hAnsiTheme="minorEastAsia" w:eastAsiaTheme="minorEastAsia"/>
                      <w:color w:val="auto"/>
                    </w:rPr>
                    <w:t>排放管控</w:t>
                  </w:r>
                </w:p>
              </w:tc>
              <w:tc>
                <w:tcPr>
                  <w:tcW w:w="3483" w:type="dxa"/>
                  <w:vAlign w:val="center"/>
                </w:tcPr>
                <w:p>
                  <w:pPr>
                    <w:pStyle w:val="34"/>
                    <w:spacing w:line="360" w:lineRule="exact"/>
                    <w:ind w:firstLine="210" w:firstLineChars="100"/>
                    <w:jc w:val="both"/>
                    <w:rPr>
                      <w:color w:val="auto"/>
                    </w:rPr>
                  </w:pPr>
                  <w:r>
                    <w:rPr>
                      <w:color w:val="auto"/>
                    </w:rPr>
                    <w:t>1、严格控制“两高”行业新增产能，新、改、扩建项目要实行产能等量或减量置换。</w:t>
                  </w:r>
                </w:p>
                <w:p>
                  <w:pPr>
                    <w:pStyle w:val="34"/>
                    <w:spacing w:line="360" w:lineRule="exact"/>
                    <w:ind w:firstLine="210" w:firstLineChars="100"/>
                    <w:jc w:val="both"/>
                    <w:rPr>
                      <w:color w:val="auto"/>
                    </w:rPr>
                  </w:pPr>
                  <w:r>
                    <w:rPr>
                      <w:color w:val="auto"/>
                    </w:rPr>
                    <w:t>2、严格用地准入，工业用地及物流仓储用地供地前，国土部门需对拟供地块进行土壤环境状况调查，评估环境污染风险后方可供地。</w:t>
                  </w:r>
                </w:p>
                <w:p>
                  <w:pPr>
                    <w:pStyle w:val="34"/>
                    <w:spacing w:line="360" w:lineRule="exact"/>
                    <w:ind w:firstLine="210" w:firstLineChars="100"/>
                    <w:jc w:val="both"/>
                    <w:rPr>
                      <w:color w:val="auto"/>
                    </w:rPr>
                  </w:pPr>
                  <w:r>
                    <w:rPr>
                      <w:color w:val="auto"/>
                    </w:rPr>
                    <w:t>3、受重金属污染物或者其他有毒有害污染的农用场地，达不到国家有关标准的，禁止种植使用农产品。</w:t>
                  </w:r>
                </w:p>
                <w:p>
                  <w:pPr>
                    <w:pStyle w:val="34"/>
                    <w:spacing w:line="360" w:lineRule="exact"/>
                    <w:ind w:firstLine="210" w:firstLineChars="100"/>
                    <w:jc w:val="both"/>
                    <w:rPr>
                      <w:color w:val="auto"/>
                    </w:rPr>
                  </w:pPr>
                  <w:r>
                    <w:rPr>
                      <w:color w:val="auto"/>
                    </w:rPr>
                    <w:t>4、禁止在禁渔区、禁渔期进行捕捞。禁止使用小于最小网目尺寸的网具进行捕捞，未依法取得捕捞许可证擅自捕捞。</w:t>
                  </w:r>
                </w:p>
              </w:tc>
              <w:tc>
                <w:tcPr>
                  <w:tcW w:w="2845" w:type="dxa"/>
                  <w:vAlign w:val="center"/>
                </w:tcPr>
                <w:p>
                  <w:pPr>
                    <w:pStyle w:val="34"/>
                    <w:spacing w:line="360" w:lineRule="exact"/>
                    <w:ind w:firstLine="210" w:firstLineChars="100"/>
                    <w:jc w:val="both"/>
                    <w:rPr>
                      <w:color w:val="auto"/>
                    </w:rPr>
                  </w:pPr>
                  <w:r>
                    <w:rPr>
                      <w:rFonts w:hint="eastAsia"/>
                      <w:color w:val="auto"/>
                    </w:rPr>
                    <w:t>1、项目</w:t>
                  </w:r>
                  <w:r>
                    <w:rPr>
                      <w:rFonts w:hint="eastAsia"/>
                      <w:color w:val="auto"/>
                      <w:szCs w:val="21"/>
                    </w:rPr>
                    <w:t>属于</w:t>
                  </w:r>
                  <w:r>
                    <w:rPr>
                      <w:rFonts w:hint="eastAsia" w:hAnsiTheme="minorEastAsia"/>
                      <w:color w:val="auto"/>
                      <w:szCs w:val="21"/>
                    </w:rPr>
                    <w:t>引水</w:t>
                  </w:r>
                  <w:r>
                    <w:rPr>
                      <w:rFonts w:hint="eastAsia"/>
                      <w:color w:val="auto"/>
                      <w:szCs w:val="21"/>
                    </w:rPr>
                    <w:t>工</w:t>
                  </w:r>
                  <w:r>
                    <w:rPr>
                      <w:rFonts w:hint="eastAsia"/>
                      <w:color w:val="auto"/>
                    </w:rPr>
                    <w:t>程项目，不属于</w:t>
                  </w:r>
                  <w:r>
                    <w:rPr>
                      <w:color w:val="auto"/>
                    </w:rPr>
                    <w:t>“两高”行业</w:t>
                  </w:r>
                  <w:r>
                    <w:rPr>
                      <w:rFonts w:hint="eastAsia"/>
                      <w:color w:val="auto"/>
                    </w:rPr>
                    <w:t>。</w:t>
                  </w:r>
                </w:p>
                <w:p>
                  <w:pPr>
                    <w:pStyle w:val="34"/>
                    <w:spacing w:line="360" w:lineRule="exact"/>
                    <w:ind w:firstLine="210" w:firstLineChars="100"/>
                    <w:jc w:val="both"/>
                    <w:rPr>
                      <w:color w:val="auto"/>
                    </w:rPr>
                  </w:pPr>
                  <w:r>
                    <w:rPr>
                      <w:rFonts w:hint="eastAsia"/>
                      <w:color w:val="auto"/>
                    </w:rPr>
                    <w:t>2、项目属于灌</w:t>
                  </w:r>
                  <w:r>
                    <w:rPr>
                      <w:rFonts w:hint="eastAsia" w:hAnsiTheme="minorEastAsia"/>
                      <w:color w:val="auto"/>
                      <w:sz w:val="24"/>
                    </w:rPr>
                    <w:t>引水</w:t>
                  </w:r>
                  <w:r>
                    <w:rPr>
                      <w:rFonts w:hint="eastAsia"/>
                      <w:color w:val="auto"/>
                    </w:rPr>
                    <w:t>工程项目，其主要占地为旱地、林地，不涉及工业用地。</w:t>
                  </w:r>
                </w:p>
                <w:p>
                  <w:pPr>
                    <w:pStyle w:val="34"/>
                    <w:spacing w:line="360" w:lineRule="exact"/>
                    <w:ind w:firstLine="210" w:firstLineChars="100"/>
                    <w:jc w:val="both"/>
                    <w:rPr>
                      <w:color w:val="auto"/>
                    </w:rPr>
                  </w:pPr>
                  <w:r>
                    <w:rPr>
                      <w:rFonts w:hint="eastAsia"/>
                      <w:color w:val="auto"/>
                    </w:rPr>
                    <w:t>3、项目不涉及</w:t>
                  </w:r>
                  <w:r>
                    <w:rPr>
                      <w:color w:val="auto"/>
                    </w:rPr>
                    <w:t>种植使用农产品</w:t>
                  </w:r>
                  <w:r>
                    <w:rPr>
                      <w:rFonts w:hint="eastAsia"/>
                      <w:color w:val="auto"/>
                    </w:rPr>
                    <w:t>。</w:t>
                  </w:r>
                </w:p>
                <w:p>
                  <w:pPr>
                    <w:pStyle w:val="34"/>
                    <w:spacing w:line="360" w:lineRule="exact"/>
                    <w:ind w:firstLine="210" w:firstLineChars="100"/>
                    <w:jc w:val="both"/>
                    <w:rPr>
                      <w:color w:val="auto"/>
                    </w:rPr>
                  </w:pPr>
                  <w:r>
                    <w:rPr>
                      <w:rFonts w:hint="eastAsia"/>
                      <w:color w:val="auto"/>
                    </w:rPr>
                    <w:t>4、项目不涉及捕鱼。</w:t>
                  </w:r>
                </w:p>
              </w:tc>
              <w:tc>
                <w:tcPr>
                  <w:tcW w:w="714" w:type="dxa"/>
                  <w:vAlign w:val="center"/>
                </w:tcPr>
                <w:p>
                  <w:pPr>
                    <w:pStyle w:val="34"/>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13" w:type="dxa"/>
                  <w:vMerge w:val="continue"/>
                  <w:vAlign w:val="center"/>
                </w:tcPr>
                <w:p>
                  <w:pPr>
                    <w:pStyle w:val="34"/>
                    <w:spacing w:line="360" w:lineRule="exact"/>
                    <w:rPr>
                      <w:rFonts w:hAnsiTheme="minorEastAsia" w:eastAsiaTheme="minorEastAsia"/>
                      <w:color w:val="auto"/>
                      <w:szCs w:val="21"/>
                    </w:rPr>
                  </w:pPr>
                </w:p>
              </w:tc>
              <w:tc>
                <w:tcPr>
                  <w:tcW w:w="767" w:type="dxa"/>
                  <w:vAlign w:val="center"/>
                </w:tcPr>
                <w:p>
                  <w:pPr>
                    <w:pStyle w:val="34"/>
                    <w:spacing w:line="360" w:lineRule="exact"/>
                    <w:rPr>
                      <w:rFonts w:hAnsiTheme="minorEastAsia" w:eastAsiaTheme="minorEastAsia"/>
                      <w:color w:val="auto"/>
                    </w:rPr>
                  </w:pPr>
                  <w:r>
                    <w:rPr>
                      <w:rFonts w:hAnsiTheme="minorEastAsia" w:eastAsiaTheme="minorEastAsia"/>
                      <w:color w:val="auto"/>
                    </w:rPr>
                    <w:t>环境风险</w:t>
                  </w:r>
                </w:p>
                <w:p>
                  <w:pPr>
                    <w:pStyle w:val="34"/>
                    <w:spacing w:line="360" w:lineRule="exact"/>
                    <w:rPr>
                      <w:rFonts w:hAnsiTheme="minorEastAsia" w:eastAsiaTheme="minorEastAsia"/>
                      <w:color w:val="auto"/>
                      <w:szCs w:val="21"/>
                    </w:rPr>
                  </w:pPr>
                  <w:r>
                    <w:rPr>
                      <w:rFonts w:hAnsiTheme="minorEastAsia" w:eastAsiaTheme="minorEastAsia"/>
                      <w:color w:val="auto"/>
                    </w:rPr>
                    <w:t>防控</w:t>
                  </w:r>
                </w:p>
              </w:tc>
              <w:tc>
                <w:tcPr>
                  <w:tcW w:w="3483" w:type="dxa"/>
                  <w:vAlign w:val="center"/>
                </w:tcPr>
                <w:p>
                  <w:pPr>
                    <w:pStyle w:val="34"/>
                    <w:spacing w:line="360" w:lineRule="exact"/>
                    <w:ind w:firstLine="210" w:firstLineChars="100"/>
                    <w:jc w:val="both"/>
                    <w:rPr>
                      <w:color w:val="auto"/>
                    </w:rPr>
                  </w:pPr>
                  <w:r>
                    <w:rPr>
                      <w:color w:val="auto"/>
                    </w:rPr>
                    <w:t>1、严格限制《环境保护综合名录》（2017年版）中“高污染、高环境风险”产品与工艺装备。</w:t>
                  </w:r>
                </w:p>
                <w:p>
                  <w:pPr>
                    <w:pStyle w:val="34"/>
                    <w:spacing w:line="360" w:lineRule="exact"/>
                    <w:ind w:firstLine="210" w:firstLineChars="100"/>
                    <w:jc w:val="both"/>
                    <w:rPr>
                      <w:color w:val="auto"/>
                    </w:rPr>
                  </w:pPr>
                  <w:r>
                    <w:rPr>
                      <w:color w:val="auto"/>
                    </w:rPr>
                    <w:t>2、禁止使用剧毒、高残留以及可能二次中毒的农药。</w:t>
                  </w:r>
                </w:p>
                <w:p>
                  <w:pPr>
                    <w:pStyle w:val="34"/>
                    <w:spacing w:line="360" w:lineRule="exact"/>
                    <w:ind w:firstLine="210" w:firstLineChars="100"/>
                    <w:jc w:val="both"/>
                    <w:rPr>
                      <w:color w:val="auto"/>
                    </w:rPr>
                  </w:pPr>
                  <w:r>
                    <w:rPr>
                      <w:color w:val="auto"/>
                    </w:rPr>
                    <w:t>3、严格污染场地开发利用和流转审批，在影响健康地块修复达标之前，禁止建设居民区、学校、医疗和养老机构。</w:t>
                  </w:r>
                </w:p>
              </w:tc>
              <w:tc>
                <w:tcPr>
                  <w:tcW w:w="2845" w:type="dxa"/>
                  <w:vAlign w:val="center"/>
                </w:tcPr>
                <w:p>
                  <w:pPr>
                    <w:pStyle w:val="34"/>
                    <w:spacing w:line="360" w:lineRule="exact"/>
                    <w:ind w:firstLine="210" w:firstLineChars="100"/>
                    <w:jc w:val="both"/>
                    <w:rPr>
                      <w:color w:val="auto"/>
                    </w:rPr>
                  </w:pPr>
                  <w:r>
                    <w:rPr>
                      <w:rFonts w:hint="eastAsia"/>
                      <w:color w:val="auto"/>
                    </w:rPr>
                    <w:t>1、项目不涉及</w:t>
                  </w:r>
                  <w:r>
                    <w:rPr>
                      <w:color w:val="auto"/>
                    </w:rPr>
                    <w:t>“高污染、高环境风险”产品与工艺装备。</w:t>
                  </w:r>
                </w:p>
                <w:p>
                  <w:pPr>
                    <w:pStyle w:val="34"/>
                    <w:spacing w:line="360" w:lineRule="exact"/>
                    <w:ind w:firstLine="210" w:firstLineChars="100"/>
                    <w:jc w:val="both"/>
                    <w:rPr>
                      <w:color w:val="auto"/>
                    </w:rPr>
                  </w:pPr>
                  <w:r>
                    <w:rPr>
                      <w:rFonts w:hint="eastAsia"/>
                      <w:color w:val="auto"/>
                    </w:rPr>
                    <w:t>2、项目不涉及</w:t>
                  </w:r>
                  <w:r>
                    <w:rPr>
                      <w:color w:val="auto"/>
                    </w:rPr>
                    <w:t>使用农药</w:t>
                  </w:r>
                  <w:r>
                    <w:rPr>
                      <w:rFonts w:hint="eastAsia"/>
                      <w:color w:val="auto"/>
                    </w:rPr>
                    <w:t>。</w:t>
                  </w:r>
                </w:p>
                <w:p>
                  <w:pPr>
                    <w:pStyle w:val="34"/>
                    <w:spacing w:line="360" w:lineRule="exact"/>
                    <w:ind w:firstLine="210" w:firstLineChars="100"/>
                    <w:jc w:val="both"/>
                    <w:rPr>
                      <w:color w:val="auto"/>
                    </w:rPr>
                  </w:pPr>
                  <w:r>
                    <w:rPr>
                      <w:rFonts w:hint="eastAsia"/>
                      <w:color w:val="auto"/>
                    </w:rPr>
                    <w:t>3、项目不涉及建设</w:t>
                  </w:r>
                  <w:r>
                    <w:rPr>
                      <w:color w:val="auto"/>
                    </w:rPr>
                    <w:t>居民区、学校、医疗和养老机构。</w:t>
                  </w:r>
                </w:p>
              </w:tc>
              <w:tc>
                <w:tcPr>
                  <w:tcW w:w="714" w:type="dxa"/>
                  <w:vAlign w:val="center"/>
                </w:tcPr>
                <w:p>
                  <w:pPr>
                    <w:pStyle w:val="34"/>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Merge w:val="continue"/>
                  <w:vAlign w:val="center"/>
                </w:tcPr>
                <w:p>
                  <w:pPr>
                    <w:pStyle w:val="34"/>
                    <w:spacing w:line="360" w:lineRule="exact"/>
                    <w:rPr>
                      <w:rFonts w:hAnsiTheme="minorEastAsia" w:eastAsiaTheme="minorEastAsia"/>
                      <w:color w:val="auto"/>
                      <w:szCs w:val="21"/>
                    </w:rPr>
                  </w:pPr>
                </w:p>
              </w:tc>
              <w:tc>
                <w:tcPr>
                  <w:tcW w:w="767" w:type="dxa"/>
                  <w:vAlign w:val="center"/>
                </w:tcPr>
                <w:p>
                  <w:pPr>
                    <w:pStyle w:val="34"/>
                    <w:spacing w:line="360" w:lineRule="exact"/>
                    <w:rPr>
                      <w:rFonts w:hAnsiTheme="minorEastAsia" w:eastAsiaTheme="minorEastAsia"/>
                      <w:color w:val="auto"/>
                    </w:rPr>
                  </w:pPr>
                  <w:r>
                    <w:rPr>
                      <w:rFonts w:hAnsiTheme="minorEastAsia" w:eastAsiaTheme="minorEastAsia"/>
                      <w:color w:val="auto"/>
                    </w:rPr>
                    <w:t>资源开发效率要求</w:t>
                  </w:r>
                </w:p>
              </w:tc>
              <w:tc>
                <w:tcPr>
                  <w:tcW w:w="3483" w:type="dxa"/>
                  <w:vAlign w:val="center"/>
                </w:tcPr>
                <w:p>
                  <w:pPr>
                    <w:pStyle w:val="34"/>
                    <w:spacing w:line="360" w:lineRule="exact"/>
                    <w:ind w:firstLine="210" w:firstLineChars="100"/>
                    <w:jc w:val="both"/>
                    <w:rPr>
                      <w:color w:val="auto"/>
                    </w:rPr>
                  </w:pPr>
                  <w:r>
                    <w:rPr>
                      <w:color w:val="auto"/>
                    </w:rPr>
                    <w:t>1、禁止新建、改扩建《高耗水工艺、技术和装备淘汰目录》中项目，现有企业应限期关停退出。禁止建设不符合《云南省用水定额》标准的项目。</w:t>
                  </w:r>
                </w:p>
                <w:p>
                  <w:pPr>
                    <w:pStyle w:val="34"/>
                    <w:spacing w:line="360" w:lineRule="exact"/>
                    <w:ind w:firstLine="210" w:firstLineChars="100"/>
                    <w:jc w:val="both"/>
                    <w:rPr>
                      <w:color w:val="auto"/>
                    </w:rPr>
                  </w:pPr>
                  <w:r>
                    <w:rPr>
                      <w:color w:val="auto"/>
                    </w:rPr>
                    <w:t>2、新建、改建和扩建《产业结构调整指导目录（2019年本）》（发改委发〔2019〕29号）明令淘汰的落后工艺技术，装备或者生产明令淘汰产品的建设项目，国土资源管理部门和投资管理部门一律不得办理相关手续。</w:t>
                  </w:r>
                </w:p>
                <w:p>
                  <w:pPr>
                    <w:pStyle w:val="34"/>
                    <w:spacing w:line="360" w:lineRule="exact"/>
                    <w:ind w:firstLine="210" w:firstLineChars="100"/>
                    <w:jc w:val="both"/>
                    <w:rPr>
                      <w:color w:val="auto"/>
                    </w:rPr>
                  </w:pPr>
                  <w:r>
                    <w:rPr>
                      <w:color w:val="auto"/>
                    </w:rPr>
                    <w:t>3、新建、扩建和改建《限制用地项目目录（2012年本）》（国土资发〔2012〕）中建设项目，必须符合目录规定条件，国土资源管理部门和投资管理部门方可办理相关手续。</w:t>
                  </w:r>
                </w:p>
                <w:p>
                  <w:pPr>
                    <w:pStyle w:val="34"/>
                    <w:spacing w:line="360" w:lineRule="exact"/>
                    <w:ind w:firstLine="210" w:firstLineChars="100"/>
                    <w:jc w:val="both"/>
                    <w:rPr>
                      <w:color w:val="auto"/>
                    </w:rPr>
                  </w:pPr>
                  <w:r>
                    <w:rPr>
                      <w:color w:val="auto"/>
                    </w:rPr>
                    <w:t>4、新建、改建、扩建工业项目投资强度、容积率、建筑系数、行政办公及生活服务设施用地所占比重应符合《工业项目建设用地控制指标》（国土资发〔2008〕24号）。</w:t>
                  </w:r>
                </w:p>
                <w:p>
                  <w:pPr>
                    <w:pStyle w:val="34"/>
                    <w:spacing w:line="360" w:lineRule="exact"/>
                    <w:ind w:firstLine="210" w:firstLineChars="100"/>
                    <w:jc w:val="both"/>
                    <w:rPr>
                      <w:color w:val="auto"/>
                    </w:rPr>
                  </w:pPr>
                  <w:r>
                    <w:rPr>
                      <w:color w:val="auto"/>
                    </w:rPr>
                    <w:t>5、禁止生产高耗能落后设备产品，现有工业企业应限期关停退出。</w:t>
                  </w:r>
                </w:p>
              </w:tc>
              <w:tc>
                <w:tcPr>
                  <w:tcW w:w="2845" w:type="dxa"/>
                  <w:vAlign w:val="center"/>
                </w:tcPr>
                <w:p>
                  <w:pPr>
                    <w:pStyle w:val="34"/>
                    <w:spacing w:line="360" w:lineRule="exact"/>
                    <w:ind w:firstLine="210" w:firstLineChars="100"/>
                    <w:jc w:val="both"/>
                    <w:rPr>
                      <w:color w:val="auto"/>
                    </w:rPr>
                  </w:pPr>
                  <w:r>
                    <w:rPr>
                      <w:rFonts w:hint="eastAsia"/>
                      <w:color w:val="auto"/>
                    </w:rPr>
                    <w:t>1、项目属于</w:t>
                  </w:r>
                  <w:r>
                    <w:rPr>
                      <w:rFonts w:hint="eastAsia" w:hAnsiTheme="minorEastAsia"/>
                      <w:color w:val="auto"/>
                      <w:sz w:val="24"/>
                    </w:rPr>
                    <w:t>引水</w:t>
                  </w:r>
                  <w:r>
                    <w:rPr>
                      <w:rFonts w:hint="eastAsia"/>
                      <w:color w:val="auto"/>
                    </w:rPr>
                    <w:t>工程项目，不属于</w:t>
                  </w:r>
                  <w:r>
                    <w:rPr>
                      <w:color w:val="auto"/>
                    </w:rPr>
                    <w:t>《高耗水工艺、技术和装备淘汰目录》中项目</w:t>
                  </w:r>
                  <w:r>
                    <w:rPr>
                      <w:rFonts w:hint="eastAsia"/>
                      <w:color w:val="auto"/>
                    </w:rPr>
                    <w:t>，也不属于不符合</w:t>
                  </w:r>
                  <w:r>
                    <w:rPr>
                      <w:color w:val="auto"/>
                    </w:rPr>
                    <w:t>《云南省用水定额》标准的项目。</w:t>
                  </w:r>
                </w:p>
                <w:p>
                  <w:pPr>
                    <w:pStyle w:val="34"/>
                    <w:spacing w:line="360" w:lineRule="exact"/>
                    <w:ind w:firstLine="210" w:firstLineChars="100"/>
                    <w:jc w:val="both"/>
                    <w:rPr>
                      <w:color w:val="auto"/>
                    </w:rPr>
                  </w:pPr>
                  <w:r>
                    <w:rPr>
                      <w:rFonts w:hint="eastAsia"/>
                      <w:color w:val="auto"/>
                    </w:rPr>
                    <w:t>2、项目属于引水工程项目，鼓励类中二、水利中“3、城乡供水水源工程”。</w:t>
                  </w:r>
                </w:p>
                <w:p>
                  <w:pPr>
                    <w:pStyle w:val="34"/>
                    <w:spacing w:line="360" w:lineRule="exact"/>
                    <w:ind w:firstLine="210" w:firstLineChars="100"/>
                    <w:jc w:val="both"/>
                    <w:rPr>
                      <w:color w:val="auto"/>
                    </w:rPr>
                  </w:pPr>
                  <w:r>
                    <w:rPr>
                      <w:rFonts w:hint="eastAsia"/>
                      <w:color w:val="auto"/>
                    </w:rPr>
                    <w:t>3、项目不属于</w:t>
                  </w:r>
                  <w:r>
                    <w:rPr>
                      <w:color w:val="auto"/>
                    </w:rPr>
                    <w:t>《限制用地项目目录（2012年本）》（国土资发〔2012〕）中建设项目</w:t>
                  </w:r>
                </w:p>
                <w:p>
                  <w:pPr>
                    <w:pStyle w:val="34"/>
                    <w:spacing w:line="360" w:lineRule="exact"/>
                    <w:ind w:firstLine="210" w:firstLineChars="100"/>
                    <w:jc w:val="both"/>
                    <w:rPr>
                      <w:color w:val="auto"/>
                    </w:rPr>
                  </w:pPr>
                  <w:r>
                    <w:rPr>
                      <w:rFonts w:hint="eastAsia"/>
                      <w:color w:val="auto"/>
                    </w:rPr>
                    <w:t>4、项目不涉及工业项目建设占地。</w:t>
                  </w:r>
                </w:p>
                <w:p>
                  <w:pPr>
                    <w:pStyle w:val="34"/>
                    <w:spacing w:line="360" w:lineRule="exact"/>
                    <w:ind w:firstLine="210" w:firstLineChars="100"/>
                    <w:jc w:val="both"/>
                    <w:rPr>
                      <w:color w:val="auto"/>
                    </w:rPr>
                  </w:pPr>
                  <w:r>
                    <w:rPr>
                      <w:rFonts w:hint="eastAsia"/>
                      <w:color w:val="auto"/>
                    </w:rPr>
                    <w:t>5、项目不涉及</w:t>
                  </w:r>
                  <w:r>
                    <w:rPr>
                      <w:color w:val="auto"/>
                    </w:rPr>
                    <w:t>生产高耗能落后设备产品</w:t>
                  </w:r>
                  <w:r>
                    <w:rPr>
                      <w:rFonts w:hint="eastAsia"/>
                      <w:color w:val="auto"/>
                    </w:rPr>
                    <w:t>。</w:t>
                  </w:r>
                </w:p>
              </w:tc>
              <w:tc>
                <w:tcPr>
                  <w:tcW w:w="714" w:type="dxa"/>
                  <w:vAlign w:val="center"/>
                </w:tcPr>
                <w:p>
                  <w:pPr>
                    <w:pStyle w:val="34"/>
                    <w:spacing w:line="360" w:lineRule="exact"/>
                    <w:rPr>
                      <w:rFonts w:hAnsiTheme="minorEastAsia" w:eastAsiaTheme="minorEastAsia"/>
                      <w:color w:val="auto"/>
                      <w:szCs w:val="21"/>
                    </w:rPr>
                  </w:pPr>
                  <w:r>
                    <w:rPr>
                      <w:rFonts w:hint="eastAsia" w:hAnsiTheme="minorEastAsia" w:eastAsiaTheme="minorEastAsia"/>
                      <w:color w:val="auto"/>
                      <w:szCs w:val="21"/>
                    </w:rPr>
                    <w:t>符合</w:t>
                  </w:r>
                </w:p>
              </w:tc>
            </w:tr>
          </w:tbl>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由上表可知，项目建设满足</w:t>
            </w:r>
            <w:r>
              <w:rPr>
                <w:rFonts w:ascii="Times New Roman" w:hAnsi="Times New Roman" w:cs="Times New Roman"/>
                <w:sz w:val="24"/>
              </w:rPr>
              <w:t>东川区环境管控单元生态环境准入清单</w:t>
            </w:r>
            <w:r>
              <w:rPr>
                <w:rFonts w:hint="eastAsia" w:ascii="Times New Roman" w:hAnsi="Times New Roman" w:cs="Times New Roman"/>
                <w:sz w:val="24"/>
              </w:rPr>
              <w:t>的相关要求。</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综上分析，项目建设符合“三线一单”要求。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（2）与《中华人民共和国长江保护法》的符合性分析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《中华人民共和国长江保护法》重点从空间管控、规划等方面提出了长江保护的相关要求</w:t>
            </w:r>
            <w:r>
              <w:rPr>
                <w:rFonts w:hint="eastAsia" w:ascii="Times New Roman" w:hAnsi="Times New Roman" w:cs="Times New Roman"/>
                <w:sz w:val="24"/>
              </w:rPr>
              <w:t>，</w:t>
            </w:r>
            <w:r>
              <w:rPr>
                <w:rFonts w:ascii="Times New Roman" w:hAnsi="Times New Roman" w:cs="Times New Roman"/>
                <w:sz w:val="24"/>
              </w:rPr>
              <w:t>保护法提出的具体建设项目的措施符合性具体如下表所示。</w:t>
            </w:r>
          </w:p>
          <w:p>
            <w:pPr>
              <w:jc w:val="center"/>
              <w:rPr>
                <w:rFonts w:ascii="Times New Roman" w:hAnsi="Times New Roman" w:cs="Times New Roman"/>
                <w:b/>
              </w:rPr>
            </w:pPr>
            <w:r>
              <w:rPr>
                <w:rFonts w:ascii="Times New Roman" w:hAnsi="Times New Roman" w:cs="Times New Roman"/>
                <w:b/>
              </w:rPr>
              <w:t>表1</w:t>
            </w:r>
            <w:r>
              <w:rPr>
                <w:rFonts w:hint="eastAsia" w:ascii="Times New Roman" w:hAnsi="Times New Roman" w:cs="Times New Roman"/>
                <w:b/>
              </w:rPr>
              <w:t>-2</w:t>
            </w:r>
            <w:r>
              <w:rPr>
                <w:rFonts w:ascii="Times New Roman" w:hAnsi="Times New Roman" w:cs="Times New Roman"/>
                <w:b/>
              </w:rPr>
              <w:t xml:space="preserve"> 与《中华人民共和国长江保护法》符合性分析一览表</w:t>
            </w:r>
          </w:p>
          <w:tbl>
            <w:tblPr>
              <w:tblStyle w:val="2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3"/>
              <w:gridCol w:w="3244"/>
              <w:gridCol w:w="3828"/>
              <w:gridCol w:w="6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9" w:type="dxa"/>
                  <w:vAlign w:val="center"/>
                </w:tcPr>
                <w:p>
                  <w:pPr>
                    <w:pStyle w:val="34"/>
                    <w:spacing w:line="360" w:lineRule="exact"/>
                    <w:rPr>
                      <w:color w:val="auto"/>
                      <w:kern w:val="0"/>
                      <w:szCs w:val="21"/>
                    </w:rPr>
                  </w:pPr>
                  <w:r>
                    <w:rPr>
                      <w:color w:val="auto"/>
                      <w:kern w:val="0"/>
                      <w:szCs w:val="21"/>
                    </w:rPr>
                    <w:t>序号</w:t>
                  </w:r>
                </w:p>
              </w:tc>
              <w:tc>
                <w:tcPr>
                  <w:tcW w:w="3327" w:type="dxa"/>
                  <w:vAlign w:val="center"/>
                </w:tcPr>
                <w:p>
                  <w:pPr>
                    <w:pStyle w:val="34"/>
                    <w:spacing w:line="360" w:lineRule="exact"/>
                    <w:rPr>
                      <w:color w:val="auto"/>
                      <w:kern w:val="0"/>
                      <w:szCs w:val="21"/>
                    </w:rPr>
                  </w:pPr>
                  <w:r>
                    <w:rPr>
                      <w:color w:val="auto"/>
                      <w:kern w:val="0"/>
                      <w:szCs w:val="21"/>
                    </w:rPr>
                    <w:t>中华人民共和国长江保护法要求</w:t>
                  </w:r>
                </w:p>
              </w:tc>
              <w:tc>
                <w:tcPr>
                  <w:tcW w:w="3930" w:type="dxa"/>
                  <w:vAlign w:val="center"/>
                </w:tcPr>
                <w:p>
                  <w:pPr>
                    <w:pStyle w:val="34"/>
                    <w:spacing w:line="360" w:lineRule="exact"/>
                    <w:rPr>
                      <w:color w:val="auto"/>
                      <w:kern w:val="0"/>
                      <w:szCs w:val="21"/>
                    </w:rPr>
                  </w:pPr>
                  <w:r>
                    <w:rPr>
                      <w:color w:val="auto"/>
                      <w:kern w:val="0"/>
                      <w:szCs w:val="21"/>
                    </w:rPr>
                    <w:t>该项目实际情况</w:t>
                  </w:r>
                </w:p>
              </w:tc>
              <w:tc>
                <w:tcPr>
                  <w:tcW w:w="656" w:type="dxa"/>
                  <w:vAlign w:val="center"/>
                </w:tcPr>
                <w:p>
                  <w:pPr>
                    <w:pStyle w:val="34"/>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9" w:type="dxa"/>
                  <w:vAlign w:val="center"/>
                </w:tcPr>
                <w:p>
                  <w:pPr>
                    <w:pStyle w:val="34"/>
                    <w:spacing w:line="360" w:lineRule="exact"/>
                    <w:rPr>
                      <w:color w:val="auto"/>
                      <w:kern w:val="0"/>
                      <w:szCs w:val="21"/>
                    </w:rPr>
                  </w:pPr>
                  <w:r>
                    <w:rPr>
                      <w:color w:val="auto"/>
                      <w:kern w:val="0"/>
                      <w:szCs w:val="21"/>
                    </w:rPr>
                    <w:t>1</w:t>
                  </w:r>
                </w:p>
              </w:tc>
              <w:tc>
                <w:tcPr>
                  <w:tcW w:w="3327" w:type="dxa"/>
                  <w:vAlign w:val="center"/>
                </w:tcPr>
                <w:p>
                  <w:pPr>
                    <w:pStyle w:val="34"/>
                    <w:spacing w:line="360" w:lineRule="exact"/>
                    <w:ind w:firstLine="210" w:firstLineChars="100"/>
                    <w:jc w:val="both"/>
                    <w:rPr>
                      <w:color w:val="auto"/>
                    </w:rPr>
                  </w:pPr>
                  <w:r>
                    <w:rPr>
                      <w:color w:val="auto"/>
                    </w:rPr>
                    <w:t>禁止在长江干支流岸线一公里范围内新建、扩建化工园区和化工项目。</w:t>
                  </w:r>
                </w:p>
              </w:tc>
              <w:tc>
                <w:tcPr>
                  <w:tcW w:w="3930" w:type="dxa"/>
                  <w:vAlign w:val="center"/>
                </w:tcPr>
                <w:p>
                  <w:pPr>
                    <w:pStyle w:val="34"/>
                    <w:spacing w:line="360" w:lineRule="exact"/>
                    <w:ind w:firstLine="210" w:firstLineChars="100"/>
                    <w:jc w:val="both"/>
                    <w:rPr>
                      <w:color w:val="auto"/>
                    </w:rPr>
                  </w:pPr>
                  <w:r>
                    <w:rPr>
                      <w:rFonts w:hint="eastAsia"/>
                      <w:color w:val="auto"/>
                    </w:rPr>
                    <w:t>项目属于引水工程项目，不属于</w:t>
                  </w:r>
                  <w:r>
                    <w:rPr>
                      <w:color w:val="auto"/>
                    </w:rPr>
                    <w:t>化工园区和化工项目。</w:t>
                  </w:r>
                </w:p>
              </w:tc>
              <w:tc>
                <w:tcPr>
                  <w:tcW w:w="656"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9" w:type="dxa"/>
                  <w:vAlign w:val="center"/>
                </w:tcPr>
                <w:p>
                  <w:pPr>
                    <w:pStyle w:val="34"/>
                    <w:spacing w:line="360" w:lineRule="exact"/>
                    <w:rPr>
                      <w:color w:val="auto"/>
                      <w:kern w:val="0"/>
                      <w:szCs w:val="21"/>
                    </w:rPr>
                  </w:pPr>
                  <w:r>
                    <w:rPr>
                      <w:rFonts w:hint="eastAsia"/>
                      <w:color w:val="auto"/>
                      <w:kern w:val="0"/>
                      <w:szCs w:val="21"/>
                    </w:rPr>
                    <w:t>2</w:t>
                  </w:r>
                </w:p>
              </w:tc>
              <w:tc>
                <w:tcPr>
                  <w:tcW w:w="3327" w:type="dxa"/>
                  <w:vAlign w:val="center"/>
                </w:tcPr>
                <w:p>
                  <w:pPr>
                    <w:pStyle w:val="34"/>
                    <w:spacing w:line="360" w:lineRule="exact"/>
                    <w:ind w:firstLine="210" w:firstLineChars="100"/>
                    <w:jc w:val="both"/>
                    <w:rPr>
                      <w:color w:val="auto"/>
                    </w:rPr>
                  </w:pPr>
                  <w:r>
                    <w:rPr>
                      <w:rFonts w:hint="eastAsia"/>
                      <w:color w:val="auto"/>
                    </w:rPr>
                    <w:t>禁止在长江干流岸线三公里范围内和重要支流岸线一公里范围内新建、改建、扩建尾矿库；但是以提升安全、生态环境保护水平为目的的改建除外。</w:t>
                  </w:r>
                </w:p>
              </w:tc>
              <w:tc>
                <w:tcPr>
                  <w:tcW w:w="3930" w:type="dxa"/>
                  <w:vAlign w:val="center"/>
                </w:tcPr>
                <w:p>
                  <w:pPr>
                    <w:pStyle w:val="34"/>
                    <w:spacing w:line="360" w:lineRule="exact"/>
                    <w:ind w:firstLine="210" w:firstLineChars="100"/>
                    <w:jc w:val="both"/>
                    <w:rPr>
                      <w:color w:val="auto"/>
                    </w:rPr>
                  </w:pPr>
                  <w:r>
                    <w:rPr>
                      <w:rFonts w:hint="eastAsia"/>
                      <w:color w:val="auto"/>
                    </w:rPr>
                    <w:t>项目属于引水工程项目，</w:t>
                  </w:r>
                  <w:r>
                    <w:rPr>
                      <w:rFonts w:hint="eastAsia"/>
                      <w:color w:val="auto"/>
                      <w:kern w:val="0"/>
                      <w:szCs w:val="21"/>
                    </w:rPr>
                    <w:t>项目主要采用“光伏泵站+提水管道+新建高位水池”的模式为灌区供水。</w:t>
                  </w:r>
                </w:p>
              </w:tc>
              <w:tc>
                <w:tcPr>
                  <w:tcW w:w="656"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09" w:type="dxa"/>
                  <w:vAlign w:val="center"/>
                </w:tcPr>
                <w:p>
                  <w:pPr>
                    <w:pStyle w:val="34"/>
                    <w:spacing w:line="360" w:lineRule="exact"/>
                    <w:rPr>
                      <w:color w:val="auto"/>
                      <w:kern w:val="0"/>
                      <w:szCs w:val="21"/>
                    </w:rPr>
                  </w:pPr>
                  <w:r>
                    <w:rPr>
                      <w:color w:val="auto"/>
                      <w:kern w:val="0"/>
                      <w:szCs w:val="21"/>
                    </w:rPr>
                    <w:t>3</w:t>
                  </w:r>
                </w:p>
              </w:tc>
              <w:tc>
                <w:tcPr>
                  <w:tcW w:w="3327" w:type="dxa"/>
                  <w:vAlign w:val="center"/>
                </w:tcPr>
                <w:p>
                  <w:pPr>
                    <w:pStyle w:val="34"/>
                    <w:spacing w:line="360" w:lineRule="exact"/>
                    <w:ind w:firstLine="210" w:firstLineChars="100"/>
                    <w:jc w:val="both"/>
                    <w:rPr>
                      <w:color w:val="auto"/>
                      <w:kern w:val="0"/>
                      <w:szCs w:val="21"/>
                    </w:rPr>
                  </w:pPr>
                  <w:r>
                    <w:rPr>
                      <w:color w:val="auto"/>
                      <w:kern w:val="0"/>
                      <w:szCs w:val="21"/>
                    </w:rPr>
                    <w:t>禁止在长江流域河湖管理范围内倾倒、填埋、堆放、弃置、处理固体废物。</w:t>
                  </w:r>
                </w:p>
              </w:tc>
              <w:tc>
                <w:tcPr>
                  <w:tcW w:w="3930" w:type="dxa"/>
                  <w:vAlign w:val="center"/>
                </w:tcPr>
                <w:p>
                  <w:pPr>
                    <w:pStyle w:val="34"/>
                    <w:spacing w:line="360" w:lineRule="exact"/>
                    <w:ind w:firstLine="210" w:firstLineChars="100"/>
                    <w:jc w:val="both"/>
                    <w:rPr>
                      <w:color w:val="auto"/>
                      <w:kern w:val="0"/>
                      <w:szCs w:val="21"/>
                    </w:rPr>
                  </w:pPr>
                  <w:r>
                    <w:rPr>
                      <w:rFonts w:hint="eastAsia"/>
                      <w:color w:val="auto"/>
                    </w:rPr>
                    <w:t>项目施工期加强管理，不存在</w:t>
                  </w:r>
                  <w:r>
                    <w:rPr>
                      <w:color w:val="auto"/>
                    </w:rPr>
                    <w:t>倾倒、填埋、堆放、弃置、处理固体废物。</w:t>
                  </w:r>
                </w:p>
              </w:tc>
              <w:tc>
                <w:tcPr>
                  <w:tcW w:w="656" w:type="dxa"/>
                  <w:vAlign w:val="center"/>
                </w:tcPr>
                <w:p>
                  <w:pPr>
                    <w:pStyle w:val="34"/>
                    <w:spacing w:line="360" w:lineRule="exact"/>
                    <w:rPr>
                      <w:color w:val="auto"/>
                      <w:kern w:val="0"/>
                      <w:szCs w:val="21"/>
                    </w:rPr>
                  </w:pPr>
                  <w:r>
                    <w:rPr>
                      <w:color w:val="auto"/>
                      <w:kern w:val="0"/>
                      <w:szCs w:val="21"/>
                    </w:rPr>
                    <w:t>符合</w:t>
                  </w:r>
                </w:p>
              </w:tc>
            </w:tr>
          </w:tbl>
          <w:p>
            <w:pPr>
              <w:spacing w:line="360" w:lineRule="auto"/>
              <w:ind w:firstLine="480" w:firstLineChars="200"/>
              <w:rPr>
                <w:rFonts w:ascii="Times New Roman" w:hAnsi="Times New Roman" w:cs="Times New Roman"/>
                <w:sz w:val="24"/>
              </w:rPr>
            </w:pPr>
            <w:r>
              <w:rPr>
                <w:rFonts w:ascii="Times New Roman" w:hAnsi="Times New Roman" w:cs="Times New Roman"/>
                <w:sz w:val="24"/>
              </w:rPr>
              <w:t>综上，项目建设满足《中华人民共和国长江保护法》的管理要求。</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（3）与《长江经济带发展负面清单指南（试行，2022年版）》（长江办【2022】7号）》的符合性</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2022年1月19日，推动长江经济带发展领导小组办公室关于印发《长江经济带发展负面清单指南（试行，2022年版）的通知》（长江办【2022】7号），该项目位于</w:t>
            </w:r>
            <w:r>
              <w:rPr>
                <w:rFonts w:hint="eastAsia" w:ascii="Times New Roman" w:hAnsi="Times New Roman" w:cs="Times New Roman"/>
                <w:sz w:val="24"/>
              </w:rPr>
              <w:t>昆明市东川区拖布卡镇象鼻村</w:t>
            </w:r>
            <w:r>
              <w:rPr>
                <w:rFonts w:ascii="Times New Roman" w:hAnsi="Times New Roman" w:cs="Times New Roman"/>
                <w:sz w:val="24"/>
              </w:rPr>
              <w:t>，项目所在区域属于</w:t>
            </w:r>
            <w:r>
              <w:rPr>
                <w:rFonts w:hint="eastAsia" w:ascii="Times New Roman" w:hAnsi="Times New Roman" w:cs="Times New Roman"/>
                <w:sz w:val="24"/>
              </w:rPr>
              <w:t>金沙江</w:t>
            </w:r>
            <w:r>
              <w:rPr>
                <w:rFonts w:ascii="Times New Roman" w:hAnsi="Times New Roman" w:cs="Times New Roman"/>
                <w:sz w:val="24"/>
              </w:rPr>
              <w:t>汇水范围，金沙江属于长江的主要支流，具体分析如下表所示。</w:t>
            </w:r>
          </w:p>
          <w:p>
            <w:pPr>
              <w:jc w:val="center"/>
              <w:rPr>
                <w:rFonts w:ascii="Times New Roman" w:hAnsi="Times New Roman" w:cs="Times New Roman"/>
                <w:b/>
              </w:rPr>
            </w:pPr>
            <w:r>
              <w:rPr>
                <w:rFonts w:ascii="Times New Roman" w:hAnsi="Times New Roman" w:cs="Times New Roman"/>
                <w:b/>
              </w:rPr>
              <w:t>表</w:t>
            </w:r>
            <w:r>
              <w:rPr>
                <w:rFonts w:hint="eastAsia" w:ascii="Times New Roman" w:hAnsi="Times New Roman" w:cs="Times New Roman"/>
                <w:b/>
              </w:rPr>
              <w:t xml:space="preserve">1-3 </w:t>
            </w:r>
            <w:r>
              <w:rPr>
                <w:rFonts w:ascii="Times New Roman" w:hAnsi="Times New Roman" w:cs="Times New Roman"/>
                <w:b/>
              </w:rPr>
              <w:t>与《长江经济带发展负面清单指南（试行，2022年版）》符合性分析一览表</w:t>
            </w:r>
          </w:p>
          <w:tbl>
            <w:tblPr>
              <w:tblStyle w:val="2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9"/>
              <w:gridCol w:w="3855"/>
              <w:gridCol w:w="3331"/>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序号</w:t>
                  </w:r>
                </w:p>
              </w:tc>
              <w:tc>
                <w:tcPr>
                  <w:tcW w:w="3855" w:type="dxa"/>
                  <w:vAlign w:val="center"/>
                </w:tcPr>
                <w:p>
                  <w:pPr>
                    <w:pStyle w:val="34"/>
                    <w:spacing w:line="360" w:lineRule="exact"/>
                    <w:rPr>
                      <w:color w:val="auto"/>
                      <w:kern w:val="0"/>
                      <w:szCs w:val="21"/>
                    </w:rPr>
                  </w:pPr>
                  <w:r>
                    <w:rPr>
                      <w:color w:val="auto"/>
                      <w:kern w:val="0"/>
                      <w:szCs w:val="21"/>
                    </w:rPr>
                    <w:t>《长江经济带发展负面清单指南（试行，2022年版）》要求</w:t>
                  </w:r>
                </w:p>
              </w:tc>
              <w:tc>
                <w:tcPr>
                  <w:tcW w:w="3331" w:type="dxa"/>
                  <w:vAlign w:val="center"/>
                </w:tcPr>
                <w:p>
                  <w:pPr>
                    <w:pStyle w:val="34"/>
                    <w:spacing w:line="360" w:lineRule="exact"/>
                    <w:rPr>
                      <w:color w:val="auto"/>
                      <w:kern w:val="0"/>
                      <w:szCs w:val="21"/>
                    </w:rPr>
                  </w:pPr>
                  <w:r>
                    <w:rPr>
                      <w:color w:val="auto"/>
                      <w:kern w:val="0"/>
                      <w:szCs w:val="21"/>
                    </w:rPr>
                    <w:t>该项目实际情况</w:t>
                  </w:r>
                </w:p>
              </w:tc>
              <w:tc>
                <w:tcPr>
                  <w:tcW w:w="499" w:type="dxa"/>
                  <w:vAlign w:val="center"/>
                </w:tcPr>
                <w:p>
                  <w:pPr>
                    <w:pStyle w:val="34"/>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1</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禁止建设不符合全国和省级港口布局规划以及港口总体规划的码头项目，禁止建设不符合 《长江于线过江通道布局规划》的过长江通道项目。</w:t>
                  </w:r>
                </w:p>
              </w:tc>
              <w:tc>
                <w:tcPr>
                  <w:tcW w:w="3331" w:type="dxa"/>
                  <w:vAlign w:val="center"/>
                </w:tcPr>
                <w:p>
                  <w:pPr>
                    <w:pStyle w:val="34"/>
                    <w:spacing w:line="360" w:lineRule="exact"/>
                    <w:ind w:firstLine="210" w:firstLineChars="100"/>
                    <w:jc w:val="both"/>
                    <w:rPr>
                      <w:color w:val="auto"/>
                      <w:kern w:val="0"/>
                      <w:szCs w:val="21"/>
                    </w:rPr>
                  </w:pPr>
                  <w:r>
                    <w:rPr>
                      <w:rFonts w:hint="eastAsia"/>
                      <w:color w:val="auto"/>
                    </w:rPr>
                    <w:t>项目位于昆明市东川区拖布卡镇象鼻村，项目属于引水工程项目，</w:t>
                  </w:r>
                  <w:r>
                    <w:rPr>
                      <w:color w:val="auto"/>
                      <w:kern w:val="0"/>
                      <w:szCs w:val="21"/>
                    </w:rPr>
                    <w:t>不属于码头及过长江通道项目。</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2</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，不属于</w:t>
                  </w:r>
                  <w:r>
                    <w:rPr>
                      <w:color w:val="auto"/>
                      <w:kern w:val="0"/>
                      <w:szCs w:val="21"/>
                    </w:rPr>
                    <w:t>旅游和生产经营项目</w:t>
                  </w:r>
                  <w:r>
                    <w:rPr>
                      <w:rFonts w:hint="eastAsia"/>
                      <w:color w:val="auto"/>
                      <w:kern w:val="0"/>
                      <w:szCs w:val="21"/>
                    </w:rPr>
                    <w:t>，且</w:t>
                  </w:r>
                  <w:r>
                    <w:rPr>
                      <w:color w:val="auto"/>
                      <w:kern w:val="0"/>
                      <w:szCs w:val="21"/>
                    </w:rPr>
                    <w:t>该项目位于</w:t>
                  </w:r>
                  <w:r>
                    <w:rPr>
                      <w:rFonts w:hint="eastAsia"/>
                      <w:color w:val="auto"/>
                    </w:rPr>
                    <w:t>昆明市东川区拖布卡镇象鼻村</w:t>
                  </w:r>
                  <w:r>
                    <w:rPr>
                      <w:color w:val="auto"/>
                      <w:kern w:val="0"/>
                      <w:szCs w:val="21"/>
                    </w:rPr>
                    <w:t>，不涉及自然保护区核心区、风景名胜区等特殊敏感区。</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4"/>
                    <w:spacing w:line="360" w:lineRule="exact"/>
                    <w:rPr>
                      <w:color w:val="auto"/>
                      <w:kern w:val="0"/>
                      <w:szCs w:val="21"/>
                    </w:rPr>
                  </w:pPr>
                  <w:r>
                    <w:rPr>
                      <w:color w:val="auto"/>
                      <w:kern w:val="0"/>
                      <w:szCs w:val="21"/>
                    </w:rPr>
                    <w:t>3</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该项目位于</w:t>
                  </w:r>
                  <w:r>
                    <w:rPr>
                      <w:rFonts w:hint="eastAsia"/>
                      <w:color w:val="auto"/>
                    </w:rPr>
                    <w:t>昆明市东川区拖布卡镇象鼻村</w:t>
                  </w:r>
                  <w:r>
                    <w:rPr>
                      <w:color w:val="auto"/>
                      <w:kern w:val="0"/>
                      <w:szCs w:val="21"/>
                    </w:rPr>
                    <w:t>，不涉及到饮用水水源地。</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4</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，项目主要采用“光伏泵站+提水管道+新建高位水池”的模式为灌区供水，不属于</w:t>
                  </w:r>
                  <w:r>
                    <w:rPr>
                      <w:color w:val="auto"/>
                      <w:kern w:val="0"/>
                      <w:szCs w:val="21"/>
                    </w:rPr>
                    <w:t>围湖造田、围海造地或围填海等投资建设项目</w:t>
                  </w:r>
                  <w:r>
                    <w:rPr>
                      <w:rFonts w:hint="eastAsia"/>
                      <w:color w:val="auto"/>
                      <w:kern w:val="0"/>
                      <w:szCs w:val="21"/>
                    </w:rPr>
                    <w:t>。</w:t>
                  </w:r>
                  <w:r>
                    <w:rPr>
                      <w:color w:val="auto"/>
                      <w:kern w:val="0"/>
                      <w:szCs w:val="21"/>
                    </w:rPr>
                    <w:t>该项目位于</w:t>
                  </w:r>
                  <w:r>
                    <w:rPr>
                      <w:rFonts w:hint="eastAsia"/>
                      <w:color w:val="auto"/>
                    </w:rPr>
                    <w:t>昆明市东川区拖布卡镇象鼻村</w:t>
                  </w:r>
                  <w:r>
                    <w:rPr>
                      <w:color w:val="auto"/>
                      <w:kern w:val="0"/>
                      <w:szCs w:val="21"/>
                    </w:rPr>
                    <w:t>，</w:t>
                  </w:r>
                  <w:r>
                    <w:rPr>
                      <w:rFonts w:hint="eastAsia"/>
                      <w:color w:val="auto"/>
                      <w:kern w:val="0"/>
                      <w:szCs w:val="21"/>
                    </w:rPr>
                    <w:t>不涉及</w:t>
                  </w:r>
                  <w:r>
                    <w:rPr>
                      <w:color w:val="auto"/>
                      <w:kern w:val="0"/>
                      <w:szCs w:val="21"/>
                    </w:rPr>
                    <w:t>国家湿地公园</w:t>
                  </w:r>
                  <w:r>
                    <w:rPr>
                      <w:rFonts w:hint="eastAsia"/>
                      <w:color w:val="auto"/>
                      <w:kern w:val="0"/>
                      <w:szCs w:val="21"/>
                    </w:rPr>
                    <w:t>，也不涉及</w:t>
                  </w:r>
                  <w:r>
                    <w:rPr>
                      <w:color w:val="auto"/>
                      <w:kern w:val="0"/>
                      <w:szCs w:val="21"/>
                    </w:rPr>
                    <w:t>挖沙、采矿</w:t>
                  </w:r>
                  <w:r>
                    <w:rPr>
                      <w:rFonts w:hint="eastAsia"/>
                      <w:color w:val="auto"/>
                      <w:kern w:val="0"/>
                      <w:szCs w:val="21"/>
                    </w:rPr>
                    <w:t>等工程。</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5</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该项目在</w:t>
                  </w:r>
                  <w:r>
                    <w:rPr>
                      <w:rFonts w:hint="eastAsia"/>
                      <w:color w:val="auto"/>
                    </w:rPr>
                    <w:t>昆明市东川区拖布卡镇象鼻村</w:t>
                  </w:r>
                  <w:r>
                    <w:rPr>
                      <w:rFonts w:hint="eastAsia"/>
                      <w:color w:val="auto"/>
                      <w:kern w:val="0"/>
                      <w:szCs w:val="21"/>
                    </w:rPr>
                    <w:t>，项目主要采用“光伏泵站+提水管道+新建高位水池”的模式为灌区供水，</w:t>
                  </w:r>
                  <w:r>
                    <w:rPr>
                      <w:color w:val="auto"/>
                      <w:kern w:val="0"/>
                      <w:szCs w:val="21"/>
                    </w:rPr>
                    <w:t>该河段不属于《长江岸线保护和开发利用总体规划》划定的岸线保护区，也不属于全国重要江河湖泊水功能区划》划定的河段保护区、保留区。</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6</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禁止未经许可在长江干支流及湖泊新设、改设或扩大排污口。</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，施工期结束后其不利环境影响结束，不涉及排污口。</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4"/>
                    <w:spacing w:line="360" w:lineRule="exact"/>
                    <w:rPr>
                      <w:color w:val="auto"/>
                      <w:kern w:val="0"/>
                      <w:szCs w:val="21"/>
                    </w:rPr>
                  </w:pPr>
                  <w:r>
                    <w:rPr>
                      <w:color w:val="auto"/>
                      <w:kern w:val="0"/>
                      <w:szCs w:val="21"/>
                    </w:rPr>
                    <w:t>7</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禁止在“一江一口两湖七河”和332个水生生物保护区开展生产性捕捞。</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该项目不涉及生产性捕捞。</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8</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禁止在长江</w:t>
                  </w:r>
                  <w:r>
                    <w:rPr>
                      <w:rFonts w:hint="eastAsia"/>
                      <w:color w:val="auto"/>
                      <w:kern w:val="0"/>
                      <w:szCs w:val="21"/>
                    </w:rPr>
                    <w:t>干</w:t>
                  </w:r>
                  <w:r>
                    <w:rPr>
                      <w:color w:val="auto"/>
                      <w:kern w:val="0"/>
                      <w:szCs w:val="21"/>
                    </w:rPr>
                    <w:t>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，项目主要采用“光伏泵站+提水管道+新建高位水池”的模式为灌区供水</w:t>
                  </w:r>
                  <w:r>
                    <w:rPr>
                      <w:color w:val="auto"/>
                      <w:kern w:val="0"/>
                      <w:szCs w:val="21"/>
                    </w:rPr>
                    <w:t>。</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9</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禁止在合规园区外新建、扩建钢铁、石化、化工、焦化、建材、有色、制浆造纸等高污染项目。</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w:t>
                  </w:r>
                  <w:r>
                    <w:rPr>
                      <w:color w:val="auto"/>
                      <w:kern w:val="0"/>
                      <w:szCs w:val="21"/>
                    </w:rPr>
                    <w:t>不属于高污染项目。</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10</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禁止新建、扩建不符合国家石化、现代煤化工等产业布局规划的项目。</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w:t>
                  </w:r>
                  <w:r>
                    <w:rPr>
                      <w:color w:val="auto"/>
                      <w:kern w:val="0"/>
                      <w:szCs w:val="21"/>
                    </w:rPr>
                    <w:t>不属于不符合国家石化、现代煤化工等产业布局规划的项目。</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4"/>
                    <w:spacing w:line="360" w:lineRule="exact"/>
                    <w:rPr>
                      <w:color w:val="auto"/>
                      <w:kern w:val="0"/>
                      <w:szCs w:val="21"/>
                    </w:rPr>
                  </w:pPr>
                  <w:r>
                    <w:rPr>
                      <w:color w:val="auto"/>
                      <w:kern w:val="0"/>
                      <w:szCs w:val="21"/>
                    </w:rPr>
                    <w:t>11</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禁止新建、扩建法律法规和相关政策明令禁止的落后产能项目。禁止新建、扩建不符合国家产能置换要求的严重过剩产能行业的项目。禁上新建、抗建不符合要求的高耗能高排放项目。</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，属于《产业结构调整指导目录（2019年本）》鼓励类中二、水利中“3、城乡供水水源工程”。</w:t>
                  </w:r>
                </w:p>
              </w:tc>
              <w:tc>
                <w:tcPr>
                  <w:tcW w:w="499" w:type="dxa"/>
                  <w:vAlign w:val="center"/>
                </w:tcPr>
                <w:p>
                  <w:pPr>
                    <w:pStyle w:val="34"/>
                    <w:spacing w:line="360" w:lineRule="exact"/>
                    <w:rPr>
                      <w:color w:val="auto"/>
                      <w:kern w:val="0"/>
                      <w:szCs w:val="21"/>
                    </w:rPr>
                  </w:pPr>
                  <w:r>
                    <w:rPr>
                      <w:color w:val="auto"/>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39" w:type="dxa"/>
                  <w:vAlign w:val="center"/>
                </w:tcPr>
                <w:p>
                  <w:pPr>
                    <w:pStyle w:val="34"/>
                    <w:spacing w:line="360" w:lineRule="exact"/>
                    <w:rPr>
                      <w:color w:val="auto"/>
                      <w:kern w:val="0"/>
                      <w:szCs w:val="21"/>
                    </w:rPr>
                  </w:pPr>
                  <w:r>
                    <w:rPr>
                      <w:color w:val="auto"/>
                      <w:kern w:val="0"/>
                      <w:szCs w:val="21"/>
                    </w:rPr>
                    <w:t>12</w:t>
                  </w:r>
                </w:p>
              </w:tc>
              <w:tc>
                <w:tcPr>
                  <w:tcW w:w="3855" w:type="dxa"/>
                  <w:vAlign w:val="center"/>
                </w:tcPr>
                <w:p>
                  <w:pPr>
                    <w:pStyle w:val="34"/>
                    <w:spacing w:line="360" w:lineRule="exact"/>
                    <w:ind w:firstLine="210" w:firstLineChars="100"/>
                    <w:jc w:val="both"/>
                    <w:rPr>
                      <w:color w:val="auto"/>
                      <w:kern w:val="0"/>
                      <w:szCs w:val="21"/>
                    </w:rPr>
                  </w:pPr>
                  <w:r>
                    <w:rPr>
                      <w:color w:val="auto"/>
                      <w:kern w:val="0"/>
                      <w:szCs w:val="21"/>
                    </w:rPr>
                    <w:t>法律法规及相关政策文件有更加严格规定的从其规定。</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项目将严格执行国家相关法律法规。</w:t>
                  </w:r>
                </w:p>
              </w:tc>
              <w:tc>
                <w:tcPr>
                  <w:tcW w:w="499" w:type="dxa"/>
                  <w:vAlign w:val="center"/>
                </w:tcPr>
                <w:p>
                  <w:pPr>
                    <w:pStyle w:val="34"/>
                    <w:spacing w:line="360" w:lineRule="exact"/>
                    <w:rPr>
                      <w:color w:val="auto"/>
                      <w:kern w:val="0"/>
                      <w:szCs w:val="21"/>
                    </w:rPr>
                  </w:pPr>
                  <w:r>
                    <w:rPr>
                      <w:color w:val="auto"/>
                      <w:kern w:val="0"/>
                      <w:szCs w:val="21"/>
                    </w:rPr>
                    <w:t>符合</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由上表可知，该项目符合《长江经济带发展负面清单指南（试行，2022年版）》的要求。</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（4）与《云南省长江经济带发展负面清单指南实施细则（试行，</w:t>
            </w:r>
            <w:r>
              <w:rPr>
                <w:rFonts w:ascii="Times New Roman" w:hAnsi="Times New Roman" w:cs="Times New Roman"/>
                <w:b/>
                <w:sz w:val="24"/>
                <w:szCs w:val="24"/>
              </w:rPr>
              <w:t>2022</w:t>
            </w:r>
            <w:r>
              <w:rPr>
                <w:rFonts w:hint="eastAsia" w:ascii="Times New Roman" w:hAnsi="Times New Roman" w:cs="Times New Roman"/>
                <w:b/>
                <w:sz w:val="24"/>
                <w:szCs w:val="24"/>
              </w:rPr>
              <w:t>年版）》符合性分析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云南省推动长江经济带发展领导小组办公室于</w:t>
            </w:r>
            <w:r>
              <w:rPr>
                <w:rFonts w:ascii="Times New Roman" w:hAnsi="Times New Roman" w:cs="Times New Roman"/>
                <w:sz w:val="24"/>
                <w:szCs w:val="24"/>
              </w:rPr>
              <w:t>2022</w:t>
            </w:r>
            <w:r>
              <w:rPr>
                <w:rFonts w:hint="eastAsia" w:ascii="Times New Roman" w:hAnsi="Times New Roman" w:cs="Times New Roman"/>
                <w:sz w:val="24"/>
                <w:szCs w:val="24"/>
              </w:rPr>
              <w:t>年</w:t>
            </w:r>
            <w:r>
              <w:rPr>
                <w:rFonts w:ascii="Times New Roman" w:hAnsi="Times New Roman" w:cs="Times New Roman"/>
                <w:sz w:val="24"/>
                <w:szCs w:val="24"/>
              </w:rPr>
              <w:t>8</w:t>
            </w:r>
            <w:r>
              <w:rPr>
                <w:rFonts w:hint="eastAsia" w:ascii="Times New Roman" w:hAnsi="Times New Roman" w:cs="Times New Roman"/>
                <w:sz w:val="24"/>
                <w:szCs w:val="24"/>
              </w:rPr>
              <w:t>月</w:t>
            </w:r>
            <w:r>
              <w:rPr>
                <w:rFonts w:ascii="Times New Roman" w:hAnsi="Times New Roman" w:cs="Times New Roman"/>
                <w:sz w:val="24"/>
                <w:szCs w:val="24"/>
              </w:rPr>
              <w:t>19</w:t>
            </w:r>
            <w:r>
              <w:rPr>
                <w:rFonts w:hint="eastAsia" w:ascii="Times New Roman" w:hAnsi="Times New Roman" w:cs="Times New Roman"/>
                <w:sz w:val="24"/>
                <w:szCs w:val="24"/>
              </w:rPr>
              <w:t>日印发了《云南省长江经济带发展负面清单指南实施细则（试行，</w:t>
            </w:r>
            <w:r>
              <w:rPr>
                <w:rFonts w:ascii="Times New Roman" w:hAnsi="Times New Roman" w:cs="Times New Roman"/>
                <w:sz w:val="24"/>
                <w:szCs w:val="24"/>
              </w:rPr>
              <w:t>2022</w:t>
            </w:r>
            <w:r>
              <w:rPr>
                <w:rFonts w:hint="eastAsia" w:ascii="Times New Roman" w:hAnsi="Times New Roman" w:cs="Times New Roman"/>
                <w:sz w:val="24"/>
                <w:szCs w:val="24"/>
              </w:rPr>
              <w:t>年版）》，本项目与其符合性见下表。</w:t>
            </w:r>
          </w:p>
          <w:p>
            <w:pPr>
              <w:jc w:val="center"/>
              <w:rPr>
                <w:rFonts w:ascii="Times New Roman" w:hAnsi="Times New Roman" w:cs="Times New Roman"/>
                <w:b/>
              </w:rPr>
            </w:pPr>
            <w:r>
              <w:rPr>
                <w:rFonts w:hint="eastAsia" w:ascii="Times New Roman" w:hAnsi="Times New Roman" w:cs="Times New Roman"/>
                <w:b/>
              </w:rPr>
              <w:t>表1-4与《云南省长江经济带发展负面清单指南实施细则（试行，</w:t>
            </w:r>
            <w:r>
              <w:rPr>
                <w:rFonts w:ascii="Times New Roman" w:hAnsi="Times New Roman" w:cs="Times New Roman"/>
                <w:b/>
              </w:rPr>
              <w:t>2022</w:t>
            </w:r>
            <w:r>
              <w:rPr>
                <w:rFonts w:hint="eastAsia" w:ascii="Times New Roman" w:hAnsi="Times New Roman" w:cs="Times New Roman"/>
                <w:b/>
              </w:rPr>
              <w:t>年版）》符合性</w:t>
            </w:r>
          </w:p>
          <w:tbl>
            <w:tblPr>
              <w:tblStyle w:val="2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4"/>
              <w:gridCol w:w="4040"/>
              <w:gridCol w:w="3331"/>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color w:val="auto"/>
                      <w:kern w:val="0"/>
                      <w:szCs w:val="21"/>
                    </w:rPr>
                    <w:t>序号</w:t>
                  </w:r>
                </w:p>
              </w:tc>
              <w:tc>
                <w:tcPr>
                  <w:tcW w:w="4040" w:type="dxa"/>
                  <w:vAlign w:val="center"/>
                </w:tcPr>
                <w:p>
                  <w:pPr>
                    <w:pStyle w:val="34"/>
                    <w:spacing w:line="360" w:lineRule="exact"/>
                    <w:rPr>
                      <w:color w:val="auto"/>
                      <w:kern w:val="0"/>
                      <w:szCs w:val="21"/>
                    </w:rPr>
                  </w:pPr>
                  <w:r>
                    <w:rPr>
                      <w:color w:val="auto"/>
                      <w:kern w:val="0"/>
                      <w:szCs w:val="21"/>
                    </w:rPr>
                    <w:t>《</w:t>
                  </w:r>
                  <w:r>
                    <w:rPr>
                      <w:rFonts w:hint="eastAsia"/>
                      <w:color w:val="auto"/>
                      <w:kern w:val="0"/>
                      <w:szCs w:val="21"/>
                    </w:rPr>
                    <w:t>云南省长江经济带发展负面清单指南实施细则（试行，</w:t>
                  </w:r>
                  <w:r>
                    <w:rPr>
                      <w:color w:val="auto"/>
                      <w:kern w:val="0"/>
                      <w:szCs w:val="21"/>
                    </w:rPr>
                    <w:t>2022</w:t>
                  </w:r>
                  <w:r>
                    <w:rPr>
                      <w:rFonts w:hint="eastAsia"/>
                      <w:color w:val="auto"/>
                      <w:kern w:val="0"/>
                      <w:szCs w:val="21"/>
                    </w:rPr>
                    <w:t>年版）</w:t>
                  </w:r>
                  <w:r>
                    <w:rPr>
                      <w:color w:val="auto"/>
                      <w:kern w:val="0"/>
                      <w:szCs w:val="21"/>
                    </w:rPr>
                    <w:t>》要求</w:t>
                  </w:r>
                </w:p>
              </w:tc>
              <w:tc>
                <w:tcPr>
                  <w:tcW w:w="3331" w:type="dxa"/>
                  <w:vAlign w:val="center"/>
                </w:tcPr>
                <w:p>
                  <w:pPr>
                    <w:pStyle w:val="34"/>
                    <w:spacing w:line="360" w:lineRule="exact"/>
                    <w:rPr>
                      <w:color w:val="auto"/>
                      <w:kern w:val="0"/>
                      <w:szCs w:val="21"/>
                    </w:rPr>
                  </w:pPr>
                  <w:r>
                    <w:rPr>
                      <w:color w:val="auto"/>
                      <w:kern w:val="0"/>
                      <w:szCs w:val="21"/>
                    </w:rPr>
                    <w:t>该项目实际情况</w:t>
                  </w:r>
                </w:p>
              </w:tc>
              <w:tc>
                <w:tcPr>
                  <w:tcW w:w="499" w:type="dxa"/>
                  <w:vAlign w:val="center"/>
                </w:tcPr>
                <w:p>
                  <w:pPr>
                    <w:pStyle w:val="34"/>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1</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（一）禁止新建、改建和扩建不符合《全国内河航道与港口布局规划》等全国港口规划和《昭通市港口码头岸线规划（金沙江段</w:t>
                  </w:r>
                  <w:r>
                    <w:rPr>
                      <w:color w:val="auto"/>
                      <w:kern w:val="0"/>
                      <w:szCs w:val="21"/>
                    </w:rPr>
                    <w:t>2019</w:t>
                  </w:r>
                  <w:r>
                    <w:rPr>
                      <w:rFonts w:hint="eastAsia"/>
                      <w:color w:val="auto"/>
                      <w:kern w:val="0"/>
                      <w:szCs w:val="21"/>
                    </w:rPr>
                    <w:t>年</w:t>
                  </w:r>
                  <w:r>
                    <w:rPr>
                      <w:color w:val="auto"/>
                      <w:kern w:val="0"/>
                      <w:szCs w:val="21"/>
                    </w:rPr>
                    <w:t>-2035</w:t>
                  </w:r>
                  <w:r>
                    <w:rPr>
                      <w:rFonts w:hint="eastAsia"/>
                      <w:color w:val="auto"/>
                      <w:kern w:val="0"/>
                      <w:szCs w:val="21"/>
                    </w:rPr>
                    <w:t>年）》、《景洪港总体规划（</w:t>
                  </w:r>
                  <w:r>
                    <w:rPr>
                      <w:color w:val="auto"/>
                      <w:kern w:val="0"/>
                      <w:szCs w:val="21"/>
                    </w:rPr>
                    <w:t>2019-2035</w:t>
                  </w:r>
                  <w:r>
                    <w:rPr>
                      <w:rFonts w:hint="eastAsia"/>
                      <w:color w:val="auto"/>
                      <w:kern w:val="0"/>
                      <w:szCs w:val="21"/>
                    </w:rPr>
                    <w:t>年）》等州（市）级以上港口布局规划以及港口总体规划的码头项目。</w:t>
                  </w:r>
                </w:p>
              </w:tc>
              <w:tc>
                <w:tcPr>
                  <w:tcW w:w="3331" w:type="dxa"/>
                  <w:vAlign w:val="center"/>
                </w:tcPr>
                <w:p>
                  <w:pPr>
                    <w:pStyle w:val="34"/>
                    <w:spacing w:line="360" w:lineRule="exact"/>
                    <w:ind w:firstLine="210" w:firstLineChars="100"/>
                    <w:jc w:val="both"/>
                    <w:rPr>
                      <w:bCs w:val="0"/>
                      <w:color w:val="auto"/>
                      <w:kern w:val="0"/>
                    </w:rPr>
                  </w:pPr>
                  <w:r>
                    <w:rPr>
                      <w:color w:val="auto"/>
                      <w:kern w:val="0"/>
                      <w:szCs w:val="21"/>
                    </w:rPr>
                    <w:t>该项目</w:t>
                  </w:r>
                  <w:r>
                    <w:rPr>
                      <w:rFonts w:hint="eastAsia"/>
                      <w:color w:val="auto"/>
                      <w:kern w:val="0"/>
                      <w:szCs w:val="21"/>
                    </w:rPr>
                    <w:t>为</w:t>
                  </w:r>
                  <w:r>
                    <w:rPr>
                      <w:rFonts w:hint="eastAsia"/>
                      <w:color w:val="auto"/>
                    </w:rPr>
                    <w:t>引水工程项目</w:t>
                  </w:r>
                  <w:r>
                    <w:rPr>
                      <w:rFonts w:hint="eastAsia"/>
                      <w:color w:val="auto"/>
                      <w:kern w:val="0"/>
                      <w:szCs w:val="21"/>
                    </w:rPr>
                    <w:t>，建设河堤等工程，不涉及</w:t>
                  </w:r>
                  <w:r>
                    <w:rPr>
                      <w:color w:val="auto"/>
                      <w:kern w:val="0"/>
                      <w:szCs w:val="21"/>
                    </w:rPr>
                    <w:t>码头。</w:t>
                  </w:r>
                </w:p>
              </w:tc>
              <w:tc>
                <w:tcPr>
                  <w:tcW w:w="499" w:type="dxa"/>
                  <w:vAlign w:val="center"/>
                </w:tcPr>
                <w:p>
                  <w:pPr>
                    <w:pStyle w:val="34"/>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2</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，不属于</w:t>
                  </w:r>
                  <w:r>
                    <w:rPr>
                      <w:color w:val="auto"/>
                      <w:kern w:val="0"/>
                      <w:szCs w:val="21"/>
                    </w:rPr>
                    <w:t>旅游和生产经营项目</w:t>
                  </w:r>
                  <w:r>
                    <w:rPr>
                      <w:rFonts w:hint="eastAsia"/>
                      <w:color w:val="auto"/>
                      <w:kern w:val="0"/>
                      <w:szCs w:val="21"/>
                    </w:rPr>
                    <w:t>，也不涉及</w:t>
                  </w:r>
                  <w:r>
                    <w:rPr>
                      <w:color w:val="auto"/>
                      <w:kern w:val="0"/>
                      <w:szCs w:val="21"/>
                    </w:rPr>
                    <w:t>挖沙、采矿</w:t>
                  </w:r>
                  <w:r>
                    <w:rPr>
                      <w:rFonts w:hint="eastAsia"/>
                      <w:color w:val="auto"/>
                      <w:kern w:val="0"/>
                      <w:szCs w:val="21"/>
                    </w:rPr>
                    <w:t>等工程，且</w:t>
                  </w:r>
                  <w:r>
                    <w:rPr>
                      <w:color w:val="auto"/>
                      <w:kern w:val="0"/>
                      <w:szCs w:val="21"/>
                    </w:rPr>
                    <w:t>该项目位于</w:t>
                  </w:r>
                  <w:r>
                    <w:rPr>
                      <w:rFonts w:hint="eastAsia"/>
                      <w:color w:val="auto"/>
                    </w:rPr>
                    <w:t>昆明市东川区拖布卡镇象鼻村</w:t>
                  </w:r>
                  <w:r>
                    <w:rPr>
                      <w:color w:val="auto"/>
                      <w:kern w:val="0"/>
                      <w:szCs w:val="21"/>
                    </w:rPr>
                    <w:t>，不涉及自然保护区核心区、风景名胜区等特殊敏感区。</w:t>
                  </w:r>
                </w:p>
              </w:tc>
              <w:tc>
                <w:tcPr>
                  <w:tcW w:w="499" w:type="dxa"/>
                  <w:vAlign w:val="center"/>
                </w:tcPr>
                <w:p>
                  <w:pPr>
                    <w:pStyle w:val="34"/>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3</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该项目位于</w:t>
                  </w:r>
                  <w:r>
                    <w:rPr>
                      <w:rFonts w:hint="eastAsia"/>
                      <w:color w:val="auto"/>
                    </w:rPr>
                    <w:t>昆明市东川区拖布卡镇象鼻村</w:t>
                  </w:r>
                  <w:r>
                    <w:rPr>
                      <w:color w:val="auto"/>
                      <w:kern w:val="0"/>
                      <w:szCs w:val="21"/>
                    </w:rPr>
                    <w:t>，</w:t>
                  </w:r>
                  <w:r>
                    <w:rPr>
                      <w:rFonts w:hint="eastAsia"/>
                      <w:color w:val="auto"/>
                      <w:kern w:val="0"/>
                      <w:szCs w:val="21"/>
                    </w:rPr>
                    <w:t>项目主要采用“光伏泵站+提水管道+新建高位水池”的模式为灌区供水，用地不涉及风景名胜区核心景区及其岸线和河段范围。</w:t>
                  </w:r>
                </w:p>
              </w:tc>
              <w:tc>
                <w:tcPr>
                  <w:tcW w:w="499" w:type="dxa"/>
                  <w:vAlign w:val="center"/>
                </w:tcPr>
                <w:p>
                  <w:pPr>
                    <w:pStyle w:val="34"/>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4</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该项目位于</w:t>
                  </w:r>
                  <w:r>
                    <w:rPr>
                      <w:rFonts w:hint="eastAsia"/>
                      <w:color w:val="auto"/>
                    </w:rPr>
                    <w:t>昆明市东川区拖布卡镇象鼻村</w:t>
                  </w:r>
                  <w:r>
                    <w:rPr>
                      <w:color w:val="auto"/>
                      <w:kern w:val="0"/>
                      <w:szCs w:val="21"/>
                    </w:rPr>
                    <w:t>，</w:t>
                  </w:r>
                  <w:r>
                    <w:rPr>
                      <w:rFonts w:hint="eastAsia"/>
                      <w:color w:val="auto"/>
                      <w:kern w:val="0"/>
                      <w:szCs w:val="21"/>
                    </w:rPr>
                    <w:t>项目主要采用“光伏泵站+提水管道+新建高位水池”的模式为灌区供水，用地不涉及饮用水水源一级、二级保护区的岸线和河段范围。</w:t>
                  </w:r>
                </w:p>
              </w:tc>
              <w:tc>
                <w:tcPr>
                  <w:tcW w:w="499" w:type="dxa"/>
                  <w:vAlign w:val="center"/>
                </w:tcPr>
                <w:p>
                  <w:pPr>
                    <w:pStyle w:val="34"/>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5</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该项目位于</w:t>
                  </w:r>
                  <w:r>
                    <w:rPr>
                      <w:rFonts w:hint="eastAsia"/>
                      <w:color w:val="auto"/>
                    </w:rPr>
                    <w:t>昆明市东川区拖布卡镇象鼻村</w:t>
                  </w:r>
                  <w:r>
                    <w:rPr>
                      <w:color w:val="auto"/>
                      <w:kern w:val="0"/>
                      <w:szCs w:val="21"/>
                    </w:rPr>
                    <w:t>，</w:t>
                  </w:r>
                  <w:r>
                    <w:rPr>
                      <w:rFonts w:hint="eastAsia"/>
                      <w:color w:val="auto"/>
                      <w:kern w:val="0"/>
                      <w:szCs w:val="21"/>
                    </w:rPr>
                    <w:t>项目主要采用“光伏泵站+提水管道+新建高位水池”的模式为灌区供水，用地不涉及水产种植资源保护区的岸线。</w:t>
                  </w:r>
                </w:p>
              </w:tc>
              <w:tc>
                <w:tcPr>
                  <w:tcW w:w="499" w:type="dxa"/>
                  <w:vAlign w:val="center"/>
                </w:tcPr>
                <w:p>
                  <w:pPr>
                    <w:pStyle w:val="34"/>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6</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该项目位于</w:t>
                  </w:r>
                  <w:r>
                    <w:rPr>
                      <w:rFonts w:hint="eastAsia"/>
                      <w:color w:val="auto"/>
                    </w:rPr>
                    <w:t>昆明市东川区拖布卡镇象鼻村</w:t>
                  </w:r>
                  <w:r>
                    <w:rPr>
                      <w:color w:val="auto"/>
                      <w:kern w:val="0"/>
                      <w:szCs w:val="21"/>
                    </w:rPr>
                    <w:t>，项目主要为引水工程，</w:t>
                  </w:r>
                  <w:r>
                    <w:rPr>
                      <w:rFonts w:hint="eastAsia"/>
                      <w:color w:val="auto"/>
                      <w:kern w:val="0"/>
                      <w:szCs w:val="21"/>
                    </w:rPr>
                    <w:t>通过本项目的实施，能改变目前的灌溉条件，能有效提高象鼻村以工代赈灌区水资源利用效率和灌溉保证率，有利于减轻水资源短缺给农业生产造成的损失，保证作物稳产、高产。属于公众利益的引水工程。</w:t>
                  </w:r>
                </w:p>
              </w:tc>
              <w:tc>
                <w:tcPr>
                  <w:tcW w:w="499" w:type="dxa"/>
                  <w:vAlign w:val="center"/>
                </w:tcPr>
                <w:p>
                  <w:pPr>
                    <w:pStyle w:val="34"/>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7</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该项目位于</w:t>
                  </w:r>
                  <w:r>
                    <w:rPr>
                      <w:rFonts w:hint="eastAsia"/>
                      <w:color w:val="auto"/>
                    </w:rPr>
                    <w:t>昆明市东川区拖布卡镇象鼻村</w:t>
                  </w:r>
                  <w:r>
                    <w:rPr>
                      <w:color w:val="auto"/>
                      <w:kern w:val="0"/>
                      <w:szCs w:val="21"/>
                    </w:rPr>
                    <w:t>，</w:t>
                  </w:r>
                  <w:r>
                    <w:rPr>
                      <w:rFonts w:hint="eastAsia"/>
                      <w:color w:val="auto"/>
                      <w:kern w:val="0"/>
                      <w:szCs w:val="21"/>
                    </w:rPr>
                    <w:t>项目主要采用“光伏泵站+提水管道+新建高位水池”的模式为灌区供水，项目属于</w:t>
                  </w:r>
                  <w:r>
                    <w:rPr>
                      <w:rFonts w:hint="eastAsia"/>
                      <w:color w:val="auto"/>
                    </w:rPr>
                    <w:t>引水</w:t>
                  </w:r>
                  <w:r>
                    <w:rPr>
                      <w:rFonts w:hint="eastAsia"/>
                      <w:color w:val="auto"/>
                      <w:kern w:val="0"/>
                      <w:szCs w:val="21"/>
                    </w:rPr>
                    <w:t>工程项目，施工期结束后其不利环境影响结束，不涉及排污口。</w:t>
                  </w:r>
                </w:p>
              </w:tc>
              <w:tc>
                <w:tcPr>
                  <w:tcW w:w="499" w:type="dxa"/>
                  <w:vAlign w:val="center"/>
                </w:tcPr>
                <w:p>
                  <w:pPr>
                    <w:pStyle w:val="34"/>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8</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（八）禁止在金沙江干流、长江一级支流、水生生物保护区和长江流域禁捕水域开展天然渔业资源生产性捕捞。</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该项目不涉及生产性捕捞。</w:t>
                  </w:r>
                </w:p>
              </w:tc>
              <w:tc>
                <w:tcPr>
                  <w:tcW w:w="499" w:type="dxa"/>
                  <w:vAlign w:val="center"/>
                </w:tcPr>
                <w:p>
                  <w:pPr>
                    <w:pStyle w:val="34"/>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9</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w:t>
                  </w:r>
                  <w:r>
                    <w:rPr>
                      <w:rFonts w:hint="eastAsia"/>
                      <w:color w:val="auto"/>
                      <w:kern w:val="0"/>
                      <w:szCs w:val="21"/>
                    </w:rPr>
                    <w:t>工程项目，项目主要采用“光伏泵站+提水管道+新建高位水池”的模式为灌区供水。</w:t>
                  </w:r>
                </w:p>
              </w:tc>
              <w:tc>
                <w:tcPr>
                  <w:tcW w:w="499" w:type="dxa"/>
                  <w:vAlign w:val="center"/>
                </w:tcPr>
                <w:p>
                  <w:pPr>
                    <w:pStyle w:val="34"/>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10</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（十）禁止在合规园区外新建、扩建钢铁、石化、化工、焦化、建材、有色、制浆造纸行业中的高污染项目。</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w:t>
                  </w:r>
                  <w:r>
                    <w:rPr>
                      <w:rFonts w:hint="eastAsia"/>
                      <w:color w:val="auto"/>
                      <w:kern w:val="0"/>
                      <w:szCs w:val="21"/>
                    </w:rPr>
                    <w:t>工程项目，</w:t>
                  </w:r>
                  <w:r>
                    <w:rPr>
                      <w:color w:val="auto"/>
                      <w:kern w:val="0"/>
                      <w:szCs w:val="21"/>
                    </w:rPr>
                    <w:t>不属于高污染项目。</w:t>
                  </w:r>
                </w:p>
              </w:tc>
              <w:tc>
                <w:tcPr>
                  <w:tcW w:w="499" w:type="dxa"/>
                  <w:vAlign w:val="center"/>
                </w:tcPr>
                <w:p>
                  <w:pPr>
                    <w:pStyle w:val="34"/>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11</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w:t>
                  </w:r>
                  <w:r>
                    <w:rPr>
                      <w:rFonts w:hint="eastAsia"/>
                      <w:color w:val="auto"/>
                      <w:kern w:val="0"/>
                      <w:szCs w:val="21"/>
                    </w:rPr>
                    <w:t>工程项目，</w:t>
                  </w:r>
                  <w:r>
                    <w:rPr>
                      <w:color w:val="auto"/>
                      <w:kern w:val="0"/>
                      <w:szCs w:val="21"/>
                    </w:rPr>
                    <w:t>不属于不符合国家石化、现代煤化工等产业布局规划的项目。</w:t>
                  </w:r>
                </w:p>
              </w:tc>
              <w:tc>
                <w:tcPr>
                  <w:tcW w:w="499" w:type="dxa"/>
                  <w:vAlign w:val="center"/>
                </w:tcPr>
                <w:p>
                  <w:pPr>
                    <w:pStyle w:val="34"/>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12</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，属于《产业结构调整指导目录（2019年本）》鼓励类中二、水利中“3、城乡供水水源工程”。</w:t>
                  </w:r>
                </w:p>
              </w:tc>
              <w:tc>
                <w:tcPr>
                  <w:tcW w:w="499" w:type="dxa"/>
                  <w:vAlign w:val="center"/>
                </w:tcPr>
                <w:p>
                  <w:pPr>
                    <w:pStyle w:val="34"/>
                    <w:spacing w:line="360" w:lineRule="exact"/>
                    <w:rPr>
                      <w:color w:val="auto"/>
                      <w:kern w:val="0"/>
                      <w:szCs w:val="21"/>
                      <w:lang w:val="en-US"/>
                    </w:rPr>
                  </w:pPr>
                  <w:r>
                    <w:rPr>
                      <w:rFonts w:hint="eastAsia"/>
                      <w:color w:val="auto"/>
                      <w:kern w:val="0"/>
                      <w:szCs w:val="21"/>
                      <w:lang w:val="en-US"/>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由上表可知，该项目符合</w:t>
            </w:r>
            <w:r>
              <w:rPr>
                <w:rFonts w:hint="eastAsia" w:ascii="Times New Roman" w:hAnsi="Times New Roman" w:cs="Times New Roman"/>
                <w:sz w:val="24"/>
                <w:szCs w:val="24"/>
              </w:rPr>
              <w:t>《云南省长江经济带发展负面清单指南实施细则（试行，</w:t>
            </w:r>
            <w:r>
              <w:rPr>
                <w:rFonts w:ascii="Times New Roman" w:hAnsi="Times New Roman" w:cs="Times New Roman"/>
                <w:sz w:val="24"/>
                <w:szCs w:val="24"/>
              </w:rPr>
              <w:t>2022</w:t>
            </w:r>
            <w:r>
              <w:rPr>
                <w:rFonts w:hint="eastAsia" w:ascii="Times New Roman" w:hAnsi="Times New Roman" w:cs="Times New Roman"/>
                <w:sz w:val="24"/>
                <w:szCs w:val="24"/>
              </w:rPr>
              <w:t>年版）》</w:t>
            </w:r>
            <w:r>
              <w:rPr>
                <w:rFonts w:ascii="Times New Roman" w:hAnsi="Times New Roman" w:cs="Times New Roman"/>
                <w:sz w:val="24"/>
                <w:szCs w:val="24"/>
              </w:rPr>
              <w:t>的要求。</w:t>
            </w:r>
          </w:p>
          <w:p>
            <w:pPr>
              <w:spacing w:line="360" w:lineRule="auto"/>
              <w:ind w:firstLine="361" w:firstLineChars="150"/>
              <w:outlineLvl w:val="0"/>
              <w:rPr>
                <w:rFonts w:ascii="Times New Roman" w:hAnsi="Times New Roman" w:cs="Times New Roman"/>
                <w:b/>
                <w:sz w:val="24"/>
                <w:szCs w:val="24"/>
              </w:rPr>
            </w:pPr>
            <w:r>
              <w:rPr>
                <w:rFonts w:hint="eastAsia" w:ascii="Times New Roman" w:hAnsi="Times New Roman" w:cs="Times New Roman"/>
                <w:b/>
                <w:sz w:val="24"/>
                <w:szCs w:val="24"/>
              </w:rPr>
              <w:t>（5）与</w:t>
            </w:r>
            <w:r>
              <w:rPr>
                <w:rFonts w:ascii="Times New Roman" w:hAnsi="Times New Roman" w:cs="Times New Roman"/>
                <w:b/>
                <w:sz w:val="24"/>
                <w:szCs w:val="24"/>
              </w:rPr>
              <w:t>《长江经济带生态环境保护规划》的</w:t>
            </w:r>
            <w:r>
              <w:rPr>
                <w:rFonts w:hint="eastAsia" w:ascii="Times New Roman" w:hAnsi="Times New Roman" w:cs="Times New Roman"/>
                <w:b/>
                <w:sz w:val="24"/>
                <w:szCs w:val="24"/>
              </w:rPr>
              <w:t>符合性分析</w:t>
            </w:r>
          </w:p>
          <w:p>
            <w:pPr>
              <w:spacing w:line="360" w:lineRule="auto"/>
              <w:ind w:firstLine="480" w:firstLineChars="200"/>
              <w:rPr>
                <w:sz w:val="24"/>
              </w:rPr>
            </w:pPr>
            <w:r>
              <w:rPr>
                <w:sz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sz w:val="24"/>
              </w:rPr>
            </w:pPr>
            <w:r>
              <w:rPr>
                <w:sz w:val="24"/>
              </w:rPr>
              <w:t>项目属于</w:t>
            </w:r>
            <w:r>
              <w:rPr>
                <w:rFonts w:hint="eastAsia"/>
                <w:sz w:val="24"/>
              </w:rPr>
              <w:t>引水</w:t>
            </w:r>
            <w:r>
              <w:rPr>
                <w:sz w:val="24"/>
              </w:rPr>
              <w:t>工程项目，项目的建设与《长江经济带生态环境保护规划》的相关要求不相冲突。</w:t>
            </w:r>
          </w:p>
          <w:p>
            <w:pPr>
              <w:spacing w:line="360" w:lineRule="auto"/>
              <w:ind w:firstLine="481" w:firstLineChars="200"/>
              <w:rPr>
                <w:rFonts w:ascii="Times New Roman" w:hAnsi="Times New Roman" w:cs="Times New Roman"/>
                <w:b/>
                <w:sz w:val="24"/>
              </w:rPr>
            </w:pPr>
            <w:r>
              <w:rPr>
                <w:rFonts w:ascii="Times New Roman" w:hAnsi="Times New Roman" w:cs="Times New Roman"/>
                <w:b/>
                <w:sz w:val="24"/>
              </w:rPr>
              <w:t>（</w:t>
            </w:r>
            <w:r>
              <w:rPr>
                <w:rFonts w:hint="eastAsia" w:ascii="Times New Roman" w:hAnsi="Times New Roman" w:cs="Times New Roman"/>
                <w:b/>
                <w:sz w:val="24"/>
              </w:rPr>
              <w:t>6</w:t>
            </w:r>
            <w:r>
              <w:rPr>
                <w:rFonts w:ascii="Times New Roman" w:hAnsi="Times New Roman" w:cs="Times New Roman"/>
                <w:b/>
                <w:sz w:val="24"/>
              </w:rPr>
              <w:t>）与《全国主要江河湖泊水功能区划》（2011-2030年）的符合性分析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全国重要江河湖泊水功能区划（2011-2030）》采用两级水功能区划体系，涉及总河长17.8万公里，湖库总面积4.33万平方公里，共4493个水功能区（其中81%的水功能区水质目标为I—III类），要求各地区和有关部门要加强领导，密切配合，加大投入，制定相应措施，完善管理规定，如期实现各水功能区水质目标。要在水资源管理、水污染防治、节能减排等工作中严格执行《区划》要求，协调好《区划》与国民经济和社会发展、主体功能区、土地利用、城市建设等相关规划的关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云南省根据《全国重要江河湖泊水功能区划（2011-2030）》中相关要求，于2014年修订了《云南省水功能区划》。根据区划，项目所处区域地表水属于“一级水功能区区划</w:t>
            </w:r>
            <w:r>
              <w:rPr>
                <w:rFonts w:ascii="Times New Roman" w:hAnsi="Times New Roman" w:cs="Times New Roman"/>
                <w:sz w:val="24"/>
                <w:szCs w:val="24"/>
              </w:rPr>
              <w:t>金沙江滇川4号缓冲区</w:t>
            </w:r>
            <w:r>
              <w:rPr>
                <w:rFonts w:ascii="Times New Roman" w:hAnsi="Times New Roman" w:cs="Times New Roman"/>
                <w:sz w:val="24"/>
              </w:rPr>
              <w:t>”，</w:t>
            </w:r>
            <w:r>
              <w:rPr>
                <w:rFonts w:ascii="Times New Roman" w:hAnsi="Times New Roman" w:cs="Times New Roman"/>
              </w:rPr>
              <w:t xml:space="preserve"> </w:t>
            </w:r>
            <w:r>
              <w:rPr>
                <w:rFonts w:ascii="Times New Roman" w:hAnsi="Times New Roman" w:cs="Times New Roman"/>
                <w:sz w:val="24"/>
              </w:rPr>
              <w:t>由金沙江干流距元谋县出境口5km处至向家坝水电站坝轴线线下1.8km，即水富县城出境口，属左右岸关系，为云南与四川两省间的界河段，全长585.0km，现状水质为</w:t>
            </w:r>
            <w:r>
              <w:rPr>
                <w:rFonts w:hint="eastAsia" w:ascii="Times New Roman" w:hAnsi="Times New Roman" w:cs="Times New Roman"/>
                <w:sz w:val="24"/>
              </w:rPr>
              <w:t>III</w:t>
            </w:r>
            <w:r>
              <w:rPr>
                <w:rFonts w:ascii="Times New Roman" w:hAnsi="Times New Roman" w:cs="Times New Roman"/>
                <w:sz w:val="24"/>
              </w:rPr>
              <w:t>类，执行《地表水环境质量标准》中</w:t>
            </w:r>
            <w:r>
              <w:rPr>
                <w:rFonts w:hint="eastAsia" w:ascii="Times New Roman" w:hAnsi="Times New Roman" w:cs="Times New Roman"/>
                <w:sz w:val="24"/>
              </w:rPr>
              <w:t>III</w:t>
            </w:r>
            <w:r>
              <w:rPr>
                <w:rFonts w:ascii="Times New Roman" w:hAnsi="Times New Roman" w:cs="Times New Roman"/>
                <w:sz w:val="24"/>
              </w:rPr>
              <w:t>类标准要求。</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项目水源点确定为白鹤滩水库上游的金沙江，提水位置为东川区拖布卡镇象鼻村白鹤滩水库上游的金沙江提水。因此，</w:t>
            </w:r>
            <w:r>
              <w:rPr>
                <w:rFonts w:ascii="Times New Roman" w:hAnsi="Times New Roman" w:cs="Times New Roman"/>
                <w:sz w:val="24"/>
                <w:szCs w:val="24"/>
              </w:rPr>
              <w:t>项目光伏泵站取水为西侧约100m处的金沙江，为项目区域的主要地表水体，属于长江流域</w:t>
            </w:r>
            <w:r>
              <w:rPr>
                <w:rFonts w:ascii="Times New Roman" w:hAnsi="Times New Roman" w:cs="Times New Roman"/>
                <w:sz w:val="24"/>
              </w:rPr>
              <w:t>。项目在每个施工生产区内分别设置1个4m</w:t>
            </w:r>
            <w:r>
              <w:rPr>
                <w:rFonts w:ascii="Times New Roman" w:hAnsi="Times New Roman" w:cs="Times New Roman"/>
                <w:sz w:val="24"/>
                <w:vertAlign w:val="superscript"/>
              </w:rPr>
              <w:t>3</w:t>
            </w:r>
            <w:r>
              <w:rPr>
                <w:rFonts w:ascii="Times New Roman" w:hAnsi="Times New Roman" w:cs="Times New Roman"/>
                <w:sz w:val="24"/>
              </w:rPr>
              <w:t>的临时沉淀池，主要用于施工机械设备清洗废水的沉淀，沉淀后回用于施工生产区洒水降尘，不外排。在每个施工生产区内分别设置1个1m</w:t>
            </w:r>
            <w:r>
              <w:rPr>
                <w:rFonts w:ascii="Times New Roman" w:hAnsi="Times New Roman" w:cs="Times New Roman"/>
                <w:sz w:val="24"/>
                <w:vertAlign w:val="superscript"/>
              </w:rPr>
              <w:t>3</w:t>
            </w:r>
            <w:r>
              <w:rPr>
                <w:rFonts w:ascii="Times New Roman" w:hAnsi="Times New Roman" w:cs="Times New Roman"/>
                <w:sz w:val="24"/>
              </w:rPr>
              <w:t>的临时沉砂池及截排水沟，主要用于施工生产区雨天地表径流的沉淀，沉淀后回用于施工生产区洒水降尘，不外排。项目运营期二级泵站拟设置1个7m</w:t>
            </w:r>
            <w:r>
              <w:rPr>
                <w:rFonts w:ascii="Times New Roman" w:hAnsi="Times New Roman" w:cs="Times New Roman"/>
                <w:sz w:val="24"/>
                <w:vertAlign w:val="superscript"/>
              </w:rPr>
              <w:t>3</w:t>
            </w:r>
            <w:r>
              <w:rPr>
                <w:rFonts w:ascii="Times New Roman" w:hAnsi="Times New Roman" w:cs="Times New Roman"/>
                <w:sz w:val="24"/>
              </w:rPr>
              <w:t>沉淀池，产生的冲洗废水经沉淀后用于光伏泵站周围场地的洒水降尘，不外排。项目实施后，不会改变区域河段水环境质量，符合《全国重要江河湖泊水功能区划（2011-2030）》及《云南省水功能区划》（2014年修订）等要求。</w:t>
            </w:r>
          </w:p>
          <w:p>
            <w:pPr>
              <w:widowControl/>
              <w:autoSpaceDE w:val="0"/>
              <w:autoSpaceDN w:val="0"/>
              <w:spacing w:line="360" w:lineRule="auto"/>
              <w:ind w:firstLine="481" w:firstLineChars="200"/>
              <w:jc w:val="left"/>
              <w:rPr>
                <w:rFonts w:ascii="Times New Roman" w:hAnsi="Times New Roman" w:cs="Times New Roman"/>
                <w:b/>
                <w:kern w:val="0"/>
                <w:sz w:val="24"/>
                <w:szCs w:val="20"/>
              </w:rPr>
            </w:pPr>
            <w:r>
              <w:rPr>
                <w:rFonts w:ascii="Times New Roman" w:hAnsi="Times New Roman" w:cs="Times New Roman"/>
                <w:b/>
                <w:kern w:val="0"/>
                <w:sz w:val="24"/>
                <w:szCs w:val="20"/>
              </w:rPr>
              <w:t>（</w:t>
            </w:r>
            <w:r>
              <w:rPr>
                <w:rFonts w:hint="eastAsia" w:ascii="Times New Roman" w:hAnsi="Times New Roman" w:cs="Times New Roman"/>
                <w:b/>
                <w:kern w:val="0"/>
                <w:sz w:val="24"/>
                <w:szCs w:val="20"/>
              </w:rPr>
              <w:t>7</w:t>
            </w:r>
            <w:r>
              <w:rPr>
                <w:rFonts w:ascii="Times New Roman" w:hAnsi="Times New Roman" w:cs="Times New Roman"/>
                <w:b/>
                <w:kern w:val="0"/>
                <w:sz w:val="24"/>
                <w:szCs w:val="20"/>
              </w:rPr>
              <w:t>）与《云南省土壤、地下水污染防治“十四五”规划》的符合性分析</w:t>
            </w:r>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项目与《云南省土壤、地下水污染防治“十四五”规划》符合性分析见下表。</w:t>
            </w:r>
          </w:p>
          <w:p>
            <w:pPr>
              <w:tabs>
                <w:tab w:val="left" w:pos="611"/>
              </w:tabs>
              <w:jc w:val="center"/>
              <w:rPr>
                <w:rFonts w:ascii="Times New Roman" w:hAnsi="Times New Roman" w:cs="Times New Roman"/>
                <w:b/>
              </w:rPr>
            </w:pPr>
            <w:r>
              <w:rPr>
                <w:rFonts w:ascii="Times New Roman" w:hAnsi="Times New Roman" w:cs="Times New Roman"/>
                <w:b/>
              </w:rPr>
              <w:t>表1-</w:t>
            </w:r>
            <w:r>
              <w:rPr>
                <w:rFonts w:hint="eastAsia" w:ascii="Times New Roman" w:hAnsi="Times New Roman" w:cs="Times New Roman"/>
                <w:b/>
              </w:rPr>
              <w:t>5</w:t>
            </w:r>
            <w:r>
              <w:rPr>
                <w:rFonts w:ascii="Times New Roman" w:hAnsi="Times New Roman" w:cs="Times New Roman"/>
                <w:b/>
              </w:rPr>
              <w:t xml:space="preserve">  与云南省土壤、地下水污染防治“十四五”规划的符合性分析</w:t>
            </w:r>
          </w:p>
          <w:tbl>
            <w:tblPr>
              <w:tblStyle w:val="24"/>
              <w:tblW w:w="5000"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57" w:type="dxa"/>
                <w:bottom w:w="0" w:type="dxa"/>
                <w:right w:w="57" w:type="dxa"/>
              </w:tblCellMar>
            </w:tblPr>
            <w:tblGrid>
              <w:gridCol w:w="897"/>
              <w:gridCol w:w="1225"/>
              <w:gridCol w:w="2544"/>
              <w:gridCol w:w="2745"/>
              <w:gridCol w:w="90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394" w:hRule="atLeast"/>
                <w:jc w:val="center"/>
              </w:trPr>
              <w:tc>
                <w:tcPr>
                  <w:tcW w:w="2804" w:type="pct"/>
                  <w:gridSpan w:val="3"/>
                  <w:tcBorders>
                    <w:top w:val="single" w:color="000000" w:sz="4" w:space="0"/>
                    <w:left w:val="single" w:color="000000" w:sz="6" w:space="0"/>
                    <w:bottom w:val="single" w:color="000000" w:sz="4" w:space="0"/>
                    <w:right w:val="single" w:color="000000" w:sz="4" w:space="0"/>
                  </w:tcBorders>
                  <w:vAlign w:val="center"/>
                </w:tcPr>
                <w:p>
                  <w:pPr>
                    <w:spacing w:line="360" w:lineRule="exact"/>
                    <w:jc w:val="center"/>
                    <w:rPr>
                      <w:rFonts w:ascii="Times New Roman" w:hAnsi="Times New Roman" w:cs="Times New Roman"/>
                      <w:bCs/>
                    </w:rPr>
                  </w:pPr>
                  <w:r>
                    <w:rPr>
                      <w:rFonts w:ascii="Times New Roman" w:hAnsi="Times New Roman" w:cs="Times New Roman"/>
                      <w:bCs/>
                    </w:rPr>
                    <w:t>相关要求</w:t>
                  </w:r>
                </w:p>
              </w:tc>
              <w:tc>
                <w:tcPr>
                  <w:tcW w:w="1650"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bCs/>
                    </w:rPr>
                  </w:pPr>
                  <w:r>
                    <w:rPr>
                      <w:rFonts w:ascii="Times New Roman" w:hAnsi="Times New Roman" w:cs="Times New Roman"/>
                      <w:bCs/>
                    </w:rPr>
                    <w:t>本项目情况</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bCs/>
                    </w:rPr>
                  </w:pPr>
                  <w:r>
                    <w:rPr>
                      <w:rFonts w:ascii="Times New Roman" w:hAnsi="Times New Roman" w:cs="Times New Roman"/>
                      <w:bCs/>
                    </w:rPr>
                    <w:t>符合性</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856" w:hRule="atLeast"/>
                <w:jc w:val="center"/>
              </w:trPr>
              <w:tc>
                <w:tcPr>
                  <w:tcW w:w="539" w:type="pct"/>
                  <w:vMerge w:val="restar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（一）推进土壤污染防治</w:t>
                  </w: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1.加强耕地污染源头控制</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严格控制涉重金属行业污染物排放；排查整治涉重金属矿区固体废物；开展耕地土壤重金属污染成因排查。</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w:t>
                  </w:r>
                  <w:r>
                    <w:rPr>
                      <w:rFonts w:ascii="Times New Roman" w:hAnsi="Times New Roman" w:cs="Times New Roman"/>
                      <w:kern w:val="0"/>
                    </w:rPr>
                    <w:t>属于</w:t>
                  </w:r>
                  <w:r>
                    <w:rPr>
                      <w:rFonts w:hint="eastAsia" w:ascii="Times New Roman" w:hAnsi="Times New Roman" w:cs="Times New Roman"/>
                      <w:kern w:val="0"/>
                    </w:rPr>
                    <w:t>引水</w:t>
                  </w:r>
                  <w:r>
                    <w:rPr>
                      <w:rFonts w:ascii="Times New Roman" w:hAnsi="Times New Roman" w:cs="Times New Roman"/>
                      <w:kern w:val="0"/>
                    </w:rPr>
                    <w:t>工程项目，</w:t>
                  </w:r>
                  <w:r>
                    <w:rPr>
                      <w:rFonts w:ascii="Times New Roman" w:hAnsi="Times New Roman" w:cs="Times New Roman"/>
                    </w:rPr>
                    <w:t>不涉及重金属的排放。</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287"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2.防范工矿企业新增土壤污染</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严格建设项目土壤环境影响评价制度；强化土壤污染重点监管单位的环境监管推动实施绿色化提标改造。</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项目项目</w:t>
                  </w:r>
                  <w:r>
                    <w:rPr>
                      <w:rFonts w:ascii="Times New Roman" w:hAnsi="Times New Roman" w:cs="Times New Roman"/>
                      <w:kern w:val="0"/>
                    </w:rPr>
                    <w:t>属于</w:t>
                  </w:r>
                  <w:r>
                    <w:rPr>
                      <w:rFonts w:hint="eastAsia" w:ascii="Times New Roman" w:hAnsi="Times New Roman" w:cs="Times New Roman"/>
                      <w:kern w:val="0"/>
                    </w:rPr>
                    <w:t>引水</w:t>
                  </w:r>
                  <w:r>
                    <w:rPr>
                      <w:rFonts w:ascii="Times New Roman" w:hAnsi="Times New Roman" w:cs="Times New Roman"/>
                      <w:kern w:val="0"/>
                    </w:rPr>
                    <w:t>工程项目，</w:t>
                  </w:r>
                  <w:r>
                    <w:rPr>
                      <w:rFonts w:ascii="Times New Roman" w:hAnsi="Times New Roman" w:cs="Times New Roman"/>
                    </w:rPr>
                    <w:t>不在排污许可重点管理单位内。项目施工期及运营期废水不外排；噪声达标排放；固废均得到妥善处置，处置率为100%。</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3.深入实施耕地分类管理</w:t>
                  </w:r>
                </w:p>
              </w:tc>
              <w:tc>
                <w:tcPr>
                  <w:tcW w:w="1528"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深入推进耕地土壤与农产品协同调查；动态调整耕地环境质量类别；切实加大耕地保护力度；推进受污染耕地安全利用；全面落实严格管控措施。</w:t>
                  </w:r>
                </w:p>
              </w:tc>
              <w:tc>
                <w:tcPr>
                  <w:tcW w:w="1650" w:type="pct"/>
                  <w:tcBorders>
                    <w:top w:val="single" w:color="auto"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项目不涉及耕地。</w:t>
                  </w:r>
                </w:p>
              </w:tc>
              <w:tc>
                <w:tcPr>
                  <w:tcW w:w="547"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753"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4.严格建设用地准入管理</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开展土壤污染状况调查评估；严格污染地块用地准入；优化土地开发和使用时序；强化多部门信息共享和联动监管。</w:t>
                  </w:r>
                </w:p>
              </w:tc>
              <w:tc>
                <w:tcPr>
                  <w:tcW w:w="1650" w:type="pct"/>
                  <w:vMerge w:val="restar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项目用地范围内至今未发生土壤污染事件，且企业不在土壤污染风险管控和修复名录内。</w:t>
                  </w:r>
                </w:p>
              </w:tc>
              <w:tc>
                <w:tcPr>
                  <w:tcW w:w="547" w:type="pct"/>
                  <w:vMerge w:val="restar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596"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5. 有序推进建设用地土壤污染风险管控与修复</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明确风险管控与修复重点；加强从业单位和个人信用管理。</w:t>
                  </w:r>
                </w:p>
              </w:tc>
              <w:tc>
                <w:tcPr>
                  <w:tcW w:w="1650"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547" w:type="pct"/>
                  <w:vMerge w:val="continue"/>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604" w:hRule="atLeast"/>
                <w:jc w:val="center"/>
              </w:trPr>
              <w:tc>
                <w:tcPr>
                  <w:tcW w:w="539" w:type="pct"/>
                  <w:vMerge w:val="restar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（二）加强地下水污染防治</w:t>
                  </w: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1.开展“双源”地下水环境状况调查评估</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开展地下水型饮用水源环境状况调查评估；开展地下水污染状况调查评估。</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项目评价范围内不涉及地下水饮用水源；项目</w:t>
                  </w:r>
                  <w:r>
                    <w:rPr>
                      <w:rFonts w:ascii="Times New Roman" w:hAnsi="Times New Roman" w:cs="Times New Roman"/>
                      <w:kern w:val="0"/>
                    </w:rPr>
                    <w:t>属于</w:t>
                  </w:r>
                  <w:r>
                    <w:rPr>
                      <w:rFonts w:hint="eastAsia" w:ascii="Times New Roman" w:hAnsi="Times New Roman" w:cs="Times New Roman"/>
                      <w:kern w:val="0"/>
                    </w:rPr>
                    <w:t>引水</w:t>
                  </w:r>
                  <w:r>
                    <w:rPr>
                      <w:rFonts w:ascii="Times New Roman" w:hAnsi="Times New Roman" w:cs="Times New Roman"/>
                      <w:kern w:val="0"/>
                    </w:rPr>
                    <w:t>工程项目，</w:t>
                  </w:r>
                  <w:r>
                    <w:rPr>
                      <w:rFonts w:ascii="Times New Roman" w:hAnsi="Times New Roman" w:cs="Times New Roman"/>
                    </w:rPr>
                    <w:t>不在地下水污染状况调查评估行业之列。</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2.加强地下水污染风险防控</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落实地下水防渗和监测措施；实施地下水污染风险管控。</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项目不属于“一企一库”、“两场两区”范围内。</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059"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3.保障地下水型饮用水水源环境安全</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强化地下水型饮用水水源地环境管理；保障地下水型饮用水水源水质安全。</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项目评价范围内不涉及地下水饮用水源。</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326"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4.建立地下水污染防治管理体系</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制定地下水环境质量达标或保持方案；推动地下水污染防治分区管理；建立地下水污染防治重点排污单位名录。</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项目采取地面硬化，防止垂直入渗及大气沉降污染地下水。</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bl>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综上，项目符合《云南省土壤、地下水污染防治“十四五”规划》相关要求。</w:t>
            </w:r>
          </w:p>
          <w:p>
            <w:pPr>
              <w:widowControl/>
              <w:autoSpaceDE w:val="0"/>
              <w:autoSpaceDN w:val="0"/>
              <w:spacing w:line="360" w:lineRule="auto"/>
              <w:ind w:firstLine="481" w:firstLineChars="200"/>
              <w:jc w:val="left"/>
              <w:rPr>
                <w:rFonts w:ascii="Times New Roman" w:hAnsi="Times New Roman" w:cs="Times New Roman"/>
                <w:b/>
                <w:bCs/>
                <w:kern w:val="0"/>
                <w:sz w:val="24"/>
                <w:szCs w:val="20"/>
              </w:rPr>
            </w:pPr>
            <w:r>
              <w:rPr>
                <w:rFonts w:ascii="Times New Roman" w:hAnsi="Times New Roman" w:cs="Times New Roman"/>
                <w:b/>
                <w:kern w:val="0"/>
                <w:sz w:val="24"/>
                <w:szCs w:val="20"/>
              </w:rPr>
              <w:t>（</w:t>
            </w:r>
            <w:r>
              <w:rPr>
                <w:rFonts w:hint="eastAsia" w:ascii="Times New Roman" w:hAnsi="Times New Roman" w:cs="Times New Roman"/>
                <w:b/>
                <w:kern w:val="0"/>
                <w:sz w:val="24"/>
                <w:szCs w:val="20"/>
              </w:rPr>
              <w:t>8</w:t>
            </w:r>
            <w:r>
              <w:rPr>
                <w:rFonts w:ascii="Times New Roman" w:hAnsi="Times New Roman" w:cs="Times New Roman"/>
                <w:b/>
                <w:kern w:val="0"/>
                <w:sz w:val="24"/>
                <w:szCs w:val="20"/>
              </w:rPr>
              <w:t>）与《</w:t>
            </w:r>
            <w:r>
              <w:rPr>
                <w:rFonts w:ascii="Times New Roman" w:hAnsi="Times New Roman" w:cs="Times New Roman"/>
                <w:b/>
                <w:bCs/>
                <w:kern w:val="0"/>
                <w:sz w:val="24"/>
                <w:szCs w:val="20"/>
              </w:rPr>
              <w:t>水利部关于加强河湖水域岸线空间管控的指导意见</w:t>
            </w:r>
            <w:r>
              <w:rPr>
                <w:rFonts w:ascii="Times New Roman" w:hAnsi="Times New Roman" w:cs="Times New Roman"/>
                <w:b/>
                <w:kern w:val="0"/>
                <w:sz w:val="24"/>
                <w:szCs w:val="20"/>
              </w:rPr>
              <w:t>》的符合性分析</w:t>
            </w:r>
          </w:p>
          <w:p>
            <w:pPr>
              <w:jc w:val="center"/>
              <w:rPr>
                <w:rFonts w:ascii="Times New Roman" w:hAnsi="Times New Roman" w:cs="Times New Roman"/>
                <w:b/>
              </w:rPr>
            </w:pPr>
            <w:r>
              <w:rPr>
                <w:rFonts w:hint="eastAsia" w:ascii="Times New Roman" w:hAnsi="Times New Roman" w:cs="Times New Roman"/>
                <w:b/>
              </w:rPr>
              <w:t>表1-6与《</w:t>
            </w:r>
            <w:r>
              <w:rPr>
                <w:rFonts w:ascii="Times New Roman" w:hAnsi="Times New Roman" w:cs="Times New Roman"/>
                <w:b/>
                <w:bCs/>
              </w:rPr>
              <w:t>水利部关于加强河湖水域岸线空间管控的指导意见</w:t>
            </w:r>
            <w:r>
              <w:rPr>
                <w:rFonts w:hint="eastAsia" w:ascii="Times New Roman" w:hAnsi="Times New Roman" w:cs="Times New Roman"/>
                <w:b/>
              </w:rPr>
              <w:t>》符合性</w:t>
            </w:r>
          </w:p>
          <w:tbl>
            <w:tblPr>
              <w:tblStyle w:val="2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4"/>
              <w:gridCol w:w="4040"/>
              <w:gridCol w:w="3331"/>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color w:val="auto"/>
                      <w:kern w:val="0"/>
                      <w:szCs w:val="21"/>
                    </w:rPr>
                    <w:t>序号</w:t>
                  </w:r>
                </w:p>
              </w:tc>
              <w:tc>
                <w:tcPr>
                  <w:tcW w:w="4040" w:type="dxa"/>
                  <w:vAlign w:val="center"/>
                </w:tcPr>
                <w:p>
                  <w:pPr>
                    <w:pStyle w:val="34"/>
                    <w:spacing w:line="360" w:lineRule="exact"/>
                    <w:rPr>
                      <w:color w:val="auto"/>
                      <w:kern w:val="0"/>
                      <w:szCs w:val="21"/>
                    </w:rPr>
                  </w:pPr>
                  <w:r>
                    <w:rPr>
                      <w:color w:val="auto"/>
                      <w:kern w:val="0"/>
                      <w:szCs w:val="21"/>
                    </w:rPr>
                    <w:t>《</w:t>
                  </w:r>
                  <w:r>
                    <w:rPr>
                      <w:color w:val="auto"/>
                      <w:kern w:val="0"/>
                      <w:szCs w:val="21"/>
                      <w:lang w:val="en-US"/>
                    </w:rPr>
                    <w:t>水利部关于加强河湖水域岸线空间管控的指导意见</w:t>
                  </w:r>
                  <w:r>
                    <w:rPr>
                      <w:color w:val="auto"/>
                      <w:kern w:val="0"/>
                      <w:szCs w:val="21"/>
                    </w:rPr>
                    <w:t>》要求</w:t>
                  </w:r>
                </w:p>
              </w:tc>
              <w:tc>
                <w:tcPr>
                  <w:tcW w:w="3331" w:type="dxa"/>
                  <w:vAlign w:val="center"/>
                </w:tcPr>
                <w:p>
                  <w:pPr>
                    <w:pStyle w:val="34"/>
                    <w:spacing w:line="360" w:lineRule="exact"/>
                    <w:rPr>
                      <w:color w:val="auto"/>
                      <w:kern w:val="0"/>
                      <w:szCs w:val="21"/>
                    </w:rPr>
                  </w:pPr>
                  <w:r>
                    <w:rPr>
                      <w:color w:val="auto"/>
                      <w:kern w:val="0"/>
                      <w:szCs w:val="21"/>
                    </w:rPr>
                    <w:t>该项目实际情况</w:t>
                  </w:r>
                </w:p>
              </w:tc>
              <w:tc>
                <w:tcPr>
                  <w:tcW w:w="499" w:type="dxa"/>
                  <w:vAlign w:val="center"/>
                </w:tcPr>
                <w:p>
                  <w:pPr>
                    <w:pStyle w:val="34"/>
                    <w:spacing w:line="360" w:lineRule="exact"/>
                    <w:rPr>
                      <w:color w:val="auto"/>
                      <w:kern w:val="0"/>
                      <w:szCs w:val="21"/>
                    </w:rPr>
                  </w:pPr>
                  <w:r>
                    <w:rPr>
                      <w:color w:val="auto"/>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1</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（一）</w:t>
                  </w:r>
                  <w:r>
                    <w:rPr>
                      <w:color w:val="auto"/>
                      <w:kern w:val="0"/>
                      <w:szCs w:val="21"/>
                      <w:lang w:val="en-US"/>
                    </w:rPr>
                    <w:t>严格岸线分区分类管控。加快河湖岸线保护与利用规划编制审批工作，省级水行政主管部门组织提出需编制岸线规划的河湖名录，明确编制主体，并征求有关流域管理机构意见。按照保护优先的原则，合理划分岸线保护区、保留区、控制利用区和开发利用区，严格管控开发利用强度和方式。要将岸线保护与利用规划融入“多规合一”国土空间规划体系。</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w:t>
                  </w:r>
                  <w:r>
                    <w:rPr>
                      <w:rFonts w:hint="eastAsia"/>
                      <w:color w:val="auto"/>
                      <w:kern w:val="0"/>
                      <w:szCs w:val="21"/>
                    </w:rPr>
                    <w:t>为</w:t>
                  </w:r>
                  <w:r>
                    <w:rPr>
                      <w:rFonts w:hint="eastAsia"/>
                      <w:color w:val="auto"/>
                    </w:rPr>
                    <w:t>引水工程项目</w:t>
                  </w:r>
                  <w:r>
                    <w:rPr>
                      <w:rFonts w:hint="eastAsia"/>
                      <w:color w:val="auto"/>
                      <w:kern w:val="0"/>
                      <w:szCs w:val="21"/>
                    </w:rPr>
                    <w:t>，建设单位于2023年6月取得昆明市东川区水务局关于本项目的引水工程取水许可的行政许可决定书，同意本项目取水。</w:t>
                  </w:r>
                </w:p>
              </w:tc>
              <w:tc>
                <w:tcPr>
                  <w:tcW w:w="499" w:type="dxa"/>
                  <w:vAlign w:val="center"/>
                </w:tcPr>
                <w:p>
                  <w:pPr>
                    <w:pStyle w:val="34"/>
                    <w:spacing w:line="360" w:lineRule="exact"/>
                    <w:rPr>
                      <w:color w:val="auto"/>
                      <w:kern w:val="0"/>
                      <w:szCs w:val="21"/>
                      <w:lang w:val="en-US"/>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2</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（二）</w:t>
                  </w:r>
                  <w:r>
                    <w:rPr>
                      <w:color w:val="auto"/>
                      <w:kern w:val="0"/>
                      <w:szCs w:val="21"/>
                      <w:lang w:val="en-US"/>
                    </w:rPr>
                    <w:t>严格依法依规审批涉河建设项目。严格按照法律法规以及岸线功能分区管控要求等，对跨河、穿河、穿堤、临河的桥梁、码头、道路、渡口、管道、缆线、取水、排水等涉河建设项目，遵循确有必要、无法避让、确保安全的原则，严把受理、审查、许可关，不得超审查权限，不得随意扩大项目类别，严禁未批先建、越权审批、批建不符。</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，且项目取得了昆明市东川区水务局关于本项目的引水工程取水许可的行政许可决定书，严格按照</w:t>
                  </w:r>
                  <w:r>
                    <w:rPr>
                      <w:color w:val="auto"/>
                      <w:kern w:val="0"/>
                      <w:szCs w:val="21"/>
                      <w:lang w:val="en-US"/>
                    </w:rPr>
                    <w:t>法律法规以及岸线功能分区管控要求</w:t>
                  </w:r>
                  <w:r>
                    <w:rPr>
                      <w:rFonts w:hint="eastAsia"/>
                      <w:color w:val="auto"/>
                      <w:kern w:val="0"/>
                      <w:szCs w:val="21"/>
                      <w:lang w:val="en-US"/>
                    </w:rPr>
                    <w:t>。</w:t>
                  </w:r>
                </w:p>
              </w:tc>
              <w:tc>
                <w:tcPr>
                  <w:tcW w:w="499" w:type="dxa"/>
                  <w:vAlign w:val="center"/>
                </w:tcPr>
                <w:p>
                  <w:pPr>
                    <w:pStyle w:val="34"/>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3</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（三）</w:t>
                  </w:r>
                  <w:r>
                    <w:rPr>
                      <w:color w:val="auto"/>
                      <w:kern w:val="0"/>
                      <w:szCs w:val="21"/>
                      <w:lang w:val="en-US"/>
                    </w:rPr>
                    <w:t>严格管控各类水域岸线利用行为。河湖管理范围内的岸线整治修复、生态廊道建设、滩地生态治理、公共体育设施、渔业养殖设施、航运设施、航道整治工程、造（修、拆）船项目、文体活动等，依法按照洪水影响评价类审批或河道管理范围内特定活动审批事项办理许可手续。严禁以风雨廊桥等名义在河湖管理范围内开发建设房屋。城市建设和发展不得占用河道滩地。光伏电站、风力发电等项目不得在河道、湖泊、水库内建设。在湖泊周边、水库库汊建设光伏、风电项目的，要科学论证，严格管控，不得布设在具有防洪、供水功能和水生态、水环境保护需求的区域，不得妨碍行洪通畅，不得危害水库大坝和堤防等水利工程设施安全，不得影响河势稳定和航运安全。各省（自治区、直辖市）可结合实际依法依规对各类水域岸线利用行为作出具体规定。</w:t>
                  </w:r>
                </w:p>
              </w:tc>
              <w:tc>
                <w:tcPr>
                  <w:tcW w:w="3331" w:type="dxa"/>
                  <w:vAlign w:val="center"/>
                </w:tcPr>
                <w:p>
                  <w:pPr>
                    <w:pStyle w:val="34"/>
                    <w:spacing w:line="360" w:lineRule="exact"/>
                    <w:ind w:firstLine="210" w:firstLineChars="100"/>
                    <w:jc w:val="both"/>
                    <w:rPr>
                      <w:color w:val="auto"/>
                      <w:kern w:val="0"/>
                      <w:szCs w:val="21"/>
                    </w:rPr>
                  </w:pPr>
                  <w:r>
                    <w:rPr>
                      <w:rFonts w:hint="eastAsia"/>
                      <w:color w:val="auto"/>
                      <w:kern w:val="0"/>
                      <w:szCs w:val="21"/>
                    </w:rPr>
                    <w:t>项目属于</w:t>
                  </w:r>
                  <w:r>
                    <w:rPr>
                      <w:rFonts w:hint="eastAsia"/>
                      <w:color w:val="auto"/>
                    </w:rPr>
                    <w:t>引水工程项目</w:t>
                  </w:r>
                  <w:r>
                    <w:rPr>
                      <w:rFonts w:hint="eastAsia"/>
                      <w:color w:val="auto"/>
                      <w:kern w:val="0"/>
                      <w:szCs w:val="21"/>
                    </w:rPr>
                    <w:t>，且项目取得了昆明市东川区水务局关于本项目的引水工程取水许可的行政许可决定书。项目光伏发电场位于位于项目区域金沙江右侧河岸，</w:t>
                  </w:r>
                  <w:r>
                    <w:rPr>
                      <w:color w:val="auto"/>
                      <w:kern w:val="0"/>
                      <w:szCs w:val="21"/>
                      <w:lang w:val="en-US"/>
                    </w:rPr>
                    <w:t>未占用河道滩地</w:t>
                  </w:r>
                  <w:r>
                    <w:rPr>
                      <w:rFonts w:hint="eastAsia"/>
                      <w:color w:val="auto"/>
                      <w:kern w:val="0"/>
                      <w:szCs w:val="21"/>
                      <w:lang w:val="en-US"/>
                    </w:rPr>
                    <w:t>。</w:t>
                  </w:r>
                </w:p>
              </w:tc>
              <w:tc>
                <w:tcPr>
                  <w:tcW w:w="499" w:type="dxa"/>
                  <w:vAlign w:val="center"/>
                </w:tcPr>
                <w:p>
                  <w:pPr>
                    <w:pStyle w:val="34"/>
                    <w:spacing w:line="360" w:lineRule="exact"/>
                    <w:rPr>
                      <w:color w:val="auto"/>
                      <w:kern w:val="0"/>
                      <w:szCs w:val="21"/>
                    </w:rPr>
                  </w:pPr>
                  <w:r>
                    <w:rPr>
                      <w:rFonts w:hint="eastAsia"/>
                      <w:color w:val="auto"/>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4"/>
                    <w:spacing w:line="360" w:lineRule="exact"/>
                    <w:rPr>
                      <w:color w:val="auto"/>
                      <w:kern w:val="0"/>
                      <w:szCs w:val="21"/>
                    </w:rPr>
                  </w:pPr>
                  <w:r>
                    <w:rPr>
                      <w:rFonts w:hint="eastAsia"/>
                      <w:color w:val="auto"/>
                      <w:kern w:val="0"/>
                      <w:szCs w:val="21"/>
                    </w:rPr>
                    <w:t>4</w:t>
                  </w:r>
                </w:p>
              </w:tc>
              <w:tc>
                <w:tcPr>
                  <w:tcW w:w="4040" w:type="dxa"/>
                  <w:vAlign w:val="center"/>
                </w:tcPr>
                <w:p>
                  <w:pPr>
                    <w:pStyle w:val="34"/>
                    <w:spacing w:line="360" w:lineRule="exact"/>
                    <w:ind w:firstLine="210" w:firstLineChars="100"/>
                    <w:jc w:val="both"/>
                    <w:rPr>
                      <w:color w:val="auto"/>
                      <w:kern w:val="0"/>
                      <w:szCs w:val="21"/>
                    </w:rPr>
                  </w:pPr>
                  <w:r>
                    <w:rPr>
                      <w:rFonts w:hint="eastAsia"/>
                      <w:color w:val="auto"/>
                      <w:kern w:val="0"/>
                      <w:szCs w:val="21"/>
                    </w:rPr>
                    <w:t>（四）</w:t>
                  </w:r>
                  <w:r>
                    <w:rPr>
                      <w:color w:val="auto"/>
                      <w:kern w:val="0"/>
                      <w:szCs w:val="21"/>
                      <w:lang w:val="en-US"/>
                    </w:rPr>
                    <w:t>依法规范河湖管理范围内耕地利用。对河湖管理范围内的耕地，结合“三区三线”划定工作，在不妨碍行洪、蓄洪和输水等功能的前提下，商自然资源部门依法依规分类处理。原则上，对位于主河槽内、洪水上滩频繁（南方地区可按5年一遇洪水位以下，北方地区可按3年一遇洪水位以下）、水库征地线以下、长江平垸行洪“双退”圩垸内的不稳定耕地，应有序退出。对于确有必要保留下来的耕地及园地，不得新建、改建、扩建生产围堤，不得种植妨碍行洪的高秆作物，禁止建设妨碍行洪的建筑物、构筑物。严禁以各种名义围湖造地、非法围垦河道。</w:t>
                  </w:r>
                </w:p>
              </w:tc>
              <w:tc>
                <w:tcPr>
                  <w:tcW w:w="3331" w:type="dxa"/>
                  <w:vAlign w:val="center"/>
                </w:tcPr>
                <w:p>
                  <w:pPr>
                    <w:pStyle w:val="34"/>
                    <w:spacing w:line="360" w:lineRule="exact"/>
                    <w:ind w:firstLine="210" w:firstLineChars="100"/>
                    <w:jc w:val="both"/>
                    <w:rPr>
                      <w:color w:val="auto"/>
                      <w:kern w:val="0"/>
                      <w:szCs w:val="21"/>
                    </w:rPr>
                  </w:pPr>
                  <w:r>
                    <w:rPr>
                      <w:color w:val="auto"/>
                      <w:kern w:val="0"/>
                      <w:szCs w:val="21"/>
                    </w:rPr>
                    <w:t>该项目位于</w:t>
                  </w:r>
                  <w:r>
                    <w:rPr>
                      <w:rFonts w:hint="eastAsia"/>
                      <w:color w:val="auto"/>
                    </w:rPr>
                    <w:t>昆明市东川区拖布卡镇象鼻村</w:t>
                  </w:r>
                  <w:r>
                    <w:rPr>
                      <w:color w:val="auto"/>
                      <w:kern w:val="0"/>
                      <w:szCs w:val="21"/>
                    </w:rPr>
                    <w:t>，</w:t>
                  </w:r>
                  <w:r>
                    <w:rPr>
                      <w:rFonts w:hint="eastAsia"/>
                      <w:color w:val="auto"/>
                      <w:kern w:val="0"/>
                      <w:szCs w:val="21"/>
                    </w:rPr>
                    <w:t>项目主要采用“光伏泵站+提水管道+新建高位水池”的模式为灌区供水。</w:t>
                  </w:r>
                  <w:r>
                    <w:rPr>
                      <w:color w:val="auto"/>
                      <w:kern w:val="0"/>
                      <w:szCs w:val="21"/>
                      <w:lang w:val="en-US"/>
                    </w:rPr>
                    <w:t>根据</w:t>
                  </w:r>
                  <w:r>
                    <w:rPr>
                      <w:rFonts w:hint="eastAsia"/>
                      <w:color w:val="auto"/>
                      <w:kern w:val="0"/>
                      <w:szCs w:val="21"/>
                      <w:lang w:val="en-US"/>
                    </w:rPr>
                    <w:t>昆明市东川区自然资源局出具的文件（具体见附件），项目范围与生态保护红线无冲突，不占用永久基本农田。</w:t>
                  </w:r>
                </w:p>
              </w:tc>
              <w:tc>
                <w:tcPr>
                  <w:tcW w:w="499" w:type="dxa"/>
                  <w:vAlign w:val="center"/>
                </w:tcPr>
                <w:p>
                  <w:pPr>
                    <w:pStyle w:val="34"/>
                    <w:spacing w:line="360" w:lineRule="exact"/>
                    <w:rPr>
                      <w:color w:val="auto"/>
                      <w:kern w:val="0"/>
                      <w:szCs w:val="21"/>
                    </w:rPr>
                  </w:pPr>
                  <w:r>
                    <w:rPr>
                      <w:rFonts w:hint="eastAsia"/>
                      <w:color w:val="auto"/>
                      <w:kern w:val="0"/>
                      <w:szCs w:val="21"/>
                      <w:lang w:val="en-US"/>
                    </w:rPr>
                    <w:t>符合</w:t>
                  </w:r>
                </w:p>
              </w:tc>
            </w:tr>
          </w:tbl>
          <w:p>
            <w:pPr>
              <w:spacing w:beforeLines="5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由上表可知，该项目符合</w:t>
            </w:r>
            <w:r>
              <w:rPr>
                <w:rFonts w:hint="eastAsia" w:ascii="Times New Roman" w:hAnsi="Times New Roman" w:cs="Times New Roman"/>
                <w:sz w:val="24"/>
                <w:szCs w:val="24"/>
              </w:rPr>
              <w:t>《</w:t>
            </w:r>
            <w:r>
              <w:rPr>
                <w:rFonts w:ascii="Times New Roman" w:hAnsi="Times New Roman" w:cs="Times New Roman"/>
                <w:bCs/>
                <w:sz w:val="24"/>
                <w:szCs w:val="24"/>
              </w:rPr>
              <w:t>水利部关于加强河湖水域岸线空间管控的指导意见</w:t>
            </w:r>
            <w:r>
              <w:rPr>
                <w:rFonts w:hint="eastAsia" w:ascii="Times New Roman" w:hAnsi="Times New Roman" w:cs="Times New Roman"/>
                <w:sz w:val="24"/>
                <w:szCs w:val="24"/>
              </w:rPr>
              <w:t>》</w:t>
            </w:r>
            <w:r>
              <w:rPr>
                <w:rFonts w:ascii="Times New Roman" w:hAnsi="Times New Roman" w:cs="Times New Roman"/>
                <w:sz w:val="24"/>
                <w:szCs w:val="24"/>
              </w:rPr>
              <w:t>的要求。</w:t>
            </w:r>
          </w:p>
          <w:p>
            <w:pPr>
              <w:spacing w:beforeLines="50" w:line="360" w:lineRule="auto"/>
              <w:ind w:firstLine="480" w:firstLineChars="200"/>
              <w:rPr>
                <w:rFonts w:ascii="Times New Roman" w:hAnsi="Times New Roman" w:cs="Times New Roman"/>
                <w:sz w:val="24"/>
                <w:szCs w:val="24"/>
              </w:rPr>
            </w:pPr>
          </w:p>
          <w:p>
            <w:pPr>
              <w:spacing w:beforeLines="50" w:line="360" w:lineRule="auto"/>
              <w:ind w:firstLine="480" w:firstLineChars="200"/>
              <w:rPr>
                <w:rFonts w:ascii="Times New Roman" w:hAnsi="Times New Roman" w:cs="Times New Roman"/>
                <w:sz w:val="24"/>
                <w:szCs w:val="24"/>
              </w:rPr>
            </w:pPr>
          </w:p>
          <w:p>
            <w:pPr>
              <w:spacing w:beforeLines="50" w:line="360" w:lineRule="auto"/>
              <w:ind w:firstLine="480" w:firstLineChars="200"/>
              <w:rPr>
                <w:rFonts w:ascii="Times New Roman" w:hAnsi="Times New Roman" w:cs="Times New Roman"/>
                <w:sz w:val="24"/>
                <w:szCs w:val="24"/>
              </w:rPr>
            </w:pPr>
          </w:p>
          <w:p>
            <w:pPr>
              <w:spacing w:beforeLines="50" w:line="360" w:lineRule="auto"/>
              <w:ind w:firstLine="480" w:firstLineChars="200"/>
              <w:rPr>
                <w:rFonts w:ascii="Times New Roman" w:hAnsi="Times New Roman" w:cs="Times New Roman"/>
                <w:sz w:val="24"/>
                <w:szCs w:val="24"/>
              </w:rPr>
            </w:pPr>
          </w:p>
          <w:p>
            <w:pPr>
              <w:spacing w:beforeLines="50" w:line="360" w:lineRule="auto"/>
              <w:ind w:firstLine="480" w:firstLineChars="200"/>
              <w:rPr>
                <w:rFonts w:ascii="Times New Roman" w:hAnsi="Times New Roman" w:cs="Times New Roman"/>
                <w:sz w:val="24"/>
                <w:szCs w:val="24"/>
              </w:rPr>
            </w:pPr>
          </w:p>
          <w:p>
            <w:pPr>
              <w:spacing w:beforeLines="50" w:line="360" w:lineRule="auto"/>
              <w:ind w:firstLine="480" w:firstLineChars="200"/>
              <w:rPr>
                <w:rFonts w:ascii="Times New Roman" w:hAnsi="Times New Roman" w:cs="Times New Roman"/>
                <w:sz w:val="24"/>
                <w:szCs w:val="24"/>
              </w:rPr>
            </w:pPr>
          </w:p>
          <w:p>
            <w:pPr>
              <w:spacing w:beforeLines="50" w:line="360" w:lineRule="auto"/>
              <w:ind w:firstLine="480" w:firstLineChars="200"/>
              <w:rPr>
                <w:rFonts w:ascii="Times New Roman" w:hAnsi="Times New Roman" w:cs="Times New Roman"/>
                <w:sz w:val="24"/>
                <w:szCs w:val="24"/>
              </w:rPr>
            </w:pPr>
          </w:p>
          <w:p>
            <w:pPr>
              <w:spacing w:beforeLines="50" w:line="360" w:lineRule="auto"/>
              <w:ind w:firstLine="480" w:firstLineChars="200"/>
              <w:rPr>
                <w:rFonts w:ascii="Times New Roman" w:hAnsi="Times New Roman" w:cs="Times New Roman"/>
                <w:sz w:val="24"/>
                <w:szCs w:val="24"/>
              </w:rPr>
            </w:pPr>
          </w:p>
          <w:p>
            <w:pPr>
              <w:spacing w:beforeLines="50" w:line="360" w:lineRule="auto"/>
              <w:ind w:firstLine="480" w:firstLineChars="200"/>
              <w:rPr>
                <w:rFonts w:ascii="Times New Roman" w:hAnsi="Times New Roman" w:cs="Times New Roman"/>
                <w:sz w:val="24"/>
                <w:szCs w:val="24"/>
              </w:rPr>
            </w:pPr>
          </w:p>
          <w:p>
            <w:pPr>
              <w:spacing w:beforeLines="50" w:line="360" w:lineRule="auto"/>
              <w:ind w:firstLine="480" w:firstLineChars="200"/>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二、建设内容</w:t>
      </w:r>
    </w:p>
    <w:tbl>
      <w:tblPr>
        <w:tblStyle w:val="2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地理位置</w:t>
            </w:r>
          </w:p>
        </w:tc>
        <w:tc>
          <w:tcPr>
            <w:tcW w:w="8834" w:type="dxa"/>
            <w:vAlign w:val="center"/>
          </w:tcPr>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项目位于云南省东川区拖布卡镇象鼻村，设计总灌溉面积2671.00亩，工程为光伏提水灌溉工程。根据《拖布卡镇象鼻村产业发展光伏提水项目实施方案（代可行性研究报告）》，项目灌区附近无自流灌溉水源供给，只能采用提水灌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项目水源点确定为白鹤滩水库上游的金沙江，提水位置为东川区拖布卡镇象鼻村昆明市东川区金沙江河段中提水（位置具体见附图）（提水位置：</w:t>
            </w:r>
            <w:r>
              <w:rPr>
                <w:rFonts w:ascii="Times New Roman" w:hAnsi="Times New Roman" w:cs="Times New Roman"/>
                <w:sz w:val="24"/>
                <w:szCs w:val="24"/>
              </w:rPr>
              <w:t>东经10</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59</w:t>
            </w:r>
            <w:r>
              <w:rPr>
                <w:rFonts w:ascii="Times New Roman" w:hAnsi="Times New Roman" w:cs="Times New Roman"/>
                <w:sz w:val="24"/>
                <w:szCs w:val="24"/>
              </w:rPr>
              <w:t>′</w:t>
            </w:r>
            <w:r>
              <w:rPr>
                <w:rFonts w:hint="eastAsia" w:ascii="Times New Roman" w:hAnsi="Times New Roman" w:cs="Times New Roman"/>
                <w:sz w:val="24"/>
                <w:szCs w:val="24"/>
              </w:rPr>
              <w:t>50.047</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2.287</w:t>
            </w:r>
            <w:r>
              <w:rPr>
                <w:rFonts w:ascii="Times New Roman" w:hAnsi="Times New Roman" w:cs="Times New Roman"/>
                <w:sz w:val="24"/>
                <w:szCs w:val="24"/>
              </w:rPr>
              <w:t>″</w:t>
            </w:r>
            <w:r>
              <w:rPr>
                <w:rFonts w:hint="eastAsia"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项目新建1座光伏泵站（两级提水），分为一级浮箱取水泵站、二级岸边地面泵站</w:t>
            </w:r>
            <w:r>
              <w:rPr>
                <w:rFonts w:hint="eastAsia" w:hAnsi="Times New Roman"/>
                <w:sz w:val="24"/>
                <w:szCs w:val="24"/>
              </w:rPr>
              <w:t>（</w:t>
            </w:r>
            <w:r>
              <w:rPr>
                <w:rFonts w:ascii="Times New Roman" w:hAnsi="Times New Roman" w:cs="Times New Roman"/>
                <w:sz w:val="24"/>
                <w:szCs w:val="24"/>
              </w:rPr>
              <w:t>光伏</w:t>
            </w:r>
            <w:r>
              <w:rPr>
                <w:rFonts w:hint="eastAsia" w:hAnsi="Times New Roman"/>
                <w:sz w:val="24"/>
                <w:szCs w:val="24"/>
              </w:rPr>
              <w:t>泵站位置：</w:t>
            </w:r>
            <w:r>
              <w:rPr>
                <w:rFonts w:ascii="Times New Roman" w:hAnsi="Times New Roman" w:cs="Times New Roman"/>
                <w:sz w:val="24"/>
                <w:szCs w:val="24"/>
              </w:rPr>
              <w:t>东经10</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0.591</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5.068</w:t>
            </w:r>
            <w:r>
              <w:rPr>
                <w:rFonts w:ascii="Times New Roman" w:hAnsi="Times New Roman" w:cs="Times New Roman"/>
                <w:sz w:val="24"/>
                <w:szCs w:val="24"/>
              </w:rPr>
              <w:t>″</w:t>
            </w:r>
            <w:r>
              <w:rPr>
                <w:rFonts w:hint="eastAsia" w:hAnsi="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项目新建提水管道3条，分别为供水主管、配水主管及配水支管。</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其中供水主管总长4757.3m，</w:t>
            </w:r>
            <w:r>
              <w:rPr>
                <w:rFonts w:ascii="Times New Roman" w:hAnsi="Times New Roman" w:cs="Times New Roman"/>
                <w:sz w:val="24"/>
                <w:szCs w:val="24"/>
              </w:rPr>
              <w:t>起点坐标东经103°</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0.700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9.791</w:t>
            </w:r>
            <w:r>
              <w:rPr>
                <w:rFonts w:ascii="Times New Roman" w:hAnsi="Times New Roman" w:cs="Times New Roman"/>
                <w:sz w:val="24"/>
                <w:szCs w:val="24"/>
              </w:rPr>
              <w:t>″。</w:t>
            </w:r>
            <w:r>
              <w:rPr>
                <w:rFonts w:hint="eastAsia" w:ascii="Times New Roman" w:hAnsi="Times New Roman" w:cs="Times New Roman"/>
                <w:sz w:val="24"/>
                <w:szCs w:val="24"/>
              </w:rPr>
              <w:t>大致呈东北走向，起点为二级岸边地面泵站200m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的取水池，途经老黑岩、小凹子、张家湾，终点至小坪子300m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的0#高位水池</w:t>
            </w:r>
            <w:r>
              <w:rPr>
                <w:rFonts w:ascii="Times New Roman" w:hAnsi="Times New Roman" w:cs="Times New Roman"/>
                <w:sz w:val="24"/>
                <w:szCs w:val="24"/>
              </w:rPr>
              <w:t>。</w:t>
            </w:r>
            <w:r>
              <w:rPr>
                <w:rFonts w:hint="eastAsia" w:ascii="Times New Roman" w:hAnsi="Times New Roman" w:cs="Times New Roman"/>
                <w:sz w:val="24"/>
                <w:szCs w:val="24"/>
              </w:rPr>
              <w:t>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29.690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56.758</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配水主管总长2940m，</w:t>
            </w:r>
            <w:r>
              <w:rPr>
                <w:rFonts w:ascii="Times New Roman" w:hAnsi="Times New Roman" w:cs="Times New Roman"/>
                <w:sz w:val="24"/>
                <w:szCs w:val="24"/>
              </w:rPr>
              <w:t>起点坐标东经103°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28.685</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49.728</w:t>
            </w:r>
            <w:r>
              <w:rPr>
                <w:rFonts w:ascii="Times New Roman" w:hAnsi="Times New Roman" w:cs="Times New Roman"/>
                <w:sz w:val="24"/>
                <w:szCs w:val="24"/>
              </w:rPr>
              <w:t>″。</w:t>
            </w:r>
            <w:r>
              <w:rPr>
                <w:rFonts w:hint="eastAsia" w:ascii="Times New Roman" w:hAnsi="Times New Roman" w:cs="Times New Roman"/>
                <w:sz w:val="24"/>
                <w:szCs w:val="24"/>
              </w:rPr>
              <w:t>大致呈东西走向，起点为小坪子300m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的0#高位水池，沿布格公路东西向走向，经赵家村、象鼻村，终点至金家包200m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55.606</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3.110</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配水支管7380m，其中地间配水支管DN100热镀锌钢管长4896m，地间配水支管DN50热镀锌钢管长2484m。分别沿供水主管、配水主管呈东北、东南走向。配水支管主要沿供水主管、配水主管及200m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的1#蓄水池布置，共6根支管，分配至2#~8#蓄水池、小海子已建坝塘、小坪子已建蓄水池。</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具体详见总平面布置图。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项目组成及规模</w:t>
            </w:r>
          </w:p>
        </w:tc>
        <w:tc>
          <w:tcPr>
            <w:tcW w:w="8834" w:type="dxa"/>
            <w:vAlign w:val="center"/>
          </w:tcPr>
          <w:p>
            <w:pPr>
              <w:pStyle w:val="62"/>
              <w:snapToGrid w:val="0"/>
              <w:spacing w:line="360" w:lineRule="auto"/>
              <w:ind w:firstLine="240" w:firstLineChars="100"/>
              <w:rPr>
                <w:rFonts w:hAnsi="Times New Roman"/>
                <w:b/>
                <w:sz w:val="24"/>
                <w:szCs w:val="24"/>
              </w:rPr>
            </w:pPr>
            <w:r>
              <w:rPr>
                <w:rFonts w:hAnsi="Times New Roman"/>
                <w:b/>
                <w:sz w:val="24"/>
                <w:szCs w:val="24"/>
              </w:rPr>
              <w:t>2.1 项目由来</w:t>
            </w:r>
          </w:p>
          <w:p>
            <w:pPr>
              <w:pStyle w:val="62"/>
              <w:snapToGrid w:val="0"/>
              <w:spacing w:line="360" w:lineRule="auto"/>
              <w:ind w:firstLine="480"/>
              <w:rPr>
                <w:rFonts w:hAnsi="Times New Roman"/>
                <w:sz w:val="24"/>
                <w:szCs w:val="24"/>
              </w:rPr>
            </w:pPr>
            <w:r>
              <w:rPr>
                <w:rFonts w:hint="eastAsia" w:hAnsi="Times New Roman"/>
                <w:sz w:val="24"/>
                <w:szCs w:val="24"/>
              </w:rPr>
              <w:t>本项目位于云南省东川区拖布卡镇象鼻村，目前项目区水利基础设施薄弱，现有水利设施老化失修，效益衰退，建设资金投入有限，工程设施简陋，不配套，水资源贫乏，蓄水工程规模小，水量不足，水利工程抵御自然灾害的能力不足，这些问题的存在，严重制约着项目区经济的发展。</w:t>
            </w:r>
            <w:r>
              <w:rPr>
                <w:rFonts w:hAnsi="Times New Roman"/>
                <w:sz w:val="24"/>
                <w:szCs w:val="24"/>
              </w:rPr>
              <w:t>项目主要</w:t>
            </w:r>
            <w:r>
              <w:rPr>
                <w:rFonts w:hint="eastAsia" w:hAnsi="Times New Roman"/>
                <w:sz w:val="24"/>
                <w:szCs w:val="24"/>
              </w:rPr>
              <w:t>总灌溉面积2671.00亩，工程为光伏提水灌溉工程，</w:t>
            </w:r>
            <w:r>
              <w:rPr>
                <w:rFonts w:hint="eastAsia" w:hAnsi="Times New Roman"/>
                <w:kern w:val="0"/>
                <w:sz w:val="24"/>
              </w:rPr>
              <w:t>通过</w:t>
            </w:r>
            <w:r>
              <w:rPr>
                <w:rFonts w:hint="eastAsia" w:hAnsi="Times New Roman"/>
                <w:sz w:val="24"/>
                <w:szCs w:val="24"/>
              </w:rPr>
              <w:t>本项目的实施，能改变目前的灌溉条件，能有效提高象鼻村以工代赈灌区水资源利用效率和灌溉保证率，有利于减轻水资源短缺给农业生产造成的损失，保证作物稳产、高产。因此项目的建设是必要的。</w:t>
            </w:r>
          </w:p>
          <w:p>
            <w:pPr>
              <w:pStyle w:val="62"/>
              <w:snapToGrid w:val="0"/>
              <w:spacing w:line="360" w:lineRule="auto"/>
              <w:ind w:firstLine="480"/>
              <w:rPr>
                <w:rFonts w:hAnsi="Times New Roman"/>
                <w:b/>
                <w:sz w:val="24"/>
                <w:szCs w:val="24"/>
              </w:rPr>
            </w:pPr>
            <w:r>
              <w:rPr>
                <w:rFonts w:hAnsi="Times New Roman"/>
                <w:kern w:val="0"/>
                <w:sz w:val="24"/>
              </w:rPr>
              <w:t>昆明市东川区拖布卡镇人民政府</w:t>
            </w:r>
            <w:r>
              <w:rPr>
                <w:rFonts w:hAnsi="Times New Roman"/>
                <w:bCs/>
                <w:sz w:val="24"/>
              </w:rPr>
              <w:t>（以下简称“建设单位”）于2023年</w:t>
            </w:r>
            <w:r>
              <w:rPr>
                <w:rFonts w:hint="eastAsia" w:hAnsi="Times New Roman"/>
                <w:bCs/>
                <w:sz w:val="24"/>
              </w:rPr>
              <w:t>4</w:t>
            </w:r>
            <w:r>
              <w:rPr>
                <w:rFonts w:hAnsi="Times New Roman"/>
                <w:bCs/>
                <w:sz w:val="24"/>
              </w:rPr>
              <w:t>月</w:t>
            </w:r>
            <w:r>
              <w:rPr>
                <w:rFonts w:hint="eastAsia" w:hAnsi="Times New Roman"/>
                <w:bCs/>
                <w:sz w:val="24"/>
              </w:rPr>
              <w:t>3</w:t>
            </w:r>
            <w:r>
              <w:rPr>
                <w:rFonts w:hAnsi="Times New Roman"/>
                <w:bCs/>
                <w:sz w:val="24"/>
              </w:rPr>
              <w:t>日取得了</w:t>
            </w:r>
            <w:r>
              <w:rPr>
                <w:rFonts w:hAnsi="Times New Roman"/>
                <w:sz w:val="24"/>
              </w:rPr>
              <w:t>昆明市东川区发展和改革局关于</w:t>
            </w:r>
            <w:r>
              <w:rPr>
                <w:rFonts w:hint="eastAsia" w:hAnsi="Times New Roman"/>
                <w:sz w:val="24"/>
              </w:rPr>
              <w:t>拖布卡镇象鼻村产业发展光伏提水项目实施方案</w:t>
            </w:r>
            <w:r>
              <w:rPr>
                <w:rFonts w:hAnsi="Times New Roman"/>
                <w:sz w:val="24"/>
              </w:rPr>
              <w:t>（代可行性研究报告）的批复（东发改复[2023]</w:t>
            </w:r>
            <w:r>
              <w:rPr>
                <w:rFonts w:hint="eastAsia" w:hAnsi="Times New Roman"/>
                <w:sz w:val="24"/>
              </w:rPr>
              <w:t>73</w:t>
            </w:r>
            <w:r>
              <w:rPr>
                <w:rFonts w:hAnsi="Times New Roman"/>
                <w:sz w:val="24"/>
              </w:rPr>
              <w:t>号），</w:t>
            </w:r>
            <w:r>
              <w:rPr>
                <w:rFonts w:hAnsi="Times New Roman"/>
                <w:kern w:val="0"/>
                <w:sz w:val="24"/>
              </w:rPr>
              <w:t>项目代码：</w:t>
            </w:r>
            <w:r>
              <w:rPr>
                <w:rFonts w:hint="eastAsia" w:hAnsi="Times New Roman"/>
                <w:kern w:val="0"/>
                <w:sz w:val="24"/>
                <w:lang w:eastAsia="zh-CN"/>
              </w:rPr>
              <w:t>****</w:t>
            </w:r>
            <w:r>
              <w:rPr>
                <w:rFonts w:hAnsi="Times New Roman"/>
                <w:kern w:val="0"/>
                <w:sz w:val="24"/>
              </w:rPr>
              <w:t>-</w:t>
            </w:r>
            <w:r>
              <w:rPr>
                <w:rFonts w:hint="eastAsia" w:hAnsi="Times New Roman"/>
                <w:kern w:val="0"/>
                <w:sz w:val="24"/>
                <w:lang w:eastAsia="zh-CN"/>
              </w:rPr>
              <w:t>******</w:t>
            </w:r>
            <w:r>
              <w:rPr>
                <w:rFonts w:hAnsi="Times New Roman"/>
                <w:kern w:val="0"/>
                <w:sz w:val="24"/>
              </w:rPr>
              <w:t>-04-01-</w:t>
            </w:r>
            <w:r>
              <w:rPr>
                <w:rFonts w:hint="eastAsia" w:hAnsi="Times New Roman"/>
                <w:kern w:val="0"/>
                <w:sz w:val="24"/>
                <w:lang w:eastAsia="zh-CN"/>
              </w:rPr>
              <w:t>******</w:t>
            </w:r>
            <w:r>
              <w:rPr>
                <w:rFonts w:hint="eastAsia" w:hAnsi="Times New Roman"/>
                <w:kern w:val="0"/>
                <w:sz w:val="24"/>
              </w:rPr>
              <w:t>；</w:t>
            </w:r>
            <w:r>
              <w:rPr>
                <w:rFonts w:hAnsi="Times New Roman"/>
                <w:kern w:val="0"/>
                <w:sz w:val="24"/>
              </w:rPr>
              <w:t>于</w:t>
            </w:r>
            <w:r>
              <w:rPr>
                <w:rFonts w:hint="eastAsia" w:hAnsi="Times New Roman"/>
                <w:kern w:val="0"/>
                <w:sz w:val="24"/>
              </w:rPr>
              <w:t>2023年6月取得昆明市东川区水务局关于本项目的引水工程取水许可的行政许可决定书。</w:t>
            </w:r>
          </w:p>
          <w:p>
            <w:pPr>
              <w:pStyle w:val="62"/>
              <w:snapToGrid w:val="0"/>
              <w:spacing w:line="360" w:lineRule="auto"/>
              <w:ind w:firstLine="480"/>
              <w:rPr>
                <w:rFonts w:hAnsi="Times New Roman"/>
                <w:sz w:val="24"/>
              </w:rPr>
            </w:pPr>
            <w:r>
              <w:rPr>
                <w:rFonts w:hint="eastAsia" w:hAnsi="Times New Roman"/>
                <w:sz w:val="24"/>
              </w:rPr>
              <w:t>根据《国民经济行业分类》（GB/T4754-2017）及国家统计局关于《执行国民经济行业分类第1号修改单的通知》（国统字[2019]66号），本项目所属行业为“4</w:t>
            </w:r>
            <w:r>
              <w:rPr>
                <w:rFonts w:hint="eastAsia" w:hAnsi="Times New Roman"/>
                <w:sz w:val="24"/>
                <w:lang w:eastAsia="zh-CN"/>
              </w:rPr>
              <w:t>***</w:t>
            </w:r>
            <w:r>
              <w:rPr>
                <w:rFonts w:hint="eastAsia" w:hAnsi="Times New Roman"/>
                <w:sz w:val="24"/>
              </w:rPr>
              <w:t>自来水生产和供应”及“4416太阳能发电”。根据《中华人民共和国环境保护法》、《中华人民共和国环境影响评价法》、《建设项目环境保护管理条例》相关的规定，本项目应开展环境影响评价工作。根据《建设项目环境影响评价分类管理名录》（2021年版）“</w:t>
            </w:r>
            <w:r>
              <w:rPr>
                <w:rFonts w:hAnsi="Times New Roman"/>
                <w:sz w:val="24"/>
              </w:rPr>
              <w:t>五十一、水利；</w:t>
            </w:r>
            <w:r>
              <w:rPr>
                <w:rFonts w:hint="eastAsia" w:hAnsi="Times New Roman"/>
                <w:sz w:val="24"/>
              </w:rPr>
              <w:t>126引水工程中的其他”，应编制环境影响报告表；项目</w:t>
            </w:r>
            <w:r>
              <w:rPr>
                <w:rFonts w:hint="eastAsia" w:hAnsi="Times New Roman"/>
                <w:sz w:val="24"/>
                <w:szCs w:val="24"/>
              </w:rPr>
              <w:t>总装机功率为830kW，且不涉及输变电工程、不涉及升压站及降压站等，因此项目</w:t>
            </w:r>
            <w:r>
              <w:rPr>
                <w:rFonts w:hint="eastAsia" w:hAnsi="Times New Roman"/>
                <w:sz w:val="24"/>
              </w:rPr>
              <w:t>也属于“四十一、电力、热力生产和供应业；90太阳能发电中的其他光伏发电”，为登记表。综上，本项目应编制环境影响报告表。为此，建设单位于2023年4月10日委托云南境清环保咨询有限公司（以下简称“我单位”）承担本项目的环境影响评价工作（委托书见附件）。接受委托后，我单位立即开展了详细的现场踏勘、资料收集工作，在对该项目工程有关环境现状和可能造成的环境影响进行分析后，编制本项目环境影响报告表，供建设单位上报审批，作为环境管理的依据。</w:t>
            </w:r>
          </w:p>
          <w:p>
            <w:pPr>
              <w:pStyle w:val="62"/>
              <w:snapToGrid w:val="0"/>
              <w:spacing w:line="360" w:lineRule="auto"/>
              <w:ind w:firstLine="240" w:firstLineChars="100"/>
              <w:rPr>
                <w:rFonts w:hAnsi="Times New Roman"/>
                <w:b/>
                <w:sz w:val="24"/>
                <w:szCs w:val="24"/>
              </w:rPr>
            </w:pPr>
            <w:r>
              <w:rPr>
                <w:rFonts w:hAnsi="Times New Roman"/>
                <w:b/>
                <w:sz w:val="24"/>
                <w:szCs w:val="24"/>
              </w:rPr>
              <w:t>2.</w:t>
            </w:r>
            <w:r>
              <w:rPr>
                <w:rFonts w:hint="eastAsia" w:hAnsi="Times New Roman"/>
                <w:b/>
                <w:sz w:val="24"/>
                <w:szCs w:val="24"/>
              </w:rPr>
              <w:t>2</w:t>
            </w:r>
            <w:r>
              <w:rPr>
                <w:rFonts w:hAnsi="Times New Roman"/>
                <w:b/>
                <w:sz w:val="24"/>
                <w:szCs w:val="24"/>
              </w:rPr>
              <w:t xml:space="preserve"> 项目建设内容及规模</w:t>
            </w:r>
          </w:p>
          <w:p>
            <w:pPr>
              <w:pStyle w:val="62"/>
              <w:snapToGrid w:val="0"/>
              <w:spacing w:line="360" w:lineRule="auto"/>
              <w:ind w:firstLine="480"/>
              <w:rPr>
                <w:rFonts w:hAnsi="Times New Roman"/>
                <w:sz w:val="24"/>
                <w:szCs w:val="24"/>
              </w:rPr>
            </w:pPr>
            <w:r>
              <w:rPr>
                <w:rFonts w:hint="eastAsia" w:hAnsi="Times New Roman"/>
                <w:sz w:val="24"/>
                <w:szCs w:val="24"/>
              </w:rPr>
              <w:t>项目采用“光伏泵站+提水管道+新建高位水池”的模式为灌区供水，项目设计灌溉面积为2671亩。总占地面积21.07亩，其中永久占地16.93亩，临时占地4.14亩，建设内容如下：</w:t>
            </w:r>
          </w:p>
          <w:p>
            <w:pPr>
              <w:pStyle w:val="62"/>
              <w:snapToGrid w:val="0"/>
              <w:spacing w:line="360" w:lineRule="auto"/>
              <w:ind w:firstLine="480"/>
              <w:rPr>
                <w:rFonts w:hAnsi="Times New Roman"/>
                <w:sz w:val="24"/>
                <w:szCs w:val="24"/>
              </w:rPr>
            </w:pPr>
            <w:r>
              <w:rPr>
                <w:rFonts w:hint="eastAsia" w:hAnsi="Times New Roman"/>
                <w:sz w:val="24"/>
                <w:szCs w:val="24"/>
              </w:rPr>
              <w:t>（1）新建1座光伏泵站（两级提水），分为一级浮箱取水泵站、二级岸边地面泵站，占地面积约13.94亩，布置面积9300.78m</w:t>
            </w:r>
            <w:r>
              <w:rPr>
                <w:rFonts w:hint="eastAsia" w:hAnsi="Times New Roman"/>
                <w:sz w:val="24"/>
                <w:szCs w:val="24"/>
                <w:vertAlign w:val="superscript"/>
              </w:rPr>
              <w:t>2</w:t>
            </w:r>
            <w:r>
              <w:rPr>
                <w:rFonts w:hint="eastAsia" w:hAnsi="Times New Roman"/>
                <w:sz w:val="24"/>
                <w:szCs w:val="24"/>
              </w:rPr>
              <w:t>。</w:t>
            </w:r>
            <w:r>
              <w:rPr>
                <w:rFonts w:hAnsi="Times New Roman"/>
                <w:sz w:val="24"/>
                <w:szCs w:val="24"/>
              </w:rPr>
              <w:t>一级泵站配置潜水泵2</w:t>
            </w:r>
            <w:r>
              <w:rPr>
                <w:rFonts w:hint="eastAsia" w:hAnsi="Times New Roman"/>
                <w:sz w:val="24"/>
                <w:szCs w:val="24"/>
              </w:rPr>
              <w:t>台，二级</w:t>
            </w:r>
            <w:r>
              <w:rPr>
                <w:rFonts w:hAnsi="Times New Roman"/>
                <w:sz w:val="24"/>
                <w:szCs w:val="24"/>
              </w:rPr>
              <w:t>泵站配置4台柱塞泵、潜水泵浮船（3m×4m）</w:t>
            </w:r>
            <w:r>
              <w:rPr>
                <w:rFonts w:hint="eastAsia" w:hAnsi="Times New Roman"/>
                <w:sz w:val="24"/>
                <w:szCs w:val="24"/>
              </w:rPr>
              <w:t>1</w:t>
            </w:r>
            <w:r>
              <w:rPr>
                <w:rFonts w:hAnsi="Times New Roman"/>
                <w:sz w:val="24"/>
                <w:szCs w:val="24"/>
              </w:rPr>
              <w:t>套，</w:t>
            </w:r>
            <w:r>
              <w:rPr>
                <w:rFonts w:hint="eastAsia" w:hAnsi="Times New Roman"/>
                <w:sz w:val="24"/>
                <w:szCs w:val="24"/>
              </w:rPr>
              <w:t>总装机功率为830kW，其中，一级泵站装机功率为63.8kW（单台潜水泵电机功率为22kW），二级泵站装机功率为766.20kW（单台柱塞泵电机功率为132kW），共计1248块充电板，新建光伏方阵基础78个，配置光伏水泵控制系统3套。新建泵房及控制室。</w:t>
            </w:r>
          </w:p>
          <w:p>
            <w:pPr>
              <w:pStyle w:val="62"/>
              <w:snapToGrid w:val="0"/>
              <w:spacing w:line="360" w:lineRule="auto"/>
              <w:ind w:firstLine="480"/>
              <w:rPr>
                <w:rFonts w:hAnsi="Times New Roman"/>
                <w:sz w:val="24"/>
                <w:szCs w:val="24"/>
              </w:rPr>
            </w:pPr>
            <w:r>
              <w:rPr>
                <w:rFonts w:hint="eastAsia" w:hAnsi="Times New Roman"/>
                <w:sz w:val="24"/>
                <w:szCs w:val="24"/>
              </w:rPr>
              <w:t>（2）新建提水管道3条，分别为供水主管、配水主管及配水支管。其中供水主管总长4757.3m，配水主管总长2940m，配水支管7380m。</w:t>
            </w:r>
          </w:p>
          <w:p>
            <w:pPr>
              <w:pStyle w:val="62"/>
              <w:snapToGrid w:val="0"/>
              <w:spacing w:line="360" w:lineRule="auto"/>
              <w:ind w:firstLine="480"/>
              <w:rPr>
                <w:rFonts w:hAnsi="Times New Roman"/>
                <w:sz w:val="24"/>
                <w:szCs w:val="24"/>
              </w:rPr>
            </w:pPr>
            <w:r>
              <w:rPr>
                <w:rFonts w:hint="eastAsia" w:hAnsi="Times New Roman"/>
                <w:sz w:val="24"/>
                <w:szCs w:val="24"/>
              </w:rPr>
              <w:t>（3）新建200m</w:t>
            </w:r>
            <w:r>
              <w:rPr>
                <w:rFonts w:hint="eastAsia" w:hAnsi="Times New Roman"/>
                <w:sz w:val="24"/>
                <w:szCs w:val="24"/>
                <w:vertAlign w:val="superscript"/>
              </w:rPr>
              <w:t>3</w:t>
            </w:r>
            <w:r>
              <w:rPr>
                <w:rFonts w:hint="eastAsia" w:hAnsi="Times New Roman"/>
                <w:sz w:val="24"/>
                <w:szCs w:val="24"/>
              </w:rPr>
              <w:t>取水池1座、300m</w:t>
            </w:r>
            <w:r>
              <w:rPr>
                <w:rFonts w:hint="eastAsia" w:hAnsi="Times New Roman"/>
                <w:sz w:val="24"/>
                <w:szCs w:val="24"/>
                <w:vertAlign w:val="superscript"/>
              </w:rPr>
              <w:t>3</w:t>
            </w:r>
            <w:r>
              <w:rPr>
                <w:rFonts w:hint="eastAsia" w:hAnsi="Times New Roman"/>
                <w:sz w:val="24"/>
                <w:szCs w:val="24"/>
              </w:rPr>
              <w:t>高位水池1座、200m</w:t>
            </w:r>
            <w:r>
              <w:rPr>
                <w:rFonts w:hint="eastAsia" w:hAnsi="Times New Roman"/>
                <w:sz w:val="24"/>
                <w:szCs w:val="24"/>
                <w:vertAlign w:val="superscript"/>
              </w:rPr>
              <w:t>3</w:t>
            </w:r>
            <w:r>
              <w:rPr>
                <w:rFonts w:hint="eastAsia" w:hAnsi="Times New Roman"/>
                <w:sz w:val="24"/>
                <w:szCs w:val="24"/>
              </w:rPr>
              <w:t>蓄水池8座（1#~8#）。</w:t>
            </w:r>
          </w:p>
          <w:p>
            <w:pPr>
              <w:pStyle w:val="62"/>
              <w:snapToGrid w:val="0"/>
              <w:spacing w:line="360" w:lineRule="auto"/>
              <w:ind w:firstLine="480"/>
              <w:rPr>
                <w:rFonts w:hAnsi="Times New Roman"/>
                <w:b/>
                <w:sz w:val="24"/>
                <w:szCs w:val="24"/>
              </w:rPr>
            </w:pPr>
            <w:r>
              <w:rPr>
                <w:rFonts w:hAnsi="Times New Roman"/>
                <w:sz w:val="24"/>
                <w:szCs w:val="24"/>
              </w:rPr>
              <w:t>项目主要工程内容如下表所示。</w:t>
            </w:r>
          </w:p>
          <w:p>
            <w:pPr>
              <w:pStyle w:val="66"/>
              <w:ind w:firstLine="0" w:firstLineChars="0"/>
              <w:jc w:val="center"/>
              <w:rPr>
                <w:rFonts w:ascii="Times New Roman" w:hAnsi="Times New Roman" w:cs="Times New Roman"/>
                <w:b/>
                <w:color w:val="auto"/>
                <w:spacing w:val="0"/>
                <w:kern w:val="2"/>
                <w:szCs w:val="21"/>
              </w:rPr>
            </w:pPr>
            <w:r>
              <w:rPr>
                <w:rFonts w:ascii="Times New Roman" w:hAnsi="Times New Roman" w:cs="Times New Roman"/>
                <w:b/>
                <w:color w:val="auto"/>
                <w:spacing w:val="0"/>
                <w:kern w:val="2"/>
                <w:szCs w:val="21"/>
              </w:rPr>
              <w:t>表2.</w:t>
            </w:r>
            <w:r>
              <w:rPr>
                <w:rFonts w:hint="eastAsia" w:ascii="Times New Roman" w:hAnsi="Times New Roman" w:cs="Times New Roman"/>
                <w:b/>
                <w:color w:val="auto"/>
                <w:spacing w:val="0"/>
                <w:kern w:val="2"/>
                <w:szCs w:val="21"/>
              </w:rPr>
              <w:t>2</w:t>
            </w:r>
            <w:r>
              <w:rPr>
                <w:rFonts w:ascii="Times New Roman" w:hAnsi="Times New Roman" w:cs="Times New Roman"/>
                <w:b/>
                <w:color w:val="auto"/>
                <w:spacing w:val="0"/>
                <w:kern w:val="2"/>
                <w:szCs w:val="21"/>
              </w:rPr>
              <w:t>-1 项目建设内容组成一览表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426"/>
              <w:gridCol w:w="87"/>
              <w:gridCol w:w="515"/>
              <w:gridCol w:w="636"/>
              <w:gridCol w:w="5786"/>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pPr>
                    <w:pStyle w:val="34"/>
                    <w:spacing w:line="360" w:lineRule="exact"/>
                    <w:rPr>
                      <w:color w:val="auto"/>
                      <w:szCs w:val="21"/>
                    </w:rPr>
                  </w:pPr>
                  <w:r>
                    <w:rPr>
                      <w:color w:val="auto"/>
                      <w:szCs w:val="21"/>
                    </w:rPr>
                    <w:t>类别</w:t>
                  </w:r>
                </w:p>
              </w:tc>
              <w:tc>
                <w:tcPr>
                  <w:tcW w:w="966" w:type="pct"/>
                  <w:gridSpan w:val="4"/>
                  <w:vAlign w:val="center"/>
                </w:tcPr>
                <w:p>
                  <w:pPr>
                    <w:pStyle w:val="34"/>
                    <w:spacing w:line="360" w:lineRule="exact"/>
                    <w:rPr>
                      <w:color w:val="auto"/>
                      <w:szCs w:val="21"/>
                    </w:rPr>
                  </w:pPr>
                  <w:r>
                    <w:rPr>
                      <w:color w:val="auto"/>
                      <w:szCs w:val="21"/>
                    </w:rPr>
                    <w:t>工程内容</w:t>
                  </w:r>
                </w:p>
              </w:tc>
              <w:tc>
                <w:tcPr>
                  <w:tcW w:w="3361" w:type="pct"/>
                  <w:vAlign w:val="center"/>
                </w:tcPr>
                <w:p>
                  <w:pPr>
                    <w:pStyle w:val="34"/>
                    <w:spacing w:line="360" w:lineRule="exact"/>
                    <w:rPr>
                      <w:color w:val="auto"/>
                      <w:szCs w:val="21"/>
                    </w:rPr>
                  </w:pPr>
                  <w:r>
                    <w:rPr>
                      <w:color w:val="auto"/>
                      <w:szCs w:val="21"/>
                    </w:rPr>
                    <w:t>建筑内容及规模</w:t>
                  </w:r>
                </w:p>
              </w:tc>
              <w:tc>
                <w:tcPr>
                  <w:tcW w:w="266" w:type="pct"/>
                  <w:vAlign w:val="center"/>
                </w:tcPr>
                <w:p>
                  <w:pPr>
                    <w:pStyle w:val="34"/>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07" w:type="pct"/>
                  <w:vMerge w:val="restart"/>
                  <w:vAlign w:val="center"/>
                </w:tcPr>
                <w:p>
                  <w:pPr>
                    <w:pStyle w:val="34"/>
                    <w:spacing w:line="360" w:lineRule="exact"/>
                    <w:rPr>
                      <w:color w:val="auto"/>
                      <w:szCs w:val="21"/>
                    </w:rPr>
                  </w:pPr>
                  <w:r>
                    <w:rPr>
                      <w:color w:val="auto"/>
                      <w:szCs w:val="21"/>
                    </w:rPr>
                    <w:t>主体工程</w:t>
                  </w:r>
                </w:p>
              </w:tc>
              <w:tc>
                <w:tcPr>
                  <w:tcW w:w="966" w:type="pct"/>
                  <w:gridSpan w:val="4"/>
                  <w:vAlign w:val="center"/>
                </w:tcPr>
                <w:p>
                  <w:pPr>
                    <w:pStyle w:val="34"/>
                    <w:spacing w:line="360" w:lineRule="exact"/>
                    <w:rPr>
                      <w:color w:val="auto"/>
                      <w:szCs w:val="21"/>
                    </w:rPr>
                  </w:pPr>
                  <w:r>
                    <w:rPr>
                      <w:rFonts w:hint="eastAsia"/>
                      <w:color w:val="auto"/>
                      <w:szCs w:val="21"/>
                    </w:rPr>
                    <w:t>光伏泵站</w:t>
                  </w:r>
                </w:p>
              </w:tc>
              <w:tc>
                <w:tcPr>
                  <w:tcW w:w="3361" w:type="pct"/>
                  <w:vAlign w:val="center"/>
                </w:tcPr>
                <w:p>
                  <w:pPr>
                    <w:pStyle w:val="34"/>
                    <w:spacing w:line="360" w:lineRule="exact"/>
                    <w:ind w:firstLine="210" w:firstLineChars="100"/>
                    <w:jc w:val="both"/>
                    <w:rPr>
                      <w:color w:val="auto"/>
                    </w:rPr>
                  </w:pPr>
                  <w:r>
                    <w:rPr>
                      <w:rFonts w:hint="eastAsia"/>
                      <w:color w:val="auto"/>
                    </w:rPr>
                    <w:t>根据设计，新建1座光伏泵站（采用两级提水），分为一级浮箱取水泵站、二级岸边地面泵站，其中二级岸边地面泵站占地面积约1000m</w:t>
                  </w:r>
                  <w:r>
                    <w:rPr>
                      <w:rFonts w:hint="eastAsia"/>
                      <w:color w:val="auto"/>
                      <w:vertAlign w:val="superscript"/>
                    </w:rPr>
                    <w:t>2</w:t>
                  </w:r>
                  <w:r>
                    <w:rPr>
                      <w:rFonts w:hint="eastAsia"/>
                      <w:color w:val="auto"/>
                    </w:rPr>
                    <w:t>，金沙江校核水位832.34m。</w:t>
                  </w:r>
                </w:p>
                <w:p>
                  <w:pPr>
                    <w:pStyle w:val="34"/>
                    <w:spacing w:line="360" w:lineRule="exact"/>
                    <w:ind w:firstLine="210" w:firstLineChars="100"/>
                    <w:jc w:val="both"/>
                    <w:rPr>
                      <w:color w:val="auto"/>
                    </w:rPr>
                  </w:pPr>
                  <w:r>
                    <w:rPr>
                      <w:rFonts w:hint="eastAsia"/>
                      <w:color w:val="auto"/>
                    </w:rPr>
                    <w:t>一级泵站位于象鼻村正南向金沙江顺流右侧，标高832.34m；二级泵站位于项目区域金沙江右侧河岸，标高1929.34m，高差为1097m。泵房占地面积为</w:t>
                  </w:r>
                  <w:r>
                    <w:rPr>
                      <w:rFonts w:hint="eastAsia"/>
                      <w:color w:val="auto"/>
                      <w:lang w:eastAsia="zh-CN"/>
                    </w:rPr>
                    <w:t>***</w:t>
                  </w:r>
                  <w:r>
                    <w:rPr>
                      <w:rFonts w:hint="eastAsia"/>
                      <w:color w:val="auto"/>
                    </w:rPr>
                    <w:t>m</w:t>
                  </w:r>
                  <w:r>
                    <w:rPr>
                      <w:rFonts w:hint="eastAsia"/>
                      <w:color w:val="auto"/>
                      <w:vertAlign w:val="superscript"/>
                    </w:rPr>
                    <w:t>2</w:t>
                  </w:r>
                  <w:r>
                    <w:rPr>
                      <w:rFonts w:hint="eastAsia"/>
                      <w:color w:val="auto"/>
                    </w:rPr>
                    <w:t>（26m×6.5m）和控制房63m</w:t>
                  </w:r>
                  <w:r>
                    <w:rPr>
                      <w:rFonts w:hint="eastAsia"/>
                      <w:color w:val="auto"/>
                      <w:vertAlign w:val="superscript"/>
                    </w:rPr>
                    <w:t>2</w:t>
                  </w:r>
                  <w:r>
                    <w:rPr>
                      <w:rFonts w:hint="eastAsia"/>
                      <w:color w:val="auto"/>
                    </w:rPr>
                    <w:t>（14m×4.5m），泵房和控制房采用单层设计，各占一个房间，采用干湿分离设计，泵房内部四台泵为并列横向分布安装；控制房在其周边，包含控制台面、动力柜、控制柜等电控设备，动力电缆采用线缆桥架的方式铺设连接控制柜与设备。配置光伏水泵控制系统3套。</w:t>
                  </w:r>
                </w:p>
                <w:p>
                  <w:pPr>
                    <w:pStyle w:val="34"/>
                    <w:spacing w:line="360" w:lineRule="exact"/>
                    <w:ind w:firstLine="210" w:firstLineChars="100"/>
                    <w:jc w:val="both"/>
                    <w:rPr>
                      <w:color w:val="auto"/>
                      <w:lang w:val="en-US"/>
                    </w:rPr>
                  </w:pPr>
                  <w:r>
                    <w:rPr>
                      <w:rFonts w:hint="eastAsia"/>
                      <w:color w:val="auto"/>
                      <w:lang w:val="en-US"/>
                    </w:rPr>
                    <w:t>项目日最大需水量为1356.21m</w:t>
                  </w:r>
                  <w:r>
                    <w:rPr>
                      <w:rFonts w:hint="eastAsia"/>
                      <w:color w:val="auto"/>
                      <w:vertAlign w:val="superscript"/>
                      <w:lang w:val="en-US"/>
                    </w:rPr>
                    <w:t>3</w:t>
                  </w:r>
                  <w:r>
                    <w:rPr>
                      <w:rFonts w:hint="eastAsia"/>
                      <w:color w:val="auto"/>
                      <w:lang w:val="en-US"/>
                    </w:rPr>
                    <w:t>，设计把灌区分为3个轮灌组，单个轮灌组的日最大需水量为452.07m</w:t>
                  </w:r>
                  <w:r>
                    <w:rPr>
                      <w:rFonts w:hint="eastAsia"/>
                      <w:color w:val="auto"/>
                      <w:vertAlign w:val="superscript"/>
                      <w:lang w:val="en-US"/>
                    </w:rPr>
                    <w:t>3</w:t>
                  </w:r>
                  <w:r>
                    <w:rPr>
                      <w:rFonts w:hint="eastAsia"/>
                      <w:color w:val="auto"/>
                      <w:lang w:val="en-US"/>
                    </w:rPr>
                    <w:t>，水泵平均按6h的提水时间，每小时提水75.34m</w:t>
                  </w:r>
                  <w:r>
                    <w:rPr>
                      <w:rFonts w:hint="eastAsia"/>
                      <w:color w:val="auto"/>
                      <w:vertAlign w:val="superscript"/>
                      <w:lang w:val="en-US"/>
                    </w:rPr>
                    <w:t>3</w:t>
                  </w:r>
                  <w:r>
                    <w:rPr>
                      <w:rFonts w:hint="eastAsia"/>
                      <w:color w:val="auto"/>
                      <w:lang w:val="en-US"/>
                    </w:rPr>
                    <w:t>，每天总的供水量为456m</w:t>
                  </w:r>
                  <w:r>
                    <w:rPr>
                      <w:rFonts w:hint="eastAsia"/>
                      <w:color w:val="auto"/>
                      <w:vertAlign w:val="superscript"/>
                      <w:lang w:val="en-US"/>
                    </w:rPr>
                    <w:t>3</w:t>
                  </w:r>
                  <w:r>
                    <w:rPr>
                      <w:rFonts w:hint="eastAsia"/>
                      <w:color w:val="auto"/>
                      <w:lang w:val="en-US"/>
                    </w:rPr>
                    <w:t>，满足单个轮灌组需水要求。</w:t>
                  </w:r>
                </w:p>
                <w:p>
                  <w:pPr>
                    <w:pStyle w:val="34"/>
                    <w:spacing w:line="360" w:lineRule="exact"/>
                    <w:ind w:firstLine="210" w:firstLineChars="100"/>
                    <w:jc w:val="both"/>
                    <w:rPr>
                      <w:color w:val="auto"/>
                      <w:lang w:val="en-US"/>
                    </w:rPr>
                  </w:pPr>
                  <w:r>
                    <w:rPr>
                      <w:rFonts w:hint="eastAsia"/>
                      <w:color w:val="auto"/>
                      <w:lang w:val="en-US"/>
                    </w:rPr>
                    <w:t>具体详见总平面布置图。</w:t>
                  </w:r>
                </w:p>
              </w:tc>
              <w:tc>
                <w:tcPr>
                  <w:tcW w:w="266" w:type="pct"/>
                  <w:vAlign w:val="center"/>
                </w:tcPr>
                <w:p>
                  <w:pPr>
                    <w:pStyle w:val="34"/>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07" w:type="pct"/>
                  <w:vMerge w:val="continue"/>
                  <w:vAlign w:val="center"/>
                </w:tcPr>
                <w:p>
                  <w:pPr>
                    <w:pStyle w:val="34"/>
                    <w:spacing w:line="360" w:lineRule="exact"/>
                    <w:rPr>
                      <w:color w:val="auto"/>
                      <w:szCs w:val="21"/>
                    </w:rPr>
                  </w:pPr>
                </w:p>
              </w:tc>
              <w:tc>
                <w:tcPr>
                  <w:tcW w:w="966" w:type="pct"/>
                  <w:gridSpan w:val="4"/>
                  <w:vAlign w:val="center"/>
                </w:tcPr>
                <w:p>
                  <w:pPr>
                    <w:pStyle w:val="34"/>
                    <w:spacing w:line="360" w:lineRule="exact"/>
                    <w:rPr>
                      <w:color w:val="auto"/>
                      <w:szCs w:val="21"/>
                    </w:rPr>
                  </w:pPr>
                  <w:r>
                    <w:rPr>
                      <w:rFonts w:hint="eastAsia"/>
                      <w:color w:val="auto"/>
                      <w:szCs w:val="21"/>
                    </w:rPr>
                    <w:t>光伏发电场</w:t>
                  </w:r>
                </w:p>
              </w:tc>
              <w:tc>
                <w:tcPr>
                  <w:tcW w:w="3361" w:type="pct"/>
                  <w:vAlign w:val="center"/>
                </w:tcPr>
                <w:p>
                  <w:pPr>
                    <w:pStyle w:val="34"/>
                    <w:spacing w:line="360" w:lineRule="exact"/>
                    <w:ind w:firstLine="210" w:firstLineChars="100"/>
                    <w:jc w:val="both"/>
                    <w:rPr>
                      <w:color w:val="auto"/>
                    </w:rPr>
                  </w:pPr>
                  <w:r>
                    <w:rPr>
                      <w:rFonts w:hint="eastAsia"/>
                      <w:color w:val="auto"/>
                    </w:rPr>
                    <w:t>本项目光伏发电场位于项目区域金沙江右侧河岸，占地面积约13.94亩，布置面积9300.78m</w:t>
                  </w:r>
                  <w:r>
                    <w:rPr>
                      <w:rFonts w:hint="eastAsia"/>
                      <w:color w:val="auto"/>
                      <w:vertAlign w:val="superscript"/>
                    </w:rPr>
                    <w:t>2</w:t>
                  </w:r>
                  <w:r>
                    <w:rPr>
                      <w:rFonts w:hint="eastAsia"/>
                      <w:color w:val="auto"/>
                    </w:rPr>
                    <w:t>。一级泵站配置潜水泵2台，二级泵站配置4台柱塞泵、潜水泵浮船（3m</w:t>
                  </w:r>
                  <w:r>
                    <w:rPr>
                      <w:color w:val="auto"/>
                    </w:rPr>
                    <w:t>×</w:t>
                  </w:r>
                  <w:r>
                    <w:rPr>
                      <w:rFonts w:hint="eastAsia"/>
                      <w:color w:val="auto"/>
                    </w:rPr>
                    <w:t>4m）1套，总装机功率为830kW。</w:t>
                  </w:r>
                </w:p>
                <w:p>
                  <w:pPr>
                    <w:pStyle w:val="34"/>
                    <w:spacing w:line="360" w:lineRule="exact"/>
                    <w:ind w:firstLine="210" w:firstLineChars="100"/>
                    <w:jc w:val="both"/>
                    <w:rPr>
                      <w:color w:val="auto"/>
                    </w:rPr>
                  </w:pPr>
                  <w:r>
                    <w:rPr>
                      <w:rFonts w:hint="eastAsia"/>
                      <w:color w:val="auto"/>
                    </w:rPr>
                    <w:t>项目光伏发电场主要由“太阳能光伏发电组件阵列+储能式逆变器+电池组+管理软件”组成，不涉及输变电工程、不涉及升压站及降压站等。</w:t>
                  </w:r>
                </w:p>
                <w:p>
                  <w:pPr>
                    <w:pStyle w:val="34"/>
                    <w:spacing w:line="360" w:lineRule="exact"/>
                    <w:ind w:firstLine="210" w:firstLineChars="100"/>
                    <w:jc w:val="both"/>
                    <w:rPr>
                      <w:color w:val="auto"/>
                    </w:rPr>
                  </w:pPr>
                  <w:r>
                    <w:rPr>
                      <w:rFonts w:hint="eastAsia"/>
                      <w:color w:val="auto"/>
                    </w:rPr>
                    <w:t>其中，一级泵站装机功率为63.8kW（单台潜水泵电机功率为22kW），二级泵站装机功率为766.20kW（单台柱塞泵电机功率为132kW），共计1248块充电板，光伏发电板材质为单晶硅材质，单块光伏发电板最大输出功率为665W。新建光伏方阵基础78个，单个光伏矩阵组设计为2</w:t>
                  </w:r>
                  <w:r>
                    <w:rPr>
                      <w:color w:val="auto"/>
                    </w:rPr>
                    <w:t>×</w:t>
                  </w:r>
                  <w:r>
                    <w:rPr>
                      <w:rFonts w:hint="eastAsia"/>
                      <w:color w:val="auto"/>
                    </w:rPr>
                    <w:t>8的矩阵组。</w:t>
                  </w:r>
                </w:p>
              </w:tc>
              <w:tc>
                <w:tcPr>
                  <w:tcW w:w="266" w:type="pct"/>
                  <w:vAlign w:val="center"/>
                </w:tcPr>
                <w:p>
                  <w:pPr>
                    <w:pStyle w:val="34"/>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07" w:type="pct"/>
                  <w:vMerge w:val="continue"/>
                  <w:vAlign w:val="center"/>
                </w:tcPr>
                <w:p>
                  <w:pPr>
                    <w:pStyle w:val="34"/>
                    <w:spacing w:line="360" w:lineRule="exact"/>
                    <w:rPr>
                      <w:color w:val="auto"/>
                      <w:szCs w:val="21"/>
                    </w:rPr>
                  </w:pPr>
                </w:p>
              </w:tc>
              <w:tc>
                <w:tcPr>
                  <w:tcW w:w="966" w:type="pct"/>
                  <w:gridSpan w:val="4"/>
                  <w:vAlign w:val="center"/>
                </w:tcPr>
                <w:p>
                  <w:pPr>
                    <w:pStyle w:val="34"/>
                    <w:spacing w:line="360" w:lineRule="exact"/>
                    <w:rPr>
                      <w:color w:val="auto"/>
                      <w:szCs w:val="21"/>
                    </w:rPr>
                  </w:pPr>
                  <w:r>
                    <w:rPr>
                      <w:rFonts w:hint="eastAsia"/>
                      <w:color w:val="auto"/>
                      <w:szCs w:val="21"/>
                    </w:rPr>
                    <w:t>提水管道</w:t>
                  </w:r>
                </w:p>
              </w:tc>
              <w:tc>
                <w:tcPr>
                  <w:tcW w:w="3361" w:type="pct"/>
                  <w:vAlign w:val="center"/>
                </w:tcPr>
                <w:p>
                  <w:pPr>
                    <w:pStyle w:val="34"/>
                    <w:spacing w:line="360" w:lineRule="exact"/>
                    <w:ind w:firstLine="210" w:firstLineChars="100"/>
                    <w:jc w:val="both"/>
                    <w:rPr>
                      <w:color w:val="auto"/>
                      <w:lang w:val="en-US"/>
                    </w:rPr>
                  </w:pPr>
                  <w:r>
                    <w:rPr>
                      <w:rFonts w:hint="eastAsia"/>
                      <w:color w:val="auto"/>
                      <w:lang w:val="en-US"/>
                    </w:rPr>
                    <w:t>项目新建提水管道3条，分别为供水主管、配水主管及配水支管。</w:t>
                  </w:r>
                </w:p>
                <w:p>
                  <w:pPr>
                    <w:pStyle w:val="34"/>
                    <w:spacing w:line="360" w:lineRule="exact"/>
                    <w:ind w:firstLine="210" w:firstLineChars="100"/>
                    <w:jc w:val="both"/>
                    <w:rPr>
                      <w:color w:val="auto"/>
                      <w:lang w:val="en-US"/>
                    </w:rPr>
                  </w:pPr>
                  <w:r>
                    <w:rPr>
                      <w:rFonts w:hint="eastAsia"/>
                      <w:color w:val="auto"/>
                      <w:lang w:val="en-US"/>
                    </w:rPr>
                    <w:t>供水主管总长4757.3m。其中</w:t>
                  </w:r>
                  <w:r>
                    <w:rPr>
                      <w:color w:val="auto"/>
                      <w:lang w:val="en-US"/>
                    </w:rPr>
                    <w:t>一级泵站至二级泵站布置DN150高压软管47m、φ150×4.5mm热镀螺旋焊管55m，共</w:t>
                  </w:r>
                  <w:r>
                    <w:rPr>
                      <w:rFonts w:hint="eastAsia"/>
                      <w:color w:val="auto"/>
                      <w:lang w:val="en-US"/>
                    </w:rPr>
                    <w:t>102m</w:t>
                  </w:r>
                  <w:r>
                    <w:rPr>
                      <w:color w:val="auto"/>
                      <w:lang w:val="en-US"/>
                    </w:rPr>
                    <w:t>。二级泵站φ159无缝钢管，管长4655.3m，</w:t>
                  </w:r>
                  <w:r>
                    <w:rPr>
                      <w:rFonts w:hint="eastAsia"/>
                      <w:color w:val="auto"/>
                      <w:lang w:val="en-US"/>
                    </w:rPr>
                    <w:t>大致呈东北走向，起点为二级岸边地面泵站200m</w:t>
                  </w:r>
                  <w:r>
                    <w:rPr>
                      <w:rFonts w:hint="eastAsia"/>
                      <w:color w:val="auto"/>
                      <w:vertAlign w:val="superscript"/>
                      <w:lang w:val="en-US"/>
                    </w:rPr>
                    <w:t>3</w:t>
                  </w:r>
                  <w:r>
                    <w:rPr>
                      <w:rFonts w:hint="eastAsia"/>
                      <w:color w:val="auto"/>
                      <w:lang w:val="en-US"/>
                    </w:rPr>
                    <w:t>的取水池，途经老黑岩、小凹子、张家湾，终点至小坪子300m</w:t>
                  </w:r>
                  <w:r>
                    <w:rPr>
                      <w:rFonts w:hint="eastAsia"/>
                      <w:color w:val="auto"/>
                      <w:vertAlign w:val="superscript"/>
                      <w:lang w:val="en-US"/>
                    </w:rPr>
                    <w:t>3</w:t>
                  </w:r>
                  <w:r>
                    <w:rPr>
                      <w:rFonts w:hint="eastAsia"/>
                      <w:color w:val="auto"/>
                      <w:lang w:val="en-US"/>
                    </w:rPr>
                    <w:t>的0#高位水池。</w:t>
                  </w:r>
                  <w:r>
                    <w:rPr>
                      <w:color w:val="auto"/>
                      <w:lang w:val="en-US"/>
                    </w:rPr>
                    <w:t>分别如下：</w:t>
                  </w:r>
                  <w:r>
                    <w:rPr>
                      <w:rFonts w:hint="eastAsia"/>
                      <w:color w:val="auto"/>
                      <w:lang w:val="en-US"/>
                    </w:rPr>
                    <w:t>二级泵站至桩号T0+373.00里程段，处于干管道提水最低处，地形高差200.0m，管径为</w:t>
                  </w:r>
                  <w:r>
                    <w:rPr>
                      <w:color w:val="auto"/>
                      <w:lang w:val="en-US"/>
                    </w:rPr>
                    <w:t>φ</w:t>
                  </w:r>
                  <w:r>
                    <w:rPr>
                      <w:rFonts w:hint="eastAsia"/>
                      <w:color w:val="auto"/>
                      <w:lang w:val="en-US"/>
                    </w:rPr>
                    <w:t>159，管材选用壁厚为14.0mm厚的无缝钢管，管长373.0m；桩号T0+373.00里程段~桩号T0+799.00里程段，地形高差 260.00m，</w:t>
                  </w:r>
                  <w:r>
                    <w:rPr>
                      <w:color w:val="auto"/>
                      <w:lang w:val="en-US"/>
                    </w:rPr>
                    <w:t>φ</w:t>
                  </w:r>
                  <w:r>
                    <w:rPr>
                      <w:rFonts w:hint="eastAsia"/>
                      <w:color w:val="auto"/>
                      <w:lang w:val="en-US"/>
                    </w:rPr>
                    <w:t>管径为159，管材选用壁厚为12.0mm厚的无缝钢管，管长471.0m；桩号T0+799.00里程段~桩号T1+480.00里程段，地形高差260.00m，管径为</w:t>
                  </w:r>
                  <w:r>
                    <w:rPr>
                      <w:color w:val="auto"/>
                      <w:lang w:val="en-US"/>
                    </w:rPr>
                    <w:t>φ</w:t>
                  </w:r>
                  <w:r>
                    <w:rPr>
                      <w:rFonts w:hint="eastAsia"/>
                      <w:color w:val="auto"/>
                      <w:lang w:val="en-US"/>
                    </w:rPr>
                    <w:t>159，管材选用壁厚为10.0mm厚的无缝钢管，管长701.0m；桩号T1+480.00里程段~桩号T2+225.00里程段，地形高差 200.00m，管径为</w:t>
                  </w:r>
                  <w:r>
                    <w:rPr>
                      <w:color w:val="auto"/>
                      <w:lang w:val="en-US"/>
                    </w:rPr>
                    <w:t>φ</w:t>
                  </w:r>
                  <w:r>
                    <w:rPr>
                      <w:rFonts w:hint="eastAsia"/>
                      <w:color w:val="auto"/>
                      <w:lang w:val="en-US"/>
                    </w:rPr>
                    <w:t>159，管材选用壁厚为8.0mm厚的无缝钢管，管长745.0m；桩号T2+225.00里程段~桩号T4+590.30里程段，地形高差17700m，管径为</w:t>
                  </w:r>
                  <w:r>
                    <w:rPr>
                      <w:color w:val="auto"/>
                      <w:lang w:val="en-US"/>
                    </w:rPr>
                    <w:t>φ</w:t>
                  </w:r>
                  <w:r>
                    <w:rPr>
                      <w:rFonts w:hint="eastAsia"/>
                      <w:color w:val="auto"/>
                      <w:lang w:val="en-US"/>
                    </w:rPr>
                    <w:t>159，管材选用壁厚为6mm厚的无缝钢管，管长2365.30m。</w:t>
                  </w:r>
                </w:p>
                <w:p>
                  <w:pPr>
                    <w:pStyle w:val="34"/>
                    <w:spacing w:line="360" w:lineRule="exact"/>
                    <w:ind w:firstLine="210" w:firstLineChars="100"/>
                    <w:jc w:val="both"/>
                    <w:rPr>
                      <w:color w:val="auto"/>
                      <w:lang w:val="en-US"/>
                    </w:rPr>
                  </w:pPr>
                  <w:r>
                    <w:rPr>
                      <w:rFonts w:hint="eastAsia"/>
                      <w:color w:val="auto"/>
                      <w:lang w:val="en-US"/>
                    </w:rPr>
                    <w:t>配水主管DN150热镀锌钢管长2940m，大致呈东西走向，途径小坪子后沿布格公路东西向走向</w:t>
                  </w:r>
                  <w:r>
                    <w:rPr>
                      <w:rFonts w:hint="eastAsia"/>
                      <w:color w:val="auto"/>
                      <w:szCs w:val="21"/>
                      <w:lang w:val="en-US"/>
                    </w:rPr>
                    <w:t>，</w:t>
                  </w:r>
                  <w:r>
                    <w:rPr>
                      <w:rFonts w:hint="eastAsia"/>
                      <w:color w:val="auto"/>
                      <w:szCs w:val="21"/>
                    </w:rPr>
                    <w:t>起点为小坪子300m</w:t>
                  </w:r>
                  <w:r>
                    <w:rPr>
                      <w:rFonts w:hint="eastAsia"/>
                      <w:color w:val="auto"/>
                      <w:szCs w:val="21"/>
                      <w:vertAlign w:val="superscript"/>
                    </w:rPr>
                    <w:t>3</w:t>
                  </w:r>
                  <w:r>
                    <w:rPr>
                      <w:rFonts w:hint="eastAsia"/>
                      <w:color w:val="auto"/>
                      <w:szCs w:val="21"/>
                    </w:rPr>
                    <w:t>的0#高位水池，</w:t>
                  </w:r>
                  <w:r>
                    <w:rPr>
                      <w:rFonts w:hint="eastAsia"/>
                      <w:color w:val="auto"/>
                      <w:lang w:val="en-US"/>
                    </w:rPr>
                    <w:t>经赵家村、象鼻村，终点至金家包200m</w:t>
                  </w:r>
                  <w:r>
                    <w:rPr>
                      <w:rFonts w:hint="eastAsia"/>
                      <w:color w:val="auto"/>
                      <w:vertAlign w:val="superscript"/>
                      <w:lang w:val="en-US"/>
                    </w:rPr>
                    <w:t>3</w:t>
                  </w:r>
                  <w:r>
                    <w:rPr>
                      <w:rFonts w:hint="eastAsia"/>
                      <w:color w:val="auto"/>
                      <w:lang w:val="en-US"/>
                    </w:rPr>
                    <w:t>的1#蓄水池。</w:t>
                  </w:r>
                </w:p>
                <w:p>
                  <w:pPr>
                    <w:pStyle w:val="34"/>
                    <w:spacing w:line="360" w:lineRule="exact"/>
                    <w:ind w:firstLine="210" w:firstLineChars="100"/>
                    <w:jc w:val="both"/>
                    <w:rPr>
                      <w:color w:val="auto"/>
                      <w:lang w:val="en-US"/>
                    </w:rPr>
                  </w:pPr>
                  <w:r>
                    <w:rPr>
                      <w:rFonts w:hint="eastAsia"/>
                      <w:color w:val="auto"/>
                      <w:lang w:val="en-US"/>
                    </w:rPr>
                    <w:t>配水支管7380m，分别为地间配水支管DN100热镀锌钢管长4896m，地间配水支管DN50热镀锌钢管长2484m；分别沿供水主管、配水主管呈东北、东南走向。配水支管主要沿供水主管、配水主管及200m</w:t>
                  </w:r>
                  <w:r>
                    <w:rPr>
                      <w:rFonts w:hint="eastAsia"/>
                      <w:color w:val="auto"/>
                      <w:vertAlign w:val="superscript"/>
                      <w:lang w:val="en-US"/>
                    </w:rPr>
                    <w:t>3</w:t>
                  </w:r>
                  <w:r>
                    <w:rPr>
                      <w:rFonts w:hint="eastAsia"/>
                      <w:color w:val="auto"/>
                      <w:lang w:val="en-US"/>
                    </w:rPr>
                    <w:t>的1#蓄水池布置，共6根支管，分配至2#~8#蓄水池、小海子已建坝塘、小坪子已建蓄水池。</w:t>
                  </w:r>
                </w:p>
                <w:p>
                  <w:pPr>
                    <w:pStyle w:val="34"/>
                    <w:spacing w:line="360" w:lineRule="exact"/>
                    <w:ind w:firstLine="210" w:firstLineChars="100"/>
                    <w:jc w:val="both"/>
                    <w:rPr>
                      <w:color w:val="auto"/>
                      <w:lang w:val="en-US"/>
                    </w:rPr>
                  </w:pPr>
                  <w:r>
                    <w:rPr>
                      <w:rFonts w:hint="eastAsia"/>
                      <w:color w:val="auto"/>
                      <w:lang w:val="en-US"/>
                    </w:rPr>
                    <w:t>项目每隔60m设置一个镇墩，遇有转弯地形时，即可采用以上相应镇墩，镇墩弧度可根据弯角大小而调节；管道布置时，每隔6m设置一个支墩，遇有转弯地形时，可根基实际情况适当调整。本项目共设计镇墩223个，支墩1454个。</w:t>
                  </w:r>
                </w:p>
                <w:p>
                  <w:pPr>
                    <w:pStyle w:val="34"/>
                    <w:spacing w:line="360" w:lineRule="exact"/>
                    <w:ind w:firstLine="210" w:firstLineChars="100"/>
                    <w:jc w:val="both"/>
                    <w:rPr>
                      <w:color w:val="auto"/>
                      <w:lang w:val="en-US"/>
                    </w:rPr>
                  </w:pPr>
                  <w:r>
                    <w:rPr>
                      <w:rFonts w:hint="eastAsia"/>
                      <w:color w:val="auto"/>
                      <w:lang w:val="en-US"/>
                    </w:rPr>
                    <w:t>具体详见总平面布置图。</w:t>
                  </w:r>
                </w:p>
              </w:tc>
              <w:tc>
                <w:tcPr>
                  <w:tcW w:w="266" w:type="pct"/>
                  <w:vAlign w:val="center"/>
                </w:tcPr>
                <w:p>
                  <w:pPr>
                    <w:pStyle w:val="34"/>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07" w:type="pct"/>
                  <w:vMerge w:val="continue"/>
                  <w:vAlign w:val="center"/>
                </w:tcPr>
                <w:p>
                  <w:pPr>
                    <w:pStyle w:val="34"/>
                    <w:spacing w:line="360" w:lineRule="exact"/>
                    <w:rPr>
                      <w:color w:val="auto"/>
                      <w:szCs w:val="21"/>
                    </w:rPr>
                  </w:pPr>
                </w:p>
              </w:tc>
              <w:tc>
                <w:tcPr>
                  <w:tcW w:w="966" w:type="pct"/>
                  <w:gridSpan w:val="4"/>
                  <w:vAlign w:val="center"/>
                </w:tcPr>
                <w:p>
                  <w:pPr>
                    <w:pStyle w:val="34"/>
                    <w:spacing w:line="360" w:lineRule="exact"/>
                    <w:rPr>
                      <w:color w:val="auto"/>
                      <w:szCs w:val="21"/>
                    </w:rPr>
                  </w:pPr>
                  <w:r>
                    <w:rPr>
                      <w:color w:val="auto"/>
                      <w:szCs w:val="21"/>
                    </w:rPr>
                    <w:t>水池</w:t>
                  </w:r>
                </w:p>
              </w:tc>
              <w:tc>
                <w:tcPr>
                  <w:tcW w:w="3361" w:type="pct"/>
                  <w:vAlign w:val="center"/>
                </w:tcPr>
                <w:p>
                  <w:pPr>
                    <w:pStyle w:val="34"/>
                    <w:spacing w:line="360" w:lineRule="exact"/>
                    <w:ind w:firstLine="210" w:firstLineChars="100"/>
                    <w:jc w:val="both"/>
                    <w:rPr>
                      <w:color w:val="auto"/>
                      <w:lang w:val="en-US"/>
                    </w:rPr>
                  </w:pPr>
                  <w:r>
                    <w:rPr>
                      <w:rFonts w:hint="eastAsia"/>
                      <w:color w:val="auto"/>
                      <w:lang w:val="en-US"/>
                    </w:rPr>
                    <w:t>项目新建水池10座，其中，200m</w:t>
                  </w:r>
                  <w:r>
                    <w:rPr>
                      <w:rFonts w:hint="eastAsia"/>
                      <w:color w:val="auto"/>
                      <w:vertAlign w:val="superscript"/>
                      <w:lang w:val="en-US"/>
                    </w:rPr>
                    <w:t>3</w:t>
                  </w:r>
                  <w:r>
                    <w:rPr>
                      <w:rFonts w:hint="eastAsia"/>
                      <w:color w:val="auto"/>
                      <w:lang w:val="en-US"/>
                    </w:rPr>
                    <w:t>取水池1座（圆形结构，内径9.0m，净高3.5m钢筋混凝土结构），位于二级泵站；300m</w:t>
                  </w:r>
                  <w:r>
                    <w:rPr>
                      <w:rFonts w:hint="eastAsia"/>
                      <w:color w:val="auto"/>
                      <w:vertAlign w:val="superscript"/>
                      <w:lang w:val="en-US"/>
                    </w:rPr>
                    <w:t>3</w:t>
                  </w:r>
                  <w:r>
                    <w:rPr>
                      <w:rFonts w:hint="eastAsia"/>
                      <w:color w:val="auto"/>
                      <w:lang w:val="en-US"/>
                    </w:rPr>
                    <w:t>的0#高位水池1座（圆形结构，内径10.0m，净高4m钢筋混凝土结构）位于供水主管终点处；200m</w:t>
                  </w:r>
                  <w:r>
                    <w:rPr>
                      <w:rFonts w:hint="eastAsia"/>
                      <w:color w:val="auto"/>
                      <w:vertAlign w:val="superscript"/>
                      <w:lang w:val="en-US"/>
                    </w:rPr>
                    <w:t>3</w:t>
                  </w:r>
                  <w:r>
                    <w:rPr>
                      <w:rFonts w:hint="eastAsia"/>
                      <w:color w:val="auto"/>
                      <w:lang w:val="en-US"/>
                    </w:rPr>
                    <w:t>蓄水池8座（圆形结构，内径9.0m，净高3.5m钢筋混凝土结构），编号为1#~8#，分别位于各个村子蓄水点。具体详见总平面布置图。</w:t>
                  </w:r>
                </w:p>
              </w:tc>
              <w:tc>
                <w:tcPr>
                  <w:tcW w:w="266" w:type="pct"/>
                  <w:vAlign w:val="center"/>
                </w:tcPr>
                <w:p>
                  <w:pPr>
                    <w:pStyle w:val="34"/>
                    <w:spacing w:line="360" w:lineRule="exact"/>
                    <w:rPr>
                      <w:color w:val="auto"/>
                      <w:szCs w:val="21"/>
                    </w:rPr>
                  </w:pPr>
                  <w:r>
                    <w:rPr>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Align w:val="center"/>
                </w:tcPr>
                <w:p>
                  <w:pPr>
                    <w:pStyle w:val="34"/>
                    <w:spacing w:line="360" w:lineRule="exact"/>
                    <w:rPr>
                      <w:color w:val="auto"/>
                      <w:szCs w:val="21"/>
                    </w:rPr>
                  </w:pPr>
                  <w:r>
                    <w:rPr>
                      <w:color w:val="auto"/>
                      <w:szCs w:val="21"/>
                    </w:rPr>
                    <w:t>辅助工程</w:t>
                  </w:r>
                </w:p>
              </w:tc>
              <w:tc>
                <w:tcPr>
                  <w:tcW w:w="966" w:type="pct"/>
                  <w:gridSpan w:val="4"/>
                  <w:vAlign w:val="center"/>
                </w:tcPr>
                <w:p>
                  <w:pPr>
                    <w:pStyle w:val="34"/>
                    <w:spacing w:line="360" w:lineRule="exact"/>
                    <w:rPr>
                      <w:color w:val="auto"/>
                      <w:szCs w:val="21"/>
                    </w:rPr>
                  </w:pPr>
                  <w:r>
                    <w:rPr>
                      <w:rFonts w:hint="eastAsia"/>
                      <w:color w:val="auto"/>
                      <w:szCs w:val="21"/>
                    </w:rPr>
                    <w:t>灌区信息化计量设施</w:t>
                  </w:r>
                </w:p>
              </w:tc>
              <w:tc>
                <w:tcPr>
                  <w:tcW w:w="3361" w:type="pct"/>
                  <w:vAlign w:val="center"/>
                </w:tcPr>
                <w:p>
                  <w:pPr>
                    <w:pStyle w:val="34"/>
                    <w:spacing w:line="360" w:lineRule="exact"/>
                    <w:ind w:firstLine="210" w:firstLineChars="100"/>
                    <w:jc w:val="both"/>
                    <w:rPr>
                      <w:color w:val="auto"/>
                    </w:rPr>
                  </w:pPr>
                  <w:r>
                    <w:rPr>
                      <w:rFonts w:hint="eastAsia"/>
                      <w:color w:val="auto"/>
                    </w:rPr>
                    <w:t>项目建成后，在各灌溉主干管上安装计量设施，在各轮灌组主干管上设脉冲式电磁阀，实现田间灌溉远程控制以及精准计量计费的自动化的灌溉管理系统。灌区量水设施及其信息化管理系统，具体建设内容包括为IC卡智能水表10套，台式计算机（智能水表管理）1台，NFC读卡器（IC卡充值）2台，电磁流量计10套。</w:t>
                  </w:r>
                </w:p>
              </w:tc>
              <w:tc>
                <w:tcPr>
                  <w:tcW w:w="266" w:type="pct"/>
                  <w:vAlign w:val="center"/>
                </w:tcPr>
                <w:p>
                  <w:pPr>
                    <w:pStyle w:val="34"/>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restart"/>
                  <w:shd w:val="clear" w:color="auto" w:fill="auto"/>
                  <w:vAlign w:val="center"/>
                </w:tcPr>
                <w:p>
                  <w:pPr>
                    <w:pStyle w:val="34"/>
                    <w:spacing w:line="360" w:lineRule="exact"/>
                    <w:rPr>
                      <w:color w:val="auto"/>
                      <w:szCs w:val="21"/>
                    </w:rPr>
                  </w:pPr>
                  <w:r>
                    <w:rPr>
                      <w:color w:val="auto"/>
                      <w:szCs w:val="21"/>
                    </w:rPr>
                    <w:t>公用工程</w:t>
                  </w:r>
                </w:p>
              </w:tc>
              <w:tc>
                <w:tcPr>
                  <w:tcW w:w="966" w:type="pct"/>
                  <w:gridSpan w:val="4"/>
                  <w:vAlign w:val="center"/>
                </w:tcPr>
                <w:p>
                  <w:pPr>
                    <w:pStyle w:val="34"/>
                    <w:spacing w:line="360" w:lineRule="exact"/>
                    <w:rPr>
                      <w:color w:val="auto"/>
                      <w:szCs w:val="21"/>
                    </w:rPr>
                  </w:pPr>
                  <w:r>
                    <w:rPr>
                      <w:rFonts w:hint="eastAsia"/>
                      <w:color w:val="auto"/>
                      <w:szCs w:val="21"/>
                    </w:rPr>
                    <w:t>给</w:t>
                  </w:r>
                  <w:r>
                    <w:rPr>
                      <w:color w:val="auto"/>
                      <w:szCs w:val="21"/>
                    </w:rPr>
                    <w:t>水</w:t>
                  </w:r>
                  <w:r>
                    <w:rPr>
                      <w:rFonts w:hint="eastAsia"/>
                      <w:color w:val="auto"/>
                      <w:szCs w:val="21"/>
                    </w:rPr>
                    <w:t>工程</w:t>
                  </w:r>
                </w:p>
              </w:tc>
              <w:tc>
                <w:tcPr>
                  <w:tcW w:w="3361" w:type="pct"/>
                  <w:shd w:val="clear" w:color="auto" w:fill="auto"/>
                  <w:vAlign w:val="center"/>
                </w:tcPr>
                <w:p>
                  <w:pPr>
                    <w:pStyle w:val="34"/>
                    <w:spacing w:line="360" w:lineRule="exact"/>
                    <w:ind w:firstLine="210" w:firstLineChars="100"/>
                    <w:jc w:val="both"/>
                    <w:rPr>
                      <w:color w:val="auto"/>
                      <w:lang w:val="en-US"/>
                    </w:rPr>
                  </w:pPr>
                  <w:r>
                    <w:rPr>
                      <w:color w:val="auto"/>
                    </w:rPr>
                    <w:t>施工生产用水</w:t>
                  </w:r>
                  <w:r>
                    <w:rPr>
                      <w:rFonts w:hint="eastAsia"/>
                      <w:color w:val="auto"/>
                    </w:rPr>
                    <w:t>可从附近村庄引接。</w:t>
                  </w:r>
                </w:p>
              </w:tc>
              <w:tc>
                <w:tcPr>
                  <w:tcW w:w="266" w:type="pct"/>
                  <w:vAlign w:val="center"/>
                </w:tcPr>
                <w:p>
                  <w:pPr>
                    <w:pStyle w:val="34"/>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 w:type="pct"/>
                  <w:vMerge w:val="continue"/>
                  <w:shd w:val="clear" w:color="auto" w:fill="auto"/>
                  <w:vAlign w:val="center"/>
                </w:tcPr>
                <w:p>
                  <w:pPr>
                    <w:pStyle w:val="34"/>
                    <w:spacing w:line="360" w:lineRule="exact"/>
                    <w:rPr>
                      <w:color w:val="auto"/>
                      <w:szCs w:val="21"/>
                    </w:rPr>
                  </w:pPr>
                </w:p>
              </w:tc>
              <w:tc>
                <w:tcPr>
                  <w:tcW w:w="966" w:type="pct"/>
                  <w:gridSpan w:val="4"/>
                  <w:vAlign w:val="center"/>
                </w:tcPr>
                <w:p>
                  <w:pPr>
                    <w:pStyle w:val="34"/>
                    <w:spacing w:line="360" w:lineRule="exact"/>
                    <w:rPr>
                      <w:color w:val="auto"/>
                      <w:szCs w:val="21"/>
                    </w:rPr>
                  </w:pPr>
                  <w:r>
                    <w:rPr>
                      <w:rFonts w:hint="eastAsia"/>
                      <w:color w:val="auto"/>
                      <w:szCs w:val="21"/>
                    </w:rPr>
                    <w:t>供电工程</w:t>
                  </w:r>
                </w:p>
              </w:tc>
              <w:tc>
                <w:tcPr>
                  <w:tcW w:w="3361" w:type="pct"/>
                  <w:shd w:val="clear" w:color="auto" w:fill="auto"/>
                  <w:vAlign w:val="center"/>
                </w:tcPr>
                <w:p>
                  <w:pPr>
                    <w:pStyle w:val="34"/>
                    <w:spacing w:line="360" w:lineRule="exact"/>
                    <w:ind w:firstLine="210" w:firstLineChars="100"/>
                    <w:jc w:val="both"/>
                    <w:rPr>
                      <w:color w:val="auto"/>
                      <w:lang w:val="en-US"/>
                    </w:rPr>
                  </w:pPr>
                  <w:r>
                    <w:rPr>
                      <w:rFonts w:hint="eastAsia"/>
                      <w:color w:val="auto"/>
                    </w:rPr>
                    <w:t>施工生产用电采用柴油发电。2#、3#施工生产区施工用电都可从附近村庄引接。</w:t>
                  </w:r>
                </w:p>
              </w:tc>
              <w:tc>
                <w:tcPr>
                  <w:tcW w:w="266" w:type="pct"/>
                  <w:vAlign w:val="center"/>
                </w:tcPr>
                <w:p>
                  <w:pPr>
                    <w:pStyle w:val="34"/>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shd w:val="clear" w:color="auto" w:fill="auto"/>
                  <w:vAlign w:val="center"/>
                </w:tcPr>
                <w:p>
                  <w:pPr>
                    <w:pStyle w:val="34"/>
                    <w:spacing w:line="360" w:lineRule="exact"/>
                    <w:rPr>
                      <w:color w:val="auto"/>
                      <w:szCs w:val="21"/>
                    </w:rPr>
                  </w:pPr>
                </w:p>
              </w:tc>
              <w:tc>
                <w:tcPr>
                  <w:tcW w:w="966" w:type="pct"/>
                  <w:gridSpan w:val="4"/>
                  <w:vAlign w:val="center"/>
                </w:tcPr>
                <w:p>
                  <w:pPr>
                    <w:pStyle w:val="34"/>
                    <w:spacing w:line="360" w:lineRule="exact"/>
                    <w:rPr>
                      <w:color w:val="auto"/>
                      <w:szCs w:val="21"/>
                    </w:rPr>
                  </w:pPr>
                  <w:r>
                    <w:rPr>
                      <w:color w:val="auto"/>
                      <w:szCs w:val="21"/>
                    </w:rPr>
                    <w:t>施工道路</w:t>
                  </w:r>
                </w:p>
              </w:tc>
              <w:tc>
                <w:tcPr>
                  <w:tcW w:w="3361" w:type="pct"/>
                  <w:shd w:val="clear" w:color="auto" w:fill="auto"/>
                  <w:vAlign w:val="center"/>
                </w:tcPr>
                <w:p>
                  <w:pPr>
                    <w:pStyle w:val="34"/>
                    <w:spacing w:line="360" w:lineRule="exact"/>
                    <w:ind w:firstLine="210" w:firstLineChars="100"/>
                    <w:jc w:val="both"/>
                    <w:rPr>
                      <w:color w:val="auto"/>
                    </w:rPr>
                  </w:pPr>
                  <w:bookmarkStart w:id="0" w:name="_Hlk500769488"/>
                  <w:r>
                    <w:rPr>
                      <w:color w:val="auto"/>
                    </w:rPr>
                    <w:t>根据设计，项目光伏泵站处有沿江公路，提水管道沿乡村道路及布格公路铺设，对外交通方便，现有公路基本满足施工要求</w:t>
                  </w:r>
                  <w:bookmarkEnd w:id="0"/>
                  <w:r>
                    <w:rPr>
                      <w:color w:val="auto"/>
                    </w:rPr>
                    <w:t>。</w:t>
                  </w:r>
                </w:p>
              </w:tc>
              <w:tc>
                <w:tcPr>
                  <w:tcW w:w="266" w:type="pct"/>
                  <w:vAlign w:val="center"/>
                </w:tcPr>
                <w:p>
                  <w:pPr>
                    <w:pStyle w:val="34"/>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restart"/>
                  <w:shd w:val="clear" w:color="auto" w:fill="auto"/>
                  <w:vAlign w:val="center"/>
                </w:tcPr>
                <w:p>
                  <w:pPr>
                    <w:pStyle w:val="34"/>
                    <w:spacing w:line="360" w:lineRule="exact"/>
                    <w:rPr>
                      <w:color w:val="auto"/>
                      <w:szCs w:val="21"/>
                    </w:rPr>
                  </w:pPr>
                  <w:r>
                    <w:rPr>
                      <w:rFonts w:hint="eastAsia"/>
                      <w:color w:val="auto"/>
                      <w:szCs w:val="21"/>
                    </w:rPr>
                    <w:t>临时工程</w:t>
                  </w:r>
                </w:p>
              </w:tc>
              <w:tc>
                <w:tcPr>
                  <w:tcW w:w="966" w:type="pct"/>
                  <w:gridSpan w:val="4"/>
                  <w:vAlign w:val="center"/>
                </w:tcPr>
                <w:p>
                  <w:pPr>
                    <w:pStyle w:val="34"/>
                    <w:spacing w:line="360" w:lineRule="exact"/>
                    <w:rPr>
                      <w:color w:val="auto"/>
                      <w:szCs w:val="21"/>
                    </w:rPr>
                  </w:pPr>
                  <w:r>
                    <w:rPr>
                      <w:color w:val="auto"/>
                      <w:szCs w:val="21"/>
                    </w:rPr>
                    <w:t>施工生产生活区</w:t>
                  </w:r>
                </w:p>
              </w:tc>
              <w:tc>
                <w:tcPr>
                  <w:tcW w:w="3361" w:type="pct"/>
                  <w:shd w:val="clear" w:color="auto" w:fill="auto"/>
                  <w:vAlign w:val="center"/>
                </w:tcPr>
                <w:p>
                  <w:pPr>
                    <w:pStyle w:val="34"/>
                    <w:spacing w:line="360" w:lineRule="exact"/>
                    <w:ind w:firstLine="210" w:firstLineChars="100"/>
                    <w:jc w:val="both"/>
                    <w:rPr>
                      <w:color w:val="auto"/>
                    </w:rPr>
                  </w:pPr>
                  <w:r>
                    <w:rPr>
                      <w:rFonts w:hint="eastAsia"/>
                      <w:color w:val="auto"/>
                    </w:rPr>
                    <w:t>项目生活区租用附近居民住房，施工人员以当地居民为主，生活设施依托当地居民现有生活设施，项目不设施工生活区。</w:t>
                  </w:r>
                </w:p>
                <w:p>
                  <w:pPr>
                    <w:pStyle w:val="34"/>
                    <w:spacing w:line="360" w:lineRule="exact"/>
                    <w:ind w:firstLine="210" w:firstLineChars="100"/>
                    <w:jc w:val="both"/>
                    <w:rPr>
                      <w:color w:val="auto"/>
                    </w:rPr>
                  </w:pPr>
                  <w:r>
                    <w:rPr>
                      <w:rFonts w:hint="eastAsia"/>
                      <w:color w:val="auto"/>
                    </w:rPr>
                    <w:t>项目布置施工生产区3个，其中1#施工生产区占地面积1500m</w:t>
                  </w:r>
                  <w:r>
                    <w:rPr>
                      <w:rFonts w:hint="eastAsia"/>
                      <w:color w:val="auto"/>
                      <w:vertAlign w:val="superscript"/>
                    </w:rPr>
                    <w:t>2</w:t>
                  </w:r>
                  <w:r>
                    <w:rPr>
                      <w:rFonts w:hint="eastAsia"/>
                      <w:color w:val="auto"/>
                    </w:rPr>
                    <w:t>；2#施工生产区600m</w:t>
                  </w:r>
                  <w:r>
                    <w:rPr>
                      <w:rFonts w:hint="eastAsia"/>
                      <w:color w:val="auto"/>
                      <w:vertAlign w:val="superscript"/>
                    </w:rPr>
                    <w:t>2</w:t>
                  </w:r>
                  <w:r>
                    <w:rPr>
                      <w:rFonts w:hint="eastAsia"/>
                      <w:color w:val="auto"/>
                    </w:rPr>
                    <w:t>；3#施工生产区600m</w:t>
                  </w:r>
                  <w:r>
                    <w:rPr>
                      <w:rFonts w:hint="eastAsia"/>
                      <w:color w:val="auto"/>
                      <w:vertAlign w:val="superscript"/>
                    </w:rPr>
                    <w:t>2</w:t>
                  </w:r>
                  <w:r>
                    <w:rPr>
                      <w:rFonts w:hint="eastAsia"/>
                      <w:color w:val="auto"/>
                    </w:rPr>
                    <w:t>；分别位于光伏泵站场地旁1#施工生产区、0#高位水池旁2#施工生产区、3#蓄水池旁3#施工生产区，具体详见总平面布置图。</w:t>
                  </w:r>
                </w:p>
                <w:p>
                  <w:pPr>
                    <w:pStyle w:val="34"/>
                    <w:spacing w:line="360" w:lineRule="exact"/>
                    <w:ind w:firstLine="210" w:firstLineChars="100"/>
                    <w:jc w:val="both"/>
                    <w:rPr>
                      <w:color w:val="auto"/>
                      <w:szCs w:val="21"/>
                    </w:rPr>
                  </w:pPr>
                  <w:r>
                    <w:rPr>
                      <w:rFonts w:hint="eastAsia"/>
                      <w:color w:val="auto"/>
                      <w:szCs w:val="21"/>
                    </w:rPr>
                    <w:t>3个施工生产区占地范围内不涉及自然保护区、基本农田保护区等，且施工生产区布置于旱地及坡地平坦处，施工生产区周边区域无塌方等不良地质情况。每个施工生产区设置临时工棚、材料加工区、机械停置区、临时表土堆场等。</w:t>
                  </w:r>
                </w:p>
                <w:p>
                  <w:pPr>
                    <w:pStyle w:val="34"/>
                    <w:spacing w:line="360" w:lineRule="exact"/>
                    <w:ind w:firstLine="210" w:firstLineChars="100"/>
                    <w:jc w:val="both"/>
                    <w:rPr>
                      <w:color w:val="auto"/>
                      <w:szCs w:val="21"/>
                    </w:rPr>
                  </w:pPr>
                  <w:r>
                    <w:rPr>
                      <w:rFonts w:hint="eastAsia"/>
                      <w:color w:val="auto"/>
                      <w:szCs w:val="21"/>
                    </w:rPr>
                    <w:t>项目在每个施工生产区内分别设置1个4m</w:t>
                  </w:r>
                  <w:r>
                    <w:rPr>
                      <w:rFonts w:hint="eastAsia"/>
                      <w:color w:val="auto"/>
                      <w:szCs w:val="21"/>
                      <w:vertAlign w:val="superscript"/>
                    </w:rPr>
                    <w:t>3</w:t>
                  </w:r>
                  <w:r>
                    <w:rPr>
                      <w:rFonts w:hint="eastAsia"/>
                      <w:color w:val="auto"/>
                      <w:szCs w:val="21"/>
                    </w:rPr>
                    <w:t>的临时沉淀池，主要用于施工机械设备清洗废水的沉淀，沉淀后回用于施工生产区洒水降尘，不外排；在每个施工生产区内分别设置1个1m</w:t>
                  </w:r>
                  <w:r>
                    <w:rPr>
                      <w:rFonts w:hint="eastAsia"/>
                      <w:color w:val="auto"/>
                      <w:szCs w:val="21"/>
                      <w:vertAlign w:val="superscript"/>
                    </w:rPr>
                    <w:t>3</w:t>
                  </w:r>
                  <w:r>
                    <w:rPr>
                      <w:rFonts w:hint="eastAsia"/>
                      <w:color w:val="auto"/>
                      <w:szCs w:val="21"/>
                    </w:rPr>
                    <w:t>的临时沉砂池及截排水沟，主要用于施工生产区雨天地表径流的沉淀，沉淀后回用于施工生产区洒水降尘，不外排。</w:t>
                  </w:r>
                </w:p>
              </w:tc>
              <w:tc>
                <w:tcPr>
                  <w:tcW w:w="266" w:type="pct"/>
                  <w:vAlign w:val="center"/>
                </w:tcPr>
                <w:p>
                  <w:pPr>
                    <w:pStyle w:val="34"/>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shd w:val="clear" w:color="auto" w:fill="auto"/>
                  <w:vAlign w:val="center"/>
                </w:tcPr>
                <w:p>
                  <w:pPr>
                    <w:pStyle w:val="34"/>
                    <w:spacing w:line="360" w:lineRule="exact"/>
                    <w:rPr>
                      <w:color w:val="auto"/>
                      <w:szCs w:val="21"/>
                    </w:rPr>
                  </w:pPr>
                </w:p>
              </w:tc>
              <w:tc>
                <w:tcPr>
                  <w:tcW w:w="966" w:type="pct"/>
                  <w:gridSpan w:val="4"/>
                  <w:vAlign w:val="center"/>
                </w:tcPr>
                <w:p>
                  <w:pPr>
                    <w:pStyle w:val="34"/>
                    <w:spacing w:line="360" w:lineRule="exact"/>
                    <w:rPr>
                      <w:color w:val="auto"/>
                      <w:szCs w:val="21"/>
                    </w:rPr>
                  </w:pPr>
                  <w:r>
                    <w:rPr>
                      <w:color w:val="auto"/>
                      <w:szCs w:val="21"/>
                    </w:rPr>
                    <w:t>临时混凝土系统</w:t>
                  </w:r>
                </w:p>
              </w:tc>
              <w:tc>
                <w:tcPr>
                  <w:tcW w:w="3361" w:type="pct"/>
                  <w:shd w:val="clear" w:color="auto" w:fill="auto"/>
                  <w:vAlign w:val="center"/>
                </w:tcPr>
                <w:p>
                  <w:pPr>
                    <w:pStyle w:val="34"/>
                    <w:spacing w:line="360" w:lineRule="exact"/>
                    <w:ind w:firstLine="210" w:firstLineChars="100"/>
                    <w:jc w:val="both"/>
                    <w:rPr>
                      <w:color w:val="auto"/>
                    </w:rPr>
                  </w:pPr>
                  <w:r>
                    <w:rPr>
                      <w:rFonts w:hint="eastAsia"/>
                      <w:color w:val="auto"/>
                    </w:rPr>
                    <w:t>根据设计</w:t>
                  </w:r>
                  <w:r>
                    <w:rPr>
                      <w:color w:val="auto"/>
                    </w:rPr>
                    <w:t>，</w:t>
                  </w:r>
                  <w:r>
                    <w:rPr>
                      <w:rFonts w:hint="eastAsia"/>
                      <w:color w:val="auto"/>
                    </w:rPr>
                    <w:t>该项目施工期间，</w:t>
                  </w:r>
                  <w:r>
                    <w:rPr>
                      <w:color w:val="auto"/>
                    </w:rPr>
                    <w:t>在施工生产区布置0.35m</w:t>
                  </w:r>
                  <w:r>
                    <w:rPr>
                      <w:rFonts w:hint="eastAsia"/>
                      <w:color w:val="auto"/>
                      <w:vertAlign w:val="superscript"/>
                    </w:rPr>
                    <w:t>3</w:t>
                  </w:r>
                  <w:r>
                    <w:rPr>
                      <w:color w:val="auto"/>
                    </w:rPr>
                    <w:t>移动式混凝土搅拌机</w:t>
                  </w:r>
                  <w:r>
                    <w:rPr>
                      <w:rFonts w:hint="eastAsia"/>
                      <w:color w:val="auto"/>
                    </w:rPr>
                    <w:t>3</w:t>
                  </w:r>
                  <w:r>
                    <w:rPr>
                      <w:color w:val="auto"/>
                    </w:rPr>
                    <w:t>台及0.20m³移动式砂浆搅拌机</w:t>
                  </w:r>
                  <w:r>
                    <w:rPr>
                      <w:rFonts w:hint="eastAsia"/>
                      <w:color w:val="auto"/>
                    </w:rPr>
                    <w:t>3</w:t>
                  </w:r>
                  <w:r>
                    <w:rPr>
                      <w:color w:val="auto"/>
                    </w:rPr>
                    <w:t>台，</w:t>
                  </w:r>
                  <w:r>
                    <w:rPr>
                      <w:rFonts w:hint="eastAsia"/>
                      <w:color w:val="auto"/>
                    </w:rPr>
                    <w:t>该混凝土搅拌机为人工加料，无水泥的物料储罐。</w:t>
                  </w:r>
                </w:p>
                <w:p>
                  <w:pPr>
                    <w:pStyle w:val="34"/>
                    <w:spacing w:line="360" w:lineRule="exact"/>
                    <w:ind w:firstLine="210" w:firstLineChars="100"/>
                    <w:jc w:val="both"/>
                    <w:rPr>
                      <w:color w:val="auto"/>
                    </w:rPr>
                  </w:pPr>
                  <w:r>
                    <w:rPr>
                      <w:rFonts w:hint="eastAsia"/>
                      <w:color w:val="auto"/>
                    </w:rPr>
                    <w:t>混凝土系统使用的砂石料均外购成品，施工生产区内不再设置砂石料加工系统。主要用于</w:t>
                  </w:r>
                  <w:r>
                    <w:rPr>
                      <w:rFonts w:hint="eastAsia"/>
                      <w:color w:val="auto"/>
                      <w:lang w:val="en-US"/>
                    </w:rPr>
                    <w:t>镇墩、水池及泵房的混净土浇筑的需要。</w:t>
                  </w:r>
                </w:p>
              </w:tc>
              <w:tc>
                <w:tcPr>
                  <w:tcW w:w="266" w:type="pct"/>
                  <w:vAlign w:val="center"/>
                </w:tcPr>
                <w:p>
                  <w:pPr>
                    <w:pStyle w:val="34"/>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 w:type="pct"/>
                  <w:vMerge w:val="continue"/>
                  <w:shd w:val="clear" w:color="auto" w:fill="auto"/>
                  <w:vAlign w:val="center"/>
                </w:tcPr>
                <w:p>
                  <w:pPr>
                    <w:pStyle w:val="34"/>
                    <w:spacing w:line="360" w:lineRule="exact"/>
                    <w:rPr>
                      <w:color w:val="auto"/>
                      <w:szCs w:val="21"/>
                    </w:rPr>
                  </w:pPr>
                </w:p>
              </w:tc>
              <w:tc>
                <w:tcPr>
                  <w:tcW w:w="966" w:type="pct"/>
                  <w:gridSpan w:val="4"/>
                  <w:vAlign w:val="center"/>
                </w:tcPr>
                <w:p>
                  <w:pPr>
                    <w:pStyle w:val="34"/>
                    <w:spacing w:line="360" w:lineRule="exact"/>
                    <w:rPr>
                      <w:color w:val="auto"/>
                      <w:szCs w:val="21"/>
                    </w:rPr>
                  </w:pPr>
                  <w:r>
                    <w:rPr>
                      <w:color w:val="auto"/>
                      <w:szCs w:val="21"/>
                    </w:rPr>
                    <w:t>临时</w:t>
                  </w:r>
                  <w:r>
                    <w:rPr>
                      <w:rFonts w:hint="eastAsia"/>
                      <w:color w:val="auto"/>
                      <w:szCs w:val="21"/>
                    </w:rPr>
                    <w:t>表土</w:t>
                  </w:r>
                  <w:r>
                    <w:rPr>
                      <w:color w:val="auto"/>
                      <w:szCs w:val="21"/>
                    </w:rPr>
                    <w:t>堆场</w:t>
                  </w:r>
                </w:p>
              </w:tc>
              <w:tc>
                <w:tcPr>
                  <w:tcW w:w="3361" w:type="pct"/>
                  <w:shd w:val="clear" w:color="auto" w:fill="auto"/>
                  <w:vAlign w:val="center"/>
                </w:tcPr>
                <w:p>
                  <w:pPr>
                    <w:pStyle w:val="62"/>
                    <w:spacing w:line="360" w:lineRule="exact"/>
                    <w:ind w:firstLine="210" w:firstLineChars="100"/>
                    <w:rPr>
                      <w:rFonts w:hAnsi="Times New Roman" w:eastAsiaTheme="minorEastAsia"/>
                      <w:sz w:val="21"/>
                      <w:szCs w:val="21"/>
                    </w:rPr>
                  </w:pPr>
                  <w:r>
                    <w:rPr>
                      <w:rFonts w:hAnsi="Times New Roman" w:eastAsiaTheme="minorEastAsia"/>
                      <w:sz w:val="21"/>
                      <w:szCs w:val="21"/>
                    </w:rPr>
                    <w:t>根据设计，项目拟设置3个临时表土堆场，其中1#临时表土堆场位于1#施工生产区，占地面积400m</w:t>
                  </w:r>
                  <w:r>
                    <w:rPr>
                      <w:rFonts w:hAnsi="Times New Roman" w:eastAsiaTheme="minorEastAsia"/>
                      <w:sz w:val="21"/>
                      <w:szCs w:val="21"/>
                      <w:vertAlign w:val="superscript"/>
                    </w:rPr>
                    <w:t>2</w:t>
                  </w:r>
                  <w:r>
                    <w:rPr>
                      <w:rFonts w:hAnsi="Times New Roman" w:eastAsiaTheme="minorEastAsia"/>
                      <w:sz w:val="21"/>
                      <w:szCs w:val="21"/>
                    </w:rPr>
                    <w:t>，最大堆高为3m，设计堆土量0.12万m</w:t>
                  </w:r>
                  <w:r>
                    <w:rPr>
                      <w:rFonts w:hAnsi="Times New Roman" w:eastAsiaTheme="minorEastAsia"/>
                      <w:sz w:val="21"/>
                      <w:szCs w:val="21"/>
                      <w:vertAlign w:val="superscript"/>
                    </w:rPr>
                    <w:t>3</w:t>
                  </w:r>
                  <w:r>
                    <w:rPr>
                      <w:rFonts w:hAnsi="Times New Roman" w:eastAsiaTheme="minorEastAsia"/>
                      <w:sz w:val="21"/>
                      <w:szCs w:val="21"/>
                    </w:rPr>
                    <w:t>；2#临时表土堆场位于2#施工生产区，占地面积100m</w:t>
                  </w:r>
                  <w:r>
                    <w:rPr>
                      <w:rFonts w:hAnsi="Times New Roman" w:eastAsiaTheme="minorEastAsia"/>
                      <w:sz w:val="21"/>
                      <w:szCs w:val="21"/>
                      <w:vertAlign w:val="superscript"/>
                    </w:rPr>
                    <w:t>2</w:t>
                  </w:r>
                  <w:r>
                    <w:rPr>
                      <w:rFonts w:hAnsi="Times New Roman" w:eastAsiaTheme="minorEastAsia"/>
                      <w:sz w:val="21"/>
                      <w:szCs w:val="21"/>
                    </w:rPr>
                    <w:t>，最大堆高为3m，设计堆土量0.03万m</w:t>
                  </w:r>
                  <w:r>
                    <w:rPr>
                      <w:rFonts w:hAnsi="Times New Roman" w:eastAsiaTheme="minorEastAsia"/>
                      <w:sz w:val="21"/>
                      <w:szCs w:val="21"/>
                      <w:vertAlign w:val="superscript"/>
                    </w:rPr>
                    <w:t>3</w:t>
                  </w:r>
                  <w:r>
                    <w:rPr>
                      <w:rFonts w:hAnsi="Times New Roman" w:eastAsiaTheme="minorEastAsia"/>
                      <w:sz w:val="21"/>
                      <w:szCs w:val="21"/>
                    </w:rPr>
                    <w:t>；3#临时表土堆场位于3#施工生产区，占地面积100m</w:t>
                  </w:r>
                  <w:r>
                    <w:rPr>
                      <w:rFonts w:hAnsi="Times New Roman" w:eastAsiaTheme="minorEastAsia"/>
                      <w:sz w:val="21"/>
                      <w:szCs w:val="21"/>
                      <w:vertAlign w:val="superscript"/>
                    </w:rPr>
                    <w:t>2</w:t>
                  </w:r>
                  <w:r>
                    <w:rPr>
                      <w:rFonts w:hAnsi="Times New Roman" w:eastAsiaTheme="minorEastAsia"/>
                      <w:sz w:val="21"/>
                      <w:szCs w:val="21"/>
                    </w:rPr>
                    <w:t>，最大堆高为3m，设计堆土量0.03万m</w:t>
                  </w:r>
                  <w:r>
                    <w:rPr>
                      <w:rFonts w:hAnsi="Times New Roman" w:eastAsiaTheme="minorEastAsia"/>
                      <w:sz w:val="21"/>
                      <w:szCs w:val="21"/>
                      <w:vertAlign w:val="superscript"/>
                    </w:rPr>
                    <w:t>3</w:t>
                  </w:r>
                  <w:r>
                    <w:rPr>
                      <w:rFonts w:hAnsi="Times New Roman" w:eastAsiaTheme="minorEastAsia"/>
                      <w:sz w:val="21"/>
                      <w:szCs w:val="21"/>
                    </w:rPr>
                    <w:t>。在临时堆土坡脚采用编织袋装土挡护，编织袋挡护用土使用剥离的土壤，待使用完毕后拆除作为后续的植复耕覆土。</w:t>
                  </w:r>
                </w:p>
              </w:tc>
              <w:tc>
                <w:tcPr>
                  <w:tcW w:w="266" w:type="pct"/>
                  <w:vAlign w:val="center"/>
                </w:tcPr>
                <w:p>
                  <w:pPr>
                    <w:pStyle w:val="34"/>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restart"/>
                  <w:shd w:val="clear" w:color="auto" w:fill="auto"/>
                  <w:vAlign w:val="center"/>
                </w:tcPr>
                <w:p>
                  <w:pPr>
                    <w:pStyle w:val="34"/>
                    <w:spacing w:line="360" w:lineRule="exact"/>
                    <w:rPr>
                      <w:color w:val="auto"/>
                      <w:szCs w:val="21"/>
                    </w:rPr>
                  </w:pPr>
                  <w:r>
                    <w:rPr>
                      <w:color w:val="auto"/>
                      <w:szCs w:val="21"/>
                    </w:rPr>
                    <w:t>环保工程</w:t>
                  </w:r>
                </w:p>
              </w:tc>
              <w:tc>
                <w:tcPr>
                  <w:tcW w:w="966" w:type="pct"/>
                  <w:gridSpan w:val="4"/>
                  <w:vAlign w:val="center"/>
                </w:tcPr>
                <w:p>
                  <w:pPr>
                    <w:pStyle w:val="34"/>
                    <w:spacing w:line="360" w:lineRule="exact"/>
                    <w:rPr>
                      <w:color w:val="auto"/>
                      <w:szCs w:val="21"/>
                    </w:rPr>
                  </w:pPr>
                  <w:r>
                    <w:rPr>
                      <w:rFonts w:hint="eastAsia"/>
                      <w:color w:val="auto"/>
                      <w:szCs w:val="21"/>
                    </w:rPr>
                    <w:t>生态保护工程</w:t>
                  </w:r>
                </w:p>
              </w:tc>
              <w:tc>
                <w:tcPr>
                  <w:tcW w:w="3361" w:type="pct"/>
                  <w:shd w:val="clear" w:color="auto" w:fill="auto"/>
                  <w:vAlign w:val="center"/>
                </w:tcPr>
                <w:p>
                  <w:pPr>
                    <w:pStyle w:val="34"/>
                    <w:spacing w:line="360" w:lineRule="exact"/>
                    <w:ind w:firstLine="210" w:firstLineChars="100"/>
                    <w:jc w:val="both"/>
                    <w:rPr>
                      <w:color w:val="auto"/>
                      <w:lang w:val="en-US"/>
                    </w:rPr>
                  </w:pPr>
                  <w:r>
                    <w:rPr>
                      <w:rFonts w:hint="eastAsia"/>
                      <w:color w:val="auto"/>
                      <w:lang w:val="en-US"/>
                    </w:rPr>
                    <w:t>①水土保持措施包括工程措施及植物措施，具体包括对项目工程区、施工生产区采取工程措施及植物措施，其中工程措施为对河道工程区工程措施包括设置排水沟，对各区域表土进行单独收集并全部用于覆土，对施工生产区的旱地进行复耕；植物措施为种植林草。</w:t>
                  </w:r>
                </w:p>
                <w:p>
                  <w:pPr>
                    <w:pStyle w:val="34"/>
                    <w:spacing w:line="360" w:lineRule="exact"/>
                    <w:ind w:firstLine="210" w:firstLineChars="100"/>
                    <w:jc w:val="both"/>
                    <w:rPr>
                      <w:color w:val="auto"/>
                      <w:lang w:val="en-US"/>
                    </w:rPr>
                  </w:pPr>
                  <w:r>
                    <w:rPr>
                      <w:rFonts w:hint="eastAsia"/>
                      <w:color w:val="auto"/>
                      <w:lang w:val="en-US"/>
                    </w:rPr>
                    <w:t>②在施工结束后对废弃的施工生产区进行迹地清理，采取土地整治措施和进行复耕。</w:t>
                  </w:r>
                </w:p>
                <w:p>
                  <w:pPr>
                    <w:pStyle w:val="34"/>
                    <w:spacing w:line="360" w:lineRule="exact"/>
                    <w:ind w:firstLine="210" w:firstLineChars="100"/>
                    <w:jc w:val="both"/>
                    <w:rPr>
                      <w:color w:val="auto"/>
                      <w:lang w:val="en-US"/>
                    </w:rPr>
                  </w:pPr>
                  <w:r>
                    <w:rPr>
                      <w:rFonts w:hint="eastAsia"/>
                      <w:color w:val="auto"/>
                      <w:lang w:val="en-US"/>
                    </w:rPr>
                    <w:t>③对施工生产区提出施工前表土剥离，临时表土堆场的临时覆盖及临时拦挡，施工结束后进行植被恢复。</w:t>
                  </w:r>
                </w:p>
              </w:tc>
              <w:tc>
                <w:tcPr>
                  <w:tcW w:w="266" w:type="pct"/>
                  <w:vAlign w:val="center"/>
                </w:tcPr>
                <w:p>
                  <w:pPr>
                    <w:pStyle w:val="34"/>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vAlign w:val="center"/>
                </w:tcPr>
                <w:p>
                  <w:pPr>
                    <w:pStyle w:val="34"/>
                    <w:spacing w:line="360" w:lineRule="exact"/>
                    <w:rPr>
                      <w:color w:val="auto"/>
                      <w:szCs w:val="21"/>
                    </w:rPr>
                  </w:pPr>
                </w:p>
              </w:tc>
              <w:tc>
                <w:tcPr>
                  <w:tcW w:w="966" w:type="pct"/>
                  <w:gridSpan w:val="4"/>
                  <w:vAlign w:val="center"/>
                </w:tcPr>
                <w:p>
                  <w:pPr>
                    <w:pStyle w:val="34"/>
                    <w:spacing w:line="360" w:lineRule="exact"/>
                    <w:rPr>
                      <w:color w:val="auto"/>
                      <w:szCs w:val="21"/>
                    </w:rPr>
                  </w:pPr>
                  <w:r>
                    <w:rPr>
                      <w:rFonts w:hint="eastAsia"/>
                      <w:color w:val="auto"/>
                      <w:szCs w:val="21"/>
                    </w:rPr>
                    <w:t>废气</w:t>
                  </w:r>
                </w:p>
              </w:tc>
              <w:tc>
                <w:tcPr>
                  <w:tcW w:w="3361" w:type="pct"/>
                  <w:vAlign w:val="center"/>
                </w:tcPr>
                <w:p>
                  <w:pPr>
                    <w:pStyle w:val="34"/>
                    <w:spacing w:line="360" w:lineRule="exact"/>
                    <w:ind w:firstLine="210" w:firstLineChars="100"/>
                    <w:jc w:val="both"/>
                    <w:rPr>
                      <w:color w:val="auto"/>
                    </w:rPr>
                  </w:pPr>
                  <w:r>
                    <w:rPr>
                      <w:rFonts w:hint="eastAsia"/>
                      <w:color w:val="auto"/>
                    </w:rPr>
                    <w:t>①施工期拟对施工生产区、混凝土系统人工装料过程采取洒水抑尘措施。</w:t>
                  </w:r>
                </w:p>
                <w:p>
                  <w:pPr>
                    <w:pStyle w:val="34"/>
                    <w:spacing w:line="360" w:lineRule="exact"/>
                    <w:ind w:firstLine="210" w:firstLineChars="100"/>
                    <w:jc w:val="both"/>
                    <w:rPr>
                      <w:color w:val="auto"/>
                    </w:rPr>
                  </w:pPr>
                  <w:r>
                    <w:rPr>
                      <w:rFonts w:hint="eastAsia"/>
                      <w:color w:val="auto"/>
                    </w:rPr>
                    <w:t>②临时表土堆场采用防尘网对其进行覆盖，并采取洒水降尘。</w:t>
                  </w:r>
                </w:p>
                <w:p>
                  <w:pPr>
                    <w:pStyle w:val="34"/>
                    <w:spacing w:line="360" w:lineRule="exact"/>
                    <w:ind w:firstLine="210" w:firstLineChars="100"/>
                    <w:jc w:val="both"/>
                    <w:rPr>
                      <w:color w:val="auto"/>
                    </w:rPr>
                  </w:pPr>
                  <w:r>
                    <w:rPr>
                      <w:rFonts w:hint="eastAsia"/>
                      <w:color w:val="auto"/>
                    </w:rPr>
                    <w:t>③为减轻施工运输期间产生的扬尘对周围村子的影响，运输车辆不得过度装载并需对运输车辆进行加盖篷布，防止运输过程中施工材料的洒落。必要时适当对运输道路进行洒水。</w:t>
                  </w:r>
                </w:p>
                <w:p>
                  <w:pPr>
                    <w:pStyle w:val="34"/>
                    <w:spacing w:line="360" w:lineRule="exact"/>
                    <w:ind w:firstLine="210" w:firstLineChars="100"/>
                    <w:jc w:val="both"/>
                    <w:rPr>
                      <w:color w:val="auto"/>
                    </w:rPr>
                  </w:pPr>
                  <w:r>
                    <w:rPr>
                      <w:rFonts w:hint="eastAsia"/>
                      <w:color w:val="auto"/>
                    </w:rPr>
                    <w:t>④项目施工期间施工生产区四周设置临时围护。</w:t>
                  </w:r>
                </w:p>
                <w:p>
                  <w:pPr>
                    <w:pStyle w:val="34"/>
                    <w:spacing w:line="360" w:lineRule="exact"/>
                    <w:ind w:firstLine="210" w:firstLineChars="100"/>
                    <w:jc w:val="both"/>
                    <w:rPr>
                      <w:color w:val="auto"/>
                    </w:rPr>
                  </w:pPr>
                  <w:r>
                    <w:rPr>
                      <w:rFonts w:hint="eastAsia"/>
                      <w:color w:val="auto"/>
                    </w:rPr>
                    <w:t>⑤尽量选用低能耗、低污染排放的施工机械和车辆。</w:t>
                  </w:r>
                </w:p>
              </w:tc>
              <w:tc>
                <w:tcPr>
                  <w:tcW w:w="266" w:type="pct"/>
                  <w:vAlign w:val="center"/>
                </w:tcPr>
                <w:p>
                  <w:pPr>
                    <w:pStyle w:val="34"/>
                    <w:spacing w:line="360" w:lineRule="exact"/>
                    <w:rPr>
                      <w:color w:val="auto"/>
                      <w:szCs w:val="21"/>
                      <w:highlight w:val="yellow"/>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vAlign w:val="center"/>
                </w:tcPr>
                <w:p>
                  <w:pPr>
                    <w:pStyle w:val="34"/>
                    <w:spacing w:line="360" w:lineRule="exact"/>
                    <w:rPr>
                      <w:color w:val="auto"/>
                      <w:szCs w:val="21"/>
                    </w:rPr>
                  </w:pPr>
                </w:p>
              </w:tc>
              <w:tc>
                <w:tcPr>
                  <w:tcW w:w="247" w:type="pct"/>
                  <w:vMerge w:val="restart"/>
                  <w:vAlign w:val="center"/>
                </w:tcPr>
                <w:p>
                  <w:pPr>
                    <w:pStyle w:val="34"/>
                    <w:spacing w:line="360" w:lineRule="exact"/>
                    <w:rPr>
                      <w:color w:val="auto"/>
                      <w:szCs w:val="21"/>
                    </w:rPr>
                  </w:pPr>
                  <w:r>
                    <w:rPr>
                      <w:rFonts w:hint="eastAsia"/>
                      <w:color w:val="auto"/>
                      <w:szCs w:val="21"/>
                    </w:rPr>
                    <w:t>废水</w:t>
                  </w:r>
                </w:p>
              </w:tc>
              <w:tc>
                <w:tcPr>
                  <w:tcW w:w="349" w:type="pct"/>
                  <w:gridSpan w:val="2"/>
                  <w:vMerge w:val="restart"/>
                  <w:vAlign w:val="center"/>
                </w:tcPr>
                <w:p>
                  <w:pPr>
                    <w:pStyle w:val="34"/>
                    <w:spacing w:line="360" w:lineRule="exact"/>
                    <w:rPr>
                      <w:color w:val="auto"/>
                      <w:szCs w:val="21"/>
                    </w:rPr>
                  </w:pPr>
                  <w:r>
                    <w:rPr>
                      <w:color w:val="auto"/>
                      <w:szCs w:val="21"/>
                    </w:rPr>
                    <w:t>施工期</w:t>
                  </w:r>
                </w:p>
              </w:tc>
              <w:tc>
                <w:tcPr>
                  <w:tcW w:w="369" w:type="pct"/>
                  <w:vAlign w:val="center"/>
                </w:tcPr>
                <w:p>
                  <w:pPr>
                    <w:pStyle w:val="34"/>
                    <w:spacing w:line="360" w:lineRule="exact"/>
                    <w:rPr>
                      <w:color w:val="auto"/>
                      <w:szCs w:val="21"/>
                    </w:rPr>
                  </w:pPr>
                  <w:r>
                    <w:rPr>
                      <w:rFonts w:hint="eastAsia"/>
                      <w:color w:val="auto"/>
                      <w:szCs w:val="21"/>
                    </w:rPr>
                    <w:t>临时水沉淀池</w:t>
                  </w:r>
                </w:p>
              </w:tc>
              <w:tc>
                <w:tcPr>
                  <w:tcW w:w="3361" w:type="pct"/>
                  <w:vAlign w:val="center"/>
                </w:tcPr>
                <w:p>
                  <w:pPr>
                    <w:pStyle w:val="34"/>
                    <w:spacing w:line="360" w:lineRule="exact"/>
                    <w:ind w:firstLine="210" w:firstLineChars="100"/>
                    <w:jc w:val="both"/>
                    <w:rPr>
                      <w:color w:val="auto"/>
                    </w:rPr>
                  </w:pPr>
                  <w:r>
                    <w:rPr>
                      <w:rFonts w:hint="eastAsia"/>
                      <w:color w:val="auto"/>
                      <w:szCs w:val="21"/>
                    </w:rPr>
                    <w:t>根据设计，项目在每个施工生产区内分别设置1个4m</w:t>
                  </w:r>
                  <w:r>
                    <w:rPr>
                      <w:rFonts w:hint="eastAsia"/>
                      <w:color w:val="auto"/>
                      <w:szCs w:val="21"/>
                      <w:vertAlign w:val="superscript"/>
                    </w:rPr>
                    <w:t>3</w:t>
                  </w:r>
                  <w:r>
                    <w:rPr>
                      <w:rFonts w:hint="eastAsia"/>
                      <w:color w:val="auto"/>
                      <w:szCs w:val="21"/>
                    </w:rPr>
                    <w:t>的临时沉淀池，主要用于施工机械设备清洗废水的沉淀，沉淀后回用于施工生产区洒水降尘，不外排。</w:t>
                  </w:r>
                </w:p>
              </w:tc>
              <w:tc>
                <w:tcPr>
                  <w:tcW w:w="266" w:type="pct"/>
                  <w:vAlign w:val="center"/>
                </w:tcPr>
                <w:p>
                  <w:pPr>
                    <w:pStyle w:val="34"/>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 w:type="pct"/>
                  <w:vMerge w:val="continue"/>
                  <w:vAlign w:val="center"/>
                </w:tcPr>
                <w:p>
                  <w:pPr>
                    <w:pStyle w:val="34"/>
                    <w:spacing w:line="360" w:lineRule="exact"/>
                    <w:rPr>
                      <w:color w:val="auto"/>
                      <w:szCs w:val="21"/>
                    </w:rPr>
                  </w:pPr>
                </w:p>
              </w:tc>
              <w:tc>
                <w:tcPr>
                  <w:tcW w:w="247" w:type="pct"/>
                  <w:vMerge w:val="continue"/>
                  <w:vAlign w:val="center"/>
                </w:tcPr>
                <w:p>
                  <w:pPr>
                    <w:pStyle w:val="34"/>
                    <w:spacing w:line="360" w:lineRule="exact"/>
                    <w:rPr>
                      <w:color w:val="auto"/>
                      <w:szCs w:val="21"/>
                    </w:rPr>
                  </w:pPr>
                </w:p>
              </w:tc>
              <w:tc>
                <w:tcPr>
                  <w:tcW w:w="349" w:type="pct"/>
                  <w:gridSpan w:val="2"/>
                  <w:vMerge w:val="continue"/>
                  <w:vAlign w:val="center"/>
                </w:tcPr>
                <w:p>
                  <w:pPr>
                    <w:pStyle w:val="34"/>
                    <w:spacing w:line="360" w:lineRule="exact"/>
                    <w:rPr>
                      <w:color w:val="auto"/>
                      <w:szCs w:val="21"/>
                    </w:rPr>
                  </w:pPr>
                </w:p>
              </w:tc>
              <w:tc>
                <w:tcPr>
                  <w:tcW w:w="369" w:type="pct"/>
                  <w:vAlign w:val="center"/>
                </w:tcPr>
                <w:p>
                  <w:pPr>
                    <w:pStyle w:val="34"/>
                    <w:spacing w:line="360" w:lineRule="exact"/>
                    <w:rPr>
                      <w:color w:val="auto"/>
                      <w:szCs w:val="21"/>
                    </w:rPr>
                  </w:pPr>
                  <w:r>
                    <w:rPr>
                      <w:color w:val="auto"/>
                      <w:szCs w:val="21"/>
                    </w:rPr>
                    <w:t>临时截洪沟、沉砂池</w:t>
                  </w:r>
                </w:p>
              </w:tc>
              <w:tc>
                <w:tcPr>
                  <w:tcW w:w="3361" w:type="pct"/>
                  <w:vAlign w:val="center"/>
                </w:tcPr>
                <w:p>
                  <w:pPr>
                    <w:pStyle w:val="34"/>
                    <w:spacing w:line="360" w:lineRule="exact"/>
                    <w:ind w:firstLine="210" w:firstLineChars="100"/>
                    <w:jc w:val="both"/>
                    <w:rPr>
                      <w:bCs w:val="0"/>
                      <w:color w:val="auto"/>
                      <w:kern w:val="0"/>
                    </w:rPr>
                  </w:pPr>
                  <w:r>
                    <w:rPr>
                      <w:rFonts w:hint="eastAsia"/>
                      <w:color w:val="auto"/>
                    </w:rPr>
                    <w:t>根据设计，</w:t>
                  </w:r>
                  <w:r>
                    <w:rPr>
                      <w:rFonts w:hint="eastAsia"/>
                      <w:color w:val="auto"/>
                      <w:szCs w:val="21"/>
                    </w:rPr>
                    <w:t>1#、2#、3#施工生产区内分别设置</w:t>
                  </w:r>
                  <w:r>
                    <w:rPr>
                      <w:rFonts w:hint="eastAsia"/>
                      <w:bCs w:val="0"/>
                      <w:color w:val="auto"/>
                      <w:kern w:val="0"/>
                    </w:rPr>
                    <w:t>1</w:t>
                  </w:r>
                  <w:r>
                    <w:rPr>
                      <w:bCs w:val="0"/>
                      <w:color w:val="auto"/>
                      <w:kern w:val="0"/>
                    </w:rPr>
                    <w:t>个</w:t>
                  </w:r>
                  <w:r>
                    <w:rPr>
                      <w:rFonts w:hint="eastAsia"/>
                      <w:bCs w:val="0"/>
                      <w:color w:val="auto"/>
                      <w:kern w:val="0"/>
                    </w:rPr>
                    <w:t>1</w:t>
                  </w:r>
                  <w:r>
                    <w:rPr>
                      <w:bCs w:val="0"/>
                      <w:color w:val="auto"/>
                      <w:kern w:val="0"/>
                    </w:rPr>
                    <w:t>m</w:t>
                  </w:r>
                  <w:r>
                    <w:rPr>
                      <w:bCs w:val="0"/>
                      <w:color w:val="auto"/>
                      <w:kern w:val="0"/>
                      <w:vertAlign w:val="superscript"/>
                    </w:rPr>
                    <w:t>3</w:t>
                  </w:r>
                  <w:r>
                    <w:rPr>
                      <w:bCs w:val="0"/>
                      <w:color w:val="auto"/>
                      <w:kern w:val="0"/>
                    </w:rPr>
                    <w:t>的临时沉砂池、</w:t>
                  </w:r>
                  <w:r>
                    <w:rPr>
                      <w:rFonts w:hint="eastAsia"/>
                      <w:bCs w:val="0"/>
                      <w:color w:val="auto"/>
                      <w:kern w:val="0"/>
                    </w:rPr>
                    <w:t>2</w:t>
                  </w:r>
                  <w:r>
                    <w:rPr>
                      <w:bCs w:val="0"/>
                      <w:color w:val="auto"/>
                      <w:kern w:val="0"/>
                    </w:rPr>
                    <w:t>个</w:t>
                  </w:r>
                  <w:r>
                    <w:rPr>
                      <w:rFonts w:hint="eastAsia"/>
                      <w:bCs w:val="0"/>
                      <w:color w:val="auto"/>
                      <w:kern w:val="0"/>
                    </w:rPr>
                    <w:t>0.5</w:t>
                  </w:r>
                  <w:r>
                    <w:rPr>
                      <w:bCs w:val="0"/>
                      <w:color w:val="auto"/>
                      <w:kern w:val="0"/>
                    </w:rPr>
                    <w:t>m</w:t>
                  </w:r>
                  <w:r>
                    <w:rPr>
                      <w:bCs w:val="0"/>
                      <w:color w:val="auto"/>
                      <w:kern w:val="0"/>
                      <w:vertAlign w:val="superscript"/>
                    </w:rPr>
                    <w:t>3</w:t>
                  </w:r>
                  <w:r>
                    <w:rPr>
                      <w:bCs w:val="0"/>
                      <w:color w:val="auto"/>
                      <w:kern w:val="0"/>
                    </w:rPr>
                    <w:t>的临时沉砂池</w:t>
                  </w:r>
                  <w:r>
                    <w:rPr>
                      <w:rFonts w:hint="eastAsia"/>
                      <w:color w:val="auto"/>
                      <w:szCs w:val="21"/>
                    </w:rPr>
                    <w:t>及820m的截排水沟，主要用于施工生产区雨天地表径流的沉淀，沉淀后回用于施工生产区洒水降尘，不外排。</w:t>
                  </w:r>
                </w:p>
              </w:tc>
              <w:tc>
                <w:tcPr>
                  <w:tcW w:w="266" w:type="pct"/>
                  <w:vAlign w:val="center"/>
                </w:tcPr>
                <w:p>
                  <w:pPr>
                    <w:pStyle w:val="34"/>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vAlign w:val="center"/>
                </w:tcPr>
                <w:p>
                  <w:pPr>
                    <w:pStyle w:val="34"/>
                    <w:spacing w:line="360" w:lineRule="exact"/>
                    <w:rPr>
                      <w:color w:val="auto"/>
                      <w:szCs w:val="21"/>
                    </w:rPr>
                  </w:pPr>
                </w:p>
              </w:tc>
              <w:tc>
                <w:tcPr>
                  <w:tcW w:w="247" w:type="pct"/>
                  <w:vMerge w:val="continue"/>
                  <w:vAlign w:val="center"/>
                </w:tcPr>
                <w:p>
                  <w:pPr>
                    <w:pStyle w:val="34"/>
                    <w:spacing w:line="360" w:lineRule="exact"/>
                    <w:rPr>
                      <w:color w:val="auto"/>
                      <w:szCs w:val="21"/>
                    </w:rPr>
                  </w:pPr>
                </w:p>
              </w:tc>
              <w:tc>
                <w:tcPr>
                  <w:tcW w:w="349" w:type="pct"/>
                  <w:gridSpan w:val="2"/>
                  <w:vAlign w:val="center"/>
                </w:tcPr>
                <w:p>
                  <w:pPr>
                    <w:pStyle w:val="34"/>
                    <w:spacing w:line="360" w:lineRule="exact"/>
                    <w:rPr>
                      <w:color w:val="auto"/>
                      <w:szCs w:val="21"/>
                    </w:rPr>
                  </w:pPr>
                  <w:r>
                    <w:rPr>
                      <w:color w:val="auto"/>
                      <w:szCs w:val="21"/>
                    </w:rPr>
                    <w:t>运营期</w:t>
                  </w:r>
                </w:p>
              </w:tc>
              <w:tc>
                <w:tcPr>
                  <w:tcW w:w="369" w:type="pct"/>
                  <w:vAlign w:val="center"/>
                </w:tcPr>
                <w:p>
                  <w:pPr>
                    <w:pStyle w:val="34"/>
                    <w:spacing w:line="360" w:lineRule="exact"/>
                    <w:rPr>
                      <w:color w:val="auto"/>
                      <w:szCs w:val="21"/>
                    </w:rPr>
                  </w:pPr>
                  <w:r>
                    <w:rPr>
                      <w:color w:val="auto"/>
                      <w:szCs w:val="21"/>
                    </w:rPr>
                    <w:t>沉淀池</w:t>
                  </w:r>
                </w:p>
              </w:tc>
              <w:tc>
                <w:tcPr>
                  <w:tcW w:w="3361" w:type="pct"/>
                  <w:vAlign w:val="center"/>
                </w:tcPr>
                <w:p>
                  <w:pPr>
                    <w:pStyle w:val="34"/>
                    <w:spacing w:line="360" w:lineRule="exact"/>
                    <w:ind w:firstLine="210" w:firstLineChars="100"/>
                    <w:jc w:val="both"/>
                    <w:rPr>
                      <w:color w:val="auto"/>
                      <w:szCs w:val="21"/>
                    </w:rPr>
                  </w:pPr>
                  <w:r>
                    <w:rPr>
                      <w:color w:val="auto"/>
                      <w:szCs w:val="21"/>
                    </w:rPr>
                    <w:t>项目运营期在二级泵站拟设置</w:t>
                  </w:r>
                  <w:r>
                    <w:rPr>
                      <w:rFonts w:hint="eastAsia"/>
                      <w:color w:val="auto"/>
                      <w:szCs w:val="21"/>
                    </w:rPr>
                    <w:t>1个7</w:t>
                  </w:r>
                  <w:r>
                    <w:rPr>
                      <w:color w:val="auto"/>
                      <w:szCs w:val="21"/>
                      <w:lang w:val="en-US"/>
                    </w:rPr>
                    <w:t>m</w:t>
                  </w:r>
                  <w:r>
                    <w:rPr>
                      <w:color w:val="auto"/>
                      <w:szCs w:val="21"/>
                      <w:vertAlign w:val="superscript"/>
                      <w:lang w:val="en-US"/>
                    </w:rPr>
                    <w:t>3</w:t>
                  </w:r>
                  <w:r>
                    <w:rPr>
                      <w:color w:val="auto"/>
                      <w:szCs w:val="21"/>
                      <w:lang w:val="en-US"/>
                    </w:rPr>
                    <w:t>沉淀池，产生的</w:t>
                  </w:r>
                  <w:r>
                    <w:rPr>
                      <w:color w:val="auto"/>
                      <w:szCs w:val="21"/>
                    </w:rPr>
                    <w:t>冲洗废水经沉淀后用于光伏泵站周围场地的洒水降尘，不外排。</w:t>
                  </w:r>
                </w:p>
              </w:tc>
              <w:tc>
                <w:tcPr>
                  <w:tcW w:w="266" w:type="pct"/>
                  <w:vAlign w:val="center"/>
                </w:tcPr>
                <w:p>
                  <w:pPr>
                    <w:pStyle w:val="34"/>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vAlign w:val="center"/>
                </w:tcPr>
                <w:p>
                  <w:pPr>
                    <w:pStyle w:val="34"/>
                    <w:spacing w:line="360" w:lineRule="exact"/>
                    <w:rPr>
                      <w:color w:val="auto"/>
                      <w:szCs w:val="21"/>
                    </w:rPr>
                  </w:pPr>
                </w:p>
              </w:tc>
              <w:tc>
                <w:tcPr>
                  <w:tcW w:w="597" w:type="pct"/>
                  <w:gridSpan w:val="3"/>
                  <w:vAlign w:val="center"/>
                </w:tcPr>
                <w:p>
                  <w:pPr>
                    <w:pStyle w:val="34"/>
                    <w:spacing w:line="360" w:lineRule="exact"/>
                    <w:rPr>
                      <w:color w:val="auto"/>
                      <w:szCs w:val="21"/>
                    </w:rPr>
                  </w:pPr>
                  <w:r>
                    <w:rPr>
                      <w:rFonts w:hint="eastAsia"/>
                      <w:color w:val="auto"/>
                      <w:szCs w:val="21"/>
                    </w:rPr>
                    <w:t>噪声</w:t>
                  </w:r>
                </w:p>
              </w:tc>
              <w:tc>
                <w:tcPr>
                  <w:tcW w:w="369" w:type="pct"/>
                  <w:vAlign w:val="center"/>
                </w:tcPr>
                <w:p>
                  <w:pPr>
                    <w:pStyle w:val="34"/>
                    <w:spacing w:line="360" w:lineRule="exact"/>
                    <w:rPr>
                      <w:color w:val="auto"/>
                      <w:szCs w:val="21"/>
                    </w:rPr>
                  </w:pPr>
                  <w:r>
                    <w:rPr>
                      <w:color w:val="auto"/>
                      <w:szCs w:val="21"/>
                    </w:rPr>
                    <w:t>临时围挡</w:t>
                  </w:r>
                </w:p>
              </w:tc>
              <w:tc>
                <w:tcPr>
                  <w:tcW w:w="3361" w:type="pct"/>
                  <w:vAlign w:val="center"/>
                </w:tcPr>
                <w:p>
                  <w:pPr>
                    <w:pStyle w:val="34"/>
                    <w:spacing w:line="360" w:lineRule="exact"/>
                    <w:ind w:firstLine="210" w:firstLineChars="100"/>
                    <w:jc w:val="both"/>
                    <w:rPr>
                      <w:color w:val="auto"/>
                    </w:rPr>
                  </w:pPr>
                  <w:r>
                    <w:rPr>
                      <w:rFonts w:hint="eastAsia"/>
                      <w:color w:val="auto"/>
                    </w:rPr>
                    <w:t>根据设计，项目拟对</w:t>
                  </w:r>
                  <w:r>
                    <w:rPr>
                      <w:color w:val="auto"/>
                    </w:rPr>
                    <w:t>施工</w:t>
                  </w:r>
                  <w:r>
                    <w:rPr>
                      <w:rFonts w:hint="eastAsia"/>
                      <w:color w:val="auto"/>
                    </w:rPr>
                    <w:t>生产区</w:t>
                  </w:r>
                  <w:r>
                    <w:rPr>
                      <w:color w:val="auto"/>
                    </w:rPr>
                    <w:t>设置高度为2.5m临时围挡</w:t>
                  </w:r>
                  <w:r>
                    <w:rPr>
                      <w:rFonts w:hint="eastAsia"/>
                      <w:color w:val="auto"/>
                    </w:rPr>
                    <w:t>。</w:t>
                  </w:r>
                </w:p>
              </w:tc>
              <w:tc>
                <w:tcPr>
                  <w:tcW w:w="266" w:type="pct"/>
                  <w:vAlign w:val="center"/>
                </w:tcPr>
                <w:p>
                  <w:pPr>
                    <w:pStyle w:val="34"/>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vAlign w:val="center"/>
                </w:tcPr>
                <w:p>
                  <w:pPr>
                    <w:pStyle w:val="34"/>
                    <w:spacing w:line="360" w:lineRule="exact"/>
                    <w:rPr>
                      <w:color w:val="auto"/>
                      <w:szCs w:val="21"/>
                    </w:rPr>
                  </w:pPr>
                </w:p>
              </w:tc>
              <w:tc>
                <w:tcPr>
                  <w:tcW w:w="298" w:type="pct"/>
                  <w:gridSpan w:val="2"/>
                  <w:vAlign w:val="center"/>
                </w:tcPr>
                <w:p>
                  <w:pPr>
                    <w:pStyle w:val="34"/>
                    <w:spacing w:line="360" w:lineRule="exact"/>
                    <w:rPr>
                      <w:color w:val="auto"/>
                      <w:szCs w:val="21"/>
                    </w:rPr>
                  </w:pPr>
                  <w:r>
                    <w:rPr>
                      <w:rFonts w:hint="eastAsia"/>
                      <w:color w:val="auto"/>
                      <w:szCs w:val="21"/>
                    </w:rPr>
                    <w:t>运营期</w:t>
                  </w:r>
                </w:p>
              </w:tc>
              <w:tc>
                <w:tcPr>
                  <w:tcW w:w="299" w:type="pct"/>
                  <w:vAlign w:val="center"/>
                </w:tcPr>
                <w:p>
                  <w:pPr>
                    <w:pStyle w:val="34"/>
                    <w:spacing w:line="360" w:lineRule="exact"/>
                    <w:rPr>
                      <w:color w:val="auto"/>
                      <w:szCs w:val="21"/>
                    </w:rPr>
                  </w:pPr>
                  <w:r>
                    <w:rPr>
                      <w:rFonts w:hint="eastAsia"/>
                      <w:color w:val="auto"/>
                      <w:szCs w:val="21"/>
                    </w:rPr>
                    <w:t>固体废物</w:t>
                  </w:r>
                </w:p>
              </w:tc>
              <w:tc>
                <w:tcPr>
                  <w:tcW w:w="369" w:type="pct"/>
                  <w:vAlign w:val="center"/>
                </w:tcPr>
                <w:p>
                  <w:pPr>
                    <w:pStyle w:val="34"/>
                    <w:spacing w:line="360" w:lineRule="exact"/>
                    <w:rPr>
                      <w:color w:val="auto"/>
                      <w:szCs w:val="21"/>
                    </w:rPr>
                  </w:pPr>
                  <w:r>
                    <w:rPr>
                      <w:color w:val="auto"/>
                      <w:szCs w:val="21"/>
                    </w:rPr>
                    <w:t>危险废物暂存间</w:t>
                  </w:r>
                </w:p>
              </w:tc>
              <w:tc>
                <w:tcPr>
                  <w:tcW w:w="3361" w:type="pct"/>
                  <w:vAlign w:val="center"/>
                </w:tcPr>
                <w:p>
                  <w:pPr>
                    <w:pStyle w:val="34"/>
                    <w:spacing w:line="360" w:lineRule="exact"/>
                    <w:ind w:firstLine="210" w:firstLineChars="100"/>
                    <w:jc w:val="both"/>
                    <w:rPr>
                      <w:color w:val="auto"/>
                      <w:lang w:val="en-US"/>
                    </w:rPr>
                  </w:pPr>
                  <w:r>
                    <w:rPr>
                      <w:rFonts w:hint="eastAsia"/>
                      <w:color w:val="auto"/>
                    </w:rPr>
                    <w:t>项目拟单独设置1个10m</w:t>
                  </w:r>
                  <w:r>
                    <w:rPr>
                      <w:rFonts w:hint="eastAsia"/>
                      <w:color w:val="auto"/>
                      <w:vertAlign w:val="superscript"/>
                    </w:rPr>
                    <w:t>2</w:t>
                  </w:r>
                  <w:r>
                    <w:rPr>
                      <w:rFonts w:hint="eastAsia"/>
                      <w:color w:val="auto"/>
                    </w:rPr>
                    <w:t>的危险废物暂存间，对损坏的组件及电路板及废机油进行分类暂存。。</w:t>
                  </w:r>
                </w:p>
              </w:tc>
              <w:tc>
                <w:tcPr>
                  <w:tcW w:w="266" w:type="pct"/>
                  <w:vAlign w:val="center"/>
                </w:tcPr>
                <w:p>
                  <w:pPr>
                    <w:pStyle w:val="34"/>
                    <w:spacing w:line="360" w:lineRule="exact"/>
                    <w:rPr>
                      <w:color w:val="auto"/>
                      <w:szCs w:val="21"/>
                      <w:lang w:val="en-US"/>
                    </w:rPr>
                  </w:pPr>
                  <w:r>
                    <w:rPr>
                      <w:rFonts w:hint="eastAsia"/>
                      <w:color w:val="auto"/>
                      <w:szCs w:val="21"/>
                      <w:lang w:val="en-US"/>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7" w:type="pct"/>
                  <w:vMerge w:val="continue"/>
                  <w:vAlign w:val="center"/>
                </w:tcPr>
                <w:p>
                  <w:pPr>
                    <w:pStyle w:val="34"/>
                    <w:spacing w:line="360" w:lineRule="exact"/>
                    <w:rPr>
                      <w:color w:val="auto"/>
                      <w:szCs w:val="21"/>
                    </w:rPr>
                  </w:pPr>
                </w:p>
              </w:tc>
              <w:tc>
                <w:tcPr>
                  <w:tcW w:w="597" w:type="pct"/>
                  <w:gridSpan w:val="3"/>
                  <w:vAlign w:val="center"/>
                </w:tcPr>
                <w:p>
                  <w:pPr>
                    <w:pStyle w:val="34"/>
                    <w:spacing w:line="360" w:lineRule="exact"/>
                    <w:rPr>
                      <w:color w:val="auto"/>
                      <w:szCs w:val="21"/>
                    </w:rPr>
                  </w:pPr>
                  <w:r>
                    <w:rPr>
                      <w:rFonts w:hint="eastAsia"/>
                      <w:color w:val="auto"/>
                      <w:szCs w:val="21"/>
                    </w:rPr>
                    <w:t>其他</w:t>
                  </w:r>
                </w:p>
              </w:tc>
              <w:tc>
                <w:tcPr>
                  <w:tcW w:w="369" w:type="pct"/>
                  <w:vAlign w:val="center"/>
                </w:tcPr>
                <w:p>
                  <w:pPr>
                    <w:pStyle w:val="34"/>
                    <w:spacing w:line="360" w:lineRule="exact"/>
                    <w:rPr>
                      <w:color w:val="auto"/>
                      <w:szCs w:val="21"/>
                    </w:rPr>
                  </w:pPr>
                  <w:r>
                    <w:rPr>
                      <w:color w:val="auto"/>
                      <w:szCs w:val="21"/>
                    </w:rPr>
                    <w:t>标识牌</w:t>
                  </w:r>
                </w:p>
              </w:tc>
              <w:tc>
                <w:tcPr>
                  <w:tcW w:w="3361" w:type="pct"/>
                  <w:vAlign w:val="center"/>
                </w:tcPr>
                <w:p>
                  <w:pPr>
                    <w:pStyle w:val="34"/>
                    <w:spacing w:line="360" w:lineRule="exact"/>
                    <w:ind w:firstLine="240" w:firstLineChars="100"/>
                    <w:jc w:val="both"/>
                    <w:rPr>
                      <w:color w:val="auto"/>
                      <w:sz w:val="24"/>
                      <w:szCs w:val="24"/>
                      <w:lang w:val="en-US"/>
                    </w:rPr>
                  </w:pPr>
                  <w:r>
                    <w:rPr>
                      <w:rFonts w:hint="eastAsia"/>
                      <w:color w:val="auto"/>
                      <w:sz w:val="24"/>
                      <w:szCs w:val="24"/>
                      <w:lang w:val="en-US"/>
                    </w:rPr>
                    <w:t>--</w:t>
                  </w:r>
                </w:p>
              </w:tc>
              <w:tc>
                <w:tcPr>
                  <w:tcW w:w="266" w:type="pct"/>
                  <w:vAlign w:val="center"/>
                </w:tcPr>
                <w:p>
                  <w:pPr>
                    <w:pStyle w:val="34"/>
                    <w:spacing w:line="360" w:lineRule="exact"/>
                    <w:rPr>
                      <w:color w:val="auto"/>
                      <w:szCs w:val="21"/>
                    </w:rPr>
                  </w:pPr>
                  <w:r>
                    <w:rPr>
                      <w:rFonts w:hint="eastAsia"/>
                      <w:color w:val="auto"/>
                      <w:szCs w:val="21"/>
                    </w:rPr>
                    <w:t>设计提出</w:t>
                  </w:r>
                </w:p>
              </w:tc>
            </w:tr>
          </w:tbl>
          <w:p>
            <w:pPr>
              <w:pStyle w:val="62"/>
              <w:snapToGrid w:val="0"/>
              <w:spacing w:line="360" w:lineRule="auto"/>
              <w:ind w:firstLine="240" w:firstLineChars="100"/>
              <w:rPr>
                <w:rFonts w:hAnsi="Times New Roman"/>
                <w:b/>
                <w:sz w:val="24"/>
                <w:szCs w:val="24"/>
              </w:rPr>
            </w:pPr>
            <w:r>
              <w:rPr>
                <w:rFonts w:hAnsi="Times New Roman"/>
                <w:b/>
                <w:sz w:val="24"/>
                <w:szCs w:val="24"/>
              </w:rPr>
              <w:t>2.</w:t>
            </w:r>
            <w:r>
              <w:rPr>
                <w:rFonts w:hint="eastAsia" w:hAnsi="Times New Roman"/>
                <w:b/>
                <w:sz w:val="24"/>
                <w:szCs w:val="24"/>
              </w:rPr>
              <w:t>3</w:t>
            </w:r>
            <w:r>
              <w:rPr>
                <w:rFonts w:hAnsi="Times New Roman"/>
                <w:b/>
                <w:sz w:val="24"/>
                <w:szCs w:val="24"/>
              </w:rPr>
              <w:t xml:space="preserve"> </w:t>
            </w:r>
            <w:r>
              <w:rPr>
                <w:rFonts w:hint="eastAsia" w:hAnsi="Times New Roman"/>
                <w:b/>
                <w:sz w:val="24"/>
                <w:szCs w:val="24"/>
              </w:rPr>
              <w:t>水源情况</w:t>
            </w:r>
            <w:r>
              <w:rPr>
                <w:rFonts w:hAnsi="Times New Roman"/>
                <w:b/>
                <w:sz w:val="24"/>
                <w:szCs w:val="24"/>
              </w:rPr>
              <w:t>及需水量</w:t>
            </w:r>
          </w:p>
          <w:p>
            <w:pPr>
              <w:pStyle w:val="62"/>
              <w:snapToGrid w:val="0"/>
              <w:spacing w:line="360" w:lineRule="auto"/>
              <w:ind w:firstLine="482"/>
              <w:rPr>
                <w:rFonts w:hAnsi="Times New Roman"/>
                <w:b/>
                <w:sz w:val="24"/>
                <w:szCs w:val="24"/>
              </w:rPr>
            </w:pPr>
            <w:r>
              <w:rPr>
                <w:rFonts w:hint="eastAsia" w:hAnsi="Times New Roman"/>
                <w:b/>
                <w:sz w:val="24"/>
                <w:szCs w:val="24"/>
              </w:rPr>
              <w:t>2.3.1 水源情况</w:t>
            </w:r>
          </w:p>
          <w:p>
            <w:pPr>
              <w:pStyle w:val="62"/>
              <w:snapToGrid w:val="0"/>
              <w:spacing w:line="360" w:lineRule="auto"/>
              <w:ind w:firstLine="480"/>
              <w:rPr>
                <w:rFonts w:hAnsi="Times New Roman"/>
                <w:sz w:val="24"/>
                <w:szCs w:val="24"/>
              </w:rPr>
            </w:pPr>
            <w:r>
              <w:rPr>
                <w:rFonts w:hint="eastAsia" w:hAnsi="Times New Roman"/>
                <w:sz w:val="24"/>
                <w:szCs w:val="24"/>
              </w:rPr>
              <w:t>根据项目《实施方案》，项目采用“光伏泵站+提水管道+新建高位水池”的模式为灌区供水，灌区区域为象鼻村灌区，灌溉面积2671亩，经过实地勘测后，灌区附近无自流灌溉水源供给，只能采用提水灌溉。项目水源点确定为白鹤滩水库上游的金沙江，提水位置为东川区拖布卡镇象鼻村昆明市东川区金沙江河段中提水。</w:t>
            </w:r>
          </w:p>
          <w:p>
            <w:pPr>
              <w:pStyle w:val="62"/>
              <w:snapToGrid w:val="0"/>
              <w:spacing w:line="360" w:lineRule="auto"/>
              <w:ind w:firstLine="480"/>
              <w:rPr>
                <w:rFonts w:hAnsi="Times New Roman"/>
                <w:sz w:val="24"/>
                <w:szCs w:val="24"/>
              </w:rPr>
            </w:pPr>
            <w:r>
              <w:rPr>
                <w:rFonts w:hint="eastAsia" w:hAnsi="Times New Roman"/>
                <w:sz w:val="24"/>
                <w:szCs w:val="24"/>
              </w:rPr>
              <w:t>白鹤滩水正常蓄水位825m高程，水库总库容206亿m</w:t>
            </w:r>
            <w:r>
              <w:rPr>
                <w:rFonts w:hint="eastAsia" w:hAnsi="Times New Roman"/>
                <w:sz w:val="24"/>
                <w:szCs w:val="24"/>
                <w:vertAlign w:val="superscript"/>
              </w:rPr>
              <w:t>3</w:t>
            </w:r>
            <w:r>
              <w:rPr>
                <w:rFonts w:hint="eastAsia" w:hAnsi="Times New Roman"/>
                <w:sz w:val="24"/>
                <w:szCs w:val="24"/>
              </w:rPr>
              <w:t>，调节库容104亿m</w:t>
            </w:r>
            <w:r>
              <w:rPr>
                <w:rFonts w:hint="eastAsia" w:hAnsi="Times New Roman"/>
                <w:sz w:val="24"/>
                <w:szCs w:val="24"/>
                <w:vertAlign w:val="superscript"/>
              </w:rPr>
              <w:t>3</w:t>
            </w:r>
            <w:r>
              <w:rPr>
                <w:rFonts w:hint="eastAsia" w:hAnsi="Times New Roman"/>
                <w:sz w:val="24"/>
                <w:szCs w:val="24"/>
              </w:rPr>
              <w:t>，防洪库容75亿m</w:t>
            </w:r>
            <w:r>
              <w:rPr>
                <w:rFonts w:hint="eastAsia" w:hAnsi="Times New Roman"/>
                <w:sz w:val="24"/>
                <w:szCs w:val="24"/>
                <w:vertAlign w:val="superscript"/>
              </w:rPr>
              <w:t>3</w:t>
            </w:r>
            <w:r>
              <w:rPr>
                <w:rFonts w:hint="eastAsia" w:hAnsi="Times New Roman"/>
                <w:sz w:val="24"/>
                <w:szCs w:val="24"/>
              </w:rPr>
              <w:t>，水源水量大，满足本项目的需水要求。白鹤滩水电站位于四川省凉山州宁南县和云南省昭通市巧家县境内，是金沙江下游干流河段梯级开发的第二个梯级电站，具有以发电为主，兼有防洪、拦沙、改善下游航运条件和发展库区通航等综合效益。白鹤滩水电站控制金沙江流域面积的91%，占长江宜昌以上流域面积的42.8%，年径流量4350万m</w:t>
            </w:r>
            <w:r>
              <w:rPr>
                <w:rFonts w:hint="eastAsia" w:hAnsi="Times New Roman"/>
                <w:sz w:val="24"/>
                <w:szCs w:val="24"/>
                <w:vertAlign w:val="superscript"/>
              </w:rPr>
              <w:t>3</w:t>
            </w:r>
            <w:r>
              <w:rPr>
                <w:rFonts w:hint="eastAsia" w:hAnsi="Times New Roman"/>
                <w:sz w:val="24"/>
                <w:szCs w:val="24"/>
              </w:rPr>
              <w:t>，占长江年径流量的45.72%；多年平均年输沙量1.849亿吨，占长江多年平均年输沙量的46.7%。</w:t>
            </w:r>
          </w:p>
          <w:p>
            <w:pPr>
              <w:pStyle w:val="62"/>
              <w:snapToGrid w:val="0"/>
              <w:spacing w:line="360" w:lineRule="auto"/>
              <w:ind w:firstLine="480"/>
              <w:rPr>
                <w:rFonts w:hAnsi="Times New Roman"/>
                <w:sz w:val="24"/>
                <w:szCs w:val="24"/>
              </w:rPr>
            </w:pPr>
            <w:r>
              <w:rPr>
                <w:rFonts w:hAnsi="Times New Roman"/>
                <w:sz w:val="24"/>
                <w:szCs w:val="24"/>
              </w:rPr>
              <w:t>白鹤滩库区属金沙江边河谷亚热带，具有典型的干热河谷特征。坝区多年平均气温21.7℃，多年平均降水量715.9mm，多年平均蒸发量2306.7mm；多年平均相对湿度63%。工程区域地处青藏高原东南缘，属川西南、滇东北高山与高原地貌单元，横断山系。</w:t>
            </w:r>
            <w:r>
              <w:rPr>
                <w:rFonts w:hint="eastAsia" w:hAnsi="Times New Roman"/>
                <w:sz w:val="24"/>
                <w:szCs w:val="24"/>
              </w:rPr>
              <w:t>白鹤滩坝址控制流域面积43.03万km</w:t>
            </w:r>
            <w:r>
              <w:rPr>
                <w:rFonts w:hint="eastAsia" w:hAnsi="Times New Roman"/>
                <w:sz w:val="24"/>
                <w:szCs w:val="24"/>
                <w:vertAlign w:val="superscript"/>
              </w:rPr>
              <w:t>2</w:t>
            </w:r>
            <w:r>
              <w:rPr>
                <w:rFonts w:hint="eastAsia" w:hAnsi="Times New Roman"/>
                <w:sz w:val="24"/>
                <w:szCs w:val="24"/>
              </w:rPr>
              <w:t>，多年平均流量4</w:t>
            </w:r>
            <w:r>
              <w:rPr>
                <w:rFonts w:hint="eastAsia" w:hAnsi="Times New Roman"/>
                <w:sz w:val="24"/>
                <w:szCs w:val="24"/>
                <w:lang w:eastAsia="zh-CN"/>
              </w:rPr>
              <w:t>***</w:t>
            </w:r>
            <w:r>
              <w:rPr>
                <w:rFonts w:hint="eastAsia" w:hAnsi="Times New Roman"/>
                <w:sz w:val="24"/>
                <w:szCs w:val="24"/>
              </w:rPr>
              <w:t>m</w:t>
            </w:r>
            <w:r>
              <w:rPr>
                <w:rFonts w:hint="eastAsia" w:hAnsi="Times New Roman"/>
                <w:sz w:val="24"/>
                <w:szCs w:val="24"/>
                <w:vertAlign w:val="superscript"/>
              </w:rPr>
              <w:t>3</w:t>
            </w:r>
            <w:r>
              <w:rPr>
                <w:rFonts w:hint="eastAsia" w:hAnsi="Times New Roman"/>
                <w:sz w:val="24"/>
                <w:szCs w:val="24"/>
              </w:rPr>
              <w:t>/s，多年平均径流量1321亿m</w:t>
            </w:r>
            <w:r>
              <w:rPr>
                <w:rFonts w:hint="eastAsia" w:hAnsi="Times New Roman"/>
                <w:sz w:val="24"/>
                <w:szCs w:val="24"/>
                <w:vertAlign w:val="superscript"/>
              </w:rPr>
              <w:t>3</w:t>
            </w:r>
            <w:r>
              <w:rPr>
                <w:rFonts w:hint="eastAsia" w:hAnsi="Times New Roman"/>
                <w:sz w:val="24"/>
                <w:szCs w:val="24"/>
              </w:rPr>
              <w:t>。年内径流主要集中于6~10月份，占年径流量的75.9%；3月份月平均流量最小。金沙江洪水主要由暴雨形成，百年一遇洪峰流量达31100m</w:t>
            </w:r>
            <w:r>
              <w:rPr>
                <w:rFonts w:hint="eastAsia" w:hAnsi="Times New Roman"/>
                <w:sz w:val="24"/>
                <w:szCs w:val="24"/>
                <w:vertAlign w:val="superscript"/>
              </w:rPr>
              <w:t>3</w:t>
            </w:r>
            <w:r>
              <w:rPr>
                <w:rFonts w:hint="eastAsia" w:hAnsi="Times New Roman"/>
                <w:sz w:val="24"/>
                <w:szCs w:val="24"/>
              </w:rPr>
              <w:t>/s。金沙江水体中泥沙含量高。白鹤滩坝址位于新构造稳定相对较好的大凉山二级新构造区块体内，具有相对较好的区域构造稳定条件。地下水类型主要为覆盖层孔隙水、基岩裂隙水，大气降水是该区地下水的主要补给来源。</w:t>
            </w:r>
          </w:p>
          <w:p>
            <w:pPr>
              <w:pStyle w:val="62"/>
              <w:snapToGrid w:val="0"/>
              <w:spacing w:line="360" w:lineRule="auto"/>
              <w:ind w:firstLine="482"/>
              <w:rPr>
                <w:rFonts w:hAnsi="Times New Roman"/>
                <w:b/>
                <w:sz w:val="24"/>
                <w:szCs w:val="24"/>
              </w:rPr>
            </w:pPr>
            <w:r>
              <w:rPr>
                <w:rFonts w:hint="eastAsia" w:hAnsi="Times New Roman"/>
                <w:b/>
                <w:sz w:val="24"/>
                <w:szCs w:val="24"/>
              </w:rPr>
              <w:t>2.3.2 需水量</w:t>
            </w:r>
          </w:p>
          <w:p>
            <w:pPr>
              <w:pStyle w:val="62"/>
              <w:snapToGrid w:val="0"/>
              <w:spacing w:line="360" w:lineRule="auto"/>
              <w:ind w:firstLine="480"/>
              <w:rPr>
                <w:rFonts w:hAnsi="Times New Roman"/>
                <w:sz w:val="24"/>
                <w:szCs w:val="24"/>
              </w:rPr>
            </w:pPr>
            <w:r>
              <w:rPr>
                <w:rFonts w:hint="eastAsia" w:hAnsi="Times New Roman"/>
                <w:sz w:val="24"/>
                <w:szCs w:val="24"/>
              </w:rPr>
              <w:t>根据项目《实施方案》，项目象鼻村灌区主要种植玉米、洋芋、小麦、花椒和黄桃，全年7、8、9、10月份均不用灌溉。灌溉方式采用低压管道输水灌溉，</w:t>
            </w:r>
            <w:r>
              <w:rPr>
                <w:rFonts w:hAnsi="Times New Roman" w:eastAsiaTheme="minorEastAsia"/>
                <w:sz w:val="24"/>
                <w:szCs w:val="24"/>
              </w:rPr>
              <w:t>通过光伏发电提供电力带动水泵将</w:t>
            </w:r>
            <w:r>
              <w:rPr>
                <w:rFonts w:hint="eastAsia" w:hAnsi="Times New Roman"/>
                <w:sz w:val="24"/>
                <w:szCs w:val="24"/>
              </w:rPr>
              <w:t>水源提水到取水池后，通过布设管道提水至项目区新建的高位水池，再通过输水管分至个各灌溉区域的新建或已建水池后，由农户自行接管灌溉</w:t>
            </w:r>
            <w:r>
              <w:rPr>
                <w:rFonts w:hAnsi="Times New Roman" w:eastAsiaTheme="minorEastAsia"/>
                <w:sz w:val="24"/>
                <w:szCs w:val="24"/>
              </w:rPr>
              <w:t>。</w:t>
            </w:r>
          </w:p>
          <w:p>
            <w:pPr>
              <w:pStyle w:val="62"/>
              <w:snapToGrid w:val="0"/>
              <w:spacing w:line="360" w:lineRule="auto"/>
              <w:ind w:firstLine="480"/>
              <w:rPr>
                <w:rFonts w:hAnsi="Times New Roman"/>
                <w:sz w:val="24"/>
                <w:szCs w:val="24"/>
              </w:rPr>
            </w:pPr>
            <w:r>
              <w:rPr>
                <w:rFonts w:hint="eastAsia" w:hAnsi="Times New Roman"/>
                <w:sz w:val="24"/>
                <w:szCs w:val="24"/>
              </w:rPr>
              <w:t>（1）万亩综合用水</w:t>
            </w:r>
          </w:p>
          <w:p>
            <w:pPr>
              <w:pStyle w:val="62"/>
              <w:snapToGrid w:val="0"/>
              <w:spacing w:line="360" w:lineRule="auto"/>
              <w:ind w:firstLine="480"/>
              <w:rPr>
                <w:rFonts w:hAnsi="Times New Roman"/>
                <w:sz w:val="24"/>
                <w:szCs w:val="24"/>
              </w:rPr>
            </w:pPr>
            <w:r>
              <w:rPr>
                <w:rFonts w:hint="eastAsia" w:hAnsi="Times New Roman"/>
                <w:sz w:val="24"/>
                <w:szCs w:val="24"/>
              </w:rPr>
              <w:t>项目区采用管道输水，灌溉水利用系数为0.86，象鼻村万亩综合净定额为66.90万m</w:t>
            </w:r>
            <w:r>
              <w:rPr>
                <w:rFonts w:hint="eastAsia" w:hAnsi="Times New Roman"/>
                <w:sz w:val="24"/>
                <w:szCs w:val="24"/>
                <w:vertAlign w:val="superscript"/>
              </w:rPr>
              <w:t>3</w:t>
            </w:r>
            <w:r>
              <w:rPr>
                <w:rFonts w:hint="eastAsia" w:hAnsi="Times New Roman"/>
                <w:sz w:val="24"/>
                <w:szCs w:val="24"/>
              </w:rPr>
              <w:t>/万亩，手定额为77.79万m</w:t>
            </w:r>
            <w:r>
              <w:rPr>
                <w:rFonts w:hint="eastAsia" w:hAnsi="Times New Roman"/>
                <w:sz w:val="24"/>
                <w:szCs w:val="24"/>
                <w:vertAlign w:val="superscript"/>
              </w:rPr>
              <w:t>3</w:t>
            </w:r>
            <w:r>
              <w:rPr>
                <w:rFonts w:hint="eastAsia" w:hAnsi="Times New Roman"/>
                <w:sz w:val="24"/>
                <w:szCs w:val="24"/>
              </w:rPr>
              <w:t>/万亩，象鼻村灌区2671亩灌溉毛用水量为20.78万m</w:t>
            </w:r>
            <w:r>
              <w:rPr>
                <w:rFonts w:hint="eastAsia" w:hAnsi="Times New Roman"/>
                <w:sz w:val="24"/>
                <w:szCs w:val="24"/>
                <w:vertAlign w:val="superscript"/>
              </w:rPr>
              <w:t>3</w:t>
            </w:r>
            <w:r>
              <w:rPr>
                <w:rFonts w:hint="eastAsia" w:hAnsi="Times New Roman"/>
                <w:sz w:val="24"/>
                <w:szCs w:val="24"/>
              </w:rPr>
              <w:t>，灌区水平年万亩综合用水过程见下表。</w:t>
            </w:r>
          </w:p>
          <w:p>
            <w:pPr>
              <w:pStyle w:val="62"/>
              <w:snapToGrid w:val="0"/>
              <w:spacing w:line="240" w:lineRule="auto"/>
              <w:ind w:firstLine="0" w:firstLineChars="0"/>
              <w:jc w:val="center"/>
              <w:rPr>
                <w:rFonts w:hAnsi="Times New Roman"/>
                <w:b/>
                <w:sz w:val="21"/>
                <w:szCs w:val="21"/>
              </w:rPr>
            </w:pPr>
            <w:r>
              <w:rPr>
                <w:rFonts w:hAnsi="Times New Roman"/>
                <w:b/>
                <w:sz w:val="21"/>
                <w:szCs w:val="21"/>
              </w:rPr>
              <w:t>表2.</w:t>
            </w:r>
            <w:r>
              <w:rPr>
                <w:rFonts w:hint="eastAsia" w:hAnsi="Times New Roman"/>
                <w:b/>
                <w:sz w:val="21"/>
                <w:szCs w:val="21"/>
              </w:rPr>
              <w:t>3.2</w:t>
            </w:r>
            <w:r>
              <w:rPr>
                <w:rFonts w:hAnsi="Times New Roman"/>
                <w:b/>
                <w:sz w:val="21"/>
                <w:szCs w:val="21"/>
              </w:rPr>
              <w:t>-1 项目灌区作物综合万亩用水过程线</w:t>
            </w:r>
            <w:r>
              <w:rPr>
                <w:rFonts w:hint="eastAsia" w:hAnsi="Times New Roman"/>
                <w:b/>
                <w:sz w:val="21"/>
                <w:szCs w:val="21"/>
              </w:rPr>
              <w:t xml:space="preserve">  单位：万m</w:t>
            </w:r>
            <w:r>
              <w:rPr>
                <w:rFonts w:hint="eastAsia" w:hAnsi="Times New Roman"/>
                <w:b/>
                <w:sz w:val="21"/>
                <w:szCs w:val="21"/>
                <w:vertAlign w:val="superscript"/>
              </w:rPr>
              <w:t>3</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14"/>
              <w:gridCol w:w="838"/>
              <w:gridCol w:w="949"/>
              <w:gridCol w:w="947"/>
              <w:gridCol w:w="947"/>
              <w:gridCol w:w="947"/>
              <w:gridCol w:w="947"/>
              <w:gridCol w:w="84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restar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名称</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种植比例</w:t>
                  </w:r>
                </w:p>
              </w:tc>
              <w:tc>
                <w:tcPr>
                  <w:tcW w:w="4193" w:type="pct"/>
                  <w:gridSpan w:val="8"/>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 w:type="pct"/>
                  <w:vMerge w:val="continue"/>
                  <w:shd w:val="clear" w:color="auto" w:fill="auto"/>
                  <w:vAlign w:val="center"/>
                </w:tcPr>
                <w:p>
                  <w:pPr>
                    <w:autoSpaceDE w:val="0"/>
                    <w:autoSpaceDN w:val="0"/>
                    <w:spacing w:line="360" w:lineRule="exact"/>
                    <w:jc w:val="center"/>
                    <w:rPr>
                      <w:rFonts w:ascii="Times New Roman" w:hAnsi="Times New Roman" w:cs="Times New Roman"/>
                    </w:rPr>
                  </w:pP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1月</w:t>
                  </w:r>
                </w:p>
              </w:tc>
              <w:tc>
                <w:tcPr>
                  <w:tcW w:w="551"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2月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3月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4月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5月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6月</w:t>
                  </w:r>
                </w:p>
              </w:tc>
              <w:tc>
                <w:tcPr>
                  <w:tcW w:w="488"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11月</w:t>
                  </w:r>
                </w:p>
              </w:tc>
              <w:tc>
                <w:tcPr>
                  <w:tcW w:w="46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洋芋</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玉米</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1.1</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0.9</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花椒</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黄桃</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小麦</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2.4</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7" w:type="pct"/>
                  <w:gridSpan w:val="2"/>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万亩灌溉净用水量</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13.1</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8.7</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2.4</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7" w:type="pct"/>
                  <w:gridSpan w:val="2"/>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万亩灌溉</w:t>
                  </w:r>
                  <w:r>
                    <w:rPr>
                      <w:rFonts w:hint="eastAsia" w:ascii="Times New Roman" w:hAnsi="Times New Roman" w:cs="Times New Roman"/>
                    </w:rPr>
                    <w:t>毛</w:t>
                  </w:r>
                  <w:r>
                    <w:rPr>
                      <w:rFonts w:ascii="Times New Roman" w:hAnsi="Times New Roman" w:cs="Times New Roman"/>
                    </w:rPr>
                    <w:t>用水量</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6.98</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10.47</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13.95</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15.23</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12.67</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10.12</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2.79</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7" w:type="pct"/>
                  <w:gridSpan w:val="2"/>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2671亩</w:t>
                  </w:r>
                  <w:r>
                    <w:rPr>
                      <w:rFonts w:ascii="Times New Roman" w:hAnsi="Times New Roman" w:cs="Times New Roman"/>
                    </w:rPr>
                    <w:t>灌溉毛用水量</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3.73</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4.07</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3.39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0.75</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1.48</w:t>
                  </w:r>
                </w:p>
              </w:tc>
            </w:tr>
          </w:tbl>
          <w:p>
            <w:pPr>
              <w:pStyle w:val="62"/>
              <w:snapToGrid w:val="0"/>
              <w:spacing w:line="360" w:lineRule="auto"/>
              <w:ind w:firstLine="480"/>
              <w:rPr>
                <w:rFonts w:hAnsi="Times New Roman"/>
                <w:sz w:val="24"/>
                <w:szCs w:val="24"/>
              </w:rPr>
            </w:pPr>
            <w:r>
              <w:rPr>
                <w:rFonts w:hint="eastAsia" w:hAnsi="Times New Roman"/>
                <w:sz w:val="24"/>
                <w:szCs w:val="24"/>
              </w:rPr>
              <w:t>（2）灌区水量平衡分析</w:t>
            </w:r>
          </w:p>
          <w:p>
            <w:pPr>
              <w:pStyle w:val="62"/>
              <w:snapToGrid w:val="0"/>
              <w:spacing w:line="360" w:lineRule="auto"/>
              <w:ind w:firstLine="480"/>
              <w:rPr>
                <w:rFonts w:hAnsi="Times New Roman"/>
                <w:sz w:val="24"/>
                <w:szCs w:val="24"/>
              </w:rPr>
            </w:pPr>
            <w:r>
              <w:rPr>
                <w:rFonts w:hint="eastAsia" w:hAnsi="Times New Roman"/>
                <w:sz w:val="24"/>
                <w:szCs w:val="24"/>
              </w:rPr>
              <w:t>项目灌溉面积为2671亩，项目取水水源为昆明市东川区金沙江河段中提水，最大提水流量为75.34m</w:t>
            </w:r>
            <w:r>
              <w:rPr>
                <w:rFonts w:hint="eastAsia" w:hAnsi="Times New Roman"/>
                <w:sz w:val="24"/>
                <w:szCs w:val="24"/>
                <w:vertAlign w:val="superscript"/>
              </w:rPr>
              <w:t>3</w:t>
            </w:r>
            <w:r>
              <w:rPr>
                <w:rFonts w:hint="eastAsia" w:hAnsi="Times New Roman"/>
                <w:sz w:val="24"/>
                <w:szCs w:val="24"/>
              </w:rPr>
              <w:t>/h，年取水量20.78万m</w:t>
            </w:r>
            <w:r>
              <w:rPr>
                <w:rFonts w:hint="eastAsia" w:hAnsi="Times New Roman"/>
                <w:sz w:val="24"/>
                <w:szCs w:val="24"/>
                <w:vertAlign w:val="superscript"/>
              </w:rPr>
              <w:t>3</w:t>
            </w:r>
            <w:r>
              <w:rPr>
                <w:rFonts w:hint="eastAsia" w:hAnsi="Times New Roman"/>
                <w:sz w:val="24"/>
                <w:szCs w:val="24"/>
              </w:rPr>
              <w:t>，占多年平均径流量4170亿m</w:t>
            </w:r>
            <w:r>
              <w:rPr>
                <w:rFonts w:hint="eastAsia" w:hAnsi="Times New Roman"/>
                <w:sz w:val="24"/>
                <w:szCs w:val="24"/>
                <w:vertAlign w:val="superscript"/>
              </w:rPr>
              <w:t>3</w:t>
            </w:r>
            <w:r>
              <w:rPr>
                <w:rFonts w:hint="eastAsia" w:hAnsi="Times New Roman"/>
                <w:sz w:val="24"/>
                <w:szCs w:val="24"/>
              </w:rPr>
              <w:t>的比例较小，通过水量盈亏分析，金沙江白鹤滩水库的水量水源充足，满足项目区的需水要求。具体见下表。</w:t>
            </w:r>
          </w:p>
          <w:p>
            <w:pPr>
              <w:pStyle w:val="62"/>
              <w:snapToGrid w:val="0"/>
              <w:spacing w:line="240" w:lineRule="auto"/>
              <w:ind w:firstLine="0" w:firstLineChars="0"/>
              <w:jc w:val="center"/>
              <w:rPr>
                <w:rFonts w:hAnsi="Times New Roman"/>
                <w:b/>
                <w:sz w:val="21"/>
                <w:szCs w:val="21"/>
              </w:rPr>
            </w:pPr>
            <w:r>
              <w:rPr>
                <w:rFonts w:hAnsi="Times New Roman"/>
                <w:b/>
                <w:sz w:val="21"/>
                <w:szCs w:val="21"/>
              </w:rPr>
              <w:t>表2.</w:t>
            </w:r>
            <w:r>
              <w:rPr>
                <w:rFonts w:hint="eastAsia" w:hAnsi="Times New Roman"/>
                <w:b/>
                <w:sz w:val="21"/>
                <w:szCs w:val="21"/>
              </w:rPr>
              <w:t>3.2</w:t>
            </w:r>
            <w:r>
              <w:rPr>
                <w:rFonts w:hAnsi="Times New Roman"/>
                <w:b/>
                <w:sz w:val="21"/>
                <w:szCs w:val="21"/>
              </w:rPr>
              <w:t>-</w:t>
            </w:r>
            <w:r>
              <w:rPr>
                <w:rFonts w:hint="eastAsia" w:hAnsi="Times New Roman"/>
                <w:b/>
                <w:sz w:val="21"/>
                <w:szCs w:val="21"/>
              </w:rPr>
              <w:t>2 项目灌区水量平衡分析表  单位：万m</w:t>
            </w:r>
            <w:r>
              <w:rPr>
                <w:rFonts w:hint="eastAsia" w:hAnsi="Times New Roman"/>
                <w:b/>
                <w:sz w:val="21"/>
                <w:szCs w:val="21"/>
                <w:vertAlign w:val="superscript"/>
              </w:rPr>
              <w:t>3</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63"/>
              <w:gridCol w:w="689"/>
              <w:gridCol w:w="550"/>
              <w:gridCol w:w="571"/>
              <w:gridCol w:w="564"/>
              <w:gridCol w:w="527"/>
              <w:gridCol w:w="584"/>
              <w:gridCol w:w="584"/>
              <w:gridCol w:w="584"/>
              <w:gridCol w:w="689"/>
              <w:gridCol w:w="689"/>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restar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项目</w:t>
                  </w:r>
                </w:p>
              </w:tc>
              <w:tc>
                <w:tcPr>
                  <w:tcW w:w="336" w:type="pct"/>
                  <w:vMerge w:val="restar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单位</w:t>
                  </w:r>
                </w:p>
              </w:tc>
              <w:tc>
                <w:tcPr>
                  <w:tcW w:w="4300" w:type="pct"/>
                  <w:gridSpan w:val="12"/>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Merge w:val="continue"/>
                  <w:shd w:val="clear" w:color="auto" w:fill="auto"/>
                  <w:vAlign w:val="center"/>
                </w:tcPr>
                <w:p>
                  <w:pPr>
                    <w:autoSpaceDE w:val="0"/>
                    <w:autoSpaceDN w:val="0"/>
                    <w:spacing w:line="360" w:lineRule="exact"/>
                    <w:jc w:val="center"/>
                    <w:rPr>
                      <w:rFonts w:ascii="Times New Roman" w:hAnsi="Times New Roman" w:cs="Times New Roman"/>
                    </w:rPr>
                  </w:pPr>
                </w:p>
              </w:tc>
              <w:tc>
                <w:tcPr>
                  <w:tcW w:w="336" w:type="pct"/>
                  <w:vMerge w:val="continue"/>
                  <w:shd w:val="clear" w:color="auto" w:fill="auto"/>
                  <w:vAlign w:val="center"/>
                </w:tcPr>
                <w:p>
                  <w:pPr>
                    <w:autoSpaceDE w:val="0"/>
                    <w:autoSpaceDN w:val="0"/>
                    <w:spacing w:line="360" w:lineRule="exact"/>
                    <w:jc w:val="center"/>
                    <w:rPr>
                      <w:rFonts w:ascii="Times New Roman" w:hAnsi="Times New Roman" w:cs="Times New Roman"/>
                    </w:rPr>
                  </w:pP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6</w:t>
                  </w:r>
                </w:p>
              </w:tc>
              <w:tc>
                <w:tcPr>
                  <w:tcW w:w="328"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7</w:t>
                  </w:r>
                </w:p>
              </w:tc>
              <w:tc>
                <w:tcPr>
                  <w:tcW w:w="34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8</w:t>
                  </w:r>
                </w:p>
              </w:tc>
              <w:tc>
                <w:tcPr>
                  <w:tcW w:w="33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9</w:t>
                  </w:r>
                </w:p>
              </w:tc>
              <w:tc>
                <w:tcPr>
                  <w:tcW w:w="314"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10</w:t>
                  </w:r>
                </w:p>
              </w:tc>
              <w:tc>
                <w:tcPr>
                  <w:tcW w:w="33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11</w:t>
                  </w:r>
                </w:p>
              </w:tc>
              <w:tc>
                <w:tcPr>
                  <w:tcW w:w="33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12</w:t>
                  </w:r>
                </w:p>
              </w:tc>
              <w:tc>
                <w:tcPr>
                  <w:tcW w:w="33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2</w:t>
                  </w:r>
                </w:p>
              </w:tc>
              <w:tc>
                <w:tcPr>
                  <w:tcW w:w="39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3</w:t>
                  </w:r>
                </w:p>
              </w:tc>
              <w:tc>
                <w:tcPr>
                  <w:tcW w:w="39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4</w:t>
                  </w:r>
                </w:p>
              </w:tc>
              <w:tc>
                <w:tcPr>
                  <w:tcW w:w="39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白鹤滩水库可供水量</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项目灌区面积</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亩</w:t>
                  </w:r>
                </w:p>
              </w:tc>
              <w:tc>
                <w:tcPr>
                  <w:tcW w:w="4300" w:type="pct"/>
                  <w:gridSpan w:val="12"/>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万亩综合用水过程线</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10.12</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2.79</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5.58</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6.98</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10.47</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13.95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15.23</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灌溉水利用系数</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300" w:type="pct"/>
                  <w:gridSpan w:val="12"/>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项目区需水过程线</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0.75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1.49</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1.86</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2.8</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3.73</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4.07</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水量盈亏（可供水量</w:t>
                  </w:r>
                  <w:r>
                    <w:rPr>
                      <w:rFonts w:hint="eastAsia" w:ascii="Times New Roman" w:hAnsi="Times New Roman" w:cs="Times New Roman"/>
                    </w:rPr>
                    <w:t>-需水量</w:t>
                  </w:r>
                  <w:r>
                    <w:rPr>
                      <w:rFonts w:ascii="Times New Roman" w:hAnsi="Times New Roman" w:cs="Times New Roman"/>
                    </w:rPr>
                    <w:t>）</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2.3</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4.25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3.51</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3.14</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2.2</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1.27</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0.93</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1.61</w:t>
                  </w:r>
                </w:p>
              </w:tc>
            </w:tr>
          </w:tbl>
          <w:p>
            <w:pPr>
              <w:pStyle w:val="62"/>
              <w:snapToGrid w:val="0"/>
              <w:spacing w:line="360" w:lineRule="auto"/>
              <w:ind w:firstLine="240" w:firstLineChars="100"/>
              <w:rPr>
                <w:rFonts w:hAnsi="Times New Roman"/>
                <w:b/>
                <w:sz w:val="24"/>
                <w:szCs w:val="24"/>
              </w:rPr>
            </w:pPr>
            <w:r>
              <w:rPr>
                <w:rFonts w:hAnsi="Times New Roman"/>
                <w:b/>
                <w:sz w:val="24"/>
                <w:szCs w:val="24"/>
              </w:rPr>
              <w:t>2.4 主要工程量及设备</w:t>
            </w:r>
          </w:p>
          <w:p>
            <w:pPr>
              <w:pStyle w:val="62"/>
              <w:snapToGrid w:val="0"/>
              <w:spacing w:line="360" w:lineRule="auto"/>
              <w:ind w:firstLine="482"/>
              <w:rPr>
                <w:rFonts w:hAnsi="Times New Roman"/>
                <w:b/>
                <w:sz w:val="24"/>
                <w:szCs w:val="24"/>
              </w:rPr>
            </w:pPr>
            <w:r>
              <w:rPr>
                <w:rFonts w:hAnsi="Times New Roman"/>
                <w:b/>
                <w:sz w:val="24"/>
                <w:szCs w:val="24"/>
              </w:rPr>
              <w:t>2.</w:t>
            </w:r>
            <w:r>
              <w:rPr>
                <w:rFonts w:hint="eastAsia" w:hAnsi="Times New Roman"/>
                <w:b/>
                <w:sz w:val="24"/>
                <w:szCs w:val="24"/>
              </w:rPr>
              <w:t>4</w:t>
            </w:r>
            <w:r>
              <w:rPr>
                <w:rFonts w:hAnsi="Times New Roman"/>
                <w:b/>
                <w:sz w:val="24"/>
                <w:szCs w:val="24"/>
              </w:rPr>
              <w:t>.1 主要工程量</w:t>
            </w:r>
          </w:p>
          <w:p>
            <w:pPr>
              <w:adjustRightInd w:val="0"/>
              <w:snapToGrid w:val="0"/>
              <w:ind w:firstLine="421" w:firstLineChars="200"/>
              <w:jc w:val="center"/>
              <w:rPr>
                <w:rFonts w:ascii="Times New Roman" w:hAnsi="Times New Roman" w:eastAsia="宋体" w:cs="Times New Roman"/>
                <w:b/>
              </w:rPr>
            </w:pPr>
            <w:r>
              <w:rPr>
                <w:rFonts w:ascii="Times New Roman" w:hAnsi="Times New Roman" w:eastAsia="宋体" w:cs="Times New Roman"/>
                <w:b/>
              </w:rPr>
              <w:t>表2</w:t>
            </w:r>
            <w:r>
              <w:rPr>
                <w:rFonts w:hint="eastAsia" w:ascii="Times New Roman" w:hAnsi="Times New Roman" w:eastAsia="宋体" w:cs="Times New Roman"/>
                <w:b/>
              </w:rPr>
              <w:t>.4.1</w:t>
            </w:r>
            <w:r>
              <w:rPr>
                <w:rFonts w:ascii="Times New Roman" w:hAnsi="Times New Roman" w:eastAsia="宋体" w:cs="Times New Roman"/>
                <w:b/>
              </w:rPr>
              <w:t>-</w:t>
            </w:r>
            <w:r>
              <w:rPr>
                <w:rFonts w:hint="eastAsia" w:ascii="Times New Roman" w:hAnsi="Times New Roman" w:eastAsia="宋体" w:cs="Times New Roman"/>
                <w:b/>
              </w:rPr>
              <w:t>1</w:t>
            </w:r>
            <w:r>
              <w:rPr>
                <w:rFonts w:ascii="Times New Roman" w:hAnsi="Times New Roman" w:eastAsia="宋体" w:cs="Times New Roman"/>
                <w:b/>
              </w:rPr>
              <w:t xml:space="preserve">  项目主要工程量一览表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5831"/>
              <w:gridCol w:w="87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序号</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名称</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单位</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提水工程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提水泵站</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一级取水工程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取水浮箱（尺寸4.0m×3.0m，含零配件）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浮筒</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DN150止回阀（1.6Mpa，H44X-16）</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DN150闸阀（1.6Mpa，Z41C-16C）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变径接头（铸铁，DN150×100）</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Y型一般压力表及配件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DN150钢制伸缩节（1.6Mpa）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二级取水工程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二级提水泵房（26m×6.5m，单层，层高5m）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hint="eastAsia" w:ascii="Times New Roman" w:hAnsi="Times New Roman" w:cs="Times New Roman" w:eastAsiaTheme="minorEastAsia"/>
                      <w:bCs/>
                      <w:kern w:val="0"/>
                      <w:lang w:eastAsia="zh-CN"/>
                    </w:rPr>
                  </w:pPr>
                  <w:r>
                    <w:rPr>
                      <w:rFonts w:hint="eastAsia" w:ascii="Times New Roman" w:hAnsi="Times New Roman" w:cs="Times New Roman"/>
                      <w:bCs/>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控制房（14m×4.5m，单层，层高4m）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φ325×80mm螺旋焊管（泵房、含内外防腐）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φ159×14mm无缝钢管（提水主管、含内外防腐）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φ159×14mm无缝钢管（泵房连接部分、含内外防腐）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φ159×12mm无缝钢管（提水主管、含内外防腐）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φ159×10mm无缝钢管（提水主管、含内外防腐）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φ159×8mm无缝钢管（提水主管、含内外防腐）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φ159×6mm无缝钢管（提水主管、含内外防腐）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Y型一般压力表及配件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DN150排沙阀（16Mpa）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DN150钢制伸缩节（16Mpa）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DN150闸阀（16Mpa，Z41X-100C）（水泵变径接主管处）</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DN150微阻缓闭止回阀（16Mpa，HH44X型号）</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DN150高压泄水阀（PN=16Mpa）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DN150泄压阀（PN=2.5Mpa）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DN150泄压阀（PN=2.5Mpa）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三）</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提水主管闸阀井</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四）</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一级提水镇支墩工程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B型镇墩工程（一级提水）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E型支墩工程（一级提水）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泵房外主管镇墩工程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泵房外主管支墩工程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五）</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二级提水镇支墩工程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1#镇墩（二级提水）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A型镇墩工程（适用于二级提水，桩号0+000～0+799段）</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B型镇墩工程（适用于二级提水，桩号0+799～4+590.30段）</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393.25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支墩工程（二级提水 ）</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六）</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300m³蓄水池（二级提水）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C20混泥土垫层</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C25混泥土池底</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C25混泥土池壁</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M10砂浆抹面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钢筋制安（含爬梯）</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C20钢筋混泥土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C20混泥土地面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铁门0.9m×2.0m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道</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钢盖板检修口（0.8m×1.0m,15cm厚）</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DN200闸阀（1.6Mpa,Z41X-16C）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DN200 热镀锌钢管（δ=6.0mm）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热镀锌钢管（δ=4.5mm）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 热镀锌钢管（δ=4.0mm）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热镀锌钢管排气孔（δ=4.5mm,1.5m/个×3个）</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不锈钢风帽（300型）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七）</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200m³蓄水池（一级提水）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M7.5浆砌石</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C25混泥土池底</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C25混泥土池壁</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M10砂浆抹面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钢筋制安（含爬梯）</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C20钢筋混泥土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C20混泥土地面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铁门0.9m×2.0m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道</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钢盖板检修口（0.8m×1.0m,15cm厚）</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DN200闸阀（1.6Mpa,Z41X-16C）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DN200 热镀锌钢管（δ=6.0mm）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热镀锌钢管（δ=4.5mm）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 热镀锌钢管（δ=4.0mm）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热镀锌钢管排气孔（δ=4.5mm,1.5m/个×3个）</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不锈钢风帽（300型）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八）</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光伏板基础</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光伏板C25钢筋混泥土基础</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九）</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光伏板附属工程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光伏板四周边坡被动防护网（规格：D0/08/150,1.5m高，含基础）（第一、二道防护）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光伏板碎石防冲层（宽1m，厚0.2m）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光伏板安装满堂脚手架（3.6m～5.2m）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光伏板安装新搭建满堂脚手架（3.6m～5.2m）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满堂脚手架拆除重复使用(3.6m～5.2m，计人工、</w:t>
                  </w:r>
                </w:p>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机械费用，材料按 10%损耗计取)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地间配水工程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地间管道工程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3539.04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3054.24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DN150×4.5mm 热镀锌钢管(地间主管)</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DN100×4.0mm 热镀锌钢管</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DN50×3.8mm 热镀锌钢管</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DN100×4.0mm 热镀锌钢管埋地段外防腐措施（面漆：环氧煤沥青漆一道，50um）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DN50×3.8mm 热镀锌钢管埋地段外防腐措施（面漆：环氧煤沥青漆一道，50um）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 xml:space="preserve">200m³蓄水池 </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M7.5浆砌石</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C25混泥土池底</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C25混泥土池壁</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M10砂浆抹面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钢筋制安（含爬梯）</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C20钢筋混泥土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C20混泥土地面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铁门0.9m×2.0m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道</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钢盖板检修口（0.8m×1.0m,15cm厚）</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DN200闸阀（1.6Mpa,Z41X-16C）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DN200 热镀锌钢管（δ=6.0mm）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热镀锌钢管（δ=4.5mm）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 热镀锌钢管（δ=4.0mm）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热镀锌钢管排气孔（δ=4.5mm,1.5m/个×3个）</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不锈钢风帽（300型）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3605.52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三）</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地间镇支墩工程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B型镇墩工程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C型镇墩工程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E型支墩工程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四）</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地间闸阀井工程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闸阀井（DN150 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DN150法兰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 闸阀(ZSXF-16，1.6MPa)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 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异径三通（DN200×150，壁厚 6mm）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 泄压阀（500X-25C 型，2.5MPa)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闸阀井（DN100 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DN100法兰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 闸阀(Z41X-16C，1.6MPa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 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异径三通（DN100×50，壁厚 4mm）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闸阀井（DN50 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DN50法兰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DN50 闸阀 (Z45X-16Q，1.6MPa)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DN50 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bl>
          <w:p>
            <w:pPr>
              <w:adjustRightInd w:val="0"/>
              <w:snapToGrid w:val="0"/>
              <w:ind w:firstLine="421" w:firstLineChars="200"/>
              <w:jc w:val="center"/>
              <w:rPr>
                <w:rFonts w:ascii="Times New Roman" w:hAnsi="Times New Roman" w:eastAsia="宋体" w:cs="Times New Roman"/>
                <w:b/>
              </w:rPr>
            </w:pPr>
            <w:r>
              <w:rPr>
                <w:rFonts w:ascii="Times New Roman" w:hAnsi="Times New Roman" w:eastAsia="宋体" w:cs="Times New Roman"/>
                <w:b/>
              </w:rPr>
              <w:t>表2</w:t>
            </w:r>
            <w:r>
              <w:rPr>
                <w:rFonts w:hint="eastAsia" w:ascii="Times New Roman" w:hAnsi="Times New Roman" w:eastAsia="宋体" w:cs="Times New Roman"/>
                <w:b/>
              </w:rPr>
              <w:t>.4.1</w:t>
            </w:r>
            <w:r>
              <w:rPr>
                <w:rFonts w:ascii="Times New Roman" w:hAnsi="Times New Roman" w:eastAsia="宋体" w:cs="Times New Roman"/>
                <w:b/>
              </w:rPr>
              <w:t>-</w:t>
            </w:r>
            <w:r>
              <w:rPr>
                <w:rFonts w:hint="eastAsia" w:ascii="Times New Roman" w:hAnsi="Times New Roman" w:eastAsia="宋体" w:cs="Times New Roman"/>
                <w:b/>
              </w:rPr>
              <w:t>2</w:t>
            </w:r>
            <w:r>
              <w:rPr>
                <w:rFonts w:ascii="Times New Roman" w:hAnsi="Times New Roman" w:eastAsia="宋体" w:cs="Times New Roman"/>
                <w:b/>
              </w:rPr>
              <w:t xml:space="preserve">  项目供水主管及配水主管水利计算一览表</w:t>
            </w:r>
          </w:p>
          <w:tbl>
            <w:tblPr>
              <w:tblStyle w:val="2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8"/>
              <w:gridCol w:w="784"/>
              <w:gridCol w:w="643"/>
              <w:gridCol w:w="645"/>
              <w:gridCol w:w="794"/>
              <w:gridCol w:w="584"/>
              <w:gridCol w:w="689"/>
              <w:gridCol w:w="899"/>
              <w:gridCol w:w="636"/>
              <w:gridCol w:w="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编号</w:t>
                  </w:r>
                </w:p>
              </w:tc>
              <w:tc>
                <w:tcPr>
                  <w:tcW w:w="488"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流量</w:t>
                  </w:r>
                  <w:r>
                    <w:rPr>
                      <w:rFonts w:hint="eastAsia" w:hAnsi="Times New Roman"/>
                      <w:sz w:val="21"/>
                      <w:szCs w:val="21"/>
                    </w:rPr>
                    <w:t>m</w:t>
                  </w:r>
                  <w:r>
                    <w:rPr>
                      <w:rFonts w:hint="eastAsia" w:hAnsi="Times New Roman"/>
                      <w:sz w:val="21"/>
                      <w:szCs w:val="21"/>
                      <w:vertAlign w:val="superscript"/>
                    </w:rPr>
                    <w:t>3</w:t>
                  </w:r>
                  <w:r>
                    <w:rPr>
                      <w:rFonts w:hint="eastAsia" w:hAnsi="Times New Roman"/>
                      <w:sz w:val="21"/>
                      <w:szCs w:val="21"/>
                    </w:rPr>
                    <w:t>/h</w:t>
                  </w:r>
                </w:p>
              </w:tc>
              <w:tc>
                <w:tcPr>
                  <w:tcW w:w="406"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内径</w:t>
                  </w:r>
                  <w:r>
                    <w:rPr>
                      <w:rFonts w:hint="eastAsia" w:hAnsi="Times New Roman"/>
                      <w:sz w:val="21"/>
                      <w:szCs w:val="21"/>
                    </w:rPr>
                    <w:t>mm</w:t>
                  </w:r>
                </w:p>
              </w:tc>
              <w:tc>
                <w:tcPr>
                  <w:tcW w:w="407"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壁厚</w:t>
                  </w:r>
                  <w:r>
                    <w:rPr>
                      <w:rFonts w:hint="eastAsia" w:hAnsi="Times New Roman"/>
                      <w:sz w:val="21"/>
                      <w:szCs w:val="21"/>
                    </w:rPr>
                    <w:t>mm</w:t>
                  </w:r>
                </w:p>
              </w:tc>
              <w:tc>
                <w:tcPr>
                  <w:tcW w:w="407"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长度</w:t>
                  </w:r>
                  <w:r>
                    <w:rPr>
                      <w:rFonts w:hint="eastAsia" w:hAnsi="Times New Roman"/>
                      <w:sz w:val="21"/>
                      <w:szCs w:val="21"/>
                    </w:rPr>
                    <w:t>m</w:t>
                  </w:r>
                </w:p>
              </w:tc>
              <w:tc>
                <w:tcPr>
                  <w:tcW w:w="325"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流速</w:t>
                  </w:r>
                  <w:r>
                    <w:rPr>
                      <w:rFonts w:hint="eastAsia" w:hAnsi="Times New Roman"/>
                      <w:sz w:val="21"/>
                      <w:szCs w:val="21"/>
                    </w:rPr>
                    <w:t>m/s</w:t>
                  </w:r>
                </w:p>
              </w:tc>
              <w:tc>
                <w:tcPr>
                  <w:tcW w:w="407"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地形高差</w:t>
                  </w:r>
                  <w:r>
                    <w:rPr>
                      <w:rFonts w:hint="eastAsia" w:hAnsi="Times New Roman"/>
                      <w:sz w:val="21"/>
                      <w:szCs w:val="21"/>
                    </w:rPr>
                    <w:t>m</w:t>
                  </w:r>
                </w:p>
              </w:tc>
              <w:tc>
                <w:tcPr>
                  <w:tcW w:w="407"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设计扬程</w:t>
                  </w:r>
                  <w:r>
                    <w:rPr>
                      <w:rFonts w:hint="eastAsia" w:hAnsi="Times New Roman"/>
                      <w:sz w:val="21"/>
                      <w:szCs w:val="21"/>
                    </w:rPr>
                    <w:t>m</w:t>
                  </w:r>
                </w:p>
              </w:tc>
              <w:tc>
                <w:tcPr>
                  <w:tcW w:w="408"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起点高程</w:t>
                  </w:r>
                  <w:r>
                    <w:rPr>
                      <w:rFonts w:hint="eastAsia" w:hAnsi="Times New Roman"/>
                      <w:sz w:val="21"/>
                      <w:szCs w:val="21"/>
                    </w:rPr>
                    <w:t>m</w:t>
                  </w:r>
                </w:p>
              </w:tc>
              <w:tc>
                <w:tcPr>
                  <w:tcW w:w="378"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终点高程</w:t>
                  </w:r>
                  <w:r>
                    <w:rPr>
                      <w:rFonts w:hint="eastAsia" w:hAnsi="Times New Roman"/>
                      <w:sz w:val="2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一级泵站</w:t>
                  </w:r>
                  <w:r>
                    <w:rPr>
                      <w:rFonts w:hint="eastAsia" w:hAnsi="Times New Roman"/>
                      <w:sz w:val="21"/>
                      <w:szCs w:val="21"/>
                    </w:rPr>
                    <w:t>-二级泵站</w:t>
                  </w:r>
                </w:p>
              </w:tc>
              <w:tc>
                <w:tcPr>
                  <w:tcW w:w="48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90</w:t>
                  </w:r>
                </w:p>
              </w:tc>
              <w:tc>
                <w:tcPr>
                  <w:tcW w:w="406"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4.5</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102</w:t>
                  </w:r>
                </w:p>
              </w:tc>
              <w:tc>
                <w:tcPr>
                  <w:tcW w:w="325"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1.6</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83</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86.62</w:t>
                  </w:r>
                </w:p>
              </w:tc>
              <w:tc>
                <w:tcPr>
                  <w:tcW w:w="40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765</w:t>
                  </w:r>
                </w:p>
              </w:tc>
              <w:tc>
                <w:tcPr>
                  <w:tcW w:w="37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848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2"/>
                    <w:snapToGrid w:val="0"/>
                    <w:spacing w:line="360" w:lineRule="exact"/>
                    <w:ind w:firstLine="0" w:firstLineChars="0"/>
                    <w:jc w:val="center"/>
                    <w:rPr>
                      <w:rFonts w:hAnsi="Times New Roman"/>
                      <w:sz w:val="21"/>
                      <w:szCs w:val="21"/>
                    </w:rPr>
                  </w:pPr>
                  <w:r>
                    <w:rPr>
                      <w:rFonts w:hAnsi="Times New Roman"/>
                      <w:sz w:val="21"/>
                      <w:szCs w:val="21"/>
                    </w:rPr>
                    <w:t>二级泵房，高程</w:t>
                  </w:r>
                  <w:r>
                    <w:rPr>
                      <w:rFonts w:hint="eastAsia" w:hAnsi="Times New Roman"/>
                      <w:sz w:val="21"/>
                      <w:szCs w:val="21"/>
                    </w:rPr>
                    <w:t>843m~桩号T0+373，高程1043m</w:t>
                  </w:r>
                </w:p>
              </w:tc>
              <w:tc>
                <w:tcPr>
                  <w:tcW w:w="48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406"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14</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373</w:t>
                  </w:r>
                </w:p>
              </w:tc>
              <w:tc>
                <w:tcPr>
                  <w:tcW w:w="325"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1.81</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200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1243.01</w:t>
                  </w:r>
                </w:p>
              </w:tc>
              <w:tc>
                <w:tcPr>
                  <w:tcW w:w="40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843</w:t>
                  </w:r>
                </w:p>
              </w:tc>
              <w:tc>
                <w:tcPr>
                  <w:tcW w:w="37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6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桩号T0+373</w:t>
                  </w:r>
                  <w:r>
                    <w:rPr>
                      <w:rFonts w:hAnsi="Times New Roman"/>
                      <w:sz w:val="21"/>
                      <w:szCs w:val="21"/>
                    </w:rPr>
                    <w:t>，高程</w:t>
                  </w:r>
                  <w:r>
                    <w:rPr>
                      <w:rFonts w:hint="eastAsia" w:hAnsi="Times New Roman"/>
                      <w:sz w:val="21"/>
                      <w:szCs w:val="21"/>
                    </w:rPr>
                    <w:t>1043m~桩号T0+799，高程1303m</w:t>
                  </w:r>
                </w:p>
              </w:tc>
              <w:tc>
                <w:tcPr>
                  <w:tcW w:w="48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406"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12</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471</w:t>
                  </w:r>
                </w:p>
              </w:tc>
              <w:tc>
                <w:tcPr>
                  <w:tcW w:w="325"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1.69</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260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1026.28</w:t>
                  </w:r>
                </w:p>
              </w:tc>
              <w:tc>
                <w:tcPr>
                  <w:tcW w:w="40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1043</w:t>
                  </w:r>
                </w:p>
              </w:tc>
              <w:tc>
                <w:tcPr>
                  <w:tcW w:w="37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1303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桩号T0+799</w:t>
                  </w:r>
                  <w:r>
                    <w:rPr>
                      <w:rFonts w:hAnsi="Times New Roman"/>
                      <w:sz w:val="21"/>
                      <w:szCs w:val="21"/>
                    </w:rPr>
                    <w:t>，高程</w:t>
                  </w:r>
                  <w:r>
                    <w:rPr>
                      <w:rFonts w:hint="eastAsia" w:hAnsi="Times New Roman"/>
                      <w:sz w:val="21"/>
                      <w:szCs w:val="21"/>
                    </w:rPr>
                    <w:t>1303m~桩号T1+480，高程1563m</w:t>
                  </w:r>
                </w:p>
              </w:tc>
              <w:tc>
                <w:tcPr>
                  <w:tcW w:w="48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406"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701</w:t>
                  </w:r>
                </w:p>
              </w:tc>
              <w:tc>
                <w:tcPr>
                  <w:tcW w:w="325"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1.59</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260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749.35</w:t>
                  </w:r>
                </w:p>
              </w:tc>
              <w:tc>
                <w:tcPr>
                  <w:tcW w:w="40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1303</w:t>
                  </w:r>
                </w:p>
              </w:tc>
              <w:tc>
                <w:tcPr>
                  <w:tcW w:w="37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桩号T1+480，高程1563m ~桩号T2+225，高程1763m</w:t>
                  </w:r>
                </w:p>
              </w:tc>
              <w:tc>
                <w:tcPr>
                  <w:tcW w:w="48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406"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8</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745</w:t>
                  </w:r>
                </w:p>
              </w:tc>
              <w:tc>
                <w:tcPr>
                  <w:tcW w:w="325"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200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465.4</w:t>
                  </w:r>
                </w:p>
              </w:tc>
              <w:tc>
                <w:tcPr>
                  <w:tcW w:w="40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1563</w:t>
                  </w:r>
                </w:p>
              </w:tc>
              <w:tc>
                <w:tcPr>
                  <w:tcW w:w="37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1763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桩号T2+225，高程1763m ~桩号T4+590.3，高程1940m</w:t>
                  </w:r>
                </w:p>
              </w:tc>
              <w:tc>
                <w:tcPr>
                  <w:tcW w:w="48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76</w:t>
                  </w:r>
                </w:p>
              </w:tc>
              <w:tc>
                <w:tcPr>
                  <w:tcW w:w="406"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6</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2365.3</w:t>
                  </w:r>
                </w:p>
              </w:tc>
              <w:tc>
                <w:tcPr>
                  <w:tcW w:w="325"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1.41</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177</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242.32</w:t>
                  </w:r>
                </w:p>
              </w:tc>
              <w:tc>
                <w:tcPr>
                  <w:tcW w:w="40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1763</w:t>
                  </w:r>
                </w:p>
              </w:tc>
              <w:tc>
                <w:tcPr>
                  <w:tcW w:w="37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1940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36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300m</w:t>
                  </w:r>
                  <w:r>
                    <w:rPr>
                      <w:rFonts w:hint="eastAsia" w:hAnsi="Times New Roman"/>
                      <w:sz w:val="21"/>
                      <w:szCs w:val="21"/>
                      <w:vertAlign w:val="superscript"/>
                    </w:rPr>
                    <w:t>3</w:t>
                  </w:r>
                  <w:r>
                    <w:rPr>
                      <w:rFonts w:hint="eastAsia" w:hAnsi="Times New Roman"/>
                      <w:sz w:val="21"/>
                      <w:szCs w:val="21"/>
                    </w:rPr>
                    <w:t>高位水池~1#蓄水池</w:t>
                  </w:r>
                </w:p>
              </w:tc>
              <w:tc>
                <w:tcPr>
                  <w:tcW w:w="48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40</w:t>
                  </w:r>
                </w:p>
              </w:tc>
              <w:tc>
                <w:tcPr>
                  <w:tcW w:w="406"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150</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4.5</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2940</w:t>
                  </w:r>
                </w:p>
              </w:tc>
              <w:tc>
                <w:tcPr>
                  <w:tcW w:w="325"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0.73</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20.06</w:t>
                  </w:r>
                </w:p>
              </w:tc>
              <w:tc>
                <w:tcPr>
                  <w:tcW w:w="407"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19.94</w:t>
                  </w:r>
                </w:p>
              </w:tc>
              <w:tc>
                <w:tcPr>
                  <w:tcW w:w="40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1930</w:t>
                  </w:r>
                </w:p>
              </w:tc>
              <w:tc>
                <w:tcPr>
                  <w:tcW w:w="378" w:type="pct"/>
                  <w:vAlign w:val="center"/>
                </w:tcPr>
                <w:p>
                  <w:pPr>
                    <w:pStyle w:val="62"/>
                    <w:snapToGrid w:val="0"/>
                    <w:spacing w:line="360" w:lineRule="exact"/>
                    <w:ind w:firstLine="0" w:firstLineChars="0"/>
                    <w:jc w:val="center"/>
                    <w:rPr>
                      <w:rFonts w:hAnsi="Times New Roman"/>
                      <w:sz w:val="21"/>
                      <w:szCs w:val="21"/>
                    </w:rPr>
                  </w:pPr>
                  <w:r>
                    <w:rPr>
                      <w:rFonts w:hint="eastAsia" w:hAnsi="Times New Roman"/>
                      <w:sz w:val="21"/>
                      <w:szCs w:val="21"/>
                    </w:rPr>
                    <w:t>1940</w:t>
                  </w:r>
                </w:p>
              </w:tc>
            </w:tr>
          </w:tbl>
          <w:p>
            <w:pPr>
              <w:pStyle w:val="62"/>
              <w:snapToGrid w:val="0"/>
              <w:spacing w:line="360" w:lineRule="auto"/>
              <w:ind w:firstLine="482"/>
              <w:rPr>
                <w:rFonts w:hAnsi="Times New Roman"/>
                <w:b/>
                <w:sz w:val="24"/>
                <w:szCs w:val="24"/>
              </w:rPr>
            </w:pPr>
            <w:r>
              <w:rPr>
                <w:rFonts w:hAnsi="Times New Roman"/>
                <w:b/>
                <w:sz w:val="24"/>
                <w:szCs w:val="24"/>
              </w:rPr>
              <w:t>2.</w:t>
            </w:r>
            <w:r>
              <w:rPr>
                <w:rFonts w:hint="eastAsia" w:hAnsi="Times New Roman"/>
                <w:b/>
                <w:sz w:val="24"/>
                <w:szCs w:val="24"/>
              </w:rPr>
              <w:t>4</w:t>
            </w:r>
            <w:r>
              <w:rPr>
                <w:rFonts w:hAnsi="Times New Roman"/>
                <w:b/>
                <w:sz w:val="24"/>
                <w:szCs w:val="24"/>
              </w:rPr>
              <w:t>.</w:t>
            </w:r>
            <w:r>
              <w:rPr>
                <w:rFonts w:hint="eastAsia" w:hAnsi="Times New Roman"/>
                <w:b/>
                <w:sz w:val="24"/>
                <w:szCs w:val="24"/>
              </w:rPr>
              <w:t>2</w:t>
            </w:r>
            <w:r>
              <w:rPr>
                <w:rFonts w:hAnsi="Times New Roman"/>
                <w:b/>
                <w:sz w:val="24"/>
                <w:szCs w:val="24"/>
              </w:rPr>
              <w:t xml:space="preserve"> 主要</w:t>
            </w:r>
            <w:r>
              <w:rPr>
                <w:rFonts w:hint="eastAsia" w:hAnsi="Times New Roman"/>
                <w:b/>
                <w:sz w:val="24"/>
                <w:szCs w:val="24"/>
              </w:rPr>
              <w:t>设备</w:t>
            </w:r>
          </w:p>
          <w:p>
            <w:pPr>
              <w:adjustRightInd w:val="0"/>
              <w:snapToGrid w:val="0"/>
              <w:ind w:firstLine="421" w:firstLineChars="200"/>
              <w:jc w:val="center"/>
              <w:rPr>
                <w:rFonts w:ascii="Times New Roman" w:hAnsi="Times New Roman" w:eastAsia="宋体" w:cs="Times New Roman"/>
                <w:b/>
              </w:rPr>
            </w:pPr>
            <w:r>
              <w:rPr>
                <w:rFonts w:ascii="Times New Roman" w:hAnsi="Times New Roman" w:eastAsia="宋体" w:cs="Times New Roman"/>
                <w:b/>
              </w:rPr>
              <w:t>表2</w:t>
            </w:r>
            <w:r>
              <w:rPr>
                <w:rFonts w:hint="eastAsia" w:ascii="Times New Roman" w:hAnsi="Times New Roman" w:eastAsia="宋体" w:cs="Times New Roman"/>
                <w:b/>
              </w:rPr>
              <w:t>.4.2</w:t>
            </w:r>
            <w:r>
              <w:rPr>
                <w:rFonts w:ascii="Times New Roman" w:hAnsi="Times New Roman" w:eastAsia="宋体" w:cs="Times New Roman"/>
                <w:b/>
              </w:rPr>
              <w:t>-</w:t>
            </w:r>
            <w:r>
              <w:rPr>
                <w:rFonts w:hint="eastAsia" w:ascii="Times New Roman" w:hAnsi="Times New Roman" w:eastAsia="宋体" w:cs="Times New Roman"/>
                <w:b/>
              </w:rPr>
              <w:t>1</w:t>
            </w:r>
            <w:r>
              <w:rPr>
                <w:rFonts w:ascii="Times New Roman" w:hAnsi="Times New Roman" w:eastAsia="宋体" w:cs="Times New Roman"/>
                <w:b/>
              </w:rPr>
              <w:t xml:space="preserve">  项目运营期设备一览表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870"/>
              <w:gridCol w:w="4404"/>
              <w:gridCol w:w="718"/>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序号</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设备名称</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规格及型号</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单位</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一</w:t>
                  </w:r>
                </w:p>
              </w:tc>
              <w:tc>
                <w:tcPr>
                  <w:tcW w:w="3644" w:type="pct"/>
                  <w:gridSpan w:val="2"/>
                  <w:vAlign w:val="center"/>
                </w:tcPr>
                <w:p>
                  <w:pPr>
                    <w:pStyle w:val="85"/>
                    <w:spacing w:line="360" w:lineRule="exact"/>
                    <w:rPr>
                      <w:rFonts w:ascii="Times New Roman" w:hAnsi="Times New Roman" w:cs="Times New Roman"/>
                      <w:sz w:val="21"/>
                    </w:rPr>
                  </w:pPr>
                  <w:r>
                    <w:rPr>
                      <w:rFonts w:ascii="Times New Roman" w:hAnsi="Times New Roman" w:cs="Times New Roman"/>
                      <w:sz w:val="21"/>
                    </w:rPr>
                    <w:t>水力设备及安装工程</w:t>
                  </w:r>
                </w:p>
              </w:tc>
              <w:tc>
                <w:tcPr>
                  <w:tcW w:w="417" w:type="pct"/>
                  <w:vAlign w:val="center"/>
                </w:tcPr>
                <w:p>
                  <w:pPr>
                    <w:pStyle w:val="85"/>
                    <w:spacing w:line="360" w:lineRule="exact"/>
                    <w:rPr>
                      <w:rFonts w:ascii="Times New Roman" w:hAnsi="Times New Roman" w:cs="Times New Roman"/>
                      <w:sz w:val="21"/>
                    </w:rPr>
                  </w:pPr>
                </w:p>
              </w:tc>
              <w:tc>
                <w:tcPr>
                  <w:tcW w:w="444" w:type="pct"/>
                  <w:vAlign w:val="center"/>
                </w:tcPr>
                <w:p>
                  <w:pPr>
                    <w:pStyle w:val="85"/>
                    <w:spacing w:line="3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1</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定频提水设备</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流量 19m</w:t>
                  </w:r>
                  <w:r>
                    <w:rPr>
                      <w:rFonts w:ascii="Times New Roman" w:hAnsi="Times New Roman" w:cs="Times New Roman"/>
                      <w:sz w:val="21"/>
                      <w:vertAlign w:val="superscript"/>
                    </w:rPr>
                    <w:t>3</w:t>
                  </w:r>
                  <w:r>
                    <w:rPr>
                      <w:rFonts w:ascii="Times New Roman" w:hAnsi="Times New Roman" w:cs="Times New Roman"/>
                      <w:sz w:val="21"/>
                    </w:rPr>
                    <w:t>/h；扬程 15.6MPa；</w:t>
                  </w:r>
                </w:p>
                <w:p>
                  <w:pPr>
                    <w:pStyle w:val="85"/>
                    <w:spacing w:line="360" w:lineRule="exact"/>
                    <w:jc w:val="both"/>
                    <w:rPr>
                      <w:rFonts w:ascii="Times New Roman" w:hAnsi="Times New Roman" w:cs="Times New Roman"/>
                      <w:sz w:val="21"/>
                    </w:rPr>
                  </w:pPr>
                  <w:r>
                    <w:rPr>
                      <w:rFonts w:ascii="Times New Roman" w:hAnsi="Times New Roman" w:cs="Times New Roman"/>
                      <w:sz w:val="21"/>
                    </w:rPr>
                    <w:t>转速不可调；电机：YE3-315L2-6 132kW；减速机：ZDY315-II，速比 4；底座：型材矩形底座，尺寸：3150mm×1550mm。</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2</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变频提水设备</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流量 19m</w:t>
                  </w:r>
                  <w:r>
                    <w:rPr>
                      <w:rFonts w:ascii="Times New Roman" w:hAnsi="Times New Roman" w:cs="Times New Roman"/>
                      <w:sz w:val="21"/>
                      <w:vertAlign w:val="superscript"/>
                    </w:rPr>
                    <w:t>3</w:t>
                  </w:r>
                  <w:r>
                    <w:rPr>
                      <w:rFonts w:ascii="Times New Roman" w:hAnsi="Times New Roman" w:cs="Times New Roman"/>
                      <w:sz w:val="21"/>
                    </w:rPr>
                    <w:t>/h；扬程15.6MPa；</w:t>
                  </w:r>
                </w:p>
                <w:p>
                  <w:pPr>
                    <w:pStyle w:val="85"/>
                    <w:spacing w:line="360" w:lineRule="exact"/>
                    <w:rPr>
                      <w:rFonts w:ascii="Times New Roman" w:hAnsi="Times New Roman" w:cs="Times New Roman"/>
                      <w:sz w:val="21"/>
                    </w:rPr>
                  </w:pPr>
                  <w:r>
                    <w:rPr>
                      <w:rFonts w:ascii="Times New Roman" w:hAnsi="Times New Roman" w:cs="Times New Roman"/>
                      <w:sz w:val="21"/>
                    </w:rPr>
                    <w:t>转速可调；含变频调速系统电机：XDYSP315L2-6 132KW；减速机：ZDY315-II，速比4；底座：型材矩形底座，尺寸：3150mm×1550mm。</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3</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柱塞泵阀门件</w:t>
                  </w:r>
                </w:p>
                <w:p>
                  <w:pPr>
                    <w:pStyle w:val="85"/>
                    <w:spacing w:line="360" w:lineRule="exact"/>
                    <w:rPr>
                      <w:rFonts w:ascii="Times New Roman" w:hAnsi="Times New Roman" w:cs="Times New Roman"/>
                      <w:sz w:val="21"/>
                    </w:rPr>
                  </w:pPr>
                  <w:r>
                    <w:rPr>
                      <w:rFonts w:ascii="Times New Roman" w:hAnsi="Times New Roman" w:cs="Times New Roman"/>
                      <w:sz w:val="21"/>
                    </w:rPr>
                    <w:t>（含阀门执行器、设备管路及辅助设备等）</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闸阀：DN100-PN10；过滤器：DN100-PN10；闸阀：DN80-PN160；旁通阀：DN80-PN160；止回阀：DN80-PN160。</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台</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4</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潜水泵</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QJX45-90-22</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5</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潜水泵定制道</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连接设备，使用水位变化</w:t>
                  </w:r>
                </w:p>
              </w:tc>
              <w:tc>
                <w:tcPr>
                  <w:tcW w:w="417" w:type="pct"/>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vAlign w:val="center"/>
                </w:tcPr>
                <w:p>
                  <w:pPr>
                    <w:spacing w:line="36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6</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设备电缆（含设备的动力电缆和控制电缆）</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Z-VV0.6/1kV 3*150+1*70</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m</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二</w:t>
                  </w:r>
                </w:p>
              </w:tc>
              <w:tc>
                <w:tcPr>
                  <w:tcW w:w="3644" w:type="pct"/>
                  <w:gridSpan w:val="2"/>
                  <w:vAlign w:val="center"/>
                </w:tcPr>
                <w:p>
                  <w:pPr>
                    <w:pStyle w:val="85"/>
                    <w:spacing w:line="360" w:lineRule="exact"/>
                    <w:rPr>
                      <w:rFonts w:ascii="Times New Roman" w:hAnsi="Times New Roman" w:cs="Times New Roman"/>
                      <w:sz w:val="21"/>
                    </w:rPr>
                  </w:pPr>
                  <w:r>
                    <w:rPr>
                      <w:rFonts w:ascii="Times New Roman" w:hAnsi="Times New Roman" w:cs="Times New Roman"/>
                      <w:sz w:val="21"/>
                    </w:rPr>
                    <w:t>光伏设备及安装工程</w:t>
                  </w:r>
                </w:p>
              </w:tc>
              <w:tc>
                <w:tcPr>
                  <w:tcW w:w="417" w:type="pct"/>
                  <w:vAlign w:val="center"/>
                </w:tcPr>
                <w:p>
                  <w:pPr>
                    <w:pStyle w:val="85"/>
                    <w:spacing w:line="360" w:lineRule="exact"/>
                    <w:rPr>
                      <w:rFonts w:ascii="Times New Roman" w:hAnsi="Times New Roman" w:cs="Times New Roman"/>
                      <w:sz w:val="21"/>
                    </w:rPr>
                  </w:pPr>
                </w:p>
              </w:tc>
              <w:tc>
                <w:tcPr>
                  <w:tcW w:w="444" w:type="pct"/>
                  <w:vAlign w:val="center"/>
                </w:tcPr>
                <w:p>
                  <w:pPr>
                    <w:pStyle w:val="85"/>
                    <w:spacing w:line="3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1</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光伏组件(含损耗)</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单晶硅665W</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块</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2</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光伏板支架（含立柱，拉杆、扣件等材料）</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4788mm×10564mm，高2.5m；支架材质碳钢+镀锌，厚度5mm。</w:t>
                  </w:r>
                </w:p>
              </w:tc>
              <w:tc>
                <w:tcPr>
                  <w:tcW w:w="417" w:type="pct"/>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vAlign w:val="center"/>
                </w:tcPr>
                <w:p>
                  <w:pPr>
                    <w:spacing w:line="360" w:lineRule="exact"/>
                    <w:jc w:val="center"/>
                    <w:rPr>
                      <w:rFonts w:ascii="Times New Roman" w:hAnsi="Times New Roman" w:cs="Times New Roman"/>
                    </w:rPr>
                  </w:pPr>
                  <w:r>
                    <w:rPr>
                      <w:rFonts w:ascii="Times New Roman" w:hAnsi="Times New Roman" w:cs="Times New Roma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3</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组串式逆变器</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100kW</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4</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直流汇流箱</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2汇1直流汇流箱：1000V，50A</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5</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总动力柜</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1000kW分9路；尺寸：2000mm×2000mm×800mm</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6</w:t>
                  </w:r>
                </w:p>
              </w:tc>
              <w:tc>
                <w:tcPr>
                  <w:tcW w:w="1086"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光伏专用PV直流电缆</w:t>
                  </w:r>
                </w:p>
              </w:tc>
              <w:tc>
                <w:tcPr>
                  <w:tcW w:w="2558"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PV1-F 0.6/1kV1*4</w:t>
                  </w:r>
                </w:p>
              </w:tc>
              <w:tc>
                <w:tcPr>
                  <w:tcW w:w="417"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m</w:t>
                  </w:r>
                </w:p>
              </w:tc>
              <w:tc>
                <w:tcPr>
                  <w:tcW w:w="44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7</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光伏专用PV直流电缆</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PV1-F 0.6/1kV1*6</w:t>
                  </w:r>
                </w:p>
              </w:tc>
              <w:tc>
                <w:tcPr>
                  <w:tcW w:w="417"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m</w:t>
                  </w:r>
                </w:p>
              </w:tc>
              <w:tc>
                <w:tcPr>
                  <w:tcW w:w="444"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8</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交流电力电缆</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Z-VV 0.6/1kV 3*150+1*70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m</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9</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通信电缆</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KVVP 450/750 2*1.0</w:t>
                  </w:r>
                </w:p>
              </w:tc>
              <w:tc>
                <w:tcPr>
                  <w:tcW w:w="417"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m</w:t>
                  </w:r>
                </w:p>
              </w:tc>
              <w:tc>
                <w:tcPr>
                  <w:tcW w:w="444"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10</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电缆安装线槽</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镀锌线槽100×80</w:t>
                  </w:r>
                </w:p>
              </w:tc>
              <w:tc>
                <w:tcPr>
                  <w:tcW w:w="417"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m</w:t>
                  </w:r>
                </w:p>
              </w:tc>
              <w:tc>
                <w:tcPr>
                  <w:tcW w:w="444"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11</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电缆安装线槽</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镀锌线槽300×100</w:t>
                  </w:r>
                </w:p>
              </w:tc>
              <w:tc>
                <w:tcPr>
                  <w:tcW w:w="417"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m</w:t>
                  </w:r>
                </w:p>
              </w:tc>
              <w:tc>
                <w:tcPr>
                  <w:tcW w:w="444"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12</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安全设备</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接地设备、避雷设备、灭火设备等。主要物料包含：避雷铜棒套装：200套；接地扁钢：8500m；干粉灭火器：100套（含灭火器及灭火器柜）。</w:t>
                  </w:r>
                </w:p>
              </w:tc>
              <w:tc>
                <w:tcPr>
                  <w:tcW w:w="417"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套</w:t>
                  </w:r>
                </w:p>
              </w:tc>
              <w:tc>
                <w:tcPr>
                  <w:tcW w:w="444"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三</w:t>
                  </w:r>
                </w:p>
              </w:tc>
              <w:tc>
                <w:tcPr>
                  <w:tcW w:w="3644" w:type="pct"/>
                  <w:gridSpan w:val="2"/>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控制系统设备及安装工程</w:t>
                  </w:r>
                </w:p>
              </w:tc>
              <w:tc>
                <w:tcPr>
                  <w:tcW w:w="417"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p>
              </w:tc>
              <w:tc>
                <w:tcPr>
                  <w:tcW w:w="444"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潜水泵控制柜</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 xml:space="preserve"> 30kVA，380V</w:t>
                  </w:r>
                </w:p>
              </w:tc>
              <w:tc>
                <w:tcPr>
                  <w:tcW w:w="417"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套</w:t>
                  </w:r>
                </w:p>
              </w:tc>
              <w:tc>
                <w:tcPr>
                  <w:tcW w:w="444"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2</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柱塞泵定频控制柜</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30kVA，380V</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3</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柱塞泵变频控制柜</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30kVA，380V</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4</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控制系统（含定频和变频联合控制系统）</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自研控制系统，可以远程控制，数据上传物联网托管平台。</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6</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数据采集系统</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采用电阻、模拟量信号采集，485 通信</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7</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操作控制台</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研华工控机 IPC-</w:t>
                  </w:r>
                  <w:r>
                    <w:rPr>
                      <w:rFonts w:hint="eastAsia" w:ascii="Times New Roman" w:hAnsi="Times New Roman" w:cs="Times New Roman"/>
                      <w:sz w:val="21"/>
                      <w:lang w:eastAsia="zh-CN"/>
                    </w:rPr>
                    <w:t>***</w:t>
                  </w:r>
                  <w:r>
                    <w:rPr>
                      <w:rFonts w:ascii="Times New Roman" w:hAnsi="Times New Roman" w:cs="Times New Roman"/>
                      <w:sz w:val="21"/>
                    </w:rPr>
                    <w:t>L；24寸显示屏，1080P；操作台尺寸：1250mm×900mm×930mm。</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8</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电源系统</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光伏组件+储能式逆变器+电池组+管理软件</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四</w:t>
                  </w:r>
                </w:p>
              </w:tc>
              <w:tc>
                <w:tcPr>
                  <w:tcW w:w="3644" w:type="pct"/>
                  <w:gridSpan w:val="2"/>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备品备件</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联轴器膜片</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DN200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片</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2</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减速机轴承密封</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3</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轴承测温传感器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4</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柱塞</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68mm 直径原厂柱塞</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5</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骨架油封</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6</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润滑油</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CD 15-W40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L</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7</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泵主轴承密封</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8</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泵主轴承</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国产一线</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9</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篮式过滤器滤网</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10</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电机轴承</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国产一线</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11</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减速机油过滤器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12</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填料密封</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五</w:t>
                  </w:r>
                </w:p>
              </w:tc>
              <w:tc>
                <w:tcPr>
                  <w:tcW w:w="3644" w:type="pct"/>
                  <w:gridSpan w:val="2"/>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仪表设备及安装工程</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压力变送器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TK2081：0～1MPa，0～20MPa，0～1.16MPa</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2</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温度变送器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-30～300℃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3</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直连式电能传感器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100A DCM230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4</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互感式电能传感器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150A SDM630MCT-ML-TCP</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5</w:t>
                  </w:r>
                </w:p>
              </w:tc>
              <w:tc>
                <w:tcPr>
                  <w:tcW w:w="1086"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水位传感器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5"/>
                    <w:spacing w:line="360" w:lineRule="exact"/>
                    <w:rPr>
                      <w:rFonts w:ascii="Times New Roman" w:hAnsi="Times New Roman" w:cs="Times New Roman"/>
                      <w:sz w:val="21"/>
                    </w:rPr>
                  </w:pPr>
                  <w:r>
                    <w:rPr>
                      <w:rFonts w:ascii="Times New Roman" w:hAnsi="Times New Roman" w:cs="Times New Roman"/>
                      <w:sz w:val="21"/>
                    </w:rPr>
                    <w:t>超声波水位传感器；15m量程</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w:t>
                  </w:r>
                </w:p>
              </w:tc>
            </w:tr>
          </w:tbl>
          <w:p>
            <w:pPr>
              <w:pStyle w:val="62"/>
              <w:snapToGrid w:val="0"/>
              <w:spacing w:line="360" w:lineRule="auto"/>
              <w:ind w:firstLine="0" w:firstLineChars="0"/>
              <w:jc w:val="center"/>
              <w:rPr>
                <w:rFonts w:hAnsi="Times New Roman"/>
                <w:b/>
                <w:sz w:val="24"/>
                <w:szCs w:val="24"/>
              </w:rPr>
            </w:pPr>
            <w:r>
              <w:drawing>
                <wp:inline distT="0" distB="0" distL="0" distR="0">
                  <wp:extent cx="3524250" cy="181038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cstate="print"/>
                          <a:stretch>
                            <a:fillRect/>
                          </a:stretch>
                        </pic:blipFill>
                        <pic:spPr>
                          <a:xfrm>
                            <a:off x="0" y="0"/>
                            <a:ext cx="3524250" cy="1810665"/>
                          </a:xfrm>
                          <a:prstGeom prst="rect">
                            <a:avLst/>
                          </a:prstGeom>
                        </pic:spPr>
                      </pic:pic>
                    </a:graphicData>
                  </a:graphic>
                </wp:inline>
              </w:drawing>
            </w:r>
          </w:p>
          <w:p>
            <w:pPr>
              <w:adjustRightInd w:val="0"/>
              <w:snapToGrid w:val="0"/>
              <w:ind w:firstLine="421" w:firstLineChars="200"/>
              <w:jc w:val="center"/>
              <w:rPr>
                <w:rFonts w:ascii="Times New Roman" w:hAnsi="Times New Roman" w:eastAsia="宋体" w:cs="Times New Roman"/>
                <w:b/>
              </w:rPr>
            </w:pPr>
            <w:r>
              <w:rPr>
                <w:rFonts w:ascii="Times New Roman" w:hAnsi="Times New Roman" w:eastAsia="宋体" w:cs="Times New Roman"/>
                <w:b/>
              </w:rPr>
              <w:t>图2</w:t>
            </w:r>
            <w:r>
              <w:rPr>
                <w:rFonts w:hint="eastAsia" w:ascii="Times New Roman" w:hAnsi="Times New Roman" w:eastAsia="宋体" w:cs="Times New Roman"/>
                <w:b/>
              </w:rPr>
              <w:t>.4</w:t>
            </w:r>
            <w:r>
              <w:rPr>
                <w:rFonts w:ascii="Times New Roman" w:hAnsi="Times New Roman" w:eastAsia="宋体" w:cs="Times New Roman"/>
                <w:b/>
              </w:rPr>
              <w:t>-</w:t>
            </w:r>
            <w:r>
              <w:rPr>
                <w:rFonts w:hint="eastAsia" w:ascii="Times New Roman" w:hAnsi="Times New Roman" w:eastAsia="宋体" w:cs="Times New Roman"/>
                <w:b/>
              </w:rPr>
              <w:t>1</w:t>
            </w:r>
            <w:r>
              <w:rPr>
                <w:rFonts w:ascii="Times New Roman" w:hAnsi="Times New Roman" w:eastAsia="宋体" w:cs="Times New Roman"/>
                <w:b/>
              </w:rPr>
              <w:t xml:space="preserve">  光伏发电场系统原理图</w:t>
            </w:r>
          </w:p>
          <w:p>
            <w:pPr>
              <w:pStyle w:val="62"/>
              <w:snapToGrid w:val="0"/>
              <w:spacing w:line="360" w:lineRule="auto"/>
              <w:ind w:firstLine="240" w:firstLineChars="100"/>
              <w:rPr>
                <w:rFonts w:hAnsi="Times New Roman"/>
                <w:b/>
                <w:sz w:val="24"/>
                <w:szCs w:val="24"/>
              </w:rPr>
            </w:pPr>
            <w:r>
              <w:rPr>
                <w:rFonts w:hAnsi="Times New Roman"/>
                <w:b/>
                <w:sz w:val="24"/>
                <w:szCs w:val="24"/>
              </w:rPr>
              <w:t>2.</w:t>
            </w:r>
            <w:r>
              <w:rPr>
                <w:rFonts w:hint="eastAsia" w:hAnsi="Times New Roman"/>
                <w:b/>
                <w:sz w:val="24"/>
                <w:szCs w:val="24"/>
              </w:rPr>
              <w:t>5</w:t>
            </w:r>
            <w:r>
              <w:rPr>
                <w:rFonts w:hAnsi="Times New Roman"/>
                <w:b/>
                <w:sz w:val="24"/>
                <w:szCs w:val="24"/>
              </w:rPr>
              <w:t xml:space="preserve"> 工程运行方式</w:t>
            </w:r>
          </w:p>
          <w:p>
            <w:pPr>
              <w:pStyle w:val="62"/>
              <w:snapToGrid w:val="0"/>
              <w:spacing w:line="360" w:lineRule="auto"/>
              <w:ind w:firstLine="480"/>
              <w:rPr>
                <w:rFonts w:hAnsi="Times New Roman"/>
                <w:sz w:val="24"/>
                <w:szCs w:val="24"/>
              </w:rPr>
            </w:pPr>
            <w:r>
              <w:rPr>
                <w:rFonts w:hint="eastAsia" w:hAnsi="Times New Roman"/>
                <w:sz w:val="24"/>
                <w:szCs w:val="24"/>
              </w:rPr>
              <w:t>项目总灌溉面积2671.00亩，灌溉方式采用低压管道输水灌溉。项目新建1座光伏泵站（两级提水），分为一级浮箱取水泵站、二级岸边地面泵站。一级泵站设计流量为90m</w:t>
            </w:r>
            <w:r>
              <w:rPr>
                <w:rFonts w:hint="eastAsia" w:hAnsi="Times New Roman"/>
                <w:sz w:val="24"/>
                <w:szCs w:val="24"/>
                <w:vertAlign w:val="superscript"/>
              </w:rPr>
              <w:t>3</w:t>
            </w:r>
            <w:r>
              <w:rPr>
                <w:rFonts w:hint="eastAsia" w:hAnsi="Times New Roman"/>
                <w:sz w:val="24"/>
                <w:szCs w:val="24"/>
              </w:rPr>
              <w:t>/h，标高832.34m；二级泵站设计流量为76m</w:t>
            </w:r>
            <w:r>
              <w:rPr>
                <w:rFonts w:hint="eastAsia" w:hAnsi="Times New Roman"/>
                <w:sz w:val="24"/>
                <w:szCs w:val="24"/>
                <w:vertAlign w:val="superscript"/>
              </w:rPr>
              <w:t>3</w:t>
            </w:r>
            <w:r>
              <w:rPr>
                <w:rFonts w:hint="eastAsia" w:hAnsi="Times New Roman"/>
                <w:sz w:val="24"/>
                <w:szCs w:val="24"/>
              </w:rPr>
              <w:t>/h，标高</w:t>
            </w:r>
            <w:r>
              <w:rPr>
                <w:rFonts w:hAnsi="Times New Roman"/>
                <w:sz w:val="24"/>
                <w:szCs w:val="24"/>
              </w:rPr>
              <w:t>1929.34m</w:t>
            </w:r>
            <w:r>
              <w:rPr>
                <w:rFonts w:hint="eastAsia" w:hAnsi="Times New Roman"/>
                <w:sz w:val="24"/>
                <w:szCs w:val="24"/>
              </w:rPr>
              <w:t>，</w:t>
            </w:r>
            <w:r>
              <w:rPr>
                <w:rFonts w:hint="eastAsia"/>
              </w:rPr>
              <w:t>高差为1097m。</w:t>
            </w:r>
          </w:p>
          <w:p>
            <w:pPr>
              <w:pStyle w:val="62"/>
              <w:snapToGrid w:val="0"/>
              <w:spacing w:line="360" w:lineRule="auto"/>
              <w:ind w:firstLine="480"/>
              <w:rPr>
                <w:rFonts w:hAnsi="Times New Roman"/>
                <w:sz w:val="24"/>
                <w:szCs w:val="24"/>
              </w:rPr>
            </w:pPr>
            <w:r>
              <w:rPr>
                <w:rFonts w:hint="eastAsia" w:hAnsi="Times New Roman"/>
                <w:sz w:val="24"/>
                <w:szCs w:val="24"/>
              </w:rPr>
              <w:t>项目从东川区拖布卡镇象鼻村昆明市东川区金沙江河段中提水，一级泵站布置2台深井潜水泵置于浮箱下取水后，由</w:t>
            </w:r>
            <w:r>
              <w:rPr>
                <w:rFonts w:hAnsi="Times New Roman" w:eastAsiaTheme="minorEastAsia"/>
                <w:sz w:val="24"/>
                <w:szCs w:val="24"/>
              </w:rPr>
              <w:t>光伏发电提供电力带动水泵，</w:t>
            </w:r>
            <w:r>
              <w:rPr>
                <w:rFonts w:hint="eastAsia" w:hAnsi="Times New Roman"/>
                <w:sz w:val="24"/>
                <w:szCs w:val="24"/>
              </w:rPr>
              <w:t>通过102m的管道抽水至二级泵站200m</w:t>
            </w:r>
            <w:r>
              <w:rPr>
                <w:rFonts w:hint="eastAsia" w:hAnsi="Times New Roman"/>
                <w:sz w:val="24"/>
                <w:szCs w:val="24"/>
                <w:vertAlign w:val="superscript"/>
              </w:rPr>
              <w:t>3</w:t>
            </w:r>
            <w:r>
              <w:rPr>
                <w:rFonts w:hint="eastAsia" w:hAnsi="Times New Roman"/>
                <w:sz w:val="24"/>
                <w:szCs w:val="24"/>
              </w:rPr>
              <w:t>的取水池，再通过二级泵站的4台柱塞泵从200m</w:t>
            </w:r>
            <w:r>
              <w:rPr>
                <w:rFonts w:hint="eastAsia" w:hAnsi="Times New Roman"/>
                <w:sz w:val="24"/>
                <w:szCs w:val="24"/>
                <w:vertAlign w:val="superscript"/>
              </w:rPr>
              <w:t>3</w:t>
            </w:r>
            <w:r>
              <w:rPr>
                <w:rFonts w:hint="eastAsia" w:hAnsi="Times New Roman"/>
                <w:sz w:val="24"/>
                <w:szCs w:val="24"/>
              </w:rPr>
              <w:t>取水池取水，通过供水主管4655.3m提水至300m</w:t>
            </w:r>
            <w:r>
              <w:rPr>
                <w:rFonts w:hint="eastAsia" w:hAnsi="Times New Roman"/>
                <w:sz w:val="24"/>
                <w:szCs w:val="24"/>
                <w:vertAlign w:val="superscript"/>
              </w:rPr>
              <w:t>3</w:t>
            </w:r>
            <w:r>
              <w:rPr>
                <w:rFonts w:hint="eastAsia" w:hAnsi="Times New Roman"/>
                <w:sz w:val="24"/>
                <w:szCs w:val="24"/>
              </w:rPr>
              <w:t>的0#高位水池及配水主管2940m提水至200m</w:t>
            </w:r>
            <w:r>
              <w:rPr>
                <w:rFonts w:hint="eastAsia" w:hAnsi="Times New Roman"/>
                <w:sz w:val="24"/>
                <w:szCs w:val="24"/>
                <w:vertAlign w:val="superscript"/>
              </w:rPr>
              <w:t>3</w:t>
            </w:r>
            <w:r>
              <w:rPr>
                <w:rFonts w:hint="eastAsia" w:hAnsi="Times New Roman"/>
                <w:sz w:val="24"/>
                <w:szCs w:val="24"/>
              </w:rPr>
              <w:t>的1#蓄水池，最后经各个配水支管总长7380m分至个各灌溉区域的新建（2#~8#蓄水池）及已建水池、坝塘后，由农户自行接管灌溉，保证作物生长用水。</w:t>
            </w:r>
          </w:p>
          <w:p>
            <w:pPr>
              <w:pStyle w:val="62"/>
              <w:snapToGrid w:val="0"/>
              <w:spacing w:line="360" w:lineRule="auto"/>
              <w:ind w:firstLine="480"/>
              <w:rPr>
                <w:rFonts w:hAnsi="Times New Roman" w:eastAsiaTheme="minorEastAsia"/>
                <w:sz w:val="24"/>
                <w:szCs w:val="24"/>
              </w:rPr>
            </w:pPr>
            <w:r>
              <w:rPr>
                <w:rFonts w:hAnsi="Times New Roman" w:eastAsiaTheme="minorEastAsia"/>
                <w:sz w:val="24"/>
                <w:szCs w:val="24"/>
              </w:rPr>
              <w:t>在工程建成后，</w:t>
            </w:r>
            <w:r>
              <w:rPr>
                <w:rFonts w:hint="eastAsia" w:hAnsi="Times New Roman" w:eastAsiaTheme="minorEastAsia"/>
                <w:sz w:val="24"/>
                <w:szCs w:val="24"/>
              </w:rPr>
              <w:t>由用水管理协会</w:t>
            </w:r>
            <w:r>
              <w:rPr>
                <w:rFonts w:hAnsi="Times New Roman" w:eastAsiaTheme="minorEastAsia"/>
                <w:sz w:val="24"/>
                <w:szCs w:val="24"/>
              </w:rPr>
              <w:t>对灌区进行运行管理。在灌区推行用水总量控制和定额管理，灌区内各用水单位（户）根据具体情况通过用水户协会向</w:t>
            </w:r>
            <w:r>
              <w:rPr>
                <w:rFonts w:hint="eastAsia" w:hAnsi="Times New Roman" w:eastAsiaTheme="minorEastAsia"/>
                <w:sz w:val="24"/>
                <w:szCs w:val="24"/>
              </w:rPr>
              <w:t>用水管理协会</w:t>
            </w:r>
            <w:r>
              <w:rPr>
                <w:rFonts w:hAnsi="Times New Roman" w:eastAsiaTheme="minorEastAsia"/>
                <w:sz w:val="24"/>
                <w:szCs w:val="24"/>
              </w:rPr>
              <w:t>提出用水申请。坚持水资源合理调配，实行干管上下游兼顾，均衡受益，严格执行自上而下、先上游、后下游、先急后缓的灌溉模式。建立节水奖励机制、超定额累计加价制度，促进农业节约用水。灌溉期间，灌区管理人员对用水单位（户）进行技术指导，掌握进度，及时处理水事纠纷。灌溉期间如遇降雨或出现工程重大险情事故，灌区管理单位有权临时决定减水、退水或停水，必要时召开灌区用水单位（户）代表大会通报情况。</w:t>
            </w:r>
          </w:p>
          <w:p>
            <w:pPr>
              <w:pStyle w:val="62"/>
              <w:snapToGrid w:val="0"/>
              <w:spacing w:line="360" w:lineRule="auto"/>
              <w:ind w:firstLine="240" w:firstLineChars="100"/>
              <w:rPr>
                <w:rFonts w:hAnsi="Times New Roman"/>
                <w:b/>
                <w:sz w:val="24"/>
                <w:szCs w:val="24"/>
              </w:rPr>
            </w:pPr>
            <w:r>
              <w:rPr>
                <w:rFonts w:hAnsi="Times New Roman"/>
                <w:b/>
                <w:sz w:val="24"/>
                <w:szCs w:val="24"/>
              </w:rPr>
              <w:t>2.</w:t>
            </w:r>
            <w:r>
              <w:rPr>
                <w:rFonts w:hint="eastAsia" w:hAnsi="Times New Roman"/>
                <w:b/>
                <w:sz w:val="24"/>
                <w:szCs w:val="24"/>
              </w:rPr>
              <w:t xml:space="preserve">6 </w:t>
            </w:r>
            <w:r>
              <w:rPr>
                <w:rFonts w:hAnsi="Times New Roman"/>
                <w:b/>
                <w:sz w:val="24"/>
                <w:szCs w:val="24"/>
              </w:rPr>
              <w:t>土地利用类型</w:t>
            </w:r>
          </w:p>
          <w:p>
            <w:pPr>
              <w:pStyle w:val="62"/>
              <w:snapToGrid w:val="0"/>
              <w:spacing w:line="360" w:lineRule="auto"/>
              <w:ind w:firstLine="480"/>
              <w:rPr>
                <w:rFonts w:hAnsi="Times New Roman"/>
                <w:sz w:val="24"/>
                <w:szCs w:val="24"/>
              </w:rPr>
            </w:pPr>
            <w:r>
              <w:rPr>
                <w:rFonts w:hint="eastAsia" w:hAnsi="Times New Roman"/>
                <w:sz w:val="24"/>
                <w:szCs w:val="24"/>
              </w:rPr>
              <w:t>本项目占地主要涉及旱地及林地，总占地面积21.07亩。其中永久占地16.93亩，主要为光伏泵站、泵房、控制房、水池、部分光伏板；临时占地4.14亩，主要为施工生产区、管道铺设。</w:t>
            </w:r>
          </w:p>
          <w:p>
            <w:pPr>
              <w:pStyle w:val="62"/>
              <w:snapToGrid w:val="0"/>
              <w:spacing w:line="360" w:lineRule="auto"/>
              <w:ind w:firstLine="480"/>
              <w:rPr>
                <w:rFonts w:hAnsi="Times New Roman"/>
                <w:sz w:val="24"/>
                <w:szCs w:val="24"/>
              </w:rPr>
            </w:pPr>
            <w:r>
              <w:rPr>
                <w:rFonts w:hint="eastAsia" w:hAnsi="Times New Roman"/>
                <w:sz w:val="24"/>
                <w:szCs w:val="24"/>
              </w:rPr>
              <w:t>项目永久征地范围内不涉及房屋拆迁和搬迁人口，也不涉及拆建、迁建农村专项设施以及占用基本农田和公益林。临时占地类型主要为旱地。</w:t>
            </w:r>
          </w:p>
          <w:p>
            <w:pPr>
              <w:adjustRightInd w:val="0"/>
              <w:snapToGrid w:val="0"/>
              <w:ind w:firstLine="421" w:firstLineChars="200"/>
              <w:jc w:val="center"/>
              <w:rPr>
                <w:rFonts w:ascii="Times New Roman" w:hAnsi="Times New Roman" w:eastAsia="宋体" w:cs="Times New Roman"/>
                <w:b/>
              </w:rPr>
            </w:pPr>
            <w:r>
              <w:rPr>
                <w:rFonts w:ascii="Times New Roman" w:hAnsi="Times New Roman" w:eastAsia="宋体" w:cs="Times New Roman"/>
                <w:b/>
              </w:rPr>
              <w:t>表2</w:t>
            </w:r>
            <w:r>
              <w:rPr>
                <w:rFonts w:hint="eastAsia" w:ascii="Times New Roman" w:hAnsi="Times New Roman" w:eastAsia="宋体" w:cs="Times New Roman"/>
                <w:b/>
              </w:rPr>
              <w:t>.6</w:t>
            </w:r>
            <w:r>
              <w:rPr>
                <w:rFonts w:ascii="Times New Roman" w:hAnsi="Times New Roman" w:eastAsia="宋体" w:cs="Times New Roman"/>
                <w:b/>
              </w:rPr>
              <w:t>-</w:t>
            </w:r>
            <w:r>
              <w:rPr>
                <w:rFonts w:hint="eastAsia" w:ascii="Times New Roman" w:hAnsi="Times New Roman" w:eastAsia="宋体" w:cs="Times New Roman"/>
                <w:b/>
              </w:rPr>
              <w:t>1</w:t>
            </w:r>
            <w:r>
              <w:rPr>
                <w:rFonts w:ascii="Times New Roman" w:hAnsi="Times New Roman" w:eastAsia="宋体" w:cs="Times New Roman"/>
                <w:b/>
              </w:rPr>
              <w:t xml:space="preserve">  项目占地类型一览表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5051"/>
              <w:gridCol w:w="127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序号</w:t>
                  </w:r>
                </w:p>
              </w:tc>
              <w:tc>
                <w:tcPr>
                  <w:tcW w:w="293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名称</w:t>
                  </w:r>
                </w:p>
              </w:tc>
              <w:tc>
                <w:tcPr>
                  <w:tcW w:w="741"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单位</w:t>
                  </w:r>
                </w:p>
              </w:tc>
              <w:tc>
                <w:tcPr>
                  <w:tcW w:w="78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pct"/>
                  <w:vAlign w:val="center"/>
                </w:tcPr>
                <w:p>
                  <w:pPr>
                    <w:pStyle w:val="85"/>
                    <w:spacing w:line="360" w:lineRule="exact"/>
                    <w:rPr>
                      <w:rFonts w:ascii="Times New Roman" w:hAnsi="Times New Roman" w:cs="Times New Roman"/>
                      <w:sz w:val="21"/>
                    </w:rPr>
                  </w:pPr>
                  <w:r>
                    <w:rPr>
                      <w:rFonts w:hint="eastAsia" w:ascii="Times New Roman" w:hAnsi="Times New Roman" w:cs="Times New Roman"/>
                      <w:sz w:val="21"/>
                    </w:rPr>
                    <w:t>1</w:t>
                  </w:r>
                </w:p>
              </w:tc>
              <w:tc>
                <w:tcPr>
                  <w:tcW w:w="293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永久占地（林地），包括光伏泵站、水池</w:t>
                  </w:r>
                </w:p>
              </w:tc>
              <w:tc>
                <w:tcPr>
                  <w:tcW w:w="741"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亩</w:t>
                  </w:r>
                </w:p>
              </w:tc>
              <w:tc>
                <w:tcPr>
                  <w:tcW w:w="784" w:type="pct"/>
                  <w:vAlign w:val="center"/>
                </w:tcPr>
                <w:p>
                  <w:pPr>
                    <w:pStyle w:val="85"/>
                    <w:spacing w:line="360" w:lineRule="exact"/>
                    <w:rPr>
                      <w:rFonts w:ascii="Times New Roman" w:hAnsi="Times New Roman" w:cs="Times New Roman"/>
                      <w:sz w:val="21"/>
                    </w:rPr>
                  </w:pPr>
                  <w:r>
                    <w:rPr>
                      <w:rFonts w:hint="eastAsia" w:ascii="Times New Roman" w:hAnsi="Times New Roman" w:cs="Times New Roman"/>
                      <w:sz w:val="21"/>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pct"/>
                  <w:vAlign w:val="center"/>
                </w:tcPr>
                <w:p>
                  <w:pPr>
                    <w:pStyle w:val="85"/>
                    <w:spacing w:line="360" w:lineRule="exact"/>
                    <w:rPr>
                      <w:rFonts w:ascii="Times New Roman" w:hAnsi="Times New Roman" w:cs="Times New Roman"/>
                      <w:sz w:val="21"/>
                    </w:rPr>
                  </w:pPr>
                  <w:r>
                    <w:rPr>
                      <w:rFonts w:hint="eastAsia" w:ascii="Times New Roman" w:hAnsi="Times New Roman" w:cs="Times New Roman"/>
                      <w:sz w:val="21"/>
                    </w:rPr>
                    <w:t>2</w:t>
                  </w:r>
                </w:p>
              </w:tc>
              <w:tc>
                <w:tcPr>
                  <w:tcW w:w="293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永久占地（旱地），包括泵房、控制房、部分光伏板</w:t>
                  </w:r>
                </w:p>
              </w:tc>
              <w:tc>
                <w:tcPr>
                  <w:tcW w:w="741"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亩</w:t>
                  </w:r>
                </w:p>
              </w:tc>
              <w:tc>
                <w:tcPr>
                  <w:tcW w:w="784" w:type="pct"/>
                  <w:vAlign w:val="center"/>
                </w:tcPr>
                <w:p>
                  <w:pPr>
                    <w:pStyle w:val="85"/>
                    <w:spacing w:line="360" w:lineRule="exact"/>
                    <w:rPr>
                      <w:rFonts w:ascii="Times New Roman" w:hAnsi="Times New Roman" w:cs="Times New Roman"/>
                      <w:sz w:val="21"/>
                    </w:rPr>
                  </w:pPr>
                  <w:r>
                    <w:rPr>
                      <w:rFonts w:hint="eastAsia" w:ascii="Times New Roman" w:hAnsi="Times New Roman" w:cs="Times New Roman"/>
                      <w:sz w:val="21"/>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pct"/>
                  <w:vAlign w:val="center"/>
                </w:tcPr>
                <w:p>
                  <w:pPr>
                    <w:pStyle w:val="85"/>
                    <w:spacing w:line="360" w:lineRule="exact"/>
                    <w:rPr>
                      <w:rFonts w:ascii="Times New Roman" w:hAnsi="Times New Roman" w:cs="Times New Roman"/>
                      <w:sz w:val="21"/>
                    </w:rPr>
                  </w:pPr>
                  <w:r>
                    <w:rPr>
                      <w:rFonts w:hint="eastAsia" w:ascii="Times New Roman" w:hAnsi="Times New Roman" w:cs="Times New Roman"/>
                      <w:sz w:val="21"/>
                    </w:rPr>
                    <w:t>3</w:t>
                  </w:r>
                </w:p>
              </w:tc>
              <w:tc>
                <w:tcPr>
                  <w:tcW w:w="2934"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临时占地（旱地），包括</w:t>
                  </w:r>
                  <w:r>
                    <w:rPr>
                      <w:rFonts w:hint="eastAsia" w:ascii="Times New Roman" w:hAnsi="Times New Roman" w:cs="Times New Roman"/>
                      <w:sz w:val="21"/>
                    </w:rPr>
                    <w:t>施工生产区、管道铺设</w:t>
                  </w:r>
                </w:p>
              </w:tc>
              <w:tc>
                <w:tcPr>
                  <w:tcW w:w="741" w:type="pct"/>
                  <w:vAlign w:val="center"/>
                </w:tcPr>
                <w:p>
                  <w:pPr>
                    <w:pStyle w:val="85"/>
                    <w:spacing w:line="360" w:lineRule="exact"/>
                    <w:rPr>
                      <w:rFonts w:ascii="Times New Roman" w:hAnsi="Times New Roman" w:cs="Times New Roman"/>
                      <w:sz w:val="21"/>
                    </w:rPr>
                  </w:pPr>
                  <w:r>
                    <w:rPr>
                      <w:rFonts w:ascii="Times New Roman" w:hAnsi="Times New Roman" w:cs="Times New Roman"/>
                      <w:sz w:val="21"/>
                    </w:rPr>
                    <w:t>亩</w:t>
                  </w:r>
                </w:p>
              </w:tc>
              <w:tc>
                <w:tcPr>
                  <w:tcW w:w="784" w:type="pct"/>
                  <w:vAlign w:val="center"/>
                </w:tcPr>
                <w:p>
                  <w:pPr>
                    <w:pStyle w:val="85"/>
                    <w:spacing w:line="360" w:lineRule="exact"/>
                    <w:rPr>
                      <w:rFonts w:ascii="Times New Roman" w:hAnsi="Times New Roman" w:cs="Times New Roman"/>
                      <w:sz w:val="21"/>
                    </w:rPr>
                  </w:pPr>
                  <w:r>
                    <w:rPr>
                      <w:rFonts w:hint="eastAsia" w:ascii="Times New Roman" w:hAnsi="Times New Roman" w:cs="Times New Roman"/>
                      <w:sz w:val="21"/>
                    </w:rPr>
                    <w:t>4.14</w:t>
                  </w:r>
                </w:p>
              </w:tc>
            </w:tr>
          </w:tbl>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总平面及现场布置</w:t>
            </w:r>
          </w:p>
        </w:tc>
        <w:tc>
          <w:tcPr>
            <w:tcW w:w="8834" w:type="dxa"/>
            <w:vAlign w:val="center"/>
          </w:tcPr>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7</w:t>
            </w:r>
            <w:r>
              <w:rPr>
                <w:rFonts w:ascii="Times New Roman" w:hAnsi="Times New Roman" w:cs="Times New Roman"/>
                <w:b/>
                <w:sz w:val="24"/>
                <w:szCs w:val="24"/>
              </w:rPr>
              <w:t xml:space="preserve"> 项目总平面布置</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位于云南省东川区拖布卡镇象鼻村，设计总灌溉面积2671.00亩，工程为光伏提水灌溉工程。主体工程总体布局情况如下：灌溉方式采用低压管道输水灌溉，通过光伏发电提供电力带动水泵将水源提水到取水池后，通过布设管道提水至项目区新建的高位水池，再通过输水管分至个各灌溉区域的新建或已建水池后，由农户自行接管灌溉，保证作物生长用水。</w:t>
            </w:r>
          </w:p>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2.7.1 光伏泵站平面布置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项目总灌溉面积2671.00亩，灌溉方式采用低压管道输水灌溉。项目新建1座光伏泵站（两级提水），分为一级浮箱取水泵站、二级岸边地面泵站。</w:t>
            </w:r>
            <w:r>
              <w:rPr>
                <w:rFonts w:hint="eastAsia" w:ascii="Times New Roman" w:hAnsi="Times New Roman" w:cs="Times New Roman"/>
                <w:sz w:val="24"/>
                <w:szCs w:val="24"/>
              </w:rPr>
              <w:t>一级泵站设计流量为90m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/h，标高832.34m；二级泵站设计流量为76m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/h，标高1929.34m，高差为1097m。</w:t>
            </w:r>
          </w:p>
          <w:p>
            <w:pPr>
              <w:spacing w:line="360" w:lineRule="auto"/>
              <w:ind w:firstLine="480" w:firstLineChars="200"/>
              <w:rPr>
                <w:rFonts w:ascii="Times New Roman" w:hAnsi="Times New Roman" w:cs="Times New Roman"/>
                <w:b/>
                <w:sz w:val="24"/>
                <w:szCs w:val="24"/>
              </w:rPr>
            </w:pPr>
            <w:r>
              <w:rPr>
                <w:rFonts w:ascii="Times New Roman" w:hAnsi="Times New Roman" w:cs="Times New Roman"/>
                <w:sz w:val="24"/>
                <w:szCs w:val="24"/>
              </w:rPr>
              <w:t>项目从东川区拖布卡镇象鼻村白鹤滩水库上游的金沙江中提水，一级泵站布置2台深井潜水泵置于浮箱下取水后，由光伏发电提供电力带动水泵，通过102m的管道抽水至二级泵站200m</w:t>
            </w:r>
            <w:r>
              <w:rPr>
                <w:rFonts w:ascii="Times New Roman" w:hAnsi="Times New Roman" w:cs="Times New Roman"/>
                <w:sz w:val="24"/>
                <w:szCs w:val="24"/>
                <w:vertAlign w:val="superscript"/>
              </w:rPr>
              <w:t>3</w:t>
            </w:r>
            <w:r>
              <w:rPr>
                <w:rFonts w:ascii="Times New Roman" w:hAnsi="Times New Roman" w:cs="Times New Roman"/>
                <w:sz w:val="24"/>
                <w:szCs w:val="24"/>
              </w:rPr>
              <w:t>的取水池，再通过二级泵站的4台柱塞泵从200m</w:t>
            </w:r>
            <w:r>
              <w:rPr>
                <w:rFonts w:ascii="Times New Roman" w:hAnsi="Times New Roman" w:cs="Times New Roman"/>
                <w:sz w:val="24"/>
                <w:szCs w:val="24"/>
                <w:vertAlign w:val="superscript"/>
              </w:rPr>
              <w:t>3</w:t>
            </w:r>
            <w:r>
              <w:rPr>
                <w:rFonts w:ascii="Times New Roman" w:hAnsi="Times New Roman" w:cs="Times New Roman"/>
                <w:sz w:val="24"/>
                <w:szCs w:val="24"/>
              </w:rPr>
              <w:t>取水池取水，通过供水主管4655.3m提水至300m</w:t>
            </w:r>
            <w:r>
              <w:rPr>
                <w:rFonts w:ascii="Times New Roman" w:hAnsi="Times New Roman" w:cs="Times New Roman"/>
                <w:sz w:val="24"/>
                <w:szCs w:val="24"/>
                <w:vertAlign w:val="superscript"/>
              </w:rPr>
              <w:t>3</w:t>
            </w:r>
            <w:r>
              <w:rPr>
                <w:rFonts w:ascii="Times New Roman" w:hAnsi="Times New Roman" w:cs="Times New Roman"/>
                <w:sz w:val="24"/>
                <w:szCs w:val="24"/>
              </w:rPr>
              <w:t>的0#高位水池及配水主管2940m提水至200m</w:t>
            </w:r>
            <w:r>
              <w:rPr>
                <w:rFonts w:ascii="Times New Roman" w:hAnsi="Times New Roman" w:cs="Times New Roman"/>
                <w:sz w:val="24"/>
                <w:szCs w:val="24"/>
                <w:vertAlign w:val="superscript"/>
              </w:rPr>
              <w:t>3</w:t>
            </w:r>
            <w:r>
              <w:rPr>
                <w:rFonts w:ascii="Times New Roman" w:hAnsi="Times New Roman" w:cs="Times New Roman"/>
                <w:sz w:val="24"/>
                <w:szCs w:val="24"/>
              </w:rPr>
              <w:t>的1#蓄水池，最后经各个配水支管总长7380m分至个各灌溉区域的新建（2#~8#蓄水池）及已建水池、坝塘后，由农户自行接管灌溉，保证作物生长用水。</w:t>
            </w:r>
          </w:p>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2.7.2 提水管道平面布置</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项目新建提水管道3条，分别为供水主管、配水主管及配水支管。</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其中供水主管总长4757.3m，</w:t>
            </w:r>
            <w:r>
              <w:rPr>
                <w:rFonts w:ascii="Times New Roman" w:hAnsi="Times New Roman" w:cs="Times New Roman"/>
                <w:sz w:val="24"/>
                <w:szCs w:val="24"/>
              </w:rPr>
              <w:t>起点坐标东经103°</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0.700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9.791</w:t>
            </w:r>
            <w:r>
              <w:rPr>
                <w:rFonts w:ascii="Times New Roman" w:hAnsi="Times New Roman" w:cs="Times New Roman"/>
                <w:sz w:val="24"/>
                <w:szCs w:val="24"/>
              </w:rPr>
              <w:t>″。</w:t>
            </w:r>
            <w:r>
              <w:rPr>
                <w:rFonts w:hint="eastAsia" w:ascii="Times New Roman" w:hAnsi="Times New Roman" w:cs="Times New Roman"/>
                <w:sz w:val="24"/>
                <w:szCs w:val="24"/>
              </w:rPr>
              <w:t>大致呈东北走向，起点为二级岸边地面泵站200m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的取水池，途经老黑岩、小凹子、张家湾，终点至小坪子300m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的0#高位水池</w:t>
            </w:r>
            <w:r>
              <w:rPr>
                <w:rFonts w:ascii="Times New Roman" w:hAnsi="Times New Roman" w:cs="Times New Roman"/>
                <w:sz w:val="24"/>
                <w:szCs w:val="24"/>
              </w:rPr>
              <w:t>。</w:t>
            </w:r>
            <w:r>
              <w:rPr>
                <w:rFonts w:hint="eastAsia" w:ascii="Times New Roman" w:hAnsi="Times New Roman" w:cs="Times New Roman"/>
                <w:sz w:val="24"/>
                <w:szCs w:val="24"/>
              </w:rPr>
              <w:t>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29.690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56.758</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配水主管总长2940m，</w:t>
            </w:r>
            <w:r>
              <w:rPr>
                <w:rFonts w:ascii="Times New Roman" w:hAnsi="Times New Roman" w:cs="Times New Roman"/>
                <w:sz w:val="24"/>
                <w:szCs w:val="24"/>
              </w:rPr>
              <w:t>起点坐标东经103°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28.685</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49.728</w:t>
            </w:r>
            <w:r>
              <w:rPr>
                <w:rFonts w:ascii="Times New Roman" w:hAnsi="Times New Roman" w:cs="Times New Roman"/>
                <w:sz w:val="24"/>
                <w:szCs w:val="24"/>
              </w:rPr>
              <w:t>″。</w:t>
            </w:r>
            <w:r>
              <w:rPr>
                <w:rFonts w:hint="eastAsia" w:ascii="Times New Roman" w:hAnsi="Times New Roman" w:cs="Times New Roman"/>
                <w:sz w:val="24"/>
                <w:szCs w:val="24"/>
              </w:rPr>
              <w:t>大致呈东西走向，起点为小坪子300m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的0#高位水池，沿布格公路东西向走向，经赵家村、象鼻村，终点至金家包200m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55.606</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3.110</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配水支管7380m，其中地间配水支管DN100热镀锌钢管长4896m，地间配水支管DN50热镀锌钢管长2484m。分别沿供水主管、配水主管呈东北、东南走向。配水支管主要沿供水主管、配水主管及200m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的1#蓄水池布置，共6根支管，分配至2#~8#蓄水池、小海子已建坝塘、小坪子已建蓄水池。</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每隔60m设置一个镇墩，遇有转弯地形时，即可采用以上相应镇墩，镇墩弧度可根据弯角大小而调节；管道布置时，每隔6m设置一个支墩，遇有转弯地形时，可根基实际情况适当调整。本项目共设计镇墩223个，支墩1454个，具体如下：管道沿山体布置时，为减少破坏周围生态环境，全段管道安装为明管，每隔 60m设置一个镇墩，在转弯段和跨路段增设镇墩，1#镇墩布置于提水管道从泵房出来转弯处，埋置深度根据现场调整，断面尺寸为2m</w:t>
            </w:r>
            <w:r>
              <w:rPr>
                <w:rFonts w:ascii="Times New Roman" w:hAnsi="Times New Roman" w:cs="Times New Roman"/>
                <w:bCs/>
                <w:kern w:val="0"/>
              </w:rPr>
              <w:t>×</w:t>
            </w:r>
            <w:r>
              <w:rPr>
                <w:rFonts w:hint="eastAsia" w:ascii="Times New Roman" w:hAnsi="Times New Roman" w:cs="Times New Roman"/>
                <w:sz w:val="24"/>
                <w:szCs w:val="24"/>
              </w:rPr>
              <w:t>2m</w:t>
            </w:r>
            <w:r>
              <w:rPr>
                <w:rFonts w:ascii="Times New Roman" w:hAnsi="Times New Roman" w:cs="Times New Roman"/>
                <w:bCs/>
                <w:kern w:val="0"/>
              </w:rPr>
              <w:t>×</w:t>
            </w:r>
            <w:r>
              <w:rPr>
                <w:rFonts w:hint="eastAsia" w:ascii="Times New Roman" w:hAnsi="Times New Roman" w:cs="Times New Roman"/>
                <w:sz w:val="24"/>
                <w:szCs w:val="24"/>
              </w:rPr>
              <w:t>2m、A型镇墩适用于桩号 T0+000~T0+799里程段，断面尺寸为1.5m</w:t>
            </w:r>
            <w:r>
              <w:rPr>
                <w:rFonts w:ascii="Times New Roman" w:hAnsi="Times New Roman" w:cs="Times New Roman"/>
                <w:bCs/>
                <w:kern w:val="0"/>
              </w:rPr>
              <w:t>×</w:t>
            </w:r>
            <w:r>
              <w:rPr>
                <w:rFonts w:hint="eastAsia" w:ascii="Times New Roman" w:hAnsi="Times New Roman" w:cs="Times New Roman"/>
                <w:sz w:val="24"/>
                <w:szCs w:val="24"/>
              </w:rPr>
              <w:t>1.5m</w:t>
            </w:r>
            <w:r>
              <w:rPr>
                <w:rFonts w:ascii="Times New Roman" w:hAnsi="Times New Roman" w:cs="Times New Roman"/>
                <w:bCs/>
                <w:kern w:val="0"/>
              </w:rPr>
              <w:t>×</w:t>
            </w:r>
            <w:r>
              <w:rPr>
                <w:rFonts w:hint="eastAsia" w:ascii="Times New Roman" w:hAnsi="Times New Roman" w:cs="Times New Roman"/>
                <w:sz w:val="24"/>
                <w:szCs w:val="24"/>
              </w:rPr>
              <w:t>1.5m、B型镇墩适用于桩号 T0+799~T0+4590.3里程段，断面尺寸为1.2m</w:t>
            </w:r>
            <w:r>
              <w:rPr>
                <w:rFonts w:ascii="Times New Roman" w:hAnsi="Times New Roman" w:cs="Times New Roman"/>
                <w:bCs/>
                <w:kern w:val="0"/>
              </w:rPr>
              <w:t>×</w:t>
            </w:r>
            <w:r>
              <w:rPr>
                <w:rFonts w:hint="eastAsia" w:ascii="Times New Roman" w:hAnsi="Times New Roman" w:cs="Times New Roman"/>
                <w:sz w:val="24"/>
                <w:szCs w:val="24"/>
              </w:rPr>
              <w:t>1.2m</w:t>
            </w:r>
            <w:r>
              <w:rPr>
                <w:rFonts w:ascii="Times New Roman" w:hAnsi="Times New Roman" w:cs="Times New Roman"/>
                <w:bCs/>
                <w:kern w:val="0"/>
              </w:rPr>
              <w:t>×</w:t>
            </w:r>
            <w:r>
              <w:rPr>
                <w:rFonts w:hint="eastAsia" w:ascii="Times New Roman" w:hAnsi="Times New Roman" w:cs="Times New Roman"/>
                <w:sz w:val="24"/>
                <w:szCs w:val="24"/>
              </w:rPr>
              <w:t>1.2m。C型镇墩和D型镇墩适用于供水支管和配水管道。管道布置时，每隔 60m设置一个镇墩。遇有转弯地形时，采用以上相应镇墩，镇墩弧度可根据弯角大小而调节；E型支墩适用于一、二级泵站提水主管和地间配水管道。管道布置时，每隔 6m设置一个支墩，遇有转弯地形时，可根基实际情况适当调整。镇墩和支墩的基础布置于基岩上，如遇风化破碎严重的位局部地段，可适当调整一下布置位置。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项目总平面布置详见附图。</w:t>
            </w:r>
          </w:p>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8</w:t>
            </w:r>
            <w:r>
              <w:rPr>
                <w:rFonts w:ascii="Times New Roman" w:hAnsi="Times New Roman" w:cs="Times New Roman"/>
                <w:b/>
                <w:sz w:val="24"/>
                <w:szCs w:val="24"/>
              </w:rPr>
              <w:t xml:space="preserve"> 施工布置</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根据设计，项目主要新建光伏泵站、提水管道、水池等，提水管道沿路铺设，水池建设点位于各个村庄内。</w:t>
            </w:r>
            <w:r>
              <w:rPr>
                <w:rFonts w:hint="eastAsia" w:ascii="Times New Roman" w:hAnsi="Times New Roman" w:cs="Times New Roman"/>
                <w:sz w:val="24"/>
                <w:szCs w:val="24"/>
              </w:rPr>
              <w:t>项目生活区租用附近居民住房，施工人员以当地居民为主，施工高峰期最高劳动定员50人，生活设施依托当地居民现有生活设施，项目不设施工生活区。</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项目光伏泵站、提水管道、水池等工程较为分散，结合工程管道及建筑物布置的特点，共布置施工生产区3个，其中1#施工生产区占地面积1500m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；2#施工生产区600m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；3#施工生产区600m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；分别位于光伏泵站场地旁1#施工生产区、0#高位水池旁2#施工生产区、3#蓄水池旁3#施工生产区，具体详见总平面布置图。</w:t>
            </w:r>
            <w:r>
              <w:rPr>
                <w:rFonts w:ascii="Times New Roman" w:hAnsi="Times New Roman" w:cs="Times New Roman"/>
                <w:sz w:val="24"/>
                <w:szCs w:val="24"/>
              </w:rPr>
              <w:t>每个施工生产区设置临时工棚、材料加工区、机械停置区、临时表土堆场等，</w:t>
            </w:r>
            <w:r>
              <w:rPr>
                <w:rFonts w:hint="eastAsia" w:ascii="Times New Roman" w:hAnsi="Times New Roman" w:cs="Times New Roman"/>
                <w:sz w:val="24"/>
                <w:szCs w:val="24"/>
              </w:rPr>
              <w:t>1#、2#、3#临时表土堆场分别位于1#、2#、3#施工生产区。1#施工生产区施工用电采用柴油发电，1#施工生产区施工用水可从附近村庄引接；2#施工生产区、3#施工生产区距离居民点不远，施工用水、用电都可从附近村庄引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由于项目工程较为分散，</w:t>
            </w:r>
            <w:r>
              <w:rPr>
                <w:rFonts w:ascii="Times New Roman" w:hAnsi="Times New Roman" w:cs="Times New Roman"/>
                <w:sz w:val="24"/>
                <w:szCs w:val="24"/>
              </w:rPr>
              <w:t>混凝土拌和设施采用分散布置、分散拌和、分散供料。混凝土拌合站及相应的骨料堆放场均布置在公路边，根据管道长度，均衡布置，采用简易式混凝土搅拌站，配套0.35m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移动式混凝土搅拌机</w:t>
            </w:r>
            <w:r>
              <w:rPr>
                <w:rFonts w:hint="eastAsia" w:ascii="Times New Roman" w:hAnsi="Times New Roman" w:cs="Times New Roman"/>
                <w:sz w:val="24"/>
                <w:szCs w:val="24"/>
              </w:rPr>
              <w:t>3</w:t>
            </w:r>
            <w:r>
              <w:rPr>
                <w:rFonts w:ascii="Times New Roman" w:hAnsi="Times New Roman" w:cs="Times New Roman"/>
                <w:sz w:val="24"/>
                <w:szCs w:val="24"/>
              </w:rPr>
              <w:t>台及0.20m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移动式砂浆搅拌机</w:t>
            </w:r>
            <w:r>
              <w:rPr>
                <w:rFonts w:hint="eastAsia" w:ascii="Times New Roman" w:hAnsi="Times New Roman" w:cs="Times New Roman"/>
                <w:sz w:val="24"/>
                <w:szCs w:val="24"/>
              </w:rPr>
              <w:t>3台</w:t>
            </w:r>
            <w:r>
              <w:rPr>
                <w:rFonts w:ascii="Times New Roman" w:hAnsi="Times New Roman" w:cs="Times New Roman"/>
                <w:sz w:val="24"/>
                <w:szCs w:val="24"/>
              </w:rPr>
              <w:t>，随着施工进度而移动。</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项目总平面布置详见附图。</w:t>
            </w:r>
          </w:p>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9</w:t>
            </w:r>
            <w:r>
              <w:rPr>
                <w:rFonts w:ascii="Times New Roman" w:hAnsi="Times New Roman" w:cs="Times New Roman"/>
                <w:b/>
                <w:sz w:val="24"/>
                <w:szCs w:val="24"/>
              </w:rPr>
              <w:t xml:space="preserve"> 施工“三场”布置</w:t>
            </w:r>
          </w:p>
          <w:p>
            <w:pPr>
              <w:spacing w:line="360" w:lineRule="auto"/>
              <w:ind w:firstLine="360" w:firstLineChars="150"/>
              <w:rPr>
                <w:rFonts w:ascii="Times New Roman" w:hAnsi="Times New Roman" w:cs="Times New Roman"/>
                <w:sz w:val="24"/>
                <w:szCs w:val="24"/>
              </w:rPr>
            </w:pPr>
            <w:r>
              <w:rPr>
                <w:rFonts w:hint="eastAsia" w:ascii="Times New Roman" w:hAnsi="Times New Roman" w:cs="Times New Roman"/>
                <w:sz w:val="24"/>
                <w:szCs w:val="24"/>
              </w:rPr>
              <w:t>施工所需的水泥、钢材、钢筋、木材从东川购买，柴油、汽油由拖布卡镇加油站供应；施工所需的砂石料、混凝土骨料、垫层料全部从东川合法采石场购买成品料，不在自行开采料场。因此项目不设置砂石料场。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w:t>
            </w:r>
            <w:r>
              <w:rPr>
                <w:rFonts w:hint="eastAsia" w:ascii="Times New Roman" w:hAnsi="Times New Roman" w:cs="Times New Roman"/>
                <w:sz w:val="24"/>
                <w:szCs w:val="24"/>
              </w:rPr>
              <w:t>项目拟设置3个临时表土堆场，其中1#临时表土堆场位于1#施工生产区，占地面积400m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，最大堆高为3m，设计堆土量0.12万m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；2#临时表土堆场位于2#施工生产区，占地面积100m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，最大堆高为3m，设计堆土量0.03万m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；3#临时表土堆场位于3#施工生产区，占地面积100m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，最大堆高为3m，设计堆土量0.03万m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。在临时堆土坡脚采用编织袋装土挡护，编织袋挡护用土使用剥离的土壤，待使用完毕后拆除作为后续的植复耕覆土。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根据项目资料，土石方产生后可通过地势平整和区域内调配后全部消耗，无弃方，无需设置弃渣场。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施工方案</w:t>
            </w:r>
          </w:p>
        </w:tc>
        <w:tc>
          <w:tcPr>
            <w:tcW w:w="8834" w:type="dxa"/>
            <w:vAlign w:val="center"/>
          </w:tcPr>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2.10 施工工艺</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1、光伏泵站及提水管道施工工艺</w:t>
            </w:r>
          </w:p>
          <w:p>
            <w:pPr>
              <w:autoSpaceDE w:val="0"/>
              <w:autoSpaceDN w:val="0"/>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光伏泵站施工工艺：施工场地平整——泵房等基础土石方开挖——混凝土基础浇筑——土石方回填——泵房建造——厂区排水沟开挖——提水管线施工（管线沿线场地平整、镇墩和支墩土石方开挖、管道铺设和安装）——水泵机组安装调试和管道试水试压。</w:t>
            </w:r>
          </w:p>
          <w:p>
            <w:pPr>
              <w:spacing w:line="360" w:lineRule="auto"/>
              <w:ind w:firstLine="480" w:firstLineChars="200"/>
              <w:jc w:val="center"/>
              <w:rPr>
                <w:rFonts w:ascii="Times New Roman" w:hAnsi="Times New Roman" w:cs="Times New Roman"/>
                <w:sz w:val="24"/>
                <w:szCs w:val="24"/>
              </w:rPr>
            </w:pPr>
            <w:r>
              <w:rPr>
                <w:rFonts w:hint="eastAsia" w:ascii="Times New Roman" w:hAnsi="Times New Roman" w:cs="Times New Roman"/>
                <w:sz w:val="24"/>
                <w:szCs w:val="24"/>
              </w:rPr>
              <w:drawing>
                <wp:inline distT="0" distB="0" distL="0" distR="0">
                  <wp:extent cx="2771775" cy="3067050"/>
                  <wp:effectExtent l="19050" t="0" r="0" b="0"/>
                  <wp:docPr id="7"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true" noChangeArrowheads="true"/>
                          </pic:cNvPicPr>
                        </pic:nvPicPr>
                        <pic:blipFill>
                          <a:blip r:embed="rId6" cstate="print"/>
                          <a:srcRect/>
                          <a:stretch>
                            <a:fillRect/>
                          </a:stretch>
                        </pic:blipFill>
                        <pic:spPr>
                          <a:xfrm>
                            <a:off x="0" y="0"/>
                            <a:ext cx="2771775" cy="3067050"/>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eastAsia="宋体" w:cs="Times New Roman"/>
                <w:b/>
              </w:rPr>
            </w:pPr>
            <w:r>
              <w:rPr>
                <w:rFonts w:ascii="Times New Roman" w:hAnsi="Times New Roman" w:eastAsia="宋体" w:cs="Times New Roman"/>
                <w:b/>
              </w:rPr>
              <w:t>图2</w:t>
            </w:r>
            <w:r>
              <w:rPr>
                <w:rFonts w:hint="eastAsia" w:ascii="Times New Roman" w:hAnsi="Times New Roman" w:eastAsia="宋体" w:cs="Times New Roman"/>
                <w:b/>
              </w:rPr>
              <w:t>.10</w:t>
            </w:r>
            <w:r>
              <w:rPr>
                <w:rFonts w:ascii="Times New Roman" w:hAnsi="Times New Roman" w:eastAsia="宋体" w:cs="Times New Roman"/>
                <w:b/>
              </w:rPr>
              <w:t>-</w:t>
            </w:r>
            <w:r>
              <w:rPr>
                <w:rFonts w:hint="eastAsia" w:ascii="Times New Roman" w:hAnsi="Times New Roman" w:eastAsia="宋体" w:cs="Times New Roman"/>
                <w:b/>
              </w:rPr>
              <w:t>1</w:t>
            </w:r>
            <w:r>
              <w:rPr>
                <w:rFonts w:ascii="Times New Roman" w:hAnsi="Times New Roman" w:eastAsia="宋体" w:cs="Times New Roman"/>
                <w:b/>
              </w:rPr>
              <w:t xml:space="preserve">  光伏泵站施工工艺流程图</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提水管道施工工艺：施工场地平整（含征占地范围内林地、旱地的表土剥离及运往临时表土堆场）——管沟土石方开挖——导流排水——镇墩及支墩基础开挖及混凝土浇筑——管道铺设安装——管道试水试压——土石方回填。</w:t>
            </w:r>
          </w:p>
          <w:p>
            <w:pPr>
              <w:pStyle w:val="15"/>
              <w:spacing w:line="360" w:lineRule="auto"/>
              <w:ind w:firstLine="480" w:firstLineChars="200"/>
              <w:jc w:val="center"/>
              <w:rPr>
                <w:rFonts w:ascii="Times New Roman" w:hAnsi="Times New Roman" w:cs="Times New Roman"/>
                <w:color w:val="auto"/>
                <w:kern w:val="2"/>
              </w:rPr>
            </w:pPr>
            <w:r>
              <w:rPr>
                <w:rFonts w:hint="eastAsia" w:ascii="Times New Roman" w:hAnsi="Times New Roman" w:cs="Times New Roman"/>
                <w:color w:val="auto"/>
                <w:kern w:val="2"/>
              </w:rPr>
              <w:drawing>
                <wp:inline distT="0" distB="0" distL="0" distR="0">
                  <wp:extent cx="2657475" cy="2638425"/>
                  <wp:effectExtent l="19050" t="0" r="0" b="0"/>
                  <wp:docPr id="6"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true" noChangeArrowheads="true"/>
                          </pic:cNvPicPr>
                        </pic:nvPicPr>
                        <pic:blipFill>
                          <a:blip r:embed="rId7" cstate="print"/>
                          <a:srcRect/>
                          <a:stretch>
                            <a:fillRect/>
                          </a:stretch>
                        </pic:blipFill>
                        <pic:spPr>
                          <a:xfrm>
                            <a:off x="0" y="0"/>
                            <a:ext cx="2657475" cy="2638425"/>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eastAsia="宋体" w:cs="Times New Roman"/>
                <w:b/>
              </w:rPr>
            </w:pPr>
            <w:r>
              <w:rPr>
                <w:rFonts w:ascii="Times New Roman" w:hAnsi="Times New Roman" w:eastAsia="宋体" w:cs="Times New Roman"/>
                <w:b/>
              </w:rPr>
              <w:t>图2</w:t>
            </w:r>
            <w:r>
              <w:rPr>
                <w:rFonts w:hint="eastAsia" w:ascii="Times New Roman" w:hAnsi="Times New Roman" w:eastAsia="宋体" w:cs="Times New Roman"/>
                <w:b/>
              </w:rPr>
              <w:t>.10</w:t>
            </w:r>
            <w:r>
              <w:rPr>
                <w:rFonts w:ascii="Times New Roman" w:hAnsi="Times New Roman" w:eastAsia="宋体" w:cs="Times New Roman"/>
                <w:b/>
              </w:rPr>
              <w:t>-</w:t>
            </w:r>
            <w:r>
              <w:rPr>
                <w:rFonts w:hint="eastAsia" w:ascii="Times New Roman" w:hAnsi="Times New Roman" w:eastAsia="宋体" w:cs="Times New Roman"/>
                <w:b/>
              </w:rPr>
              <w:t>2</w:t>
            </w:r>
            <w:r>
              <w:rPr>
                <w:rFonts w:ascii="Times New Roman" w:hAnsi="Times New Roman" w:eastAsia="宋体" w:cs="Times New Roman"/>
                <w:b/>
              </w:rPr>
              <w:t xml:space="preserve">  提水管道施工工艺流程图</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（1）土石方开挖</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由于引水管线沿河岸边和乡村公路边布置，施工道路交通便利，基础土方开挖均采用人工铁锹和1m</w:t>
            </w:r>
            <w:r>
              <w:rPr>
                <w:rFonts w:ascii="Times New Roman" w:hAnsi="Times New Roman" w:cs="Times New Roman"/>
                <w:color w:val="auto"/>
                <w:kern w:val="2"/>
                <w:vertAlign w:val="superscript"/>
              </w:rPr>
              <w:t>3</w:t>
            </w:r>
            <w:r>
              <w:rPr>
                <w:rFonts w:ascii="Times New Roman" w:hAnsi="Times New Roman" w:cs="Times New Roman"/>
                <w:color w:val="auto"/>
                <w:kern w:val="2"/>
              </w:rPr>
              <w:t>反铲挖掘机直接开挖相结合方式，开挖渣料分类就近堆放，待管道铺设及其它建筑物基础施工完成后便于回填；基础石方开挖采用挖掘机破碎头开挖渣料就近堆放，方便后期回填。</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（2）土石方回填</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在管道安装完成并检查合格后，利用1m</w:t>
            </w:r>
            <w:r>
              <w:rPr>
                <w:rFonts w:ascii="Times New Roman" w:hAnsi="Times New Roman" w:cs="Times New Roman"/>
                <w:color w:val="auto"/>
                <w:kern w:val="2"/>
                <w:vertAlign w:val="superscript"/>
              </w:rPr>
              <w:t>3</w:t>
            </w:r>
            <w:r>
              <w:rPr>
                <w:rFonts w:ascii="Times New Roman" w:hAnsi="Times New Roman" w:cs="Times New Roman"/>
                <w:color w:val="auto"/>
                <w:kern w:val="2"/>
              </w:rPr>
              <w:t>挖机回填砂石垫层以及回填覆土，回填土料来自沟槽开挖时堆放备用的土石渣，分层回填。管顶 0.5m以下，特别是胸腔部位应严格控制土层虚铺厚度，每层 0.2m为宜，并视管道两侧工作面情况，优先使用蛙式打夯机或小型振动碾进行压实，必要时可使用平夯或木榔头夯实，注意胸腔以及四周的回 填土质量；管顶0.5m以上采用机械回填，人工配合摊铺，每层虚铺厚度不超过0.3m，以压路机进行碾压。</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（3）混凝土浇筑</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混凝土粗、细骨料由外购。管线工程混凝土包括镇、支墩、阀门井等，混凝土浇筑 采用0.4m</w:t>
            </w:r>
            <w:r>
              <w:rPr>
                <w:rFonts w:ascii="Times New Roman" w:hAnsi="Times New Roman" w:cs="Times New Roman"/>
                <w:color w:val="auto"/>
                <w:kern w:val="2"/>
                <w:vertAlign w:val="superscript"/>
              </w:rPr>
              <w:t>3</w:t>
            </w:r>
            <w:r>
              <w:rPr>
                <w:rFonts w:ascii="Times New Roman" w:hAnsi="Times New Roman" w:cs="Times New Roman"/>
                <w:color w:val="auto"/>
                <w:kern w:val="2"/>
              </w:rPr>
              <w:t>混凝土搅拌机就近 拌制混凝土，人工推胶轮车转运50m后经溜槽入仓，组合钢模立模，插入式振捣器振捣密实。镇墩混凝土分两次浇筑，先浇筑管道下部混凝土，待管道安装完成后再浇筑上部混凝土。镇、支墩混凝土浇筑完成后，基础周边及时回填土料，分层填筑，采用小型夯机夯实。</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（4）明管安装</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本工程管道采用钢管，管道的铺设、安装应符合《给水排水管管道工程施工及验收规范》（GB</w:t>
            </w:r>
            <w:r>
              <w:rPr>
                <w:rFonts w:hint="eastAsia" w:ascii="Times New Roman" w:hAnsi="Times New Roman" w:cs="Times New Roman"/>
                <w:color w:val="auto"/>
                <w:kern w:val="2"/>
                <w:lang w:eastAsia="zh-CN"/>
              </w:rPr>
              <w:t>*****</w:t>
            </w:r>
            <w:r>
              <w:rPr>
                <w:rFonts w:ascii="Times New Roman" w:hAnsi="Times New Roman" w:cs="Times New Roman"/>
                <w:color w:val="auto"/>
                <w:kern w:val="2"/>
              </w:rPr>
              <w:t>-2008）的相关要求。外购成品管节，采用15t载货汽车运至安装现场。陡坡段钢管采用5~10t卷扬机牵 引逐节安装，缓坡及平坡段钢管采用人工配合5t随车吊进行吊装，管道吊至平台后，采用3t手拉葫芦吊钢管对中定位焊接。</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（5）埋管安装</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管道采用5t随吊装，人工配合方式安装。管道安装前，按设计和规范要求铺筑管底中粗砂垫层。安装时管道不得离开管底表面。管道安装结束后，须进行打压试水，以保证管道接缝不发生漏水为准。管道安装完成后，即可进行土方回填。沟槽回填利用开挖土料，回填时两侧对称进行，避免管道偏移。管区周围回填土采用人工分层夯实，铺土厚度控制在0.2m以内。覆土1m后，可采用小型振动碾压实。回填土及其密实度应严格按照规范和设计要求执行。</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（6）管道试压及验收</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拟定管道分段试验，管道试压段长度应视具体情况而定。对于无节点连接的管道试压管段长度不宜大于1.5km，有节点的管道，试压段不宜大于1.0km。工作压力试验水头按正常运行工况工作压力1.25倍选取。管道试压时，应分级加载缓缓升压至工作压力，保持30min以上，对钢管进行检查，观察压力表指针应保持稳定，不应有指针有颤抖现象。情况正常，才允许继续加压，加压速度以不大于0.05MPa/min为宜，升至最大试验压力，保持30min以上，此时压力表指示的压力应无变动。然后 下降至工作压力水头，保持30min以上，整个试验过程中应无渗水、混凝土应无裂缝、镇墩应无异常变位和其他异常情况。承包单位在制作安装并经试验（包括试运营期间的）检查合格后，应进行工程的交接验收，验收标准以设计单位提供的技术文件，《水利工程压力钢管制造安装及验收规范》（SL</w:t>
            </w:r>
            <w:r>
              <w:rPr>
                <w:rFonts w:hint="eastAsia" w:ascii="Times New Roman" w:hAnsi="Times New Roman" w:cs="Times New Roman"/>
                <w:color w:val="auto"/>
                <w:kern w:val="2"/>
                <w:lang w:eastAsia="zh-CN"/>
              </w:rPr>
              <w:t>***</w:t>
            </w:r>
            <w:r>
              <w:rPr>
                <w:rFonts w:ascii="Times New Roman" w:hAnsi="Times New Roman" w:cs="Times New Roman"/>
                <w:color w:val="auto"/>
                <w:kern w:val="2"/>
              </w:rPr>
              <w:t>-2008）为依据。</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（7）光伏泵站施工</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项目一级泵站采用浮箱取水方式，将潜水泵机组布胃于浮体上，浮箱随水位变化上下升降。浮体采用浮箱拼接而成，拼接面积为12m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用潜水条在金沙江中取水，通过高压软管连接至已铺设好的热镀锌管（高压软管：一级取水泵站处至二级泵站右岸，总长47m；热镀锌管：二级泵站右岸处至取水处，总长为55m），因此项目在一级取水泵站所设置的主要为浮箱、潜水泵及软管，不用开挖及回填。为抵抗水流及风载，高压软管铺设在浮筒上，防止软管下沉或摆动，浮体设置锚固缆索与岸边镇墩连接，防止浮体漂移。</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光伏提水泵站施工工序为场内道路建设、场地平整、厂区内排水设施施工（土石方开挖采用机械和人工结合的方法）、站内建筑物施工（包括配电间、泵房、开关站、中央控制室等）。</w:t>
            </w:r>
          </w:p>
          <w:p>
            <w:pPr>
              <w:pStyle w:val="15"/>
              <w:spacing w:line="360" w:lineRule="auto"/>
              <w:ind w:firstLine="481" w:firstLineChars="200"/>
              <w:jc w:val="both"/>
              <w:rPr>
                <w:rFonts w:ascii="Times New Roman" w:hAnsi="Times New Roman" w:cs="Times New Roman"/>
                <w:b/>
                <w:color w:val="auto"/>
                <w:kern w:val="2"/>
              </w:rPr>
            </w:pPr>
            <w:r>
              <w:rPr>
                <w:rFonts w:ascii="Times New Roman" w:hAnsi="Times New Roman" w:cs="Times New Roman"/>
                <w:b/>
                <w:color w:val="auto"/>
                <w:kern w:val="2"/>
              </w:rPr>
              <w:t>2、水池施工工艺</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水池施工工艺流程：场地平整——土石方开挖——基础垫层处理——钢筋混凝土浇筑——土石方回填。</w:t>
            </w:r>
          </w:p>
          <w:p>
            <w:pPr>
              <w:pStyle w:val="15"/>
              <w:spacing w:line="360" w:lineRule="auto"/>
              <w:ind w:firstLine="480" w:firstLineChars="200"/>
              <w:jc w:val="center"/>
              <w:rPr>
                <w:rFonts w:ascii="Times New Roman" w:hAnsi="Times New Roman" w:eastAsia="宋体" w:cs="Times New Roman"/>
                <w:b/>
                <w:color w:val="auto"/>
              </w:rPr>
            </w:pPr>
            <w:r>
              <w:rPr>
                <w:rFonts w:hint="eastAsia" w:ascii="Times New Roman" w:hAnsi="Times New Roman" w:cs="Times New Roman"/>
                <w:color w:val="auto"/>
                <w:kern w:val="2"/>
              </w:rPr>
              <w:drawing>
                <wp:inline distT="0" distB="0" distL="0" distR="0">
                  <wp:extent cx="3038475" cy="1895475"/>
                  <wp:effectExtent l="19050" t="0" r="0" b="0"/>
                  <wp:docPr id="8"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true" noChangeArrowheads="true"/>
                          </pic:cNvPicPr>
                        </pic:nvPicPr>
                        <pic:blipFill>
                          <a:blip r:embed="rId8" cstate="print"/>
                          <a:srcRect/>
                          <a:stretch>
                            <a:fillRect/>
                          </a:stretch>
                        </pic:blipFill>
                        <pic:spPr>
                          <a:xfrm>
                            <a:off x="0" y="0"/>
                            <a:ext cx="3038475" cy="1895475"/>
                          </a:xfrm>
                          <a:prstGeom prst="rect">
                            <a:avLst/>
                          </a:prstGeom>
                          <a:noFill/>
                          <a:ln w="9525">
                            <a:noFill/>
                            <a:miter lim="800000"/>
                            <a:headEnd/>
                            <a:tailEnd/>
                          </a:ln>
                        </pic:spPr>
                      </pic:pic>
                    </a:graphicData>
                  </a:graphic>
                </wp:inline>
              </w:drawing>
            </w:r>
          </w:p>
          <w:p>
            <w:pPr>
              <w:pStyle w:val="15"/>
              <w:spacing w:line="360" w:lineRule="auto"/>
              <w:ind w:firstLine="421" w:firstLineChars="20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图2</w:t>
            </w:r>
            <w:r>
              <w:rPr>
                <w:rFonts w:hint="eastAsia" w:ascii="Times New Roman" w:hAnsi="Times New Roman" w:eastAsia="宋体" w:cs="Times New Roman"/>
                <w:b/>
                <w:color w:val="auto"/>
                <w:sz w:val="21"/>
                <w:szCs w:val="21"/>
              </w:rPr>
              <w:t>.10</w:t>
            </w:r>
            <w:r>
              <w:rPr>
                <w:rFonts w:ascii="Times New Roman" w:hAnsi="Times New Roman" w:eastAsia="宋体" w:cs="Times New Roman"/>
                <w:b/>
                <w:color w:val="auto"/>
                <w:sz w:val="21"/>
                <w:szCs w:val="21"/>
              </w:rPr>
              <w:t>-</w:t>
            </w:r>
            <w:r>
              <w:rPr>
                <w:rFonts w:hint="eastAsia" w:ascii="Times New Roman" w:hAnsi="Times New Roman" w:eastAsia="宋体" w:cs="Times New Roman"/>
                <w:b/>
                <w:color w:val="auto"/>
                <w:sz w:val="21"/>
                <w:szCs w:val="21"/>
              </w:rPr>
              <w:t>3</w:t>
            </w:r>
            <w:r>
              <w:rPr>
                <w:rFonts w:ascii="Times New Roman" w:hAnsi="Times New Roman" w:eastAsia="宋体" w:cs="Times New Roman"/>
                <w:b/>
                <w:color w:val="auto"/>
                <w:sz w:val="21"/>
                <w:szCs w:val="21"/>
              </w:rPr>
              <w:t xml:space="preserve">  水池施工工艺流程图</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水池为钢筋混凝土结构，主要施工项目为基础土石方开挖、土方回填、基础混凝土回填、水池结构混凝土浇筑等。</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eastAsia="宋体" w:cs="Times New Roman"/>
                <w:color w:val="auto"/>
                <w:kern w:val="2"/>
              </w:rPr>
              <w:t>（1）</w:t>
            </w:r>
            <w:r>
              <w:rPr>
                <w:rFonts w:ascii="Times New Roman" w:hAnsi="Times New Roman" w:cs="Times New Roman"/>
                <w:color w:val="auto"/>
                <w:kern w:val="2"/>
              </w:rPr>
              <w:t>土方开挖：土方采用1m</w:t>
            </w:r>
            <w:r>
              <w:rPr>
                <w:rFonts w:ascii="Times New Roman" w:hAnsi="Times New Roman" w:cs="Times New Roman"/>
                <w:color w:val="auto"/>
                <w:kern w:val="2"/>
                <w:vertAlign w:val="superscript"/>
              </w:rPr>
              <w:t>3</w:t>
            </w:r>
            <w:r>
              <w:rPr>
                <w:rFonts w:ascii="Times New Roman" w:hAnsi="Times New Roman" w:cs="Times New Roman"/>
                <w:color w:val="auto"/>
                <w:kern w:val="2"/>
              </w:rPr>
              <w:t>挖掘机沿设计开挖线开挖，就近堆放，以备回填。</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eastAsia="宋体" w:cs="Times New Roman"/>
                <w:color w:val="auto"/>
                <w:kern w:val="2"/>
              </w:rPr>
              <w:t>（2）</w:t>
            </w:r>
            <w:r>
              <w:rPr>
                <w:rFonts w:ascii="Times New Roman" w:hAnsi="Times New Roman" w:cs="Times New Roman"/>
                <w:color w:val="auto"/>
                <w:kern w:val="2"/>
              </w:rPr>
              <w:t>石方开挖：石方采用1m</w:t>
            </w:r>
            <w:r>
              <w:rPr>
                <w:rFonts w:ascii="Times New Roman" w:hAnsi="Times New Roman" w:cs="Times New Roman"/>
                <w:color w:val="auto"/>
                <w:kern w:val="2"/>
                <w:vertAlign w:val="superscript"/>
              </w:rPr>
              <w:t>3</w:t>
            </w:r>
            <w:r>
              <w:rPr>
                <w:rFonts w:ascii="Times New Roman" w:hAnsi="Times New Roman" w:cs="Times New Roman"/>
                <w:color w:val="auto"/>
                <w:kern w:val="2"/>
              </w:rPr>
              <w:t>挖掘机破碎头开挖，其中可用风化料就近堆放，后期用于回填；弃料采用10t自卸汽车运至渣场。</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eastAsia="宋体" w:cs="Times New Roman"/>
                <w:color w:val="auto"/>
                <w:kern w:val="2"/>
              </w:rPr>
              <w:t>（3）</w:t>
            </w:r>
            <w:r>
              <w:rPr>
                <w:rFonts w:ascii="Times New Roman" w:hAnsi="Times New Roman" w:cs="Times New Roman"/>
                <w:color w:val="auto"/>
                <w:kern w:val="2"/>
              </w:rPr>
              <w:t>土方回填：开挖土料及风化料全部用于土方回填，74kW推土机直接铺料；回填土方采用蛙式打夯机或夯板压实。</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eastAsia="宋体" w:cs="Times New Roman"/>
                <w:color w:val="auto"/>
                <w:kern w:val="2"/>
              </w:rPr>
              <w:t>（4）</w:t>
            </w:r>
            <w:r>
              <w:rPr>
                <w:rFonts w:ascii="Times New Roman" w:hAnsi="Times New Roman" w:cs="Times New Roman"/>
                <w:color w:val="auto"/>
                <w:kern w:val="2"/>
              </w:rPr>
              <w:t>混凝土浇筑：混凝土采用0.4m</w:t>
            </w:r>
            <w:r>
              <w:rPr>
                <w:rFonts w:ascii="Times New Roman" w:hAnsi="Times New Roman" w:cs="Times New Roman"/>
                <w:color w:val="auto"/>
                <w:kern w:val="2"/>
                <w:vertAlign w:val="superscript"/>
              </w:rPr>
              <w:t>3</w:t>
            </w:r>
            <w:r>
              <w:rPr>
                <w:rFonts w:ascii="Times New Roman" w:hAnsi="Times New Roman" w:cs="Times New Roman"/>
                <w:color w:val="auto"/>
                <w:kern w:val="2"/>
              </w:rPr>
              <w:t>混凝土拌和机就近拌制，1m</w:t>
            </w:r>
            <w:r>
              <w:rPr>
                <w:rFonts w:ascii="Times New Roman" w:hAnsi="Times New Roman" w:cs="Times New Roman"/>
                <w:color w:val="auto"/>
                <w:kern w:val="2"/>
                <w:vertAlign w:val="superscript"/>
              </w:rPr>
              <w:t>3</w:t>
            </w:r>
            <w:r>
              <w:rPr>
                <w:rFonts w:ascii="Times New Roman" w:hAnsi="Times New Roman" w:cs="Times New Roman"/>
                <w:color w:val="auto"/>
                <w:kern w:val="2"/>
              </w:rPr>
              <w:t>机动翻斗车运输到工作面，直接入仓或人工倒运入仓，插入式振捣器振捣密实。</w:t>
            </w:r>
          </w:p>
          <w:p>
            <w:pPr>
              <w:pStyle w:val="15"/>
              <w:spacing w:line="360" w:lineRule="auto"/>
              <w:ind w:firstLine="481" w:firstLineChars="200"/>
              <w:jc w:val="both"/>
              <w:rPr>
                <w:rFonts w:ascii="Times New Roman" w:hAnsi="Times New Roman" w:cs="Times New Roman"/>
                <w:b/>
                <w:color w:val="auto"/>
                <w:kern w:val="2"/>
              </w:rPr>
            </w:pPr>
            <w:r>
              <w:rPr>
                <w:rFonts w:hint="eastAsia" w:ascii="Times New Roman" w:hAnsi="Times New Roman" w:cs="Times New Roman"/>
                <w:b/>
                <w:color w:val="auto"/>
                <w:kern w:val="2"/>
              </w:rPr>
              <w:t>3、</w:t>
            </w:r>
            <w:r>
              <w:rPr>
                <w:rFonts w:ascii="Times New Roman" w:hAnsi="Times New Roman" w:cs="Times New Roman"/>
                <w:b/>
                <w:color w:val="auto"/>
                <w:kern w:val="2"/>
              </w:rPr>
              <w:t>光伏发电场施工工艺</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光伏发电场施工工艺：场地平整——光伏支架基础开挖——钢筋笼制作安装——混凝土浇筑——支架安装——光伏组件方阵安装。</w:t>
            </w:r>
          </w:p>
          <w:p>
            <w:pPr>
              <w:pStyle w:val="15"/>
              <w:spacing w:line="360" w:lineRule="auto"/>
              <w:ind w:firstLine="480" w:firstLineChars="200"/>
              <w:jc w:val="center"/>
              <w:rPr>
                <w:rFonts w:ascii="Times New Roman" w:hAnsi="Times New Roman" w:cs="Times New Roman"/>
                <w:color w:val="auto"/>
              </w:rPr>
            </w:pPr>
            <w:r>
              <w:rPr>
                <w:rFonts w:hint="eastAsia" w:ascii="Times New Roman" w:hAnsi="Times New Roman" w:cs="Times New Roman"/>
                <w:color w:val="auto"/>
              </w:rPr>
              <w:drawing>
                <wp:inline distT="0" distB="0" distL="0" distR="0">
                  <wp:extent cx="2952750" cy="2286000"/>
                  <wp:effectExtent l="19050" t="0" r="0" b="0"/>
                  <wp:docPr id="9"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true" noChangeArrowheads="true"/>
                          </pic:cNvPicPr>
                        </pic:nvPicPr>
                        <pic:blipFill>
                          <a:blip r:embed="rId9" cstate="print"/>
                          <a:srcRect/>
                          <a:stretch>
                            <a:fillRect/>
                          </a:stretch>
                        </pic:blipFill>
                        <pic:spPr>
                          <a:xfrm>
                            <a:off x="0" y="0"/>
                            <a:ext cx="2952750" cy="2286000"/>
                          </a:xfrm>
                          <a:prstGeom prst="rect">
                            <a:avLst/>
                          </a:prstGeom>
                          <a:noFill/>
                          <a:ln w="9525">
                            <a:noFill/>
                            <a:miter lim="800000"/>
                            <a:headEnd/>
                            <a:tailEnd/>
                          </a:ln>
                        </pic:spPr>
                      </pic:pic>
                    </a:graphicData>
                  </a:graphic>
                </wp:inline>
              </w:drawing>
            </w:r>
          </w:p>
          <w:p>
            <w:pPr>
              <w:pStyle w:val="15"/>
              <w:spacing w:line="360" w:lineRule="auto"/>
              <w:ind w:firstLine="421" w:firstLineChars="200"/>
              <w:jc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图2</w:t>
            </w:r>
            <w:r>
              <w:rPr>
                <w:rFonts w:hint="eastAsia" w:ascii="Times New Roman" w:hAnsi="Times New Roman" w:eastAsia="宋体" w:cs="Times New Roman"/>
                <w:b/>
                <w:color w:val="auto"/>
                <w:sz w:val="21"/>
                <w:szCs w:val="21"/>
              </w:rPr>
              <w:t>.10</w:t>
            </w:r>
            <w:r>
              <w:rPr>
                <w:rFonts w:ascii="Times New Roman" w:hAnsi="Times New Roman" w:eastAsia="宋体" w:cs="Times New Roman"/>
                <w:b/>
                <w:color w:val="auto"/>
                <w:sz w:val="21"/>
                <w:szCs w:val="21"/>
              </w:rPr>
              <w:t>-</w:t>
            </w:r>
            <w:r>
              <w:rPr>
                <w:rFonts w:hint="eastAsia" w:ascii="Times New Roman" w:hAnsi="Times New Roman" w:eastAsia="宋体" w:cs="Times New Roman"/>
                <w:b/>
                <w:color w:val="auto"/>
                <w:sz w:val="21"/>
                <w:szCs w:val="21"/>
              </w:rPr>
              <w:t>4</w:t>
            </w:r>
            <w:r>
              <w:rPr>
                <w:rFonts w:ascii="Times New Roman" w:hAnsi="Times New Roman" w:eastAsia="宋体" w:cs="Times New Roman"/>
                <w:b/>
                <w:color w:val="auto"/>
                <w:sz w:val="21"/>
                <w:szCs w:val="21"/>
              </w:rPr>
              <w:t xml:space="preserve">  光伏发电场施工工艺流程图</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rPr>
              <w:t>光伏发电场</w:t>
            </w:r>
            <w:r>
              <w:rPr>
                <w:rFonts w:ascii="Times New Roman" w:hAnsi="Times New Roman" w:cs="Times New Roman"/>
                <w:color w:val="auto"/>
                <w:kern w:val="2"/>
              </w:rPr>
              <w:t>施工工序为场地平整、</w:t>
            </w:r>
            <w:r>
              <w:rPr>
                <w:rFonts w:hint="eastAsia" w:ascii="Times New Roman" w:hAnsi="Times New Roman" w:cs="Times New Roman"/>
                <w:color w:val="auto"/>
              </w:rPr>
              <w:t>光伏支架基础开挖、钢筋笼制作安装、混凝土浇筑、支架安装、光伏组件方阵安装、</w:t>
            </w:r>
            <w:r>
              <w:rPr>
                <w:rFonts w:ascii="Times New Roman" w:hAnsi="Times New Roman" w:cs="Times New Roman"/>
                <w:color w:val="auto"/>
                <w:kern w:val="2"/>
              </w:rPr>
              <w:t>厂区电缆沟开挖及电缆铺设、</w:t>
            </w:r>
            <w:r>
              <w:rPr>
                <w:rFonts w:hint="eastAsia" w:ascii="Times New Roman" w:hAnsi="Times New Roman" w:cs="Times New Roman"/>
                <w:color w:val="auto"/>
              </w:rPr>
              <w:t>光伏面板基础工程及安装</w:t>
            </w:r>
            <w:r>
              <w:rPr>
                <w:rFonts w:ascii="Times New Roman" w:hAnsi="Times New Roman" w:cs="Times New Roman"/>
                <w:color w:val="auto"/>
                <w:kern w:val="2"/>
              </w:rPr>
              <w:t>、箱变和逆变器室施工、发电机组调试、试运行。</w:t>
            </w:r>
          </w:p>
          <w:p>
            <w:pPr>
              <w:pStyle w:val="15"/>
              <w:spacing w:line="360" w:lineRule="auto"/>
              <w:ind w:firstLine="480" w:firstLineChars="200"/>
              <w:jc w:val="both"/>
              <w:rPr>
                <w:rFonts w:ascii="Times New Roman" w:hAnsi="Times New Roman" w:cs="Times New Roman"/>
                <w:color w:val="auto"/>
              </w:rPr>
            </w:pPr>
            <w:r>
              <w:rPr>
                <w:rFonts w:hint="eastAsia" w:ascii="Times New Roman" w:hAnsi="Times New Roman" w:cs="Times New Roman"/>
                <w:color w:val="auto"/>
              </w:rPr>
              <w:t>（1）光伏支架基础开挖</w:t>
            </w:r>
          </w:p>
          <w:p>
            <w:pPr>
              <w:pStyle w:val="15"/>
              <w:spacing w:line="360" w:lineRule="auto"/>
              <w:ind w:firstLine="480" w:firstLineChars="200"/>
              <w:jc w:val="both"/>
              <w:rPr>
                <w:rFonts w:ascii="Times New Roman" w:hAnsi="Times New Roman" w:cs="Times New Roman"/>
                <w:color w:val="auto"/>
              </w:rPr>
            </w:pPr>
            <w:r>
              <w:rPr>
                <w:rFonts w:hint="eastAsia" w:ascii="Times New Roman" w:hAnsi="Times New Roman" w:cs="Times New Roman"/>
                <w:color w:val="auto"/>
                <w:kern w:val="2"/>
              </w:rPr>
              <w:t>施工场地因坡度太大，施工机械无法运至施工现场进行机械施工，只能靠人工打孔，根据测量班组所放点位进行打孔。</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（2）</w:t>
            </w:r>
            <w:r>
              <w:rPr>
                <w:rFonts w:hint="eastAsia" w:ascii="Times New Roman" w:hAnsi="Times New Roman" w:cs="Times New Roman"/>
                <w:color w:val="auto"/>
              </w:rPr>
              <w:t>钢筋笼制作安装</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钢筋到达现场，检查钢筋的外观质量，钢筋表面不得有裂纹、结疤和折叠，表面的凸块和其它缺陷度的深度和高度不得大于所在部位尺寸的允许偏差。</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（3）混凝土浇筑</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混凝土施工工艺流程中，沿施工便道运至离浇筑地点最近点，运至浇筑地点后，挂好料斗，倒入桩基内，快到顶部时停止倒料，工人用铁锹装混凝士至模板上平面，用铁抹子压实抹光。</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混凝土布料管口下落得自由倾落高度不得超过15m浇筑高度如超过2m时必须用溜管伸到桩的下部，浇筑混凝土；浇筑混凝土时要分层连续进行。使用插入式振捣器应快插慢拔，插点要均应排列，逐点移动，顺序进行，不得遗漏，做到均匀震实。移动间距不大于振捣作用半径的15倍（一般为45cm）。振捣上一层时应插入下层5cm，以消除两层间的接缝。浇筑混凝土时应派木工、钢筋工随时观察模板、钢筋、预埋件等有无移动，变形或堵寒情况，发生问题应立即处理并应在已浇筑的混凝土初凝结前修正完好。</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（4）支架安装</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项目所有光伏组件固定支架安装工程。本工程拟采用单块功率不小于665W的光伏组件，共计约1248块。光伏组件全部采用固定支架固定。固定支架主要部件采用钢结构，光伏固定支架主要包括:上、下立柱、斜梁、檩条、斜撑、拉杆、抱箍连接及螺栓等构件。钢结构构件强度等级不低于Q235B，光伏支架钢结构表面均采用热浸镀锌处理。</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（5）</w:t>
            </w:r>
            <w:r>
              <w:rPr>
                <w:rFonts w:hint="eastAsia" w:ascii="Times New Roman" w:hAnsi="Times New Roman" w:cs="Times New Roman"/>
                <w:color w:val="auto"/>
              </w:rPr>
              <w:t>光伏组件方阵安装</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安装组件时应轻拿轻放防止硬物刮伤和撞击表面玻璃。组件在机架上的安装位置和排列方式应符合施工设计规定。组件安装安装前仔细核实档位，每一组串的档位应保持一致，接入逆变器的档位应保持一致，严禁多档混装。组固定面与支架表面不相吻合时应用钢垫片垫平后方可紧固连接螺丝，严禁用紧拧连接螺丝的方法使其吻合。组件与支架的连接螺丝应全部拧紧按设计要求做好防松措施。</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组件方阵的布线应选用不同颜色导线作为正极负极和串联连接线。组件接线盒出口处的连接线应向下弯曲防雨水流入接线盒。组件连线和方阵引出申缆应用固定卡固定或绑扎在支架上。方阵布线及检测完毕应盖上并锁紧所有接线盒盒盖。方阵的输出端应有明显的极性标志和子方阵的编号标志。</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接线采用多股铜芯线，接线前应先将线头做搪锡处理。接线时应注意勿将正负极接反，保证接线正确。每串组件连接完毕后应检查组件开路电压是否正确，连接无误后断开一块电池板的接线，保证后续工序的安全操作。</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临时施工生产区布置于</w:t>
            </w:r>
            <w:r>
              <w:rPr>
                <w:rFonts w:hint="eastAsia" w:ascii="Times New Roman" w:hAnsi="Times New Roman" w:cs="Times New Roman"/>
                <w:color w:val="auto"/>
              </w:rPr>
              <w:t>光伏泵站场地旁1#施工生产区、0#高位水池旁2#施工生产区、3#蓄水池旁3#施工生产区</w:t>
            </w:r>
            <w:r>
              <w:rPr>
                <w:rFonts w:ascii="Times New Roman" w:hAnsi="Times New Roman" w:cs="Times New Roman"/>
                <w:color w:val="auto"/>
                <w:kern w:val="2"/>
              </w:rPr>
              <w:t>，主要用于</w:t>
            </w:r>
            <w:r>
              <w:rPr>
                <w:rFonts w:ascii="Times New Roman" w:hAnsi="Times New Roman" w:cs="Times New Roman"/>
                <w:color w:val="auto"/>
              </w:rPr>
              <w:t>临时工棚、材料加工区、机械停置区等。</w:t>
            </w:r>
            <w:r>
              <w:rPr>
                <w:rFonts w:ascii="Times New Roman" w:hAnsi="Times New Roman" w:cs="Times New Roman"/>
                <w:color w:val="auto"/>
                <w:kern w:val="2"/>
              </w:rPr>
              <w:t>施工结束后临时施工生产区需进行复耕覆土。</w:t>
            </w:r>
          </w:p>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2.11 施工时序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施工期</w:t>
            </w:r>
            <w:r>
              <w:rPr>
                <w:rFonts w:ascii="Times New Roman" w:hAnsi="Times New Roman" w:cs="Times New Roman"/>
                <w:sz w:val="24"/>
                <w:szCs w:val="24"/>
              </w:rPr>
              <w:t>水土流失为水蚀，水土流失主要发生在雨季，集中在5</w:t>
            </w:r>
            <w:r>
              <w:rPr>
                <w:rFonts w:hint="eastAsia" w:ascii="Times New Roman" w:hAnsi="Times New Roman" w:cs="Times New Roman"/>
                <w:sz w:val="24"/>
                <w:szCs w:val="24"/>
              </w:rPr>
              <w:t>-</w:t>
            </w:r>
            <w:r>
              <w:rPr>
                <w:rFonts w:ascii="Times New Roman" w:hAnsi="Times New Roman" w:cs="Times New Roman"/>
                <w:sz w:val="24"/>
                <w:szCs w:val="24"/>
              </w:rPr>
              <w:t>10月份，对在雨季不得不实施的工程必须做好防护措施，工程施工前先必须修筑排导工程。使水土保持工程与主体工程在施工时相互配套，特别做好临时防护工程，减少施工中的水土流失。</w:t>
            </w:r>
          </w:p>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2.12 建设周期</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项目预计总工期8个月，预计于2023年7月开工，于2024年3月完工。第1个月完成场地平整，征占地协调，施工附属设施及水、电及通讯工程等工作。第2个月开始开挖基坑，第8个月底完成本工程。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其他</w:t>
            </w:r>
          </w:p>
        </w:tc>
        <w:tc>
          <w:tcPr>
            <w:tcW w:w="8834" w:type="dxa"/>
            <w:vAlign w:val="center"/>
          </w:tcPr>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农田低压管道灌溉工程中，采用的管道一般可分为金属管道、塑料管道和复合管道三类。金属管道目前一般用的是铸铁管和钢管等:塑料管道一般用的是PVC管、PE管等复合管道一般用的是外镀锌内衬塑复合管。各自特点如下：</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（1）铸铁管：优点是有很强的抗腐蚀性，经久耐用，主要缺点是质脆，不能承受较大的动荷载，笨重和成本高。</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热镀锌钢管：优点是耐压高、韧性强，管壁薄。连接方便，接头密封好，无渗透；内壁平滑，摩擦阻力小，流通量大:缺点是价格高。一般用于水启闭室内或高压输水，穿越铁路、河谷以及地形坡度较陡的地方。</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（3）塑料管：具有表面光滑、水头损失小、耐腐蚀、不结垢、重量轻、运输和安装方便等优点。缺点是强度和弹性模量较低，热胀冷缩较大，使用中不能承受局部应力，且不能明敷。</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4）外镀锌内衬塑复合管：优点是适用范围广泛，规格品和齐全:生产工艺独特。连接方式可靠快捷，外表面的防蚀措施完善;焊管壁厚合理。缺点是造价高，安装费时费力，不能完全解决管件连接部分对水质污染问题。</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东川区拖布卡镇象鼻村产业发展业伏提水项目的项目区，硬坎、沟壑纵横，地形起伏大，管线不宜全段暗埋。最大设计工作扬程能达1097m，综合地形，耐压程度及造价，推荐选择内外防腐处理的热镀锌钢管。</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三、生态环境现状、保护目标及评价标准</w:t>
      </w:r>
    </w:p>
    <w:tbl>
      <w:tblPr>
        <w:tblStyle w:val="2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生态环境现状</w:t>
            </w:r>
          </w:p>
        </w:tc>
        <w:tc>
          <w:tcPr>
            <w:tcW w:w="8834" w:type="dxa"/>
            <w:vAlign w:val="center"/>
          </w:tcPr>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3.1 主体功能区规划</w:t>
            </w:r>
          </w:p>
          <w:p>
            <w:pPr>
              <w:pStyle w:val="62"/>
              <w:spacing w:line="360" w:lineRule="auto"/>
              <w:ind w:firstLine="480"/>
              <w:rPr>
                <w:rFonts w:hAnsi="Times New Roman"/>
                <w:sz w:val="24"/>
                <w:szCs w:val="24"/>
              </w:rPr>
            </w:pPr>
            <w:r>
              <w:rPr>
                <w:rFonts w:hAnsi="Times New Roman"/>
                <w:sz w:val="24"/>
                <w:szCs w:val="24"/>
              </w:rPr>
              <w:t>2014</w:t>
            </w:r>
            <w:r>
              <w:rPr>
                <w:rFonts w:hint="eastAsia" w:hAnsi="Times New Roman"/>
                <w:sz w:val="24"/>
                <w:szCs w:val="24"/>
              </w:rPr>
              <w:t>年1月6日，云南省人民政府以“云政发【2014】1号”发布了《云南省主体功能区划》，该规划将全省国土空间开发按照开发方式分为重点开发区域、限制开发区域和禁止开发区域3类主体功能区。限制开发区主要指关系全省农产品供给安全、生态安全，不应该或不适宜进行大规模、高强度工业化和城镇化开发的农产品主产区和重点生态功能区，限制开发区也可发展符合主体功能定位、当地资源环境可承载的产业。禁止开发区域指依法设立的各级各类自然文化资源保护区域，以及其他禁止进行工业化和城镇化开发、需要特殊保护的重点生态功能区。规划中禁止开发区域包括国家级、省级、州市级和县级的自然保护区、世界自然和文化遗产地，国家级、省级风景名胜区，国家级、省级森林公园，国家级地质公园，城市集中饮用水源保护区，国家湿地公园，国家级水产种质资源保护区，以及牛栏江流域上游保护区水源保护核心区等。</w:t>
            </w:r>
          </w:p>
          <w:p>
            <w:pPr>
              <w:pStyle w:val="62"/>
              <w:spacing w:line="360" w:lineRule="auto"/>
              <w:ind w:firstLine="480"/>
              <w:rPr>
                <w:rFonts w:hAnsi="Times New Roman"/>
                <w:sz w:val="24"/>
                <w:szCs w:val="24"/>
              </w:rPr>
            </w:pPr>
            <w:r>
              <w:rPr>
                <w:rFonts w:hint="eastAsia" w:hAnsi="Times New Roman"/>
                <w:sz w:val="24"/>
                <w:szCs w:val="24"/>
              </w:rPr>
              <w:t>本项目</w:t>
            </w:r>
            <w:r>
              <w:rPr>
                <w:rFonts w:hAnsi="Times New Roman"/>
                <w:sz w:val="24"/>
                <w:szCs w:val="24"/>
              </w:rPr>
              <w:t>位于</w:t>
            </w:r>
            <w:r>
              <w:rPr>
                <w:rFonts w:hint="eastAsia" w:hAnsi="Times New Roman"/>
                <w:sz w:val="24"/>
                <w:szCs w:val="24"/>
              </w:rPr>
              <w:t>云南省东川区拖布卡镇象鼻村，项目不位于自然保护区、风景名胜区、饮用水源保护区、风景名胜区、湿地公园等环境敏感区内，根据《云南省主体功能区规划》，项目位于《云南主体功能区规划》划定的限制开发区中省级重点生态功能区，该区的功能定位为在涵养水源、保持水土、调蓄洪水、防风固沙、维系生物多样性等方面具有重要作用，是关系全省、全国或更大区域生态安全的重要区域。重点生态功能区要以保护和修复生态环境、提供生态产品为首要任务，因地制宜地发展不影响主体功能定位的适宜产业，引导超载人口逐步有序转移。</w:t>
            </w:r>
          </w:p>
          <w:p>
            <w:pPr>
              <w:pStyle w:val="62"/>
              <w:spacing w:line="360" w:lineRule="auto"/>
              <w:ind w:firstLine="480"/>
              <w:rPr>
                <w:rFonts w:hAnsi="Times New Roman"/>
                <w:sz w:val="24"/>
                <w:szCs w:val="24"/>
              </w:rPr>
            </w:pPr>
            <w:r>
              <w:rPr>
                <w:rFonts w:hint="eastAsia" w:hAnsi="Times New Roman"/>
                <w:sz w:val="24"/>
                <w:szCs w:val="24"/>
              </w:rPr>
              <w:t>本项目属于引水工程项目，项目采用“光伏泵站+提水管道+新建高位水池”的模式为灌区供水，项目建设过程中产生的水土流失以及其他环境影响均采取了有效措施，使不利影响降至最低，</w:t>
            </w:r>
            <w:r>
              <w:rPr>
                <w:rFonts w:hint="eastAsia" w:hAnsi="Times New Roman"/>
                <w:kern w:val="0"/>
                <w:sz w:val="24"/>
              </w:rPr>
              <w:t>通过</w:t>
            </w:r>
            <w:r>
              <w:rPr>
                <w:rFonts w:hint="eastAsia" w:hAnsi="Times New Roman"/>
                <w:sz w:val="24"/>
                <w:szCs w:val="24"/>
              </w:rPr>
              <w:t>本项目的实施，能改变目前的灌溉条件，能有效提高象鼻村以工代赈灌区水资源利用效率和灌溉保证率，有利于减轻水资源短缺给农业生产造成的损失，保证作物稳产、高产。因此项目建设符合《云南省主体功能区划》的相关要求。</w:t>
            </w:r>
          </w:p>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3.2 生态功能区划</w:t>
            </w:r>
          </w:p>
          <w:p>
            <w:pPr>
              <w:pStyle w:val="62"/>
              <w:spacing w:line="360" w:lineRule="auto"/>
              <w:ind w:firstLine="480"/>
              <w:rPr>
                <w:rFonts w:hAnsi="Times New Roman"/>
                <w:sz w:val="24"/>
                <w:szCs w:val="24"/>
              </w:rPr>
            </w:pPr>
            <w:r>
              <w:rPr>
                <w:rFonts w:hint="eastAsia" w:hAnsi="Times New Roman"/>
                <w:sz w:val="24"/>
                <w:szCs w:val="24"/>
              </w:rPr>
              <w:t>根据《云南省生态功能区划》，云南生态功能区共分一级区（生态区）5个，二级区（生态亚区）19个，三级区（生态功能区65个。项目位于东川区昆明市东川区拖布卡镇象鼻村，根据《云南省生态功能区划》项目所在区域属于高原亚热带北部常绿阔叶林生态区（III），滇中、北中山峡谷暖性针叶林生态亚区（III2），金沙江、小江高山峡谷水土保持功能区（III2-5）。</w:t>
            </w:r>
          </w:p>
          <w:p>
            <w:pPr>
              <w:pStyle w:val="62"/>
              <w:spacing w:line="360" w:lineRule="auto"/>
              <w:ind w:firstLine="480"/>
              <w:rPr>
                <w:rFonts w:hAnsi="Times New Roman"/>
                <w:sz w:val="24"/>
                <w:szCs w:val="24"/>
              </w:rPr>
            </w:pPr>
            <w:r>
              <w:rPr>
                <w:rFonts w:hint="eastAsia" w:hAnsi="Times New Roman"/>
                <w:sz w:val="24"/>
                <w:szCs w:val="24"/>
              </w:rPr>
              <w:t>该生态功能区的主要特征是以高山峡谷地貌为主，年降雨量河谷地带为700-900mm，山地和高原面上可达1200mm。低海拔河谷地带植被以稀树灌木草丛为主，高原面上主要是云南松林、河谷土壤以燥红壤为主，山地上的土壤以红壤为主；该区的主要生态问题是森林覆盖率极低、水土流失和泥石流严重；生态环境敏感性为土壤侵蚀高度敏感、泥石流隐患严重；主要的生态系统服务功能是金沙江中段峡谷地带的水土保持和生态灾害的综合治理；主要的保护措施及发展方向是水土流失和泥石流的生物治理和工程治理，提高森林的数量和质量，防止生态灾害的进一步恶化。</w:t>
            </w:r>
          </w:p>
          <w:p>
            <w:pPr>
              <w:pStyle w:val="62"/>
              <w:spacing w:line="360" w:lineRule="auto"/>
              <w:ind w:firstLine="480"/>
              <w:rPr>
                <w:rFonts w:hAnsi="Times New Roman"/>
                <w:sz w:val="24"/>
                <w:szCs w:val="24"/>
              </w:rPr>
            </w:pPr>
            <w:r>
              <w:rPr>
                <w:rFonts w:hint="eastAsia" w:hAnsi="Times New Roman"/>
                <w:sz w:val="24"/>
                <w:szCs w:val="24"/>
              </w:rPr>
              <w:t>项目属于引水工程项目，项目采用“光伏泵站+提水管道+新建高位水池”的模式为灌区供水，项目的建设能改变目前的灌溉条件，能有效提高象鼻村以工代赈灌区水资源利用效率和灌溉保证率，有利于减轻水资源短缺给农业生产造成的损失，保证作物稳产、高产。因此项目建设符合《云南省生态功能规划》。</w:t>
            </w:r>
          </w:p>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3.3 生态环境现状</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3.3.</w:t>
            </w:r>
            <w:r>
              <w:rPr>
                <w:rFonts w:hint="eastAsia" w:ascii="Times New Roman" w:hAnsi="Times New Roman" w:cs="Times New Roman"/>
                <w:b/>
                <w:sz w:val="24"/>
                <w:szCs w:val="24"/>
              </w:rPr>
              <w:t>1</w:t>
            </w:r>
            <w:r>
              <w:rPr>
                <w:rFonts w:ascii="Times New Roman" w:hAnsi="Times New Roman" w:cs="Times New Roman"/>
                <w:b/>
                <w:sz w:val="24"/>
                <w:szCs w:val="24"/>
              </w:rPr>
              <w:t xml:space="preserve"> 植物现状</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（1）植被类型及分布特征</w:t>
            </w:r>
          </w:p>
          <w:p>
            <w:pPr>
              <w:pStyle w:val="62"/>
              <w:spacing w:line="360" w:lineRule="auto"/>
              <w:ind w:firstLine="480"/>
              <w:rPr>
                <w:rFonts w:hAnsi="Times New Roman"/>
                <w:sz w:val="24"/>
                <w:szCs w:val="24"/>
              </w:rPr>
            </w:pPr>
            <w:r>
              <w:rPr>
                <w:rFonts w:hAnsi="Times New Roman"/>
                <w:sz w:val="24"/>
                <w:szCs w:val="24"/>
              </w:rPr>
              <w:t>项目区位于云南省东川拖布卡镇，依据《中国植被》、《云南植被》等专著中确定的植被分类依据与原则，项目所在区域植被属：</w:t>
            </w:r>
          </w:p>
          <w:p>
            <w:pPr>
              <w:pStyle w:val="62"/>
              <w:spacing w:line="360" w:lineRule="auto"/>
              <w:ind w:firstLine="480"/>
              <w:rPr>
                <w:rFonts w:hAnsi="Times New Roman"/>
                <w:sz w:val="24"/>
                <w:szCs w:val="24"/>
              </w:rPr>
            </w:pPr>
            <w:r>
              <w:rPr>
                <w:rFonts w:hAnsi="Times New Roman"/>
                <w:sz w:val="24"/>
                <w:szCs w:val="24"/>
              </w:rPr>
              <w:t xml:space="preserve">Ⅱ亚热带常绿阔叶林区域 </w:t>
            </w:r>
          </w:p>
          <w:p>
            <w:pPr>
              <w:pStyle w:val="62"/>
              <w:spacing w:line="360" w:lineRule="auto"/>
              <w:ind w:firstLine="480"/>
              <w:rPr>
                <w:rFonts w:hAnsi="Times New Roman"/>
                <w:sz w:val="24"/>
                <w:szCs w:val="24"/>
              </w:rPr>
            </w:pPr>
            <w:r>
              <w:rPr>
                <w:rFonts w:hAnsi="Times New Roman"/>
                <w:sz w:val="24"/>
                <w:szCs w:val="24"/>
              </w:rPr>
              <w:t xml:space="preserve">ⅡA西部半湿润常绿阔叶林亚区域 </w:t>
            </w:r>
          </w:p>
          <w:p>
            <w:pPr>
              <w:pStyle w:val="62"/>
              <w:spacing w:line="360" w:lineRule="auto"/>
              <w:ind w:firstLine="480"/>
              <w:rPr>
                <w:rFonts w:hAnsi="Times New Roman"/>
                <w:sz w:val="24"/>
                <w:szCs w:val="24"/>
              </w:rPr>
            </w:pPr>
            <w:r>
              <w:rPr>
                <w:rFonts w:hAnsi="Times New Roman"/>
                <w:sz w:val="24"/>
                <w:szCs w:val="24"/>
              </w:rPr>
              <w:t xml:space="preserve">ⅡAii高原亚热带北部常绿阔叶林地带 </w:t>
            </w:r>
          </w:p>
          <w:p>
            <w:pPr>
              <w:pStyle w:val="62"/>
              <w:spacing w:line="360" w:lineRule="auto"/>
              <w:ind w:firstLine="480"/>
              <w:rPr>
                <w:rFonts w:hAnsi="Times New Roman"/>
                <w:sz w:val="24"/>
                <w:szCs w:val="24"/>
              </w:rPr>
            </w:pPr>
            <w:r>
              <w:rPr>
                <w:rFonts w:hAnsi="Times New Roman"/>
                <w:sz w:val="24"/>
                <w:szCs w:val="24"/>
              </w:rPr>
              <w:t>ⅡAii-1 滇中、滇东高原半湿润常绿阔叶林、云南松林区</w:t>
            </w:r>
          </w:p>
          <w:p>
            <w:pPr>
              <w:pStyle w:val="62"/>
              <w:spacing w:line="360" w:lineRule="auto"/>
              <w:ind w:firstLine="480"/>
              <w:rPr>
                <w:rFonts w:hAnsi="Times New Roman"/>
                <w:sz w:val="24"/>
                <w:szCs w:val="24"/>
              </w:rPr>
            </w:pPr>
            <w:r>
              <w:rPr>
                <w:rFonts w:hAnsi="Times New Roman"/>
                <w:sz w:val="24"/>
                <w:szCs w:val="24"/>
              </w:rPr>
              <w:t>调查区域内村落分布较多，人为活动频繁，植被分布主要受人为活动影响，评价区植被大部分为栽培植被，主要有玉米烤烟等农作物，部分地段有芒果、枇杷等，少部分自然植被主要为灌木草丛（龙舌兰Agave Americana、车桑子Dodonaea viscosa （L.）、假杜鹃 Barleria cristata L），乔木类植物多为人工种植的银合欢Leucaena leuc ocephala（Lam.）de Wit、桉树 Eucalyptus robusta Smith、麻疯树Jatropha curcas L（Ga gnep.）Chew。 高山栲 Castanopsis delavayi、元江栲林Castanopsis orthacantha、滇石栎Lithocarpus dealbatus、滇青冈Cyclobalanopsisglaucoides、黄毛青冈 Cyclobalanopsis delavayi等为主。</w:t>
            </w:r>
          </w:p>
          <w:p>
            <w:pPr>
              <w:pStyle w:val="62"/>
              <w:spacing w:line="360" w:lineRule="auto"/>
              <w:ind w:firstLine="482"/>
              <w:rPr>
                <w:rFonts w:hAnsi="Times New Roman"/>
                <w:b/>
                <w:sz w:val="24"/>
                <w:szCs w:val="24"/>
              </w:rPr>
            </w:pPr>
            <w:r>
              <w:rPr>
                <w:rFonts w:hint="eastAsia" w:hAnsi="Times New Roman"/>
                <w:b/>
                <w:sz w:val="24"/>
                <w:szCs w:val="24"/>
              </w:rPr>
              <w:t>（2）评价区植被类型分布现状</w:t>
            </w:r>
          </w:p>
          <w:p>
            <w:pPr>
              <w:pStyle w:val="62"/>
              <w:spacing w:line="360" w:lineRule="auto"/>
              <w:ind w:firstLine="480"/>
              <w:rPr>
                <w:rFonts w:hAnsi="Times New Roman"/>
                <w:sz w:val="24"/>
                <w:szCs w:val="24"/>
              </w:rPr>
            </w:pPr>
            <w:r>
              <w:rPr>
                <w:rFonts w:hint="eastAsia" w:hAnsi="Times New Roman"/>
                <w:sz w:val="24"/>
                <w:szCs w:val="24"/>
              </w:rPr>
              <w:t>根据现场调查，评价区域植被主要是灌草丛，这是因为评价区域受到较大的人为因素的影响，植被次生化严重，多退化成灌丛和稀树灌木丛。评价区大部分原生植被遭反复破坏一一火烧、砍伐、放牧、耕作等人为干扰的情况下形成片段化的次生群落。根据优势种结构，评价区的灌木植被主要是车桑子灌丛、银合欢灌丛、假杜鹃灌丛为主。</w:t>
            </w:r>
          </w:p>
          <w:p>
            <w:pPr>
              <w:pStyle w:val="62"/>
              <w:spacing w:line="360" w:lineRule="auto"/>
              <w:ind w:firstLine="480"/>
              <w:rPr>
                <w:rFonts w:hAnsi="Times New Roman"/>
                <w:sz w:val="24"/>
                <w:szCs w:val="24"/>
              </w:rPr>
            </w:pPr>
            <w:r>
              <w:rPr>
                <w:rFonts w:hint="eastAsia" w:hAnsi="Times New Roman"/>
                <w:sz w:val="24"/>
                <w:szCs w:val="24"/>
              </w:rPr>
              <w:t>根据现场调查，项目沿线植被受到较大的人为因素的影响，周边植被主要为暖性针叶林、干热灌丛和人工植被等。</w:t>
            </w:r>
            <w:r>
              <w:rPr>
                <w:rFonts w:hAnsi="Times New Roman"/>
                <w:sz w:val="24"/>
                <w:szCs w:val="24"/>
              </w:rPr>
              <w:t>项目区及周边200m范围内，无国家级或省级重点保护的野生植物、地区特有物种、名木古树分布。</w:t>
            </w:r>
          </w:p>
          <w:p>
            <w:pPr>
              <w:pStyle w:val="62"/>
              <w:spacing w:line="360" w:lineRule="auto"/>
              <w:ind w:firstLine="482"/>
              <w:rPr>
                <w:rFonts w:hAnsi="Times New Roman"/>
                <w:b/>
                <w:sz w:val="24"/>
                <w:szCs w:val="24"/>
              </w:rPr>
            </w:pPr>
            <w:r>
              <w:rPr>
                <w:rFonts w:hint="eastAsia" w:hAnsi="Times New Roman"/>
                <w:b/>
                <w:sz w:val="24"/>
                <w:szCs w:val="24"/>
              </w:rPr>
              <w:t>（3）评价区植被类型</w:t>
            </w:r>
          </w:p>
          <w:p>
            <w:pPr>
              <w:pStyle w:val="62"/>
              <w:spacing w:line="360" w:lineRule="auto"/>
              <w:ind w:firstLine="480"/>
              <w:rPr>
                <w:rFonts w:hAnsi="Times New Roman"/>
                <w:sz w:val="24"/>
                <w:szCs w:val="24"/>
              </w:rPr>
            </w:pPr>
            <w:r>
              <w:rPr>
                <w:rFonts w:hint="eastAsia" w:hAnsi="Times New Roman"/>
                <w:sz w:val="24"/>
                <w:szCs w:val="24"/>
              </w:rPr>
              <w:t>评价区人工植被分布广泛，是以人工植被为主的区域，占评价区总面积的47.25%，自然植被占评价区总面积的39.26%，非植被类型占13.49%。</w:t>
            </w:r>
          </w:p>
          <w:p>
            <w:pPr>
              <w:pStyle w:val="62"/>
              <w:spacing w:line="360" w:lineRule="auto"/>
              <w:ind w:firstLine="480"/>
              <w:rPr>
                <w:rFonts w:hAnsi="Times New Roman" w:eastAsiaTheme="majorEastAsia"/>
                <w:sz w:val="24"/>
                <w:szCs w:val="24"/>
              </w:rPr>
            </w:pPr>
            <w:r>
              <w:rPr>
                <w:rFonts w:hint="eastAsia" w:ascii="宋体" w:cs="宋体"/>
                <w:sz w:val="24"/>
                <w:szCs w:val="24"/>
              </w:rPr>
              <w:t>①</w:t>
            </w:r>
            <w:r>
              <w:rPr>
                <w:rFonts w:hAnsi="Times New Roman" w:eastAsiaTheme="majorEastAsia"/>
                <w:sz w:val="24"/>
                <w:szCs w:val="24"/>
              </w:rPr>
              <w:t>车桑子灌丛</w:t>
            </w:r>
          </w:p>
          <w:p>
            <w:pPr>
              <w:pStyle w:val="62"/>
              <w:spacing w:line="360" w:lineRule="auto"/>
              <w:ind w:firstLine="480"/>
              <w:rPr>
                <w:rFonts w:hAnsi="Times New Roman" w:eastAsiaTheme="majorEastAsia"/>
                <w:sz w:val="24"/>
                <w:szCs w:val="24"/>
              </w:rPr>
            </w:pPr>
            <w:r>
              <w:rPr>
                <w:rFonts w:hAnsi="Times New Roman" w:eastAsiaTheme="majorEastAsia"/>
                <w:sz w:val="24"/>
                <w:szCs w:val="24"/>
              </w:rPr>
              <w:t>车桑子是极端耐旱的中小型灌木，因此各地多用于荒山绿化，因而形成车桑子灌丛。车桑子灌丛广泛分布于云南、四川的干热河谷区域。金沙江流域的河谷及其山地，间断或连片分布，面积较大，其起源均为人工造林，但是由于不进行抚育管理，任其自然生长，其间伴生大量本地物种。</w:t>
            </w:r>
          </w:p>
          <w:p>
            <w:pPr>
              <w:pStyle w:val="62"/>
              <w:spacing w:line="360" w:lineRule="auto"/>
              <w:ind w:firstLine="480"/>
              <w:rPr>
                <w:rFonts w:hAnsi="Times New Roman" w:eastAsiaTheme="majorEastAsia"/>
                <w:sz w:val="24"/>
                <w:szCs w:val="24"/>
              </w:rPr>
            </w:pPr>
            <w:r>
              <w:rPr>
                <w:rFonts w:hAnsi="Times New Roman" w:eastAsiaTheme="majorEastAsia"/>
                <w:sz w:val="24"/>
                <w:szCs w:val="24"/>
              </w:rPr>
              <w:t>项目沿线的车桑子灌丛系当地山地主要水土保持恢复灌木，在项目沿线均有分布。群落灌木丛中有灌木层盖度为65%左右，高度1~5m，种类较单一，灌木层中有较少的乔木树种的幼树，主要灌木种类有车桑子 Dodonaea viscosa、野拔子 Elsholtzia rugulosa、假杜鹃 Barleria cristata、苦刺花 Sophora davidii等。</w:t>
            </w:r>
          </w:p>
          <w:p>
            <w:pPr>
              <w:pStyle w:val="62"/>
              <w:spacing w:line="360" w:lineRule="auto"/>
              <w:ind w:firstLine="480"/>
              <w:rPr>
                <w:rFonts w:hAnsi="Times New Roman" w:eastAsiaTheme="majorEastAsia"/>
                <w:sz w:val="24"/>
                <w:szCs w:val="24"/>
              </w:rPr>
            </w:pPr>
            <w:r>
              <w:rPr>
                <w:rFonts w:hAnsi="Times New Roman" w:eastAsiaTheme="majorEastAsia"/>
                <w:sz w:val="24"/>
                <w:szCs w:val="24"/>
              </w:rPr>
              <w:t>草本层相对茂密，层盖度可达到40%，种类相对较多，高度0.1~0.6m，主要种类有扭黄茅 Heteropogon contortus、三芒草 Aristida adscensionis、黄背草 Themeda triandra、滇芒 Miscanthus yunnanensis等。由于受人为破坏强度大，群落中层间植物较少，主要有云南羊蹄甲Bauhiniayunnanensis等。</w:t>
            </w:r>
          </w:p>
          <w:p>
            <w:pPr>
              <w:pStyle w:val="62"/>
              <w:spacing w:line="360" w:lineRule="auto"/>
              <w:ind w:firstLine="480"/>
              <w:rPr>
                <w:rFonts w:hAnsi="Times New Roman" w:eastAsiaTheme="majorEastAsia"/>
                <w:sz w:val="24"/>
                <w:szCs w:val="24"/>
              </w:rPr>
            </w:pPr>
            <w:r>
              <w:rPr>
                <w:rFonts w:hint="eastAsia" w:hAnsi="Times New Roman" w:eastAsiaTheme="majorEastAsia"/>
                <w:sz w:val="24"/>
                <w:szCs w:val="24"/>
              </w:rPr>
              <w:t>②</w:t>
            </w:r>
            <w:r>
              <w:rPr>
                <w:rFonts w:hAnsi="Times New Roman" w:eastAsiaTheme="majorEastAsia"/>
                <w:sz w:val="24"/>
                <w:szCs w:val="24"/>
              </w:rPr>
              <w:t xml:space="preserve">银合欢灌丛 </w:t>
            </w:r>
          </w:p>
          <w:p>
            <w:pPr>
              <w:pStyle w:val="62"/>
              <w:spacing w:line="360" w:lineRule="auto"/>
              <w:ind w:firstLine="480"/>
              <w:rPr>
                <w:rFonts w:hAnsi="Times New Roman" w:eastAsiaTheme="majorEastAsia"/>
                <w:sz w:val="24"/>
                <w:szCs w:val="24"/>
              </w:rPr>
            </w:pPr>
            <w:r>
              <w:rPr>
                <w:rFonts w:hAnsi="Times New Roman" w:eastAsiaTheme="majorEastAsia"/>
                <w:sz w:val="24"/>
                <w:szCs w:val="24"/>
              </w:rPr>
              <w:t>银合欢作为金沙江干热河谷区植被恢复主要物种之一，作为该区域干热退化山地植被的恢复的先锋树种，因其目前处于自然生长状态，人为干扰少，在此计入自然植被。</w:t>
            </w:r>
          </w:p>
          <w:p>
            <w:pPr>
              <w:pStyle w:val="62"/>
              <w:spacing w:line="360" w:lineRule="auto"/>
              <w:ind w:firstLine="480"/>
              <w:rPr>
                <w:rFonts w:hAnsi="Times New Roman" w:eastAsiaTheme="majorEastAsia"/>
                <w:sz w:val="24"/>
                <w:szCs w:val="24"/>
              </w:rPr>
            </w:pPr>
            <w:r>
              <w:rPr>
                <w:rFonts w:hAnsi="Times New Roman" w:eastAsiaTheme="majorEastAsia"/>
                <w:sz w:val="24"/>
                <w:szCs w:val="24"/>
              </w:rPr>
              <w:t>根据现场调查，区域银合欢林的林相单一、层次结构简单、物种组成稀少。其中优势种仅银合欢一种单优势种，因群落高度普遍低于6m，尚未成乔木。该群落灌木层盖度为70%左右，高度1~5m，主要灌木种类有银合欢Leucaenaleucocephala、车桑子Dodonaea viscosa、云南黄花稔 Sida yunnanensis 等。草本植物主要种类有拟金茅 Eulaliopsis binata、扭黄茅 Heteropogon contortus、黄背草 Themeda triandra、鬼针草 Bidens pilosa、蜈蚣蕨 Eremochloa ciliaris、紫茎泽兰 Eupatorium adenophora Spreng等。</w:t>
            </w:r>
          </w:p>
          <w:p>
            <w:pPr>
              <w:pStyle w:val="62"/>
              <w:spacing w:line="360" w:lineRule="auto"/>
              <w:ind w:firstLine="480"/>
              <w:rPr>
                <w:rFonts w:hAnsi="Times New Roman" w:eastAsiaTheme="majorEastAsia"/>
                <w:sz w:val="24"/>
                <w:szCs w:val="24"/>
              </w:rPr>
            </w:pPr>
            <w:r>
              <w:rPr>
                <w:rFonts w:hint="eastAsia" w:hAnsi="Times New Roman" w:eastAsiaTheme="majorEastAsia"/>
                <w:sz w:val="24"/>
                <w:szCs w:val="24"/>
              </w:rPr>
              <w:t>③</w:t>
            </w:r>
            <w:r>
              <w:rPr>
                <w:rFonts w:hAnsi="Times New Roman" w:eastAsiaTheme="majorEastAsia"/>
                <w:sz w:val="24"/>
                <w:szCs w:val="24"/>
              </w:rPr>
              <w:t>假杜鹃灌丛</w:t>
            </w:r>
          </w:p>
          <w:p>
            <w:pPr>
              <w:pStyle w:val="62"/>
              <w:spacing w:line="360" w:lineRule="auto"/>
              <w:ind w:firstLine="480"/>
              <w:rPr>
                <w:rFonts w:hAnsi="Times New Roman" w:eastAsiaTheme="majorEastAsia"/>
                <w:sz w:val="24"/>
                <w:szCs w:val="24"/>
              </w:rPr>
            </w:pPr>
            <w:r>
              <w:rPr>
                <w:rFonts w:hAnsi="Times New Roman" w:eastAsiaTheme="majorEastAsia"/>
                <w:sz w:val="24"/>
                <w:szCs w:val="24"/>
              </w:rPr>
              <w:t>假杜鹃灌丛系当地干热气候退化和人为干扰形成的及次生群落类型。群落中没有乔木，灌丛中有灌木层盖度为30%左右，高度1~5m，主要灌木种类有野拔子 Elsholtziarugulosa、假杜鹃 Barleria cristata、车桑子 Dodonaea viscosa 、苦刺花 Solanumdeflexicarpum 等。</w:t>
            </w:r>
          </w:p>
          <w:p>
            <w:pPr>
              <w:pStyle w:val="62"/>
              <w:spacing w:line="360" w:lineRule="auto"/>
              <w:ind w:firstLine="480"/>
              <w:rPr>
                <w:rFonts w:hAnsi="Times New Roman" w:eastAsiaTheme="majorEastAsia"/>
                <w:sz w:val="24"/>
                <w:szCs w:val="24"/>
              </w:rPr>
            </w:pPr>
            <w:r>
              <w:rPr>
                <w:rFonts w:hAnsi="Times New Roman" w:eastAsiaTheme="majorEastAsia"/>
                <w:sz w:val="24"/>
                <w:szCs w:val="24"/>
              </w:rPr>
              <w:t>草本层盖度可达到60%，主要种类有三芒草 Aristida adscensionis、扭黄茅Heteropogoncontortus、丛毛羊胡子草 Eriophorum comosum、矛叶荩草 Arthraxonprionodes、拟金茅 Eulaliopsis binata、戟叶酸模 Rumex hastatus 等。</w:t>
            </w:r>
          </w:p>
          <w:p>
            <w:pPr>
              <w:pStyle w:val="62"/>
              <w:spacing w:line="360" w:lineRule="auto"/>
              <w:ind w:firstLine="480"/>
              <w:rPr>
                <w:rFonts w:hAnsi="Times New Roman" w:eastAsiaTheme="majorEastAsia"/>
                <w:sz w:val="24"/>
                <w:szCs w:val="24"/>
              </w:rPr>
            </w:pPr>
            <w:r>
              <w:rPr>
                <w:rFonts w:hint="eastAsia" w:hAnsi="Times New Roman" w:eastAsiaTheme="majorEastAsia"/>
                <w:sz w:val="24"/>
                <w:szCs w:val="24"/>
              </w:rPr>
              <w:t>④</w:t>
            </w:r>
            <w:r>
              <w:rPr>
                <w:rFonts w:hAnsi="Times New Roman" w:eastAsiaTheme="majorEastAsia"/>
                <w:sz w:val="24"/>
                <w:szCs w:val="24"/>
              </w:rPr>
              <w:t>草丛</w:t>
            </w:r>
          </w:p>
          <w:p>
            <w:pPr>
              <w:pStyle w:val="62"/>
              <w:spacing w:line="360" w:lineRule="auto"/>
              <w:ind w:firstLine="480"/>
              <w:rPr>
                <w:rFonts w:hAnsi="Times New Roman" w:eastAsiaTheme="majorEastAsia"/>
                <w:sz w:val="24"/>
                <w:szCs w:val="24"/>
              </w:rPr>
            </w:pPr>
            <w:r>
              <w:rPr>
                <w:rFonts w:hAnsi="Times New Roman" w:eastAsiaTheme="majorEastAsia"/>
                <w:sz w:val="24"/>
                <w:szCs w:val="24"/>
              </w:rPr>
              <w:t>根据现场调查，项目评价范围内草从植物主要以有扭黄茅 Heteropogon contortus、黄背草 Themeda triandra、戟叶酸模 Rumex hastatus 等，盖度为40%左右，高度0.6m 左右。</w:t>
            </w:r>
          </w:p>
          <w:p>
            <w:pPr>
              <w:pStyle w:val="62"/>
              <w:spacing w:line="360" w:lineRule="auto"/>
              <w:ind w:firstLine="480"/>
              <w:rPr>
                <w:rFonts w:hAnsi="Times New Roman" w:eastAsiaTheme="majorEastAsia"/>
                <w:sz w:val="24"/>
                <w:szCs w:val="24"/>
              </w:rPr>
            </w:pPr>
            <w:r>
              <w:rPr>
                <w:rFonts w:hint="eastAsia" w:hAnsi="Times New Roman" w:eastAsiaTheme="majorEastAsia"/>
                <w:sz w:val="24"/>
                <w:szCs w:val="24"/>
              </w:rPr>
              <w:t>⑤</w:t>
            </w:r>
            <w:r>
              <w:rPr>
                <w:rFonts w:hAnsi="Times New Roman" w:eastAsiaTheme="majorEastAsia"/>
                <w:sz w:val="24"/>
                <w:szCs w:val="24"/>
              </w:rPr>
              <w:t>人工植被</w:t>
            </w:r>
          </w:p>
          <w:p>
            <w:pPr>
              <w:pStyle w:val="62"/>
              <w:spacing w:line="360" w:lineRule="auto"/>
              <w:ind w:firstLine="480"/>
              <w:rPr>
                <w:rFonts w:hAnsi="Times New Roman" w:eastAsiaTheme="majorEastAsia"/>
                <w:sz w:val="24"/>
                <w:szCs w:val="24"/>
              </w:rPr>
            </w:pPr>
            <w:r>
              <w:rPr>
                <w:rFonts w:hAnsi="Times New Roman" w:eastAsiaTheme="majorEastAsia"/>
                <w:sz w:val="24"/>
                <w:szCs w:val="24"/>
              </w:rPr>
              <w:t>评价区的人工植被可以分为人工用材林、耕地等类型。人工用材主要为赤桉；而耕地则种植有玉米、烤烟等。</w:t>
            </w:r>
          </w:p>
          <w:p>
            <w:pPr>
              <w:pStyle w:val="62"/>
              <w:spacing w:line="360" w:lineRule="auto"/>
              <w:ind w:firstLine="480"/>
              <w:rPr>
                <w:rFonts w:hAnsi="Times New Roman" w:eastAsiaTheme="majorEastAsia"/>
                <w:sz w:val="24"/>
                <w:szCs w:val="24"/>
              </w:rPr>
            </w:pPr>
            <w:r>
              <w:rPr>
                <w:rFonts w:hAnsi="Times New Roman" w:eastAsiaTheme="majorEastAsia"/>
                <w:sz w:val="24"/>
                <w:szCs w:val="24"/>
              </w:rPr>
              <w:t>人工林由其生产目标的所确定，首先，人工林是单优的人工群落，通常其培育树种的密度还比较大，林下物种和数量较少；其次，由于每年一次或多次不断的进行人为管理活动，包括砍灌、除草、施肥等，使本来不多的物种和及数量，变得更少了。因此上述各种人工林下的生物多样性都是十分贫乏的。</w:t>
            </w:r>
          </w:p>
          <w:p>
            <w:pPr>
              <w:pStyle w:val="62"/>
              <w:spacing w:line="360" w:lineRule="auto"/>
              <w:ind w:firstLine="480"/>
              <w:rPr>
                <w:rFonts w:hAnsi="Times New Roman" w:eastAsiaTheme="majorEastAsia"/>
                <w:sz w:val="24"/>
                <w:szCs w:val="24"/>
              </w:rPr>
            </w:pPr>
            <w:r>
              <w:rPr>
                <w:rFonts w:hint="eastAsia" w:hAnsi="Times New Roman" w:eastAsiaTheme="majorEastAsia"/>
                <w:sz w:val="24"/>
                <w:szCs w:val="24"/>
              </w:rPr>
              <w:t>⑥</w:t>
            </w:r>
            <w:r>
              <w:rPr>
                <w:rFonts w:hAnsi="Times New Roman" w:eastAsiaTheme="majorEastAsia"/>
                <w:sz w:val="24"/>
                <w:szCs w:val="24"/>
              </w:rPr>
              <w:t>非植被类型</w:t>
            </w:r>
          </w:p>
          <w:p>
            <w:pPr>
              <w:pStyle w:val="62"/>
              <w:spacing w:line="360" w:lineRule="auto"/>
              <w:ind w:firstLine="480"/>
              <w:rPr>
                <w:rFonts w:hAnsi="Times New Roman" w:eastAsiaTheme="majorEastAsia"/>
                <w:sz w:val="24"/>
                <w:szCs w:val="24"/>
              </w:rPr>
            </w:pPr>
            <w:r>
              <w:rPr>
                <w:rFonts w:hAnsi="Times New Roman" w:eastAsiaTheme="majorEastAsia"/>
                <w:sz w:val="24"/>
                <w:szCs w:val="24"/>
              </w:rPr>
              <w:t>评价区除了自然植被和人工植被外，还有其他一些土地利用类型，如裸岩、道路、居民点等。</w:t>
            </w:r>
          </w:p>
          <w:p>
            <w:pPr>
              <w:pStyle w:val="62"/>
              <w:spacing w:line="360" w:lineRule="auto"/>
              <w:ind w:firstLine="482"/>
              <w:rPr>
                <w:rFonts w:hAnsi="Times New Roman"/>
                <w:b/>
                <w:sz w:val="24"/>
                <w:szCs w:val="24"/>
              </w:rPr>
            </w:pPr>
            <w:r>
              <w:rPr>
                <w:rFonts w:hint="eastAsia" w:hAnsi="Times New Roman"/>
                <w:b/>
                <w:sz w:val="24"/>
                <w:szCs w:val="24"/>
              </w:rPr>
              <w:t>（4）评价区保护植物</w:t>
            </w:r>
          </w:p>
          <w:p>
            <w:pPr>
              <w:pStyle w:val="62"/>
              <w:spacing w:line="360" w:lineRule="auto"/>
              <w:ind w:firstLine="480"/>
              <w:rPr>
                <w:rFonts w:hAnsi="Times New Roman"/>
                <w:sz w:val="24"/>
                <w:szCs w:val="24"/>
              </w:rPr>
            </w:pPr>
            <w:r>
              <w:rPr>
                <w:rFonts w:hint="eastAsia" w:hAnsi="Times New Roman"/>
                <w:sz w:val="24"/>
                <w:szCs w:val="24"/>
              </w:rPr>
              <w:t>根据现场调查，按照《我国重点保护野生植物名录》（2021），项目评价区内未发现国家重点保护植物；按照云南省政府1989年发布的《云南省第一批省级重点保护野生植物名录》（1989）统计，评价区未见云南省级保护植物分布；按照全国绿化委员会、国家林业局文件（全绿字〔2001〕15号）对名木古树的界定，名木指在历史上或社会上有重大影响的中外历代名人、领袖人物所植或者具有极其重要的历史、文化价值、具有纪念意义的树木；古树指树龄在100年以上的树木。按照这个界定，本评价区内未见名木古树分布。</w:t>
            </w:r>
          </w:p>
          <w:p>
            <w:pPr>
              <w:pStyle w:val="62"/>
              <w:spacing w:line="360" w:lineRule="auto"/>
              <w:ind w:firstLine="482"/>
              <w:rPr>
                <w:rFonts w:hAnsi="Times New Roman"/>
                <w:sz w:val="24"/>
                <w:szCs w:val="24"/>
              </w:rPr>
            </w:pPr>
            <w:r>
              <w:rPr>
                <w:rFonts w:hint="eastAsia" w:hAnsi="Times New Roman"/>
                <w:b/>
                <w:sz w:val="24"/>
                <w:szCs w:val="24"/>
              </w:rPr>
              <w:t xml:space="preserve">3.3.2 </w:t>
            </w:r>
            <w:r>
              <w:rPr>
                <w:rFonts w:hAnsi="Times New Roman"/>
                <w:b/>
                <w:sz w:val="24"/>
                <w:szCs w:val="24"/>
              </w:rPr>
              <w:t>陆栖脊椎动物</w:t>
            </w:r>
            <w:r>
              <w:rPr>
                <w:rFonts w:hint="eastAsia" w:hAnsi="Times New Roman"/>
                <w:b/>
                <w:sz w:val="24"/>
                <w:szCs w:val="24"/>
              </w:rPr>
              <w:t>现状</w:t>
            </w:r>
          </w:p>
          <w:p>
            <w:pPr>
              <w:pStyle w:val="62"/>
              <w:spacing w:line="360" w:lineRule="auto"/>
              <w:ind w:firstLine="480"/>
              <w:rPr>
                <w:rFonts w:hAnsi="Times New Roman"/>
                <w:sz w:val="24"/>
                <w:szCs w:val="24"/>
              </w:rPr>
            </w:pPr>
            <w:r>
              <w:rPr>
                <w:rFonts w:hint="eastAsia" w:hAnsi="Times New Roman"/>
                <w:sz w:val="24"/>
                <w:szCs w:val="24"/>
              </w:rPr>
              <w:t>评价区为农村地区，人类活动较频繁，人工开发痕迹明显，陆域野生动物以栖息于农田、草丛的两栖类、爬行类、鸟类、小型兽类为主。在调查区域共记录陆生脊椎动物11目26科48种。其中两栖类1目3科6种，爬行类1目3科5种，鸟类7目15科28种，兽类2目5科9种。评价区人为活动影响显著，且属于干热河谷区，植被多为干热灌丛和耕地，评价区的动物资源相对较少。</w:t>
            </w:r>
          </w:p>
          <w:p>
            <w:pPr>
              <w:pStyle w:val="62"/>
              <w:spacing w:line="360" w:lineRule="auto"/>
              <w:ind w:firstLine="482"/>
              <w:rPr>
                <w:rFonts w:hAnsi="Times New Roman"/>
                <w:b/>
                <w:sz w:val="24"/>
                <w:szCs w:val="24"/>
              </w:rPr>
            </w:pPr>
            <w:r>
              <w:rPr>
                <w:rFonts w:hint="eastAsia" w:hAnsi="Times New Roman"/>
                <w:b/>
                <w:sz w:val="24"/>
                <w:szCs w:val="24"/>
              </w:rPr>
              <w:t>（1）两栖类</w:t>
            </w:r>
          </w:p>
          <w:p>
            <w:pPr>
              <w:pStyle w:val="62"/>
              <w:spacing w:line="360" w:lineRule="auto"/>
              <w:ind w:firstLine="480"/>
              <w:rPr>
                <w:rFonts w:hAnsi="Times New Roman"/>
                <w:sz w:val="24"/>
                <w:szCs w:val="24"/>
              </w:rPr>
            </w:pPr>
            <w:r>
              <w:rPr>
                <w:rFonts w:hint="eastAsia" w:hAnsi="Times New Roman"/>
                <w:sz w:val="24"/>
                <w:szCs w:val="24"/>
              </w:rPr>
              <w:t>调查区域共记录两栖动物6种，隶属1目3科。两栖类主要分布工程周边水域。由于这些区域人为活动频繁，加上农业生产影响，评价区的两栖动物种类和数量都较少。评价区的两栖类中，以蛙科为主，有滇蛙 Ranapleuraden、泽蛙 Fejervarya multistriata 等4种；蟾蜍科仅华西蟾蜍 Bufo andrewsi1种；雨蛙科仅华西雨蛙 Hyla annenctans 1种。</w:t>
            </w:r>
          </w:p>
          <w:p>
            <w:pPr>
              <w:pStyle w:val="62"/>
              <w:spacing w:line="360" w:lineRule="auto"/>
              <w:ind w:firstLine="482"/>
              <w:rPr>
                <w:rFonts w:hAnsi="Times New Roman"/>
                <w:b/>
                <w:sz w:val="24"/>
                <w:szCs w:val="24"/>
              </w:rPr>
            </w:pPr>
            <w:r>
              <w:rPr>
                <w:rFonts w:hint="eastAsia" w:hAnsi="Times New Roman"/>
                <w:b/>
                <w:sz w:val="24"/>
                <w:szCs w:val="24"/>
              </w:rPr>
              <w:t>（2）爬行类</w:t>
            </w:r>
          </w:p>
          <w:p>
            <w:pPr>
              <w:pStyle w:val="62"/>
              <w:spacing w:line="360" w:lineRule="auto"/>
              <w:ind w:firstLine="480"/>
              <w:rPr>
                <w:rFonts w:hAnsi="Times New Roman"/>
                <w:sz w:val="24"/>
                <w:szCs w:val="24"/>
              </w:rPr>
            </w:pPr>
            <w:r>
              <w:rPr>
                <w:rFonts w:hint="eastAsia" w:hAnsi="Times New Roman"/>
                <w:sz w:val="24"/>
                <w:szCs w:val="24"/>
              </w:rPr>
              <w:t xml:space="preserve">调查区域共录爬行动物5种，隶属1目3科。爬行动物主要分布于沿线的水田和灌丛中。由于受到人为干扰和气候干扰等原因，工程沿线的爬行动物数量并不多，其中以粗疣壁虎 Gekko scabridus 以及铜蜓蜥 Sphenomorphus indicus 活动相对较多，而蛇类相对较少，在该区域属偶见。 </w:t>
            </w:r>
          </w:p>
          <w:p>
            <w:pPr>
              <w:pStyle w:val="62"/>
              <w:spacing w:line="360" w:lineRule="auto"/>
              <w:ind w:firstLine="482"/>
              <w:rPr>
                <w:rFonts w:hAnsi="Times New Roman"/>
                <w:b/>
                <w:sz w:val="24"/>
                <w:szCs w:val="24"/>
              </w:rPr>
            </w:pPr>
            <w:r>
              <w:rPr>
                <w:rFonts w:hint="eastAsia" w:hAnsi="Times New Roman"/>
                <w:b/>
                <w:sz w:val="24"/>
                <w:szCs w:val="24"/>
              </w:rPr>
              <w:t>（3）鸟类</w:t>
            </w:r>
          </w:p>
          <w:p>
            <w:pPr>
              <w:pStyle w:val="62"/>
              <w:spacing w:line="360" w:lineRule="auto"/>
              <w:ind w:firstLine="480"/>
              <w:rPr>
                <w:rFonts w:hAnsi="Times New Roman"/>
                <w:sz w:val="24"/>
                <w:szCs w:val="24"/>
              </w:rPr>
            </w:pPr>
            <w:r>
              <w:rPr>
                <w:rFonts w:hint="eastAsia" w:hAnsi="Times New Roman"/>
                <w:sz w:val="24"/>
                <w:szCs w:val="24"/>
              </w:rPr>
              <w:t>调查区域共记录鸟类28种，隶属于7目15科。其中雀形目最多，有8科15属18种，占评价区鸟类总数的64.3%；其次为佛法僧目、鹳形目、隼形目和鸽形目，均有2种；其余均有1种。28种鸟类中有留鸟有21种，夏候鸟（包括栗喉蜂虎）有2种，冬候鸟有5种，繁殖鸟占总数的82.14%，非繁殖鸟占17.86%。在记录的28种鸟中，以农耕地、村落栖息的鸠鸽科、燕科、文鸟科和雀科鸟类较常见，其次是在灌丛、林地栖息的杜鹃科、鸦科、鹟科和文鸟科鸟类，而在水边栖息的鹭科和翠鸟科鸟类较少见。</w:t>
            </w:r>
          </w:p>
          <w:p>
            <w:pPr>
              <w:pStyle w:val="62"/>
              <w:spacing w:line="360" w:lineRule="auto"/>
              <w:ind w:firstLine="482"/>
              <w:rPr>
                <w:rFonts w:hAnsi="Times New Roman"/>
                <w:sz w:val="24"/>
                <w:szCs w:val="24"/>
              </w:rPr>
            </w:pPr>
            <w:r>
              <w:rPr>
                <w:rFonts w:hint="eastAsia" w:hAnsi="Times New Roman"/>
                <w:b/>
                <w:sz w:val="24"/>
                <w:szCs w:val="24"/>
              </w:rPr>
              <w:t>（4）哺乳类</w:t>
            </w:r>
          </w:p>
          <w:p>
            <w:pPr>
              <w:pStyle w:val="62"/>
              <w:spacing w:line="360" w:lineRule="auto"/>
              <w:ind w:firstLine="480"/>
              <w:rPr>
                <w:rFonts w:hAnsi="Times New Roman"/>
                <w:sz w:val="24"/>
                <w:szCs w:val="24"/>
              </w:rPr>
            </w:pPr>
            <w:r>
              <w:rPr>
                <w:rFonts w:hint="eastAsia" w:hAnsi="Times New Roman"/>
                <w:sz w:val="24"/>
                <w:szCs w:val="24"/>
              </w:rPr>
              <w:t>评价区记录了9种哺乳类动物，分隶于11目5科。工程沿线村寨较多，人为活动频繁，干热河谷地带植被发育程度较低，多为干热性灌丛和农地，因此评价区的兽类不仅种类少，数量也少。较为常见的种类属啮齿目的伴人型鼠类如小家鼠 Musmusculus、锡金小鼠 Mus pahari、针毛鼠 Niviventer fulvescens，村寨周边的四旁树则偶见松鼠类。</w:t>
            </w:r>
          </w:p>
          <w:p>
            <w:pPr>
              <w:pStyle w:val="62"/>
              <w:spacing w:line="360" w:lineRule="auto"/>
              <w:ind w:firstLine="482"/>
              <w:rPr>
                <w:rFonts w:hAnsi="Times New Roman"/>
                <w:sz w:val="24"/>
                <w:szCs w:val="24"/>
              </w:rPr>
            </w:pPr>
            <w:r>
              <w:rPr>
                <w:rFonts w:hint="eastAsia" w:hAnsi="Times New Roman"/>
                <w:b/>
                <w:sz w:val="24"/>
                <w:szCs w:val="24"/>
              </w:rPr>
              <w:t>（5）重点保护野生动物</w:t>
            </w:r>
          </w:p>
          <w:p>
            <w:pPr>
              <w:pStyle w:val="62"/>
              <w:spacing w:line="360" w:lineRule="auto"/>
              <w:ind w:firstLine="480"/>
              <w:rPr>
                <w:rFonts w:hAnsi="Times New Roman"/>
                <w:sz w:val="24"/>
                <w:szCs w:val="24"/>
              </w:rPr>
            </w:pPr>
            <w:r>
              <w:rPr>
                <w:rFonts w:hint="eastAsia" w:hAnsi="Times New Roman"/>
                <w:sz w:val="24"/>
                <w:szCs w:val="24"/>
              </w:rPr>
              <w:t>根据《国家重点保护野生动物名录》（2021），评价区域内分布有国家II级重点保护动物2种，分别为黑鸢和松雀鹰，均为猛禽类。黑鸢和松雀鹰主要在高大森林树冠上营巢繁殖，评价区森林减少，沿线缺乏高大的树木，因此评价区不属于这两种国家保护鸟类的栖息地和筑巢地，仅是其觅食区域。</w:t>
            </w:r>
          </w:p>
          <w:p>
            <w:pPr>
              <w:pStyle w:val="62"/>
              <w:spacing w:line="360" w:lineRule="auto"/>
              <w:ind w:firstLine="480"/>
              <w:rPr>
                <w:rFonts w:hAnsi="Times New Roman"/>
                <w:sz w:val="24"/>
                <w:szCs w:val="24"/>
              </w:rPr>
            </w:pPr>
            <w:r>
              <w:rPr>
                <w:rFonts w:hint="eastAsia" w:hAnsi="Times New Roman"/>
                <w:sz w:val="24"/>
                <w:szCs w:val="24"/>
              </w:rPr>
              <w:t>此外，评价区附近有栗喉蜂虎保护小区。东川区栗喉峰虎保护小区于2017年11月28日由东川区人民政府划定（东政复〔2017〕288号文），划定保护面积3352公顷。根据中国环境科学研究院生物多样性研究中心2017年11月8日布的《自然保护小区助力生物多样性保护》中“自然保护小区不是小型自然保户区”，文中对自然保护小区的定义为：“自然保护小区就是自然保护区以外的生物多样性保护区域，自然保护小区一般情况下都是生物多样性程度较高，具有比较完好的自然生态系统或具有重要价值的野生动植物、古树名木、珍稀濒仓物种、宝贵遗传资源等。在一些地区，自然保护小区也包括具有特定历史文化价值和特种用途的生物多样性保护区域，或者是在风景名胜区内划出的生物多样生保护区域。自然保护小区一般不划分核心区、缓冲区和实验区。”</w:t>
            </w:r>
          </w:p>
          <w:p>
            <w:pPr>
              <w:pStyle w:val="62"/>
              <w:spacing w:line="360" w:lineRule="auto"/>
              <w:ind w:firstLine="480"/>
              <w:rPr>
                <w:rFonts w:hAnsi="Times New Roman"/>
                <w:sz w:val="24"/>
                <w:szCs w:val="24"/>
              </w:rPr>
            </w:pPr>
            <w:r>
              <w:rPr>
                <w:rFonts w:hint="eastAsia" w:hAnsi="Times New Roman"/>
                <w:sz w:val="24"/>
                <w:szCs w:val="24"/>
              </w:rPr>
              <w:t>栗喉蜂虎（学名：Merops philippimus）是蜂虎科蜂虎属的鸟类。有热带鸟类羽毛艳丽的特征；喉部是栗红色的，黑色的过眼纹，翅膀和背部是绿色的，尾翼是蓝色的，飞行时翅膀下面的羽毛是橙黄色的，在阳光的照射下，它们全身闪烁着金属般的艳丽光泽，有人将它称之为中国最美丽的鸟之一。以蜻蜓、蝴蝶、蜜蜂、甲虫、苍蝇等为主要食物。栗喉蜂虎己被列入国家林业局2000年8月1日发布的《国家保护的有益的或者有重要经济、科学研究价值的陆生野生动物名录》，并未列入国家保护、红皮书或者CITS公约。栗喉峰虎繁殖于东南亚、菲律宾、苏拉威西及新几内亚；冬季迁移至巽他群岛。在中国其指名亚种夏季繁殖于西藏东南部、四川南部、云南、广西及广东；在海南岛为留鸟。</w:t>
            </w:r>
          </w:p>
          <w:p>
            <w:pPr>
              <w:pStyle w:val="62"/>
              <w:spacing w:line="360" w:lineRule="auto"/>
              <w:ind w:firstLine="480"/>
              <w:rPr>
                <w:rFonts w:hAnsi="Times New Roman"/>
                <w:sz w:val="24"/>
                <w:szCs w:val="24"/>
              </w:rPr>
            </w:pPr>
            <w:r>
              <w:rPr>
                <w:rFonts w:hint="eastAsia" w:hAnsi="Times New Roman"/>
                <w:sz w:val="24"/>
                <w:szCs w:val="24"/>
              </w:rPr>
              <w:t>东川区属云南省栗喉蜂虎分布的地区之一，种群数量大约3500只至4500只，主要栖息繁衍于东川阿旺、铜都街道、乌龙、汤丹、拖布卡小江流域一带，每年3月底4月迁移东川，7月底幼鸟开始离巢，8月中旬，逐步飞离东川，向南迁栖越冬。</w:t>
            </w:r>
          </w:p>
          <w:p>
            <w:pPr>
              <w:pStyle w:val="62"/>
              <w:spacing w:line="360" w:lineRule="auto"/>
              <w:ind w:firstLine="480"/>
              <w:rPr>
                <w:rFonts w:hAnsi="Times New Roman"/>
                <w:sz w:val="24"/>
                <w:szCs w:val="24"/>
              </w:rPr>
            </w:pPr>
            <w:r>
              <w:rPr>
                <w:rFonts w:hint="eastAsia" w:hAnsi="Times New Roman"/>
                <w:sz w:val="24"/>
                <w:szCs w:val="24"/>
              </w:rPr>
              <w:t>本项目位于东川区拖布卡镇象鼻村，项目管道与东川区栗喉峰虎保护小区边界距离约600m（具体见附图），项目现场未发现栗喉蜂虎的筑巢踪迹。项目不涉及各类自然保护地，项目不在东川区栗喉峰虎保护小区保护区范围内，项目的实施不会对保护小区造成影响。</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3.3.3 水生生物现状</w:t>
            </w:r>
          </w:p>
          <w:p>
            <w:pPr>
              <w:pStyle w:val="62"/>
              <w:spacing w:line="360" w:lineRule="auto"/>
              <w:ind w:firstLine="480"/>
              <w:rPr>
                <w:rFonts w:hAnsi="Times New Roman"/>
                <w:sz w:val="24"/>
                <w:szCs w:val="24"/>
              </w:rPr>
            </w:pPr>
            <w:r>
              <w:rPr>
                <w:rFonts w:hint="eastAsia" w:hAnsi="Times New Roman"/>
                <w:sz w:val="24"/>
                <w:szCs w:val="24"/>
              </w:rPr>
              <w:t>评价区</w:t>
            </w:r>
            <w:r>
              <w:rPr>
                <w:rFonts w:hAnsi="Times New Roman"/>
                <w:sz w:val="24"/>
                <w:szCs w:val="24"/>
              </w:rPr>
              <w:t>鱼类有2目（鲤形目、鲇形目）3科（鲤科、鳅科、钝头鮠科）6属6种（短须裂腹鱼、棒花鱼、麦穗鱼、横纹南鳅、泥鳅、白缘鱼央），其中外来种有短须裂腹鱼、泥鳅2种，土著种有棒花鱼、麦穗鱼、横纹南鳅、白缘鱼央共4种。项目治理河段无特殊鱼类，没有国家级和省级重点保护鱼类，没有被列入《中国濒危动物红皮书》的鱼类。该6种鱼类中没有发现鱼类长途洄游现象，未发现大型鱼类产卵场、越冬场存在，没有形成集中的索饵场。</w:t>
            </w:r>
          </w:p>
          <w:p>
            <w:pPr>
              <w:pStyle w:val="62"/>
              <w:spacing w:line="360" w:lineRule="auto"/>
              <w:ind w:firstLine="480"/>
              <w:rPr>
                <w:rFonts w:hAnsi="Times New Roman"/>
                <w:sz w:val="24"/>
                <w:szCs w:val="24"/>
              </w:rPr>
            </w:pPr>
            <w:r>
              <w:rPr>
                <w:rFonts w:hAnsi="Times New Roman"/>
                <w:sz w:val="24"/>
                <w:szCs w:val="24"/>
              </w:rPr>
              <w:t>根据现场踏勘，项目取水水域区域内无特殊鱼类，没有国家级和省级重点保护鱼类，区域也未发现鱼类产卵场、越冬场存在，没有形成集中的索饵场。该项目治理河道的浮游动物种类较为单一，主要为各种蚤类，无珍稀和保护种类；浮游植物均为常见的藻类，无珍稀和保护种类；底栖动物种类相对较为单一，主要为线虫等，无珍稀和保护种类。</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3.3.</w:t>
            </w:r>
            <w:r>
              <w:rPr>
                <w:rFonts w:hint="eastAsia" w:ascii="Times New Roman" w:hAnsi="Times New Roman" w:cs="Times New Roman"/>
                <w:b/>
                <w:sz w:val="24"/>
                <w:szCs w:val="24"/>
              </w:rPr>
              <w:t>4</w:t>
            </w:r>
            <w:r>
              <w:rPr>
                <w:rFonts w:ascii="Times New Roman" w:hAnsi="Times New Roman" w:cs="Times New Roman"/>
                <w:b/>
                <w:sz w:val="24"/>
                <w:szCs w:val="24"/>
              </w:rPr>
              <w:t xml:space="preserve"> </w:t>
            </w:r>
            <w:r>
              <w:rPr>
                <w:rFonts w:hint="eastAsia" w:ascii="Times New Roman" w:hAnsi="Times New Roman" w:cs="Times New Roman"/>
                <w:b/>
                <w:sz w:val="24"/>
                <w:szCs w:val="24"/>
              </w:rPr>
              <w:t>动物资源现状结论</w:t>
            </w:r>
          </w:p>
          <w:p>
            <w:pPr>
              <w:pStyle w:val="62"/>
              <w:spacing w:line="360" w:lineRule="auto"/>
              <w:ind w:firstLine="480"/>
              <w:rPr>
                <w:rFonts w:hAnsi="Times New Roman"/>
                <w:sz w:val="24"/>
                <w:szCs w:val="24"/>
              </w:rPr>
            </w:pPr>
            <w:r>
              <w:rPr>
                <w:rFonts w:hint="eastAsia" w:hAnsi="Times New Roman"/>
                <w:sz w:val="24"/>
                <w:szCs w:val="24"/>
              </w:rPr>
              <w:t>（1）项目所处地理位置在中国动物地理二级区划中属于东洋界、中印亚界、西南区、西南山地亚区，在云南陆栖脊椎动物地理三级区划中属于西南山地亚区，滇中高原小区。拟建工程沿线暖温性针叶林植被发达，暖温性稀树灌丛丰富，沿线长期人为活动干扰影响，评价区不是大型哺乳动物活动区域，区域内种群数量相对较多的是较适应人类的物种。在调查区域共记录陆生脊椎动物11目26科48种。其中两栖类1目3科6种，爬行类1目3科5种，鸟类7目15科28种，兽类2目5科9种。</w:t>
            </w:r>
          </w:p>
          <w:p>
            <w:pPr>
              <w:pStyle w:val="62"/>
              <w:spacing w:line="360" w:lineRule="auto"/>
              <w:ind w:firstLine="480"/>
              <w:rPr>
                <w:rFonts w:hAnsi="Times New Roman"/>
                <w:sz w:val="24"/>
                <w:szCs w:val="24"/>
              </w:rPr>
            </w:pPr>
            <w:r>
              <w:rPr>
                <w:rFonts w:hAnsi="Times New Roman"/>
                <w:sz w:val="24"/>
                <w:szCs w:val="24"/>
              </w:rPr>
              <w:t>（2）</w:t>
            </w:r>
            <w:r>
              <w:rPr>
                <w:rFonts w:hint="eastAsia" w:hAnsi="Times New Roman"/>
                <w:sz w:val="24"/>
                <w:szCs w:val="24"/>
              </w:rPr>
              <w:t>项目占地范围内未发现国家和省级重点保护野生动物分布，根据现场踏勘及调查，项目占地区域人类活动较为频繁，未见大型野生动物分布，野生动物的原始生境已不存在，区域动物多为适应人类活动的啮齿目动物和小型鸟类，常见动物种类有老鼠、麻雀、野兔、蛇及各种常见昆虫等。项目所在区域地带性植被基本不见，人为干扰严重，因此，野生动物的适宜生境较少，动物资源受到限制，种类不多，且种群数量较小。项目评价区的野生动物主要分布在人为干扰较少的灌丛中，部分动物在农田中觅食。</w:t>
            </w:r>
          </w:p>
          <w:p>
            <w:pPr>
              <w:pStyle w:val="62"/>
              <w:spacing w:line="360" w:lineRule="auto"/>
              <w:ind w:firstLine="480"/>
              <w:rPr>
                <w:rFonts w:hAnsi="Times New Roman"/>
                <w:sz w:val="24"/>
                <w:szCs w:val="24"/>
              </w:rPr>
            </w:pPr>
            <w:r>
              <w:rPr>
                <w:rFonts w:hint="eastAsia" w:hAnsi="Times New Roman"/>
                <w:sz w:val="24"/>
                <w:szCs w:val="24"/>
              </w:rPr>
              <w:t>（3）种类少种群小无资源优势</w:t>
            </w:r>
          </w:p>
          <w:p>
            <w:pPr>
              <w:pStyle w:val="62"/>
              <w:spacing w:line="360" w:lineRule="auto"/>
              <w:ind w:firstLine="480"/>
              <w:rPr>
                <w:rFonts w:hAnsi="Times New Roman"/>
                <w:sz w:val="24"/>
                <w:szCs w:val="24"/>
              </w:rPr>
            </w:pPr>
            <w:r>
              <w:rPr>
                <w:rFonts w:hint="eastAsia" w:hAnsi="Times New Roman"/>
                <w:sz w:val="24"/>
                <w:szCs w:val="24"/>
              </w:rPr>
              <w:t xml:space="preserve">工程评价区内可供直接经济利用的动物资源如人们所熟悉的食用、观赏用和药用等种类少，而少数可供直接经济利用的种类，如山斑鸠、环颈雉、树鼩和云南兔等种类的特点是种群小。资源是以种群数量为基础的，没有一定的数量规模就难以开发供应市场。由于陆生脊椎动物各个类群均存在种群小数量少，难以形成一定的资源规模。所以一旦种群遭到人为的过度捕猎等破坏往往难以恢复，而一些种类对环境有严格的最适要求，环境一旦稍微变化，均会导致数量急剧下降，以致处于濒危状态，甚至灭绝。 </w:t>
            </w:r>
          </w:p>
          <w:p>
            <w:pPr>
              <w:pStyle w:val="62"/>
              <w:spacing w:line="360" w:lineRule="auto"/>
              <w:ind w:firstLine="480"/>
              <w:rPr>
                <w:rFonts w:hAnsi="Times New Roman"/>
                <w:sz w:val="24"/>
                <w:szCs w:val="24"/>
              </w:rPr>
            </w:pPr>
            <w:r>
              <w:rPr>
                <w:rFonts w:hint="eastAsia" w:hAnsi="Times New Roman"/>
                <w:sz w:val="24"/>
                <w:szCs w:val="24"/>
              </w:rPr>
              <w:t>（4）小型哺乳类种群数量大</w:t>
            </w:r>
          </w:p>
          <w:p>
            <w:pPr>
              <w:pStyle w:val="62"/>
              <w:spacing w:line="360" w:lineRule="auto"/>
              <w:ind w:firstLine="480"/>
              <w:rPr>
                <w:rFonts w:hAnsi="Times New Roman"/>
                <w:sz w:val="24"/>
                <w:szCs w:val="24"/>
              </w:rPr>
            </w:pPr>
            <w:r>
              <w:rPr>
                <w:rFonts w:hint="eastAsia" w:hAnsi="Times New Roman"/>
                <w:sz w:val="24"/>
                <w:szCs w:val="24"/>
              </w:rPr>
              <w:t xml:space="preserve">在项目环境影响评价区周围，小型哺乳类，尤其是啮齿类活动痕迹十分多，而且种类和数量均较丰富，这主要与工程的生境主要以农耕景观为主有关。该类群有家鼠 Musmusculus、锡金小鼠 Mus pahari、针毛鼠 Niviventer fulvescens，等种类。 </w:t>
            </w:r>
          </w:p>
          <w:p>
            <w:pPr>
              <w:pStyle w:val="62"/>
              <w:spacing w:line="360" w:lineRule="auto"/>
              <w:ind w:firstLine="480"/>
              <w:rPr>
                <w:rFonts w:hAnsi="Times New Roman"/>
                <w:sz w:val="24"/>
                <w:szCs w:val="24"/>
              </w:rPr>
            </w:pPr>
            <w:r>
              <w:rPr>
                <w:rFonts w:hint="eastAsia" w:hAnsi="Times New Roman"/>
                <w:sz w:val="24"/>
                <w:szCs w:val="24"/>
              </w:rPr>
              <w:t>（5）缺乏狭域分布的特有种类</w:t>
            </w:r>
          </w:p>
          <w:p>
            <w:pPr>
              <w:pStyle w:val="62"/>
              <w:spacing w:line="360" w:lineRule="auto"/>
              <w:ind w:firstLine="480"/>
              <w:rPr>
                <w:rFonts w:hAnsi="Times New Roman"/>
                <w:sz w:val="24"/>
                <w:szCs w:val="24"/>
              </w:rPr>
            </w:pPr>
            <w:r>
              <w:rPr>
                <w:rFonts w:hint="eastAsia" w:hAnsi="Times New Roman"/>
                <w:sz w:val="24"/>
                <w:szCs w:val="24"/>
              </w:rPr>
              <w:t>两栖类、爬行类、鸟类和哺乳类等类群中均无局限分布于项目范围区的特有属、种。</w:t>
            </w:r>
          </w:p>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3.4 环境空气质量现状</w:t>
            </w:r>
          </w:p>
          <w:p>
            <w:pPr>
              <w:pStyle w:val="62"/>
              <w:spacing w:line="360" w:lineRule="auto"/>
              <w:ind w:firstLine="480"/>
              <w:rPr>
                <w:rFonts w:hAnsi="Times New Roman"/>
                <w:sz w:val="24"/>
                <w:szCs w:val="24"/>
              </w:rPr>
            </w:pPr>
            <w:r>
              <w:rPr>
                <w:rFonts w:hAnsi="Times New Roman"/>
                <w:sz w:val="24"/>
                <w:szCs w:val="24"/>
              </w:rPr>
              <w:t>项目位于东川区拖布卡镇象鼻村，</w:t>
            </w:r>
            <w:r>
              <w:rPr>
                <w:rFonts w:hAnsi="Times New Roman"/>
                <w:sz w:val="24"/>
              </w:rPr>
              <w:t>项目所在地功能区划属环境空气质量二类区，环境空气质量执行《环境空气质量标准》（GB</w:t>
            </w:r>
            <w:r>
              <w:rPr>
                <w:rFonts w:hint="eastAsia" w:hAnsi="Times New Roman"/>
                <w:sz w:val="24"/>
                <w:lang w:eastAsia="zh-CN"/>
              </w:rPr>
              <w:t>****</w:t>
            </w:r>
            <w:r>
              <w:rPr>
                <w:rFonts w:hAnsi="Times New Roman"/>
                <w:sz w:val="24"/>
              </w:rPr>
              <w:t>-2012）二级标准。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根据《202</w:t>
            </w:r>
            <w:r>
              <w:rPr>
                <w:rFonts w:hint="eastAsia" w:ascii="Times New Roman" w:hAnsi="Times New Roman" w:cs="Times New Roman"/>
                <w:sz w:val="24"/>
              </w:rPr>
              <w:t>2</w:t>
            </w:r>
            <w:r>
              <w:rPr>
                <w:rFonts w:ascii="Times New Roman" w:hAnsi="Times New Roman" w:cs="Times New Roman"/>
                <w:sz w:val="24"/>
              </w:rPr>
              <w:t>年度昆明市生态环境状况公报》相关数据，202</w:t>
            </w:r>
            <w:r>
              <w:rPr>
                <w:rFonts w:hint="eastAsia" w:ascii="Times New Roman" w:hAnsi="Times New Roman" w:cs="Times New Roman"/>
                <w:sz w:val="24"/>
              </w:rPr>
              <w:t>2</w:t>
            </w:r>
            <w:r>
              <w:rPr>
                <w:rFonts w:ascii="Times New Roman" w:hAnsi="Times New Roman" w:cs="Times New Roman"/>
                <w:sz w:val="24"/>
              </w:rPr>
              <w:t>年，全（县）市区环境空气质量总体保持良好。与202</w:t>
            </w:r>
            <w:r>
              <w:rPr>
                <w:rFonts w:hint="eastAsia" w:ascii="Times New Roman" w:hAnsi="Times New Roman" w:cs="Times New Roman"/>
                <w:sz w:val="24"/>
              </w:rPr>
              <w:t>1</w:t>
            </w:r>
            <w:r>
              <w:rPr>
                <w:rFonts w:ascii="Times New Roman" w:hAnsi="Times New Roman" w:cs="Times New Roman"/>
                <w:sz w:val="24"/>
              </w:rPr>
              <w:t>年相比，东川区环境空气综合污染指数有所上升。本次评价引用东川区空气自动站（站点编号：</w:t>
            </w:r>
            <w:r>
              <w:rPr>
                <w:rFonts w:hint="eastAsia" w:ascii="Times New Roman" w:hAnsi="Times New Roman" w:cs="Times New Roman"/>
                <w:sz w:val="24"/>
                <w:lang w:eastAsia="zh-CN"/>
              </w:rPr>
              <w:t>******</w:t>
            </w:r>
            <w:r>
              <w:rPr>
                <w:rFonts w:ascii="Times New Roman" w:hAnsi="Times New Roman" w:cs="Times New Roman"/>
                <w:sz w:val="24"/>
              </w:rPr>
              <w:t>001）提供2021年监测数据进行判定，具体见下表。</w:t>
            </w:r>
          </w:p>
          <w:p>
            <w:pPr>
              <w:ind w:firstLine="200"/>
              <w:jc w:val="center"/>
              <w:rPr>
                <w:rFonts w:ascii="Times New Roman" w:hAnsi="Times New Roman" w:cs="Times New Roman"/>
                <w:b/>
              </w:rPr>
            </w:pPr>
            <w:r>
              <w:rPr>
                <w:rFonts w:ascii="Times New Roman" w:hAnsi="Times New Roman" w:cs="Times New Roman"/>
                <w:b/>
              </w:rPr>
              <w:t>表3.</w:t>
            </w:r>
            <w:r>
              <w:rPr>
                <w:rFonts w:hint="eastAsia" w:ascii="Times New Roman" w:hAnsi="Times New Roman" w:cs="Times New Roman"/>
                <w:b/>
              </w:rPr>
              <w:t>4</w:t>
            </w:r>
            <w:r>
              <w:rPr>
                <w:rFonts w:ascii="Times New Roman" w:hAnsi="Times New Roman" w:cs="Times New Roman"/>
                <w:b/>
              </w:rPr>
              <w:t>-1  区域环境空气质量指标年均值统计  单位：ug/m</w:t>
            </w:r>
            <w:r>
              <w:rPr>
                <w:rFonts w:ascii="Times New Roman" w:hAnsi="Times New Roman" w:cs="Times New Roman"/>
                <w:b/>
                <w:vertAlign w:val="superscript"/>
              </w:rPr>
              <w:t>3</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693"/>
              <w:gridCol w:w="1200"/>
              <w:gridCol w:w="1197"/>
              <w:gridCol w:w="142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污染物</w:t>
                  </w:r>
                </w:p>
              </w:tc>
              <w:tc>
                <w:tcPr>
                  <w:tcW w:w="156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年评价指标</w:t>
                  </w:r>
                </w:p>
              </w:tc>
              <w:tc>
                <w:tcPr>
                  <w:tcW w:w="697"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现状浓度</w:t>
                  </w:r>
                </w:p>
              </w:tc>
              <w:tc>
                <w:tcPr>
                  <w:tcW w:w="69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标准值</w:t>
                  </w:r>
                </w:p>
              </w:tc>
              <w:tc>
                <w:tcPr>
                  <w:tcW w:w="82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占标率（%）</w:t>
                  </w:r>
                </w:p>
              </w:tc>
              <w:tc>
                <w:tcPr>
                  <w:tcW w:w="661"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SO</w:t>
                  </w:r>
                  <w:r>
                    <w:rPr>
                      <w:color w:val="auto"/>
                      <w:szCs w:val="21"/>
                      <w:vertAlign w:val="subscript"/>
                      <w:lang w:val="en-US"/>
                    </w:rPr>
                    <w:t>2</w:t>
                  </w:r>
                </w:p>
              </w:tc>
              <w:tc>
                <w:tcPr>
                  <w:tcW w:w="156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年平均质量浓度</w:t>
                  </w:r>
                </w:p>
              </w:tc>
              <w:tc>
                <w:tcPr>
                  <w:tcW w:w="697"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29</w:t>
                  </w:r>
                </w:p>
              </w:tc>
              <w:tc>
                <w:tcPr>
                  <w:tcW w:w="69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60</w:t>
                  </w:r>
                </w:p>
              </w:tc>
              <w:tc>
                <w:tcPr>
                  <w:tcW w:w="82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48.33</w:t>
                  </w:r>
                </w:p>
              </w:tc>
              <w:tc>
                <w:tcPr>
                  <w:tcW w:w="661"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NO</w:t>
                  </w:r>
                  <w:r>
                    <w:rPr>
                      <w:color w:val="auto"/>
                      <w:szCs w:val="21"/>
                      <w:vertAlign w:val="subscript"/>
                      <w:lang w:val="en-US"/>
                    </w:rPr>
                    <w:t>2</w:t>
                  </w:r>
                </w:p>
              </w:tc>
              <w:tc>
                <w:tcPr>
                  <w:tcW w:w="156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年平均质量浓度</w:t>
                  </w:r>
                </w:p>
              </w:tc>
              <w:tc>
                <w:tcPr>
                  <w:tcW w:w="697"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10</w:t>
                  </w:r>
                </w:p>
              </w:tc>
              <w:tc>
                <w:tcPr>
                  <w:tcW w:w="69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40</w:t>
                  </w:r>
                </w:p>
              </w:tc>
              <w:tc>
                <w:tcPr>
                  <w:tcW w:w="82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25</w:t>
                  </w:r>
                </w:p>
              </w:tc>
              <w:tc>
                <w:tcPr>
                  <w:tcW w:w="661"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CO</w:t>
                  </w:r>
                </w:p>
              </w:tc>
              <w:tc>
                <w:tcPr>
                  <w:tcW w:w="156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rPr>
                    <w:t>日均值第95百分位数</w:t>
                  </w:r>
                </w:p>
              </w:tc>
              <w:tc>
                <w:tcPr>
                  <w:tcW w:w="697"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1000</w:t>
                  </w:r>
                </w:p>
              </w:tc>
              <w:tc>
                <w:tcPr>
                  <w:tcW w:w="69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4000</w:t>
                  </w:r>
                </w:p>
              </w:tc>
              <w:tc>
                <w:tcPr>
                  <w:tcW w:w="82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25</w:t>
                  </w:r>
                </w:p>
              </w:tc>
              <w:tc>
                <w:tcPr>
                  <w:tcW w:w="661"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O</w:t>
                  </w:r>
                  <w:r>
                    <w:rPr>
                      <w:color w:val="auto"/>
                      <w:szCs w:val="21"/>
                      <w:vertAlign w:val="subscript"/>
                      <w:lang w:val="en-US"/>
                    </w:rPr>
                    <w:t>3</w:t>
                  </w:r>
                </w:p>
              </w:tc>
              <w:tc>
                <w:tcPr>
                  <w:tcW w:w="156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日最大8小时平均值</w:t>
                  </w:r>
                </w:p>
              </w:tc>
              <w:tc>
                <w:tcPr>
                  <w:tcW w:w="697"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113</w:t>
                  </w:r>
                </w:p>
              </w:tc>
              <w:tc>
                <w:tcPr>
                  <w:tcW w:w="69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160</w:t>
                  </w:r>
                </w:p>
              </w:tc>
              <w:tc>
                <w:tcPr>
                  <w:tcW w:w="82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70.63</w:t>
                  </w:r>
                </w:p>
              </w:tc>
              <w:tc>
                <w:tcPr>
                  <w:tcW w:w="661"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PM</w:t>
                  </w:r>
                  <w:r>
                    <w:rPr>
                      <w:color w:val="auto"/>
                      <w:szCs w:val="21"/>
                      <w:vertAlign w:val="subscript"/>
                      <w:lang w:val="en-US"/>
                    </w:rPr>
                    <w:t>10</w:t>
                  </w:r>
                </w:p>
              </w:tc>
              <w:tc>
                <w:tcPr>
                  <w:tcW w:w="156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年平均质量浓度</w:t>
                  </w:r>
                </w:p>
              </w:tc>
              <w:tc>
                <w:tcPr>
                  <w:tcW w:w="697"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38</w:t>
                  </w:r>
                </w:p>
              </w:tc>
              <w:tc>
                <w:tcPr>
                  <w:tcW w:w="69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70</w:t>
                  </w:r>
                </w:p>
              </w:tc>
              <w:tc>
                <w:tcPr>
                  <w:tcW w:w="82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54.29</w:t>
                  </w:r>
                </w:p>
              </w:tc>
              <w:tc>
                <w:tcPr>
                  <w:tcW w:w="661"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PM</w:t>
                  </w:r>
                  <w:r>
                    <w:rPr>
                      <w:color w:val="auto"/>
                      <w:szCs w:val="21"/>
                      <w:vertAlign w:val="subscript"/>
                      <w:lang w:val="en-US"/>
                    </w:rPr>
                    <w:t>2.5</w:t>
                  </w:r>
                </w:p>
              </w:tc>
              <w:tc>
                <w:tcPr>
                  <w:tcW w:w="156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年平均质量浓度</w:t>
                  </w:r>
                </w:p>
              </w:tc>
              <w:tc>
                <w:tcPr>
                  <w:tcW w:w="697"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21</w:t>
                  </w:r>
                </w:p>
              </w:tc>
              <w:tc>
                <w:tcPr>
                  <w:tcW w:w="69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35</w:t>
                  </w:r>
                </w:p>
              </w:tc>
              <w:tc>
                <w:tcPr>
                  <w:tcW w:w="825"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60</w:t>
                  </w:r>
                </w:p>
              </w:tc>
              <w:tc>
                <w:tcPr>
                  <w:tcW w:w="661"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lang w:val="en-US"/>
                    </w:rPr>
                  </w:pPr>
                  <w:r>
                    <w:rPr>
                      <w:color w:val="auto"/>
                      <w:szCs w:val="21"/>
                      <w:lang w:val="en-US"/>
                    </w:rPr>
                    <w:t>达标</w:t>
                  </w:r>
                </w:p>
              </w:tc>
            </w:tr>
          </w:tbl>
          <w:p>
            <w:pPr>
              <w:spacing w:line="360" w:lineRule="auto"/>
              <w:ind w:firstLine="480" w:firstLineChars="200"/>
              <w:rPr>
                <w:sz w:val="24"/>
              </w:rPr>
            </w:pPr>
            <w:r>
              <w:rPr>
                <w:rFonts w:hint="eastAsia"/>
                <w:sz w:val="24"/>
              </w:rPr>
              <w:t>项目所在区域各污染物年均浓度均达到《环境空气质量标准》（GB</w:t>
            </w:r>
            <w:r>
              <w:rPr>
                <w:rFonts w:hint="eastAsia"/>
                <w:sz w:val="24"/>
                <w:lang w:eastAsia="zh-CN"/>
              </w:rPr>
              <w:t>****</w:t>
            </w:r>
            <w:r>
              <w:rPr>
                <w:rFonts w:hint="eastAsia"/>
                <w:sz w:val="24"/>
              </w:rPr>
              <w:t>-2012）中二级标准限值，属于环境量空气质量达标区。</w:t>
            </w:r>
          </w:p>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3.5 地表水环境质量现状</w:t>
            </w:r>
          </w:p>
          <w:p>
            <w:pPr>
              <w:pStyle w:val="62"/>
              <w:spacing w:line="360" w:lineRule="auto"/>
              <w:ind w:firstLine="480"/>
              <w:rPr>
                <w:rFonts w:hAnsi="Times New Roman"/>
                <w:sz w:val="24"/>
                <w:szCs w:val="24"/>
              </w:rPr>
            </w:pPr>
            <w:r>
              <w:rPr>
                <w:rFonts w:hAnsi="Times New Roman"/>
                <w:sz w:val="24"/>
                <w:szCs w:val="24"/>
              </w:rPr>
              <w:t>项目光伏泵站取水为西侧约</w:t>
            </w:r>
            <w:r>
              <w:rPr>
                <w:rFonts w:hint="eastAsia" w:hAnsi="Times New Roman"/>
                <w:sz w:val="24"/>
                <w:szCs w:val="24"/>
              </w:rPr>
              <w:t>100m 处的</w:t>
            </w:r>
            <w:r>
              <w:rPr>
                <w:rFonts w:hAnsi="Times New Roman"/>
                <w:sz w:val="24"/>
                <w:szCs w:val="24"/>
              </w:rPr>
              <w:t>金沙江</w:t>
            </w:r>
            <w:r>
              <w:rPr>
                <w:sz w:val="24"/>
                <w:szCs w:val="24"/>
              </w:rPr>
              <w:t>为区域的主要地表水体</w:t>
            </w:r>
            <w:r>
              <w:rPr>
                <w:rFonts w:hAnsi="Times New Roman"/>
                <w:sz w:val="24"/>
                <w:szCs w:val="24"/>
              </w:rPr>
              <w:t>，属于长江流域。根据《云南省水功能区划（2014年修订）》，项目区段为“金沙江滇川4号缓冲区”，由金沙江干流距元谋县出境口5km处至向家坝水电站坝轴线线下1.8km，即水富县城出境口，属左右岸关系，为云南与四川两省间的界河段，全长585.0km，现状水质为</w:t>
            </w:r>
            <w:r>
              <w:rPr>
                <w:rFonts w:hint="eastAsia" w:hAnsi="Times New Roman"/>
                <w:sz w:val="24"/>
              </w:rPr>
              <w:t>III</w:t>
            </w:r>
            <w:r>
              <w:rPr>
                <w:rFonts w:hAnsi="Times New Roman"/>
                <w:sz w:val="24"/>
                <w:szCs w:val="24"/>
              </w:rPr>
              <w:t>类，执行《地表水环境质量标准》中</w:t>
            </w:r>
            <w:r>
              <w:rPr>
                <w:rFonts w:hint="eastAsia" w:hAnsi="Times New Roman"/>
                <w:sz w:val="24"/>
              </w:rPr>
              <w:t>III</w:t>
            </w:r>
            <w:r>
              <w:rPr>
                <w:rFonts w:hAnsi="Times New Roman"/>
                <w:sz w:val="24"/>
                <w:szCs w:val="24"/>
              </w:rPr>
              <w:t>类标准要求。</w:t>
            </w:r>
          </w:p>
          <w:p>
            <w:pPr>
              <w:pStyle w:val="62"/>
              <w:spacing w:line="360" w:lineRule="auto"/>
              <w:ind w:firstLine="480"/>
              <w:rPr>
                <w:sz w:val="24"/>
                <w:szCs w:val="24"/>
              </w:rPr>
            </w:pPr>
            <w:r>
              <w:rPr>
                <w:rFonts w:hAnsi="Times New Roman"/>
                <w:sz w:val="24"/>
              </w:rPr>
              <w:t>根据《202</w:t>
            </w:r>
            <w:r>
              <w:rPr>
                <w:rFonts w:hint="eastAsia" w:hAnsi="Times New Roman"/>
                <w:sz w:val="24"/>
              </w:rPr>
              <w:t>2</w:t>
            </w:r>
            <w:r>
              <w:rPr>
                <w:rFonts w:hAnsi="Times New Roman"/>
                <w:sz w:val="24"/>
              </w:rPr>
              <w:t>年度昆明市生态环境状况公报》相关数据，</w:t>
            </w:r>
            <w:r>
              <w:rPr>
                <w:sz w:val="24"/>
                <w:szCs w:val="24"/>
              </w:rPr>
              <w:t>金沙江与</w:t>
            </w:r>
            <w:r>
              <w:rPr>
                <w:rFonts w:hint="eastAsia"/>
                <w:sz w:val="24"/>
                <w:szCs w:val="24"/>
              </w:rPr>
              <w:t>2021年相比，蒙姑断面水质类别保持</w:t>
            </w:r>
            <w:r>
              <w:rPr>
                <w:sz w:val="24"/>
                <w:szCs w:val="24"/>
              </w:rPr>
              <w:t>II</w:t>
            </w:r>
            <w:r>
              <w:rPr>
                <w:rFonts w:hint="eastAsia"/>
                <w:sz w:val="24"/>
                <w:szCs w:val="24"/>
              </w:rPr>
              <w:t>类不变。因此，金沙江满足</w:t>
            </w:r>
            <w:r>
              <w:rPr>
                <w:rFonts w:hAnsi="Times New Roman"/>
                <w:sz w:val="24"/>
                <w:szCs w:val="24"/>
              </w:rPr>
              <w:t>《地表水环境质量标准》中</w:t>
            </w:r>
            <w:r>
              <w:rPr>
                <w:sz w:val="24"/>
                <w:szCs w:val="24"/>
              </w:rPr>
              <w:t>III</w:t>
            </w:r>
            <w:r>
              <w:rPr>
                <w:rFonts w:hAnsi="Times New Roman"/>
                <w:sz w:val="24"/>
                <w:szCs w:val="24"/>
              </w:rPr>
              <w:t>类标准要求。</w:t>
            </w:r>
          </w:p>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3.6 声环境质量现状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项目提水管道有相当长管线沿道路或经过沿线村庄内道路铺设，根据《声环境质量标准》（GB</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-2008），乡村区域一般不划分声环境功能区。根据环境管理需要，县级以上人民政府环境保护行政主管部门可根据以下要求确定乡村区域适用的声环境质量要求：村庄原则上执行1类声环境功能区要求（昼间55分贝，夜间45分贝）；工业活动较多的村庄以及有交通干线经过的村庄可局部或全部执行2类声环境功能区要求（昼间60分贝，夜间50分贝）；集镇执行2类声功能区要求（昼间60分贝，夜间50分贝）；位于交通干线两侧一定距离内的敏感建筑物执行4类声功能区要求（昼间70分贝，夜间55分贝）。</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rPr>
              <w:t>根据《202</w:t>
            </w:r>
            <w:r>
              <w:rPr>
                <w:rFonts w:hint="eastAsia" w:ascii="Times New Roman" w:hAnsi="Times New Roman" w:cs="Times New Roman"/>
                <w:sz w:val="24"/>
              </w:rPr>
              <w:t>2</w:t>
            </w:r>
            <w:r>
              <w:rPr>
                <w:rFonts w:ascii="Times New Roman" w:hAnsi="Times New Roman" w:cs="Times New Roman"/>
                <w:sz w:val="24"/>
              </w:rPr>
              <w:t>年度昆明市生态环境状况公报》相关数据，</w:t>
            </w:r>
            <w:r>
              <w:rPr>
                <w:rFonts w:hint="eastAsia" w:ascii="Times New Roman" w:hAnsi="Times New Roman" w:cs="Times New Roman"/>
                <w:sz w:val="24"/>
                <w:szCs w:val="24"/>
              </w:rPr>
              <w:t>2022年东川区区域环境（昼间）噪声平均等效声级为：53.6dB（A）。根据区域环境噪声质量划分等级进行评价，总体水平在一级（好）和二级（较好）之间。与2021年相比，东川区的昼间区域声环境质量平均等效声级上升。声环境质量现状可满足《声环境质量标准》（GB</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-2008）2类声功能区要求。</w:t>
            </w:r>
          </w:p>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3.7 水土流失现状</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全国水土保持区划（试行）》，本项目所在地昆明市东川区水土保持区划一级区为西南岩溶区（云贵高原区），二级区为滇北及川西南高山峡谷区，三级区为滇北中低山蓄水拦沙区。根据《土壤侵蚀分类分级标准（SL</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-2007）分析，项目区属以水力侵蚀为主的西南岩溶区，容许二壤流失量为500t/km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a。区域侵蚀基准面低，山体高大雄厚，地形切割强烈，山坡陡峻，沟谷发育，区内未发现规模较大的崩塌体、滑坡体，但泥石流冲沟发育，整个拖布卡镇森林覆盖率只有24.67%，生态环境较为脆弱，项目区平均土壤侵蚀 项目区平均土壤侵蚀强度属轻水土流失区域。侵蚀类型以力为主，局部存在重强度属轻水土流失区域。水土流失主要表现为溅蚀、面积细沟侵等。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施工时的施工机械、临时材料堆放、施工人员践踏、临时占地、临时表土的堆放等，将破坏一定区域内的植被并形成裸露表土，在降雨直接击溅侵蚀和地表径流的冲刷下造成水土流失；由于土体开挖破坏了土壤原有结构，土粒间的粘着力变小、抗蚀抗冲能力减弱，造成水土流尖；由于场地平整，破坏了原有地貌形态，将坡面漫流集中，增大对土壤的冲刷力，加剧水土流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5" w:hRule="atLeast"/>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与项目有关的原有环境污染和生态破坏问题</w:t>
            </w:r>
          </w:p>
        </w:tc>
        <w:tc>
          <w:tcPr>
            <w:tcW w:w="8834" w:type="dxa"/>
          </w:tcPr>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该项目属于新建项目，无原有环境污染和生态破坏问题。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生态环境保护目标</w:t>
            </w:r>
          </w:p>
        </w:tc>
        <w:tc>
          <w:tcPr>
            <w:tcW w:w="8834" w:type="dxa"/>
            <w:vAlign w:val="center"/>
          </w:tcPr>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3.8 生态环境保护目标</w:t>
            </w:r>
          </w:p>
          <w:p>
            <w:pPr>
              <w:spacing w:line="360" w:lineRule="auto"/>
              <w:ind w:firstLine="480" w:firstLineChars="200"/>
              <w:rPr>
                <w:rFonts w:hAnsi="Times New Roman"/>
                <w:sz w:val="24"/>
                <w:szCs w:val="24"/>
              </w:rPr>
            </w:pPr>
            <w:r>
              <w:rPr>
                <w:rFonts w:hint="eastAsia" w:hAnsi="Times New Roman"/>
                <w:sz w:val="24"/>
                <w:szCs w:val="24"/>
              </w:rPr>
              <w:t>根据</w:t>
            </w:r>
            <w:r>
              <w:rPr>
                <w:rFonts w:hAnsi="Times New Roman"/>
                <w:sz w:val="24"/>
                <w:szCs w:val="24"/>
              </w:rPr>
              <w:t>《建设项目环境影响报告表编制技术指南》（</w:t>
            </w:r>
            <w:r>
              <w:rPr>
                <w:rFonts w:hint="eastAsia" w:hAnsi="Times New Roman"/>
                <w:sz w:val="24"/>
                <w:szCs w:val="24"/>
              </w:rPr>
              <w:t>生态</w:t>
            </w:r>
            <w:r>
              <w:rPr>
                <w:rFonts w:hAnsi="Times New Roman"/>
                <w:sz w:val="24"/>
                <w:szCs w:val="24"/>
              </w:rPr>
              <w:t>影响类）的要求，</w:t>
            </w:r>
            <w:r>
              <w:rPr>
                <w:rFonts w:hint="eastAsia" w:hAnsi="Times New Roman"/>
                <w:sz w:val="24"/>
                <w:szCs w:val="24"/>
              </w:rPr>
              <w:t>环评应按照环境影响评价相关技术导则要求确定评价范围并识别环境保护目标。具体如下：</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（1）大气环境保护目标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根据《环境影响评价技术导则-大气环境》（HJ2.2-2018）</w:t>
            </w:r>
            <w:r>
              <w:rPr>
                <w:rFonts w:hint="eastAsia" w:ascii="Times New Roman" w:hAnsi="Times New Roman" w:cs="Times New Roman"/>
                <w:sz w:val="24"/>
                <w:szCs w:val="24"/>
              </w:rPr>
              <w:t>的要求，环境空气保护目标为二类区中居住、文化和农村地人群较集中的区域。</w:t>
            </w:r>
          </w:p>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（2）地表水环境保护目标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 地表水环境》（HJ2.3-2018）的要求，水环境保护目标为饮用水水源保护区、饮用水取水口，涉水的自然保护区、风景名胜区，重要湿地、重点保护与珍稀水生生物的栖息地、重要水生生物的自然产卵场及索饵场、越冬场和洄游通道，天然渔场等渔业水体，以及水产种质资源保护区等。根据调查，该项目位于东川区拖布卡镇象鼻村，该项目选址不涉及到饮用水水源保护区、饮用水取水口，涉水的自然保护区、风景名胜区，重要湿地、重点保护与珍稀水生生物的栖息地、重要水生生物的自然产卵场及索饵场、越冬场和洄游通道，天然渔场等渔业水体，以及水产种质资源保护区等区域。</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w:t>
            </w:r>
            <w:r>
              <w:rPr>
                <w:rFonts w:ascii="Times New Roman" w:hAnsi="Times New Roman" w:cs="Times New Roman"/>
                <w:sz w:val="24"/>
                <w:szCs w:val="24"/>
              </w:rPr>
              <w:t>项目属于</w:t>
            </w:r>
            <w:r>
              <w:rPr>
                <w:rFonts w:hint="eastAsia" w:hAnsi="Times New Roman"/>
                <w:sz w:val="24"/>
                <w:szCs w:val="24"/>
              </w:rPr>
              <w:t>引水</w:t>
            </w:r>
            <w:r>
              <w:rPr>
                <w:rFonts w:hint="eastAsia" w:ascii="Times New Roman" w:hAnsi="Times New Roman" w:cs="Times New Roman"/>
                <w:sz w:val="24"/>
                <w:szCs w:val="24"/>
              </w:rPr>
              <w:t>工程项目，涉及河流为金沙江，</w:t>
            </w:r>
            <w:r>
              <w:rPr>
                <w:rFonts w:ascii="Times New Roman" w:hAnsi="Times New Roman" w:cs="Times New Roman"/>
                <w:sz w:val="24"/>
                <w:szCs w:val="24"/>
              </w:rPr>
              <w:t>将</w:t>
            </w:r>
            <w:r>
              <w:rPr>
                <w:rFonts w:hint="eastAsia" w:ascii="Times New Roman" w:hAnsi="Times New Roman" w:cs="Times New Roman"/>
                <w:sz w:val="24"/>
                <w:szCs w:val="24"/>
              </w:rPr>
              <w:t>金沙江</w:t>
            </w:r>
            <w:r>
              <w:rPr>
                <w:rFonts w:ascii="Times New Roman" w:hAnsi="Times New Roman" w:cs="Times New Roman"/>
                <w:sz w:val="24"/>
                <w:szCs w:val="24"/>
              </w:rPr>
              <w:t>列入该项目水环境保护目标。</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b/>
                <w:sz w:val="24"/>
                <w:szCs w:val="24"/>
              </w:rPr>
              <w:t>）声环境保护目标</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提水管道经过的村庄，没有划分声功能区，因提水管道相当长管段都是沿道路铺设，声环境保护目标按2类声功能区进行保护。</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4</w:t>
            </w:r>
            <w:r>
              <w:rPr>
                <w:rFonts w:ascii="Times New Roman" w:hAnsi="Times New Roman" w:cs="Times New Roman"/>
                <w:b/>
                <w:sz w:val="24"/>
                <w:szCs w:val="24"/>
              </w:rPr>
              <w:t>）</w:t>
            </w:r>
            <w:r>
              <w:rPr>
                <w:rFonts w:hint="eastAsia" w:ascii="Times New Roman" w:hAnsi="Times New Roman" w:cs="Times New Roman"/>
                <w:b/>
                <w:sz w:val="24"/>
                <w:szCs w:val="24"/>
              </w:rPr>
              <w:t>地下水环境保护目标</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根据《环境影响评价技术导则 地下水环境》（HJ </w:t>
            </w:r>
            <w:r>
              <w:rPr>
                <w:rFonts w:hint="eastAsia" w:ascii="Times New Roman" w:hAnsi="Times New Roman" w:cs="Times New Roman"/>
                <w:sz w:val="24"/>
                <w:szCs w:val="24"/>
                <w:lang w:eastAsia="zh-CN"/>
              </w:rPr>
              <w:t>***</w:t>
            </w:r>
            <w:r>
              <w:rPr>
                <w:rFonts w:ascii="Times New Roman" w:hAnsi="Times New Roman" w:cs="Times New Roman"/>
                <w:sz w:val="24"/>
                <w:szCs w:val="24"/>
              </w:rPr>
              <w:t>-2016）的要求，地下水环境保护目标为潜水含水层和可能受建设项目影响且具有饮用水开发利用价值的含水层，集中式饮用水水源和分散式饮用水水源地</w:t>
            </w:r>
            <w:r>
              <w:rPr>
                <w:rFonts w:hint="eastAsia" w:ascii="Times New Roman" w:hAnsi="Times New Roman" w:cs="Times New Roman"/>
                <w:sz w:val="24"/>
                <w:szCs w:val="24"/>
              </w:rPr>
              <w:t>，根据昆明市东川区水务局出具的证明，该项目不涉及饮用水保护区，项目</w:t>
            </w:r>
            <w:r>
              <w:rPr>
                <w:rFonts w:ascii="Times New Roman" w:hAnsi="Times New Roman" w:cs="Times New Roman"/>
                <w:sz w:val="24"/>
                <w:szCs w:val="24"/>
              </w:rPr>
              <w:t>不涉及到地下水集中式饮用水水源和热水、矿泉水、温泉等特殊地下水资源。</w:t>
            </w:r>
            <w:r>
              <w:rPr>
                <w:rFonts w:hint="eastAsia" w:ascii="Times New Roman" w:hAnsi="Times New Roman" w:cs="Times New Roman"/>
                <w:sz w:val="24"/>
                <w:szCs w:val="24"/>
              </w:rPr>
              <w:t>且该项目属于地下水环境影响评价Ⅳ类项目，因此项目不设置地下水保护目标。</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5</w:t>
            </w:r>
            <w:r>
              <w:rPr>
                <w:rFonts w:ascii="Times New Roman" w:hAnsi="Times New Roman" w:cs="Times New Roman"/>
                <w:b/>
                <w:sz w:val="24"/>
                <w:szCs w:val="24"/>
              </w:rPr>
              <w:t>）生态环境</w:t>
            </w:r>
            <w:r>
              <w:rPr>
                <w:rFonts w:hint="eastAsia" w:ascii="Times New Roman" w:hAnsi="Times New Roman" w:cs="Times New Roman"/>
                <w:b/>
                <w:sz w:val="24"/>
                <w:szCs w:val="24"/>
              </w:rPr>
              <w:t>保护目标</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w:t>
            </w:r>
            <w:r>
              <w:rPr>
                <w:rFonts w:ascii="Times New Roman" w:hAnsi="Times New Roman" w:cs="Times New Roman"/>
                <w:sz w:val="24"/>
                <w:szCs w:val="24"/>
              </w:rPr>
              <w:t>《环境影响评价技术导则 生态环境影》（HJ19-2022）</w:t>
            </w:r>
            <w:r>
              <w:rPr>
                <w:rFonts w:hint="eastAsia" w:ascii="Times New Roman" w:hAnsi="Times New Roman" w:cs="Times New Roman"/>
                <w:sz w:val="24"/>
                <w:szCs w:val="24"/>
              </w:rPr>
              <w:t>的要求，生态环境保护目标主要为</w:t>
            </w:r>
            <w:r>
              <w:rPr>
                <w:rFonts w:ascii="Times New Roman" w:hAnsi="Times New Roman" w:cs="Times New Roman"/>
                <w:sz w:val="24"/>
                <w:szCs w:val="24"/>
              </w:rPr>
              <w:t>受影响的重要物种、生态敏感区以及其他需要保护的物种、种群、生物群落及生态空间等。</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项目环境保护目标据图见下表。</w:t>
            </w:r>
          </w:p>
          <w:p>
            <w:pPr>
              <w:jc w:val="center"/>
              <w:rPr>
                <w:rFonts w:ascii="Times New Roman" w:hAnsi="Times New Roman" w:eastAsia="宋体" w:cs="Times New Roman"/>
                <w:b/>
              </w:rPr>
            </w:pPr>
            <w:r>
              <w:rPr>
                <w:rFonts w:ascii="Times New Roman" w:hAnsi="Times New Roman" w:eastAsia="宋体" w:cs="Times New Roman"/>
                <w:b/>
              </w:rPr>
              <w:t>表3.</w:t>
            </w:r>
            <w:r>
              <w:rPr>
                <w:rFonts w:hint="eastAsia" w:ascii="Times New Roman" w:hAnsi="Times New Roman" w:eastAsia="宋体" w:cs="Times New Roman"/>
                <w:b/>
              </w:rPr>
              <w:t>8</w:t>
            </w:r>
            <w:r>
              <w:rPr>
                <w:rFonts w:ascii="Times New Roman" w:hAnsi="Times New Roman" w:eastAsia="宋体" w:cs="Times New Roman"/>
                <w:b/>
              </w:rPr>
              <w:t>-1 环境空气及声环境保护目标一览表</w:t>
            </w:r>
          </w:p>
          <w:tbl>
            <w:tblPr>
              <w:tblStyle w:val="25"/>
              <w:tblW w:w="494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5"/>
              <w:gridCol w:w="1412"/>
              <w:gridCol w:w="1226"/>
              <w:gridCol w:w="740"/>
              <w:gridCol w:w="700"/>
              <w:gridCol w:w="1517"/>
              <w:gridCol w:w="18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Merge w:val="restart"/>
                  <w:vAlign w:val="center"/>
                </w:tcPr>
                <w:p>
                  <w:pPr>
                    <w:pStyle w:val="34"/>
                    <w:spacing w:line="360" w:lineRule="exact"/>
                    <w:rPr>
                      <w:color w:val="auto"/>
                      <w:kern w:val="0"/>
                      <w:szCs w:val="21"/>
                    </w:rPr>
                  </w:pPr>
                  <w:r>
                    <w:rPr>
                      <w:color w:val="auto"/>
                      <w:kern w:val="0"/>
                      <w:szCs w:val="21"/>
                    </w:rPr>
                    <w:t>名称</w:t>
                  </w:r>
                </w:p>
              </w:tc>
              <w:tc>
                <w:tcPr>
                  <w:tcW w:w="2638" w:type="dxa"/>
                  <w:gridSpan w:val="2"/>
                  <w:vAlign w:val="center"/>
                </w:tcPr>
                <w:p>
                  <w:pPr>
                    <w:pStyle w:val="34"/>
                    <w:spacing w:line="360" w:lineRule="exact"/>
                    <w:rPr>
                      <w:color w:val="auto"/>
                      <w:kern w:val="0"/>
                      <w:szCs w:val="21"/>
                    </w:rPr>
                  </w:pPr>
                  <w:r>
                    <w:rPr>
                      <w:color w:val="auto"/>
                      <w:kern w:val="0"/>
                      <w:szCs w:val="21"/>
                    </w:rPr>
                    <w:t>坐标/m</w:t>
                  </w:r>
                </w:p>
              </w:tc>
              <w:tc>
                <w:tcPr>
                  <w:tcW w:w="740" w:type="dxa"/>
                  <w:vMerge w:val="restart"/>
                  <w:vAlign w:val="center"/>
                </w:tcPr>
                <w:p>
                  <w:pPr>
                    <w:pStyle w:val="34"/>
                    <w:spacing w:line="360" w:lineRule="exact"/>
                    <w:rPr>
                      <w:color w:val="auto"/>
                      <w:kern w:val="0"/>
                      <w:szCs w:val="21"/>
                    </w:rPr>
                  </w:pPr>
                  <w:r>
                    <w:rPr>
                      <w:color w:val="auto"/>
                      <w:kern w:val="0"/>
                      <w:szCs w:val="21"/>
                    </w:rPr>
                    <w:t>保护对象</w:t>
                  </w:r>
                </w:p>
              </w:tc>
              <w:tc>
                <w:tcPr>
                  <w:tcW w:w="700" w:type="dxa"/>
                  <w:vMerge w:val="restart"/>
                  <w:vAlign w:val="center"/>
                </w:tcPr>
                <w:p>
                  <w:pPr>
                    <w:pStyle w:val="34"/>
                    <w:spacing w:line="360" w:lineRule="exact"/>
                    <w:rPr>
                      <w:color w:val="auto"/>
                      <w:kern w:val="0"/>
                      <w:szCs w:val="21"/>
                    </w:rPr>
                  </w:pPr>
                  <w:r>
                    <w:rPr>
                      <w:color w:val="auto"/>
                      <w:kern w:val="0"/>
                      <w:szCs w:val="21"/>
                    </w:rPr>
                    <w:t>保护内容</w:t>
                  </w:r>
                </w:p>
              </w:tc>
              <w:tc>
                <w:tcPr>
                  <w:tcW w:w="1517" w:type="dxa"/>
                  <w:vMerge w:val="restart"/>
                  <w:vAlign w:val="center"/>
                </w:tcPr>
                <w:p>
                  <w:pPr>
                    <w:pStyle w:val="34"/>
                    <w:spacing w:line="360" w:lineRule="exact"/>
                    <w:rPr>
                      <w:color w:val="auto"/>
                      <w:kern w:val="0"/>
                      <w:szCs w:val="21"/>
                    </w:rPr>
                  </w:pPr>
                  <w:r>
                    <w:rPr>
                      <w:color w:val="auto"/>
                      <w:kern w:val="0"/>
                      <w:szCs w:val="21"/>
                    </w:rPr>
                    <w:t>方位及距离</w:t>
                  </w:r>
                  <w:r>
                    <w:rPr>
                      <w:rFonts w:hint="eastAsia"/>
                      <w:color w:val="auto"/>
                      <w:kern w:val="0"/>
                      <w:szCs w:val="21"/>
                    </w:rPr>
                    <w:t>m</w:t>
                  </w:r>
                </w:p>
              </w:tc>
              <w:tc>
                <w:tcPr>
                  <w:tcW w:w="1838" w:type="dxa"/>
                  <w:vMerge w:val="restart"/>
                  <w:vAlign w:val="center"/>
                </w:tcPr>
                <w:p>
                  <w:pPr>
                    <w:pStyle w:val="34"/>
                    <w:spacing w:line="360" w:lineRule="exact"/>
                    <w:rPr>
                      <w:color w:val="auto"/>
                      <w:kern w:val="0"/>
                      <w:szCs w:val="21"/>
                    </w:rPr>
                  </w:pPr>
                  <w:r>
                    <w:rPr>
                      <w:color w:val="auto"/>
                      <w:kern w:val="0"/>
                      <w:szCs w:val="21"/>
                    </w:rPr>
                    <w:t>保护级别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Merge w:val="continue"/>
                  <w:vAlign w:val="center"/>
                </w:tcPr>
                <w:p>
                  <w:pPr>
                    <w:pStyle w:val="34"/>
                    <w:spacing w:line="360" w:lineRule="exact"/>
                    <w:rPr>
                      <w:color w:val="auto"/>
                      <w:kern w:val="0"/>
                      <w:szCs w:val="21"/>
                    </w:rPr>
                  </w:pPr>
                </w:p>
              </w:tc>
              <w:tc>
                <w:tcPr>
                  <w:tcW w:w="1412" w:type="dxa"/>
                  <w:vAlign w:val="center"/>
                </w:tcPr>
                <w:p>
                  <w:pPr>
                    <w:pStyle w:val="34"/>
                    <w:spacing w:line="360" w:lineRule="exact"/>
                    <w:rPr>
                      <w:color w:val="auto"/>
                      <w:kern w:val="0"/>
                      <w:szCs w:val="21"/>
                    </w:rPr>
                  </w:pPr>
                  <w:r>
                    <w:rPr>
                      <w:color w:val="auto"/>
                      <w:kern w:val="0"/>
                      <w:szCs w:val="21"/>
                    </w:rPr>
                    <w:t>X</w:t>
                  </w:r>
                </w:p>
              </w:tc>
              <w:tc>
                <w:tcPr>
                  <w:tcW w:w="1226" w:type="dxa"/>
                  <w:vAlign w:val="center"/>
                </w:tcPr>
                <w:p>
                  <w:pPr>
                    <w:pStyle w:val="34"/>
                    <w:spacing w:line="360" w:lineRule="exact"/>
                    <w:rPr>
                      <w:color w:val="auto"/>
                      <w:kern w:val="0"/>
                      <w:szCs w:val="21"/>
                    </w:rPr>
                  </w:pPr>
                  <w:r>
                    <w:rPr>
                      <w:color w:val="auto"/>
                      <w:kern w:val="0"/>
                      <w:szCs w:val="21"/>
                    </w:rPr>
                    <w:t>Y</w:t>
                  </w:r>
                </w:p>
              </w:tc>
              <w:tc>
                <w:tcPr>
                  <w:tcW w:w="740" w:type="dxa"/>
                  <w:vMerge w:val="continue"/>
                  <w:vAlign w:val="center"/>
                </w:tcPr>
                <w:p>
                  <w:pPr>
                    <w:pStyle w:val="34"/>
                    <w:spacing w:line="360" w:lineRule="exact"/>
                    <w:rPr>
                      <w:color w:val="auto"/>
                      <w:kern w:val="0"/>
                      <w:szCs w:val="21"/>
                    </w:rPr>
                  </w:pPr>
                </w:p>
              </w:tc>
              <w:tc>
                <w:tcPr>
                  <w:tcW w:w="700" w:type="dxa"/>
                  <w:vMerge w:val="continue"/>
                  <w:vAlign w:val="center"/>
                </w:tcPr>
                <w:p>
                  <w:pPr>
                    <w:pStyle w:val="34"/>
                    <w:spacing w:line="360" w:lineRule="exact"/>
                    <w:rPr>
                      <w:color w:val="auto"/>
                      <w:kern w:val="0"/>
                      <w:szCs w:val="21"/>
                    </w:rPr>
                  </w:pPr>
                </w:p>
              </w:tc>
              <w:tc>
                <w:tcPr>
                  <w:tcW w:w="1517" w:type="dxa"/>
                  <w:vMerge w:val="continue"/>
                  <w:vAlign w:val="center"/>
                </w:tcPr>
                <w:p>
                  <w:pPr>
                    <w:pStyle w:val="34"/>
                    <w:spacing w:line="360" w:lineRule="exact"/>
                    <w:rPr>
                      <w:color w:val="auto"/>
                      <w:kern w:val="0"/>
                      <w:szCs w:val="21"/>
                    </w:rPr>
                  </w:pP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老黑岩</w:t>
                  </w:r>
                </w:p>
              </w:tc>
              <w:tc>
                <w:tcPr>
                  <w:tcW w:w="1412" w:type="dxa"/>
                  <w:vAlign w:val="center"/>
                </w:tcPr>
                <w:p>
                  <w:pPr>
                    <w:pStyle w:val="34"/>
                    <w:spacing w:line="360" w:lineRule="exact"/>
                    <w:rPr>
                      <w:color w:val="auto"/>
                      <w:kern w:val="0"/>
                      <w:szCs w:val="21"/>
                    </w:rPr>
                  </w:pPr>
                  <w:r>
                    <w:rPr>
                      <w:color w:val="auto"/>
                      <w:kern w:val="0"/>
                      <w:szCs w:val="21"/>
                    </w:rPr>
                    <w:t>103.014693°</w:t>
                  </w:r>
                </w:p>
              </w:tc>
              <w:tc>
                <w:tcPr>
                  <w:tcW w:w="1226" w:type="dxa"/>
                  <w:vAlign w:val="center"/>
                </w:tcPr>
                <w:p>
                  <w:pPr>
                    <w:pStyle w:val="34"/>
                    <w:spacing w:line="360" w:lineRule="exact"/>
                    <w:rPr>
                      <w:color w:val="auto"/>
                      <w:kern w:val="0"/>
                      <w:szCs w:val="21"/>
                    </w:rPr>
                  </w:pPr>
                  <w:r>
                    <w:rPr>
                      <w:color w:val="auto"/>
                      <w:kern w:val="0"/>
                      <w:szCs w:val="21"/>
                    </w:rPr>
                    <w:t>26.458294°</w:t>
                  </w:r>
                </w:p>
              </w:tc>
              <w:tc>
                <w:tcPr>
                  <w:tcW w:w="740" w:type="dxa"/>
                  <w:vMerge w:val="restart"/>
                  <w:vAlign w:val="center"/>
                </w:tcPr>
                <w:p>
                  <w:pPr>
                    <w:pStyle w:val="34"/>
                    <w:spacing w:line="360" w:lineRule="exact"/>
                    <w:rPr>
                      <w:color w:val="auto"/>
                      <w:kern w:val="0"/>
                      <w:szCs w:val="21"/>
                    </w:rPr>
                  </w:pPr>
                  <w:r>
                    <w:rPr>
                      <w:color w:val="auto"/>
                      <w:kern w:val="0"/>
                      <w:szCs w:val="21"/>
                    </w:rPr>
                    <w:t>居民区</w:t>
                  </w:r>
                </w:p>
              </w:tc>
              <w:tc>
                <w:tcPr>
                  <w:tcW w:w="700" w:type="dxa"/>
                  <w:vAlign w:val="center"/>
                </w:tcPr>
                <w:p>
                  <w:pPr>
                    <w:pStyle w:val="34"/>
                    <w:spacing w:line="360" w:lineRule="exact"/>
                    <w:rPr>
                      <w:color w:val="auto"/>
                      <w:kern w:val="0"/>
                      <w:szCs w:val="21"/>
                    </w:rPr>
                  </w:pPr>
                  <w:r>
                    <w:rPr>
                      <w:rFonts w:hint="eastAsia"/>
                      <w:color w:val="auto"/>
                      <w:kern w:val="0"/>
                      <w:szCs w:val="21"/>
                    </w:rPr>
                    <w:t>65</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管道西</w:t>
                  </w:r>
                  <w:r>
                    <w:rPr>
                      <w:color w:val="auto"/>
                      <w:kern w:val="0"/>
                      <w:szCs w:val="21"/>
                    </w:rPr>
                    <w:t>侧</w:t>
                  </w:r>
                  <w:r>
                    <w:rPr>
                      <w:rFonts w:hint="eastAsia"/>
                      <w:color w:val="auto"/>
                      <w:kern w:val="0"/>
                      <w:szCs w:val="21"/>
                    </w:rPr>
                    <w:t>25</w:t>
                  </w:r>
                  <w:r>
                    <w:rPr>
                      <w:color w:val="auto"/>
                      <w:kern w:val="0"/>
                      <w:szCs w:val="21"/>
                    </w:rPr>
                    <w:t>m</w:t>
                  </w:r>
                </w:p>
              </w:tc>
              <w:tc>
                <w:tcPr>
                  <w:tcW w:w="1838" w:type="dxa"/>
                  <w:vMerge w:val="restart"/>
                  <w:vAlign w:val="center"/>
                </w:tcPr>
                <w:p>
                  <w:pPr>
                    <w:pStyle w:val="34"/>
                    <w:spacing w:line="360" w:lineRule="exact"/>
                    <w:rPr>
                      <w:color w:val="auto"/>
                      <w:kern w:val="0"/>
                      <w:szCs w:val="21"/>
                    </w:rPr>
                  </w:pPr>
                  <w:r>
                    <w:rPr>
                      <w:rFonts w:hint="eastAsia"/>
                      <w:color w:val="auto"/>
                      <w:kern w:val="0"/>
                      <w:szCs w:val="21"/>
                    </w:rPr>
                    <w:t>《环境空气质量标准》（GB</w:t>
                  </w:r>
                  <w:r>
                    <w:rPr>
                      <w:rFonts w:hint="eastAsia"/>
                      <w:color w:val="auto"/>
                      <w:kern w:val="0"/>
                      <w:szCs w:val="21"/>
                      <w:lang w:eastAsia="zh-CN"/>
                    </w:rPr>
                    <w:t>****</w:t>
                  </w:r>
                  <w:r>
                    <w:rPr>
                      <w:rFonts w:hint="eastAsia"/>
                      <w:color w:val="auto"/>
                      <w:kern w:val="0"/>
                      <w:szCs w:val="21"/>
                    </w:rPr>
                    <w:t>-2012）二级标准；</w:t>
                  </w:r>
                </w:p>
                <w:p>
                  <w:pPr>
                    <w:pStyle w:val="34"/>
                    <w:spacing w:line="360" w:lineRule="exact"/>
                    <w:rPr>
                      <w:color w:val="auto"/>
                      <w:kern w:val="0"/>
                      <w:szCs w:val="21"/>
                    </w:rPr>
                  </w:pPr>
                  <w:r>
                    <w:rPr>
                      <w:rFonts w:hint="eastAsia"/>
                      <w:color w:val="auto"/>
                      <w:kern w:val="0"/>
                      <w:szCs w:val="21"/>
                    </w:rPr>
                    <w:t>《声环境质量标准》（GB</w:t>
                  </w:r>
                  <w:r>
                    <w:rPr>
                      <w:rFonts w:hint="eastAsia"/>
                      <w:color w:val="auto"/>
                      <w:kern w:val="0"/>
                      <w:szCs w:val="21"/>
                      <w:lang w:eastAsia="zh-CN"/>
                    </w:rPr>
                    <w:t>****</w:t>
                  </w:r>
                  <w:r>
                    <w:rPr>
                      <w:rFonts w:hint="eastAsia"/>
                      <w:color w:val="auto"/>
                      <w:kern w:val="0"/>
                      <w:szCs w:val="21"/>
                    </w:rPr>
                    <w:t>-2008）2类标准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4"/>
                    <w:spacing w:line="360" w:lineRule="exact"/>
                    <w:rPr>
                      <w:color w:val="auto"/>
                      <w:kern w:val="0"/>
                      <w:szCs w:val="21"/>
                    </w:rPr>
                  </w:pPr>
                  <w:r>
                    <w:rPr>
                      <w:rFonts w:hint="eastAsia"/>
                      <w:color w:val="auto"/>
                      <w:kern w:val="0"/>
                      <w:szCs w:val="21"/>
                    </w:rPr>
                    <w:t>小凹子</w:t>
                  </w:r>
                </w:p>
              </w:tc>
              <w:tc>
                <w:tcPr>
                  <w:tcW w:w="1412" w:type="dxa"/>
                  <w:vAlign w:val="center"/>
                </w:tcPr>
                <w:p>
                  <w:pPr>
                    <w:pStyle w:val="34"/>
                    <w:spacing w:line="360" w:lineRule="exact"/>
                    <w:rPr>
                      <w:color w:val="auto"/>
                      <w:kern w:val="0"/>
                      <w:szCs w:val="21"/>
                    </w:rPr>
                  </w:pPr>
                  <w:r>
                    <w:rPr>
                      <w:color w:val="auto"/>
                      <w:kern w:val="0"/>
                      <w:szCs w:val="21"/>
                    </w:rPr>
                    <w:t>103.017537°</w:t>
                  </w:r>
                </w:p>
              </w:tc>
              <w:tc>
                <w:tcPr>
                  <w:tcW w:w="1226" w:type="dxa"/>
                  <w:vAlign w:val="center"/>
                </w:tcPr>
                <w:p>
                  <w:pPr>
                    <w:pStyle w:val="34"/>
                    <w:spacing w:line="360" w:lineRule="exact"/>
                    <w:rPr>
                      <w:color w:val="auto"/>
                      <w:kern w:val="0"/>
                      <w:szCs w:val="21"/>
                    </w:rPr>
                  </w:pPr>
                  <w:r>
                    <w:rPr>
                      <w:color w:val="auto"/>
                      <w:kern w:val="0"/>
                      <w:szCs w:val="21"/>
                    </w:rPr>
                    <w:t>26.461288°</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253</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管道西</w:t>
                  </w:r>
                  <w:r>
                    <w:rPr>
                      <w:color w:val="auto"/>
                      <w:kern w:val="0"/>
                      <w:szCs w:val="21"/>
                    </w:rPr>
                    <w:t>侧</w:t>
                  </w:r>
                  <w:r>
                    <w:rPr>
                      <w:rFonts w:hint="eastAsia"/>
                      <w:color w:val="auto"/>
                      <w:kern w:val="0"/>
                      <w:szCs w:val="21"/>
                    </w:rPr>
                    <w:t>25</w:t>
                  </w:r>
                  <w:r>
                    <w:rPr>
                      <w:color w:val="auto"/>
                      <w:kern w:val="0"/>
                      <w:szCs w:val="21"/>
                    </w:rPr>
                    <w:t>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张家湾</w:t>
                  </w:r>
                </w:p>
              </w:tc>
              <w:tc>
                <w:tcPr>
                  <w:tcW w:w="1412" w:type="dxa"/>
                  <w:vAlign w:val="center"/>
                </w:tcPr>
                <w:p>
                  <w:pPr>
                    <w:pStyle w:val="34"/>
                    <w:spacing w:line="360" w:lineRule="exact"/>
                    <w:rPr>
                      <w:color w:val="auto"/>
                      <w:kern w:val="0"/>
                      <w:szCs w:val="21"/>
                    </w:rPr>
                  </w:pPr>
                  <w:r>
                    <w:rPr>
                      <w:color w:val="auto"/>
                      <w:kern w:val="0"/>
                      <w:szCs w:val="21"/>
                    </w:rPr>
                    <w:t>103.024376°</w:t>
                  </w:r>
                </w:p>
              </w:tc>
              <w:tc>
                <w:tcPr>
                  <w:tcW w:w="1226" w:type="dxa"/>
                  <w:vAlign w:val="center"/>
                </w:tcPr>
                <w:p>
                  <w:pPr>
                    <w:pStyle w:val="34"/>
                    <w:spacing w:line="360" w:lineRule="exact"/>
                    <w:rPr>
                      <w:color w:val="auto"/>
                      <w:kern w:val="0"/>
                      <w:szCs w:val="21"/>
                    </w:rPr>
                  </w:pPr>
                  <w:r>
                    <w:rPr>
                      <w:color w:val="auto"/>
                      <w:kern w:val="0"/>
                      <w:szCs w:val="21"/>
                    </w:rPr>
                    <w:t>26.462517°</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79</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管道北</w:t>
                  </w:r>
                  <w:r>
                    <w:rPr>
                      <w:color w:val="auto"/>
                      <w:kern w:val="0"/>
                      <w:szCs w:val="21"/>
                    </w:rPr>
                    <w:t>侧</w:t>
                  </w:r>
                  <w:r>
                    <w:rPr>
                      <w:rFonts w:hint="eastAsia"/>
                      <w:color w:val="auto"/>
                      <w:kern w:val="0"/>
                      <w:szCs w:val="21"/>
                    </w:rPr>
                    <w:t>20</w:t>
                  </w:r>
                  <w:r>
                    <w:rPr>
                      <w:color w:val="auto"/>
                      <w:kern w:val="0"/>
                      <w:szCs w:val="21"/>
                    </w:rPr>
                    <w:t>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小坪子</w:t>
                  </w:r>
                </w:p>
              </w:tc>
              <w:tc>
                <w:tcPr>
                  <w:tcW w:w="1412" w:type="dxa"/>
                  <w:vAlign w:val="center"/>
                </w:tcPr>
                <w:p>
                  <w:pPr>
                    <w:pStyle w:val="34"/>
                    <w:spacing w:line="360" w:lineRule="exact"/>
                    <w:rPr>
                      <w:color w:val="auto"/>
                      <w:kern w:val="0"/>
                      <w:szCs w:val="21"/>
                    </w:rPr>
                  </w:pPr>
                  <w:r>
                    <w:rPr>
                      <w:color w:val="auto"/>
                      <w:kern w:val="0"/>
                      <w:szCs w:val="21"/>
                    </w:rPr>
                    <w:t>103.028060°</w:t>
                  </w:r>
                </w:p>
              </w:tc>
              <w:tc>
                <w:tcPr>
                  <w:tcW w:w="1226" w:type="dxa"/>
                  <w:vAlign w:val="center"/>
                </w:tcPr>
                <w:p>
                  <w:pPr>
                    <w:pStyle w:val="34"/>
                    <w:spacing w:line="360" w:lineRule="exact"/>
                    <w:rPr>
                      <w:color w:val="auto"/>
                      <w:kern w:val="0"/>
                      <w:szCs w:val="21"/>
                    </w:rPr>
                  </w:pPr>
                  <w:r>
                    <w:rPr>
                      <w:color w:val="auto"/>
                      <w:kern w:val="0"/>
                      <w:szCs w:val="21"/>
                    </w:rPr>
                    <w:t>26.460953°</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92</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管道北</w:t>
                  </w:r>
                  <w:r>
                    <w:rPr>
                      <w:color w:val="auto"/>
                      <w:kern w:val="0"/>
                      <w:szCs w:val="21"/>
                    </w:rPr>
                    <w:t>侧</w:t>
                  </w:r>
                  <w:r>
                    <w:rPr>
                      <w:rFonts w:hint="eastAsia"/>
                      <w:color w:val="auto"/>
                      <w:kern w:val="0"/>
                      <w:szCs w:val="21"/>
                    </w:rPr>
                    <w:t>15</w:t>
                  </w:r>
                  <w:r>
                    <w:rPr>
                      <w:color w:val="auto"/>
                      <w:kern w:val="0"/>
                      <w:szCs w:val="21"/>
                    </w:rPr>
                    <w:t>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赵家村</w:t>
                  </w:r>
                </w:p>
              </w:tc>
              <w:tc>
                <w:tcPr>
                  <w:tcW w:w="1412" w:type="dxa"/>
                  <w:vAlign w:val="center"/>
                </w:tcPr>
                <w:p>
                  <w:pPr>
                    <w:pStyle w:val="34"/>
                    <w:spacing w:line="360" w:lineRule="exact"/>
                    <w:rPr>
                      <w:color w:val="auto"/>
                      <w:kern w:val="0"/>
                      <w:szCs w:val="21"/>
                    </w:rPr>
                  </w:pPr>
                  <w:r>
                    <w:rPr>
                      <w:color w:val="auto"/>
                      <w:kern w:val="0"/>
                      <w:szCs w:val="21"/>
                    </w:rPr>
                    <w:t>103.033594°</w:t>
                  </w:r>
                </w:p>
              </w:tc>
              <w:tc>
                <w:tcPr>
                  <w:tcW w:w="1226" w:type="dxa"/>
                  <w:vAlign w:val="center"/>
                </w:tcPr>
                <w:p>
                  <w:pPr>
                    <w:pStyle w:val="34"/>
                    <w:spacing w:line="360" w:lineRule="exact"/>
                    <w:rPr>
                      <w:color w:val="auto"/>
                      <w:kern w:val="0"/>
                      <w:szCs w:val="21"/>
                    </w:rPr>
                  </w:pPr>
                  <w:r>
                    <w:rPr>
                      <w:color w:val="auto"/>
                      <w:kern w:val="0"/>
                      <w:szCs w:val="21"/>
                    </w:rPr>
                    <w:t>26.456935°</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73</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管道南</w:t>
                  </w:r>
                  <w:r>
                    <w:rPr>
                      <w:color w:val="auto"/>
                      <w:kern w:val="0"/>
                      <w:szCs w:val="21"/>
                    </w:rPr>
                    <w:t>侧</w:t>
                  </w:r>
                  <w:r>
                    <w:rPr>
                      <w:rFonts w:hint="eastAsia"/>
                      <w:color w:val="auto"/>
                      <w:kern w:val="0"/>
                      <w:szCs w:val="21"/>
                    </w:rPr>
                    <w:t>12</w:t>
                  </w:r>
                  <w:r>
                    <w:rPr>
                      <w:color w:val="auto"/>
                      <w:kern w:val="0"/>
                      <w:szCs w:val="21"/>
                    </w:rPr>
                    <w:t>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4"/>
                    <w:spacing w:line="360" w:lineRule="exact"/>
                    <w:rPr>
                      <w:color w:val="auto"/>
                      <w:kern w:val="0"/>
                      <w:szCs w:val="21"/>
                    </w:rPr>
                  </w:pPr>
                  <w:r>
                    <w:rPr>
                      <w:color w:val="auto"/>
                      <w:kern w:val="0"/>
                      <w:szCs w:val="21"/>
                    </w:rPr>
                    <w:t>象鼻村委会</w:t>
                  </w:r>
                </w:p>
              </w:tc>
              <w:tc>
                <w:tcPr>
                  <w:tcW w:w="1412" w:type="dxa"/>
                  <w:vAlign w:val="center"/>
                </w:tcPr>
                <w:p>
                  <w:pPr>
                    <w:pStyle w:val="34"/>
                    <w:spacing w:line="360" w:lineRule="exact"/>
                    <w:rPr>
                      <w:color w:val="auto"/>
                      <w:kern w:val="0"/>
                      <w:szCs w:val="21"/>
                    </w:rPr>
                  </w:pPr>
                  <w:r>
                    <w:rPr>
                      <w:color w:val="auto"/>
                      <w:kern w:val="0"/>
                      <w:szCs w:val="21"/>
                    </w:rPr>
                    <w:t>103.035877°</w:t>
                  </w:r>
                </w:p>
              </w:tc>
              <w:tc>
                <w:tcPr>
                  <w:tcW w:w="1226" w:type="dxa"/>
                  <w:vAlign w:val="center"/>
                </w:tcPr>
                <w:p>
                  <w:pPr>
                    <w:pStyle w:val="34"/>
                    <w:spacing w:line="360" w:lineRule="exact"/>
                    <w:rPr>
                      <w:color w:val="auto"/>
                      <w:kern w:val="0"/>
                      <w:szCs w:val="21"/>
                    </w:rPr>
                  </w:pPr>
                  <w:r>
                    <w:rPr>
                      <w:color w:val="auto"/>
                      <w:kern w:val="0"/>
                      <w:szCs w:val="21"/>
                    </w:rPr>
                    <w:t>26.455722°</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35</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管道北</w:t>
                  </w:r>
                  <w:r>
                    <w:rPr>
                      <w:color w:val="auto"/>
                      <w:kern w:val="0"/>
                      <w:szCs w:val="21"/>
                    </w:rPr>
                    <w:t>侧</w:t>
                  </w:r>
                  <w:r>
                    <w:rPr>
                      <w:rFonts w:hint="eastAsia"/>
                      <w:color w:val="auto"/>
                      <w:kern w:val="0"/>
                      <w:szCs w:val="21"/>
                    </w:rPr>
                    <w:t>20</w:t>
                  </w:r>
                  <w:r>
                    <w:rPr>
                      <w:color w:val="auto"/>
                      <w:kern w:val="0"/>
                      <w:szCs w:val="21"/>
                    </w:rPr>
                    <w:t>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金家包</w:t>
                  </w:r>
                </w:p>
              </w:tc>
              <w:tc>
                <w:tcPr>
                  <w:tcW w:w="1412" w:type="dxa"/>
                  <w:vAlign w:val="center"/>
                </w:tcPr>
                <w:p>
                  <w:pPr>
                    <w:pStyle w:val="34"/>
                    <w:spacing w:line="360" w:lineRule="exact"/>
                    <w:rPr>
                      <w:color w:val="auto"/>
                      <w:kern w:val="0"/>
                      <w:szCs w:val="21"/>
                    </w:rPr>
                  </w:pPr>
                  <w:r>
                    <w:rPr>
                      <w:color w:val="auto"/>
                      <w:kern w:val="0"/>
                      <w:szCs w:val="21"/>
                    </w:rPr>
                    <w:t>103.033928°</w:t>
                  </w:r>
                </w:p>
              </w:tc>
              <w:tc>
                <w:tcPr>
                  <w:tcW w:w="1226" w:type="dxa"/>
                  <w:vAlign w:val="center"/>
                </w:tcPr>
                <w:p>
                  <w:pPr>
                    <w:pStyle w:val="34"/>
                    <w:spacing w:line="360" w:lineRule="exact"/>
                    <w:rPr>
                      <w:color w:val="auto"/>
                      <w:kern w:val="0"/>
                      <w:szCs w:val="21"/>
                    </w:rPr>
                  </w:pPr>
                  <w:r>
                    <w:rPr>
                      <w:color w:val="auto"/>
                      <w:kern w:val="0"/>
                      <w:szCs w:val="21"/>
                    </w:rPr>
                    <w:t>26.446056°</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115</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管道西</w:t>
                  </w:r>
                  <w:r>
                    <w:rPr>
                      <w:color w:val="auto"/>
                      <w:kern w:val="0"/>
                      <w:szCs w:val="21"/>
                    </w:rPr>
                    <w:t>侧</w:t>
                  </w:r>
                  <w:r>
                    <w:rPr>
                      <w:rFonts w:hint="eastAsia"/>
                      <w:color w:val="auto"/>
                      <w:kern w:val="0"/>
                      <w:szCs w:val="21"/>
                    </w:rPr>
                    <w:t>25</w:t>
                  </w:r>
                  <w:r>
                    <w:rPr>
                      <w:color w:val="auto"/>
                      <w:kern w:val="0"/>
                      <w:szCs w:val="21"/>
                    </w:rPr>
                    <w:t>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大梁子</w:t>
                  </w:r>
                </w:p>
              </w:tc>
              <w:tc>
                <w:tcPr>
                  <w:tcW w:w="1412" w:type="dxa"/>
                  <w:vAlign w:val="center"/>
                </w:tcPr>
                <w:p>
                  <w:pPr>
                    <w:pStyle w:val="34"/>
                    <w:spacing w:line="360" w:lineRule="exact"/>
                    <w:rPr>
                      <w:color w:val="auto"/>
                      <w:kern w:val="0"/>
                      <w:szCs w:val="21"/>
                    </w:rPr>
                  </w:pPr>
                  <w:r>
                    <w:rPr>
                      <w:color w:val="auto"/>
                      <w:kern w:val="0"/>
                      <w:szCs w:val="21"/>
                    </w:rPr>
                    <w:t>103.037449°</w:t>
                  </w:r>
                </w:p>
              </w:tc>
              <w:tc>
                <w:tcPr>
                  <w:tcW w:w="1226" w:type="dxa"/>
                  <w:vAlign w:val="center"/>
                </w:tcPr>
                <w:p>
                  <w:pPr>
                    <w:pStyle w:val="34"/>
                    <w:spacing w:line="360" w:lineRule="exact"/>
                    <w:rPr>
                      <w:color w:val="auto"/>
                      <w:kern w:val="0"/>
                      <w:szCs w:val="21"/>
                    </w:rPr>
                  </w:pPr>
                  <w:r>
                    <w:rPr>
                      <w:color w:val="auto"/>
                      <w:kern w:val="0"/>
                      <w:szCs w:val="21"/>
                    </w:rPr>
                    <w:t>26.467814°</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55</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管道南</w:t>
                  </w:r>
                  <w:r>
                    <w:rPr>
                      <w:color w:val="auto"/>
                      <w:kern w:val="0"/>
                      <w:szCs w:val="21"/>
                    </w:rPr>
                    <w:t>侧</w:t>
                  </w:r>
                  <w:r>
                    <w:rPr>
                      <w:rFonts w:hint="eastAsia"/>
                      <w:color w:val="auto"/>
                      <w:kern w:val="0"/>
                      <w:szCs w:val="21"/>
                    </w:rPr>
                    <w:t>20</w:t>
                  </w:r>
                  <w:r>
                    <w:rPr>
                      <w:color w:val="auto"/>
                      <w:kern w:val="0"/>
                      <w:szCs w:val="21"/>
                    </w:rPr>
                    <w:t>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大脑壳地</w:t>
                  </w:r>
                </w:p>
              </w:tc>
              <w:tc>
                <w:tcPr>
                  <w:tcW w:w="1412" w:type="dxa"/>
                  <w:vAlign w:val="center"/>
                </w:tcPr>
                <w:p>
                  <w:pPr>
                    <w:pStyle w:val="34"/>
                    <w:spacing w:line="360" w:lineRule="exact"/>
                    <w:rPr>
                      <w:color w:val="auto"/>
                      <w:kern w:val="0"/>
                      <w:szCs w:val="21"/>
                    </w:rPr>
                  </w:pPr>
                  <w:r>
                    <w:rPr>
                      <w:color w:val="auto"/>
                      <w:kern w:val="0"/>
                      <w:szCs w:val="21"/>
                    </w:rPr>
                    <w:t>103.045135°</w:t>
                  </w:r>
                </w:p>
              </w:tc>
              <w:tc>
                <w:tcPr>
                  <w:tcW w:w="1226" w:type="dxa"/>
                  <w:vAlign w:val="center"/>
                </w:tcPr>
                <w:p>
                  <w:pPr>
                    <w:pStyle w:val="34"/>
                    <w:spacing w:line="360" w:lineRule="exact"/>
                    <w:rPr>
                      <w:color w:val="auto"/>
                      <w:kern w:val="0"/>
                      <w:szCs w:val="21"/>
                    </w:rPr>
                  </w:pPr>
                  <w:r>
                    <w:rPr>
                      <w:color w:val="auto"/>
                      <w:kern w:val="0"/>
                      <w:szCs w:val="21"/>
                    </w:rPr>
                    <w:t>26.453603°</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17</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管道南</w:t>
                  </w:r>
                  <w:r>
                    <w:rPr>
                      <w:color w:val="auto"/>
                      <w:kern w:val="0"/>
                      <w:szCs w:val="21"/>
                    </w:rPr>
                    <w:t>侧</w:t>
                  </w:r>
                  <w:r>
                    <w:rPr>
                      <w:rFonts w:hint="eastAsia"/>
                      <w:color w:val="auto"/>
                      <w:kern w:val="0"/>
                      <w:szCs w:val="21"/>
                    </w:rPr>
                    <w:t>22</w:t>
                  </w:r>
                  <w:r>
                    <w:rPr>
                      <w:color w:val="auto"/>
                      <w:kern w:val="0"/>
                      <w:szCs w:val="21"/>
                    </w:rPr>
                    <w:t>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4"/>
                    <w:spacing w:line="360" w:lineRule="exact"/>
                    <w:rPr>
                      <w:color w:val="auto"/>
                      <w:kern w:val="0"/>
                      <w:szCs w:val="21"/>
                    </w:rPr>
                  </w:pPr>
                  <w:r>
                    <w:rPr>
                      <w:color w:val="auto"/>
                      <w:kern w:val="0"/>
                      <w:szCs w:val="21"/>
                    </w:rPr>
                    <w:t>小海子</w:t>
                  </w:r>
                </w:p>
              </w:tc>
              <w:tc>
                <w:tcPr>
                  <w:tcW w:w="1412" w:type="dxa"/>
                  <w:vAlign w:val="center"/>
                </w:tcPr>
                <w:p>
                  <w:pPr>
                    <w:pStyle w:val="34"/>
                    <w:spacing w:line="360" w:lineRule="exact"/>
                    <w:rPr>
                      <w:color w:val="auto"/>
                      <w:kern w:val="0"/>
                      <w:szCs w:val="21"/>
                    </w:rPr>
                  </w:pPr>
                  <w:r>
                    <w:rPr>
                      <w:color w:val="auto"/>
                      <w:kern w:val="0"/>
                      <w:szCs w:val="21"/>
                    </w:rPr>
                    <w:t>103.039311°</w:t>
                  </w:r>
                </w:p>
              </w:tc>
              <w:tc>
                <w:tcPr>
                  <w:tcW w:w="1226" w:type="dxa"/>
                  <w:vAlign w:val="center"/>
                </w:tcPr>
                <w:p>
                  <w:pPr>
                    <w:pStyle w:val="34"/>
                    <w:spacing w:line="360" w:lineRule="exact"/>
                    <w:rPr>
                      <w:color w:val="auto"/>
                      <w:kern w:val="0"/>
                      <w:szCs w:val="21"/>
                    </w:rPr>
                  </w:pPr>
                  <w:r>
                    <w:rPr>
                      <w:color w:val="auto"/>
                      <w:kern w:val="0"/>
                      <w:szCs w:val="21"/>
                    </w:rPr>
                    <w:t>26.446464°</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75</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管道东</w:t>
                  </w:r>
                  <w:r>
                    <w:rPr>
                      <w:color w:val="auto"/>
                      <w:kern w:val="0"/>
                      <w:szCs w:val="21"/>
                    </w:rPr>
                    <w:t>侧</w:t>
                  </w:r>
                  <w:r>
                    <w:rPr>
                      <w:rFonts w:hint="eastAsia"/>
                      <w:color w:val="auto"/>
                      <w:kern w:val="0"/>
                      <w:szCs w:val="21"/>
                    </w:rPr>
                    <w:t>15</w:t>
                  </w:r>
                  <w:r>
                    <w:rPr>
                      <w:color w:val="auto"/>
                      <w:kern w:val="0"/>
                      <w:szCs w:val="21"/>
                    </w:rPr>
                    <w:t>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小盐坝</w:t>
                  </w:r>
                </w:p>
              </w:tc>
              <w:tc>
                <w:tcPr>
                  <w:tcW w:w="1412" w:type="dxa"/>
                  <w:vAlign w:val="center"/>
                </w:tcPr>
                <w:p>
                  <w:pPr>
                    <w:pStyle w:val="34"/>
                    <w:spacing w:line="360" w:lineRule="exact"/>
                    <w:rPr>
                      <w:color w:val="auto"/>
                      <w:kern w:val="0"/>
                      <w:szCs w:val="21"/>
                    </w:rPr>
                  </w:pPr>
                  <w:r>
                    <w:rPr>
                      <w:color w:val="auto"/>
                      <w:kern w:val="0"/>
                      <w:szCs w:val="21"/>
                    </w:rPr>
                    <w:t>103.001483°</w:t>
                  </w:r>
                </w:p>
              </w:tc>
              <w:tc>
                <w:tcPr>
                  <w:tcW w:w="1226" w:type="dxa"/>
                  <w:vAlign w:val="center"/>
                </w:tcPr>
                <w:p>
                  <w:pPr>
                    <w:pStyle w:val="34"/>
                    <w:spacing w:line="360" w:lineRule="exact"/>
                    <w:rPr>
                      <w:color w:val="auto"/>
                      <w:kern w:val="0"/>
                      <w:szCs w:val="21"/>
                    </w:rPr>
                  </w:pPr>
                  <w:r>
                    <w:rPr>
                      <w:color w:val="auto"/>
                      <w:kern w:val="0"/>
                      <w:szCs w:val="21"/>
                    </w:rPr>
                    <w:t>26.449144°</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68人</w:t>
                  </w:r>
                </w:p>
              </w:tc>
              <w:tc>
                <w:tcPr>
                  <w:tcW w:w="1517" w:type="dxa"/>
                  <w:vAlign w:val="center"/>
                </w:tcPr>
                <w:p>
                  <w:pPr>
                    <w:pStyle w:val="34"/>
                    <w:spacing w:line="360" w:lineRule="exact"/>
                    <w:rPr>
                      <w:color w:val="auto"/>
                      <w:kern w:val="0"/>
                      <w:szCs w:val="21"/>
                    </w:rPr>
                  </w:pPr>
                  <w:r>
                    <w:rPr>
                      <w:rFonts w:hint="eastAsia"/>
                      <w:color w:val="auto"/>
                      <w:kern w:val="0"/>
                      <w:szCs w:val="21"/>
                    </w:rPr>
                    <w:t>光伏发电场南侧180m</w:t>
                  </w:r>
                </w:p>
              </w:tc>
              <w:tc>
                <w:tcPr>
                  <w:tcW w:w="1838" w:type="dxa"/>
                  <w:vMerge w:val="continue"/>
                  <w:vAlign w:val="center"/>
                </w:tcPr>
                <w:p>
                  <w:pPr>
                    <w:pStyle w:val="34"/>
                    <w:spacing w:line="360" w:lineRule="exact"/>
                    <w:rPr>
                      <w:color w:val="auto"/>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长地</w:t>
                  </w:r>
                </w:p>
              </w:tc>
              <w:tc>
                <w:tcPr>
                  <w:tcW w:w="1412" w:type="dxa"/>
                  <w:vAlign w:val="center"/>
                </w:tcPr>
                <w:p>
                  <w:pPr>
                    <w:pStyle w:val="34"/>
                    <w:spacing w:line="360" w:lineRule="exact"/>
                    <w:rPr>
                      <w:color w:val="auto"/>
                      <w:kern w:val="0"/>
                      <w:szCs w:val="21"/>
                    </w:rPr>
                  </w:pPr>
                  <w:r>
                    <w:rPr>
                      <w:color w:val="auto"/>
                      <w:kern w:val="0"/>
                      <w:szCs w:val="21"/>
                    </w:rPr>
                    <w:t>103.011128°</w:t>
                  </w:r>
                </w:p>
              </w:tc>
              <w:tc>
                <w:tcPr>
                  <w:tcW w:w="1226" w:type="dxa"/>
                  <w:vAlign w:val="center"/>
                </w:tcPr>
                <w:p>
                  <w:pPr>
                    <w:pStyle w:val="34"/>
                    <w:spacing w:line="360" w:lineRule="exact"/>
                    <w:rPr>
                      <w:color w:val="auto"/>
                      <w:kern w:val="0"/>
                      <w:szCs w:val="21"/>
                    </w:rPr>
                  </w:pPr>
                  <w:r>
                    <w:rPr>
                      <w:color w:val="auto"/>
                      <w:kern w:val="0"/>
                      <w:szCs w:val="21"/>
                    </w:rPr>
                    <w:t>26.467952°</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113</w:t>
                  </w:r>
                  <w:r>
                    <w:rPr>
                      <w:color w:val="auto"/>
                      <w:kern w:val="0"/>
                      <w:szCs w:val="21"/>
                    </w:rPr>
                    <w:t>人</w:t>
                  </w:r>
                </w:p>
              </w:tc>
              <w:tc>
                <w:tcPr>
                  <w:tcW w:w="1517" w:type="dxa"/>
                  <w:vAlign w:val="center"/>
                </w:tcPr>
                <w:p>
                  <w:pPr>
                    <w:pStyle w:val="34"/>
                    <w:spacing w:line="360" w:lineRule="exact"/>
                    <w:rPr>
                      <w:color w:val="auto"/>
                      <w:kern w:val="0"/>
                      <w:szCs w:val="21"/>
                    </w:rPr>
                  </w:pPr>
                  <w:r>
                    <w:rPr>
                      <w:rFonts w:hint="eastAsia"/>
                      <w:color w:val="auto"/>
                      <w:kern w:val="0"/>
                      <w:szCs w:val="21"/>
                    </w:rPr>
                    <w:t>管道北</w:t>
                  </w:r>
                  <w:r>
                    <w:rPr>
                      <w:color w:val="auto"/>
                      <w:kern w:val="0"/>
                      <w:szCs w:val="21"/>
                    </w:rPr>
                    <w:t>侧</w:t>
                  </w:r>
                  <w:r>
                    <w:rPr>
                      <w:rFonts w:hint="eastAsia"/>
                      <w:color w:val="auto"/>
                      <w:kern w:val="0"/>
                      <w:szCs w:val="21"/>
                    </w:rPr>
                    <w:t>420</w:t>
                  </w:r>
                  <w:r>
                    <w:rPr>
                      <w:color w:val="auto"/>
                      <w:kern w:val="0"/>
                      <w:szCs w:val="21"/>
                    </w:rPr>
                    <w:t>m</w:t>
                  </w:r>
                </w:p>
              </w:tc>
              <w:tc>
                <w:tcPr>
                  <w:tcW w:w="1838" w:type="dxa"/>
                  <w:vMerge w:val="restart"/>
                  <w:vAlign w:val="center"/>
                </w:tcPr>
                <w:p>
                  <w:pPr>
                    <w:pStyle w:val="34"/>
                    <w:spacing w:line="360" w:lineRule="exact"/>
                    <w:rPr>
                      <w:color w:val="auto"/>
                      <w:kern w:val="0"/>
                      <w:szCs w:val="21"/>
                    </w:rPr>
                  </w:pPr>
                  <w:r>
                    <w:rPr>
                      <w:rFonts w:hint="eastAsia"/>
                      <w:color w:val="auto"/>
                      <w:kern w:val="0"/>
                      <w:szCs w:val="21"/>
                    </w:rPr>
                    <w:t>《环境空气质量标准》（GB</w:t>
                  </w:r>
                  <w:r>
                    <w:rPr>
                      <w:rFonts w:hint="eastAsia"/>
                      <w:color w:val="auto"/>
                      <w:kern w:val="0"/>
                      <w:szCs w:val="21"/>
                      <w:lang w:eastAsia="zh-CN"/>
                    </w:rPr>
                    <w:t>****</w:t>
                  </w:r>
                  <w:r>
                    <w:rPr>
                      <w:rFonts w:hint="eastAsia"/>
                      <w:color w:val="auto"/>
                      <w:kern w:val="0"/>
                      <w:szCs w:val="21"/>
                    </w:rPr>
                    <w:t>-2012）二级标准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85" w:type="dxa"/>
                  <w:vAlign w:val="center"/>
                </w:tcPr>
                <w:p>
                  <w:pPr>
                    <w:pStyle w:val="34"/>
                    <w:spacing w:line="360" w:lineRule="exact"/>
                    <w:rPr>
                      <w:color w:val="auto"/>
                      <w:kern w:val="0"/>
                      <w:szCs w:val="21"/>
                    </w:rPr>
                  </w:pPr>
                  <w:r>
                    <w:rPr>
                      <w:color w:val="auto"/>
                      <w:kern w:val="0"/>
                      <w:szCs w:val="21"/>
                    </w:rPr>
                    <w:t>大盐坝</w:t>
                  </w:r>
                </w:p>
              </w:tc>
              <w:tc>
                <w:tcPr>
                  <w:tcW w:w="1412" w:type="dxa"/>
                  <w:vAlign w:val="center"/>
                </w:tcPr>
                <w:p>
                  <w:pPr>
                    <w:pStyle w:val="34"/>
                    <w:spacing w:line="360" w:lineRule="exact"/>
                    <w:rPr>
                      <w:color w:val="auto"/>
                      <w:kern w:val="0"/>
                      <w:szCs w:val="21"/>
                    </w:rPr>
                  </w:pPr>
                  <w:r>
                    <w:rPr>
                      <w:color w:val="auto"/>
                      <w:kern w:val="0"/>
                      <w:szCs w:val="21"/>
                    </w:rPr>
                    <w:t>103.000518°</w:t>
                  </w:r>
                </w:p>
              </w:tc>
              <w:tc>
                <w:tcPr>
                  <w:tcW w:w="1226" w:type="dxa"/>
                  <w:vAlign w:val="center"/>
                </w:tcPr>
                <w:p>
                  <w:pPr>
                    <w:pStyle w:val="34"/>
                    <w:spacing w:line="360" w:lineRule="exact"/>
                    <w:rPr>
                      <w:color w:val="auto"/>
                      <w:kern w:val="0"/>
                      <w:szCs w:val="21"/>
                    </w:rPr>
                  </w:pPr>
                  <w:r>
                    <w:rPr>
                      <w:color w:val="auto"/>
                      <w:kern w:val="0"/>
                      <w:szCs w:val="21"/>
                    </w:rPr>
                    <w:t>26.444981°</w:t>
                  </w:r>
                </w:p>
              </w:tc>
              <w:tc>
                <w:tcPr>
                  <w:tcW w:w="740" w:type="dxa"/>
                  <w:vMerge w:val="continue"/>
                  <w:vAlign w:val="center"/>
                </w:tcPr>
                <w:p>
                  <w:pPr>
                    <w:pStyle w:val="34"/>
                    <w:spacing w:line="360" w:lineRule="exact"/>
                    <w:rPr>
                      <w:color w:val="auto"/>
                      <w:kern w:val="0"/>
                      <w:szCs w:val="21"/>
                    </w:rPr>
                  </w:pPr>
                </w:p>
              </w:tc>
              <w:tc>
                <w:tcPr>
                  <w:tcW w:w="700" w:type="dxa"/>
                  <w:vAlign w:val="center"/>
                </w:tcPr>
                <w:p>
                  <w:pPr>
                    <w:pStyle w:val="34"/>
                    <w:spacing w:line="360" w:lineRule="exact"/>
                    <w:rPr>
                      <w:color w:val="auto"/>
                      <w:kern w:val="0"/>
                      <w:szCs w:val="21"/>
                    </w:rPr>
                  </w:pPr>
                  <w:r>
                    <w:rPr>
                      <w:rFonts w:hint="eastAsia"/>
                      <w:color w:val="auto"/>
                      <w:kern w:val="0"/>
                      <w:szCs w:val="21"/>
                    </w:rPr>
                    <w:t>183人</w:t>
                  </w:r>
                </w:p>
              </w:tc>
              <w:tc>
                <w:tcPr>
                  <w:tcW w:w="1517" w:type="dxa"/>
                  <w:vAlign w:val="center"/>
                </w:tcPr>
                <w:p>
                  <w:pPr>
                    <w:pStyle w:val="34"/>
                    <w:spacing w:line="360" w:lineRule="exact"/>
                    <w:rPr>
                      <w:color w:val="auto"/>
                      <w:kern w:val="0"/>
                      <w:szCs w:val="21"/>
                    </w:rPr>
                  </w:pPr>
                  <w:r>
                    <w:rPr>
                      <w:rFonts w:hint="eastAsia"/>
                      <w:color w:val="auto"/>
                      <w:kern w:val="0"/>
                      <w:szCs w:val="21"/>
                    </w:rPr>
                    <w:t>光伏发电场南侧600m</w:t>
                  </w:r>
                </w:p>
              </w:tc>
              <w:tc>
                <w:tcPr>
                  <w:tcW w:w="1838" w:type="dxa"/>
                  <w:vMerge w:val="continue"/>
                  <w:vAlign w:val="center"/>
                </w:tcPr>
                <w:p>
                  <w:pPr>
                    <w:pStyle w:val="34"/>
                    <w:spacing w:line="360" w:lineRule="exact"/>
                    <w:rPr>
                      <w:color w:val="auto"/>
                      <w:kern w:val="0"/>
                      <w:szCs w:val="21"/>
                    </w:rPr>
                  </w:pPr>
                </w:p>
              </w:tc>
            </w:tr>
          </w:tbl>
          <w:p>
            <w:pPr>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3.8</w:t>
            </w:r>
            <w:r>
              <w:rPr>
                <w:rFonts w:ascii="Times New Roman" w:hAnsi="Times New Roman" w:eastAsia="宋体" w:cs="Times New Roman"/>
                <w:b/>
              </w:rPr>
              <w:t>-</w:t>
            </w:r>
            <w:r>
              <w:rPr>
                <w:rFonts w:hint="eastAsia" w:ascii="Times New Roman" w:hAnsi="Times New Roman" w:eastAsia="宋体" w:cs="Times New Roman"/>
                <w:b/>
              </w:rPr>
              <w:t>2</w:t>
            </w:r>
            <w:r>
              <w:rPr>
                <w:rFonts w:ascii="Times New Roman" w:hAnsi="Times New Roman" w:eastAsia="宋体" w:cs="Times New Roman"/>
                <w:b/>
              </w:rPr>
              <w:t xml:space="preserve">  地表水环境保护目标及保护级别一览表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47"/>
              <w:gridCol w:w="1846"/>
              <w:gridCol w:w="24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类别</w:t>
                  </w:r>
                </w:p>
              </w:tc>
              <w:tc>
                <w:tcPr>
                  <w:tcW w:w="666"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保护目标</w:t>
                  </w:r>
                </w:p>
              </w:tc>
              <w:tc>
                <w:tcPr>
                  <w:tcW w:w="1072"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与项目区的方位及距离</w:t>
                  </w:r>
                </w:p>
              </w:tc>
              <w:tc>
                <w:tcPr>
                  <w:tcW w:w="139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保护对象</w:t>
                  </w:r>
                </w:p>
              </w:tc>
              <w:tc>
                <w:tcPr>
                  <w:tcW w:w="1394" w:type="pc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74" w:type="pct"/>
                  <w:tcBorders>
                    <w:top w:val="single" w:color="auto" w:sz="4" w:space="0"/>
                    <w:left w:val="single" w:color="auto" w:sz="4" w:space="0"/>
                    <w:right w:val="single" w:color="auto" w:sz="4" w:space="0"/>
                  </w:tcBorders>
                  <w:vAlign w:val="center"/>
                </w:tcPr>
                <w:p>
                  <w:pPr>
                    <w:pStyle w:val="34"/>
                    <w:spacing w:line="360" w:lineRule="exact"/>
                    <w:rPr>
                      <w:color w:val="auto"/>
                      <w:szCs w:val="21"/>
                    </w:rPr>
                  </w:pPr>
                  <w:r>
                    <w:rPr>
                      <w:color w:val="auto"/>
                      <w:szCs w:val="21"/>
                    </w:rPr>
                    <w:t>地表水</w:t>
                  </w:r>
                </w:p>
              </w:tc>
              <w:tc>
                <w:tcPr>
                  <w:tcW w:w="666" w:type="pct"/>
                  <w:tcBorders>
                    <w:top w:val="single" w:color="auto" w:sz="4" w:space="0"/>
                    <w:left w:val="single" w:color="auto" w:sz="4" w:space="0"/>
                    <w:right w:val="single" w:color="auto" w:sz="4" w:space="0"/>
                  </w:tcBorders>
                  <w:vAlign w:val="center"/>
                </w:tcPr>
                <w:p>
                  <w:pPr>
                    <w:pStyle w:val="34"/>
                    <w:spacing w:line="360" w:lineRule="exact"/>
                    <w:rPr>
                      <w:color w:val="auto"/>
                      <w:szCs w:val="21"/>
                    </w:rPr>
                  </w:pPr>
                  <w:r>
                    <w:rPr>
                      <w:rFonts w:hint="eastAsia"/>
                      <w:color w:val="auto"/>
                      <w:szCs w:val="21"/>
                    </w:rPr>
                    <w:t>金沙江</w:t>
                  </w:r>
                </w:p>
              </w:tc>
              <w:tc>
                <w:tcPr>
                  <w:tcW w:w="1072" w:type="pct"/>
                  <w:tcBorders>
                    <w:top w:val="single" w:color="auto" w:sz="4" w:space="0"/>
                    <w:left w:val="single" w:color="auto" w:sz="4" w:space="0"/>
                    <w:right w:val="single" w:color="auto" w:sz="4" w:space="0"/>
                  </w:tcBorders>
                  <w:vAlign w:val="center"/>
                </w:tcPr>
                <w:p>
                  <w:pPr>
                    <w:pStyle w:val="34"/>
                    <w:spacing w:line="360" w:lineRule="exact"/>
                    <w:rPr>
                      <w:color w:val="auto"/>
                      <w:szCs w:val="21"/>
                    </w:rPr>
                  </w:pPr>
                  <w:r>
                    <w:rPr>
                      <w:color w:val="auto"/>
                      <w:szCs w:val="21"/>
                    </w:rPr>
                    <w:t>西侧</w:t>
                  </w:r>
                  <w:r>
                    <w:rPr>
                      <w:rFonts w:hint="eastAsia"/>
                      <w:color w:val="auto"/>
                      <w:szCs w:val="21"/>
                    </w:rPr>
                    <w:t>100m</w:t>
                  </w:r>
                </w:p>
              </w:tc>
              <w:tc>
                <w:tcPr>
                  <w:tcW w:w="1394" w:type="pct"/>
                  <w:tcBorders>
                    <w:top w:val="single" w:color="auto" w:sz="4" w:space="0"/>
                    <w:left w:val="single" w:color="auto" w:sz="4" w:space="0"/>
                    <w:right w:val="single" w:color="auto" w:sz="4" w:space="0"/>
                  </w:tcBorders>
                  <w:vAlign w:val="center"/>
                </w:tcPr>
                <w:p>
                  <w:pPr>
                    <w:pStyle w:val="34"/>
                    <w:spacing w:line="360" w:lineRule="exact"/>
                    <w:rPr>
                      <w:color w:val="auto"/>
                      <w:szCs w:val="21"/>
                    </w:rPr>
                  </w:pPr>
                  <w:r>
                    <w:rPr>
                      <w:color w:val="auto"/>
                      <w:szCs w:val="21"/>
                    </w:rPr>
                    <w:t>河流</w:t>
                  </w:r>
                </w:p>
              </w:tc>
              <w:tc>
                <w:tcPr>
                  <w:tcW w:w="1394" w:type="pct"/>
                  <w:tcBorders>
                    <w:top w:val="single" w:color="auto" w:sz="4" w:space="0"/>
                    <w:left w:val="single" w:color="auto" w:sz="4" w:space="0"/>
                    <w:right w:val="single" w:color="auto" w:sz="4" w:space="0"/>
                  </w:tcBorders>
                  <w:vAlign w:val="center"/>
                </w:tcPr>
                <w:p>
                  <w:pPr>
                    <w:pStyle w:val="34"/>
                    <w:spacing w:line="360" w:lineRule="exact"/>
                    <w:ind w:firstLine="210" w:firstLineChars="100"/>
                    <w:jc w:val="left"/>
                    <w:rPr>
                      <w:color w:val="auto"/>
                      <w:szCs w:val="21"/>
                    </w:rPr>
                  </w:pPr>
                  <w:r>
                    <w:rPr>
                      <w:color w:val="auto"/>
                      <w:szCs w:val="21"/>
                    </w:rPr>
                    <w:t>《地表水环境质量标准》（GB</w:t>
                  </w:r>
                  <w:r>
                    <w:rPr>
                      <w:rFonts w:hint="eastAsia"/>
                      <w:color w:val="auto"/>
                      <w:szCs w:val="21"/>
                      <w:lang w:eastAsia="zh-CN"/>
                    </w:rPr>
                    <w:t>****</w:t>
                  </w:r>
                  <w:r>
                    <w:rPr>
                      <w:color w:val="auto"/>
                      <w:szCs w:val="21"/>
                    </w:rPr>
                    <w:t>-2002）I</w:t>
                  </w:r>
                  <w:r>
                    <w:rPr>
                      <w:rFonts w:hint="eastAsia"/>
                      <w:color w:val="auto"/>
                      <w:szCs w:val="21"/>
                    </w:rPr>
                    <w:t>II</w:t>
                  </w:r>
                  <w:r>
                    <w:rPr>
                      <w:color w:val="auto"/>
                      <w:szCs w:val="21"/>
                    </w:rPr>
                    <w:t>类标准</w:t>
                  </w:r>
                </w:p>
              </w:tc>
            </w:tr>
          </w:tbl>
          <w:p>
            <w:pPr>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3.8</w:t>
            </w:r>
            <w:r>
              <w:rPr>
                <w:rFonts w:ascii="Times New Roman" w:hAnsi="Times New Roman" w:eastAsia="宋体" w:cs="Times New Roman"/>
                <w:b/>
              </w:rPr>
              <w:t>-</w:t>
            </w:r>
            <w:r>
              <w:rPr>
                <w:rFonts w:hint="eastAsia" w:ascii="Times New Roman" w:hAnsi="Times New Roman" w:eastAsia="宋体" w:cs="Times New Roman"/>
                <w:b/>
              </w:rPr>
              <w:t>3</w:t>
            </w:r>
            <w:r>
              <w:rPr>
                <w:rFonts w:ascii="Times New Roman" w:hAnsi="Times New Roman" w:eastAsia="宋体" w:cs="Times New Roman"/>
                <w:b/>
              </w:rPr>
              <w:t xml:space="preserve">  生态环境保护目标一览表</w:t>
            </w:r>
          </w:p>
          <w:tbl>
            <w:tblPr>
              <w:tblStyle w:val="25"/>
              <w:tblW w:w="499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44"/>
              <w:gridCol w:w="2285"/>
              <w:gridCol w:w="1755"/>
              <w:gridCol w:w="35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Align w:val="center"/>
                </w:tcPr>
                <w:p>
                  <w:pPr>
                    <w:pStyle w:val="34"/>
                    <w:spacing w:line="360" w:lineRule="exact"/>
                    <w:rPr>
                      <w:color w:val="auto"/>
                      <w:szCs w:val="21"/>
                    </w:rPr>
                  </w:pPr>
                  <w:r>
                    <w:rPr>
                      <w:color w:val="auto"/>
                      <w:szCs w:val="21"/>
                    </w:rPr>
                    <w:t>类别</w:t>
                  </w:r>
                </w:p>
              </w:tc>
              <w:tc>
                <w:tcPr>
                  <w:tcW w:w="2285" w:type="dxa"/>
                  <w:vAlign w:val="center"/>
                </w:tcPr>
                <w:p>
                  <w:pPr>
                    <w:pStyle w:val="34"/>
                    <w:spacing w:line="360" w:lineRule="exact"/>
                    <w:rPr>
                      <w:color w:val="auto"/>
                      <w:szCs w:val="21"/>
                    </w:rPr>
                  </w:pPr>
                  <w:r>
                    <w:rPr>
                      <w:color w:val="auto"/>
                      <w:szCs w:val="21"/>
                    </w:rPr>
                    <w:t>与项目区的方位及距离</w:t>
                  </w:r>
                </w:p>
              </w:tc>
              <w:tc>
                <w:tcPr>
                  <w:tcW w:w="1755" w:type="dxa"/>
                  <w:vAlign w:val="center"/>
                </w:tcPr>
                <w:p>
                  <w:pPr>
                    <w:pStyle w:val="34"/>
                    <w:spacing w:line="360" w:lineRule="exact"/>
                    <w:rPr>
                      <w:color w:val="auto"/>
                      <w:szCs w:val="21"/>
                    </w:rPr>
                  </w:pPr>
                  <w:r>
                    <w:rPr>
                      <w:color w:val="auto"/>
                      <w:szCs w:val="21"/>
                    </w:rPr>
                    <w:t>生态保护目标</w:t>
                  </w:r>
                </w:p>
              </w:tc>
              <w:tc>
                <w:tcPr>
                  <w:tcW w:w="3515" w:type="dxa"/>
                  <w:vAlign w:val="center"/>
                </w:tcPr>
                <w:p>
                  <w:pPr>
                    <w:pStyle w:val="34"/>
                    <w:spacing w:line="360" w:lineRule="exact"/>
                    <w:rPr>
                      <w:color w:val="auto"/>
                      <w:szCs w:val="21"/>
                    </w:rPr>
                  </w:pPr>
                  <w:r>
                    <w:rPr>
                      <w:color w:val="auto"/>
                      <w:szCs w:val="21"/>
                    </w:rPr>
                    <w:t>保护级别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92" w:type="dxa"/>
                  <w:vMerge w:val="restart"/>
                  <w:vAlign w:val="center"/>
                </w:tcPr>
                <w:p>
                  <w:pPr>
                    <w:pStyle w:val="34"/>
                    <w:spacing w:line="360" w:lineRule="exact"/>
                    <w:rPr>
                      <w:color w:val="auto"/>
                      <w:szCs w:val="21"/>
                    </w:rPr>
                  </w:pPr>
                  <w:r>
                    <w:rPr>
                      <w:color w:val="auto"/>
                      <w:szCs w:val="21"/>
                    </w:rPr>
                    <w:t>生态环境</w:t>
                  </w:r>
                </w:p>
              </w:tc>
              <w:tc>
                <w:tcPr>
                  <w:tcW w:w="2410" w:type="dxa"/>
                  <w:vAlign w:val="center"/>
                </w:tcPr>
                <w:p>
                  <w:pPr>
                    <w:pStyle w:val="34"/>
                    <w:spacing w:line="360" w:lineRule="exact"/>
                    <w:rPr>
                      <w:color w:val="auto"/>
                      <w:szCs w:val="21"/>
                    </w:rPr>
                  </w:pPr>
                  <w:r>
                    <w:rPr>
                      <w:color w:val="auto"/>
                      <w:szCs w:val="21"/>
                    </w:rPr>
                    <w:t>项目区边界</w:t>
                  </w:r>
                  <w:r>
                    <w:rPr>
                      <w:rFonts w:hint="eastAsia"/>
                      <w:color w:val="auto"/>
                      <w:szCs w:val="21"/>
                    </w:rPr>
                    <w:t>2</w:t>
                  </w:r>
                  <w:r>
                    <w:rPr>
                      <w:color w:val="auto"/>
                      <w:szCs w:val="21"/>
                    </w:rPr>
                    <w:t>00m范围</w:t>
                  </w:r>
                </w:p>
              </w:tc>
              <w:tc>
                <w:tcPr>
                  <w:tcW w:w="1843" w:type="dxa"/>
                  <w:vAlign w:val="center"/>
                </w:tcPr>
                <w:p>
                  <w:pPr>
                    <w:pStyle w:val="34"/>
                    <w:spacing w:line="360" w:lineRule="exact"/>
                    <w:rPr>
                      <w:color w:val="auto"/>
                      <w:szCs w:val="21"/>
                    </w:rPr>
                  </w:pPr>
                  <w:r>
                    <w:rPr>
                      <w:color w:val="auto"/>
                      <w:szCs w:val="21"/>
                    </w:rPr>
                    <w:t>土地利用、植被、</w:t>
                  </w:r>
                  <w:r>
                    <w:rPr>
                      <w:rFonts w:hint="eastAsia"/>
                      <w:color w:val="auto"/>
                      <w:szCs w:val="21"/>
                    </w:rPr>
                    <w:t>动植物</w:t>
                  </w:r>
                </w:p>
              </w:tc>
              <w:tc>
                <w:tcPr>
                  <w:tcW w:w="3727" w:type="dxa"/>
                  <w:vAlign w:val="center"/>
                </w:tcPr>
                <w:p>
                  <w:pPr>
                    <w:pStyle w:val="34"/>
                    <w:spacing w:line="360" w:lineRule="exact"/>
                    <w:ind w:firstLine="210" w:firstLineChars="100"/>
                    <w:jc w:val="both"/>
                    <w:rPr>
                      <w:color w:val="auto"/>
                      <w:szCs w:val="21"/>
                    </w:rPr>
                  </w:pPr>
                  <w:r>
                    <w:rPr>
                      <w:color w:val="auto"/>
                      <w:szCs w:val="21"/>
                    </w:rPr>
                    <w:t>不得随意破坏、降低当地生态环境质量，</w:t>
                  </w:r>
                  <w:r>
                    <w:rPr>
                      <w:rFonts w:hint="eastAsia"/>
                      <w:color w:val="auto"/>
                      <w:szCs w:val="21"/>
                    </w:rPr>
                    <w:t>植被恢复率达到可恢复的96%，陆生生物栖息环境基本不变，陆生生物多样性和完整性不受破坏；水土流失治理度97%；表土保护率95%。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44" w:type="dxa"/>
                  <w:vMerge w:val="continue"/>
                  <w:vAlign w:val="center"/>
                </w:tcPr>
                <w:p>
                  <w:pPr>
                    <w:pStyle w:val="34"/>
                    <w:spacing w:line="360" w:lineRule="exact"/>
                    <w:rPr>
                      <w:color w:val="auto"/>
                      <w:szCs w:val="21"/>
                    </w:rPr>
                  </w:pPr>
                </w:p>
              </w:tc>
              <w:tc>
                <w:tcPr>
                  <w:tcW w:w="2285" w:type="dxa"/>
                  <w:vAlign w:val="center"/>
                </w:tcPr>
                <w:p>
                  <w:pPr>
                    <w:pStyle w:val="34"/>
                    <w:spacing w:line="360" w:lineRule="exact"/>
                    <w:rPr>
                      <w:color w:val="auto"/>
                      <w:szCs w:val="21"/>
                    </w:rPr>
                  </w:pPr>
                  <w:r>
                    <w:rPr>
                      <w:color w:val="auto"/>
                      <w:szCs w:val="21"/>
                    </w:rPr>
                    <w:t>项目占地范围及周边</w:t>
                  </w:r>
                </w:p>
              </w:tc>
              <w:tc>
                <w:tcPr>
                  <w:tcW w:w="1755" w:type="dxa"/>
                  <w:vAlign w:val="center"/>
                </w:tcPr>
                <w:p>
                  <w:pPr>
                    <w:pStyle w:val="34"/>
                    <w:spacing w:line="360" w:lineRule="exact"/>
                    <w:rPr>
                      <w:color w:val="auto"/>
                      <w:szCs w:val="21"/>
                    </w:rPr>
                  </w:pPr>
                  <w:r>
                    <w:rPr>
                      <w:rFonts w:hint="eastAsia"/>
                      <w:color w:val="auto"/>
                      <w:szCs w:val="21"/>
                    </w:rPr>
                    <w:t>黑鸢和松雀鹰</w:t>
                  </w:r>
                </w:p>
              </w:tc>
              <w:tc>
                <w:tcPr>
                  <w:tcW w:w="3515" w:type="dxa"/>
                  <w:vAlign w:val="center"/>
                </w:tcPr>
                <w:p>
                  <w:pPr>
                    <w:pStyle w:val="34"/>
                    <w:spacing w:line="360" w:lineRule="exact"/>
                    <w:ind w:firstLine="210" w:firstLineChars="100"/>
                    <w:jc w:val="both"/>
                    <w:rPr>
                      <w:color w:val="auto"/>
                      <w:szCs w:val="21"/>
                    </w:rPr>
                  </w:pPr>
                  <w:r>
                    <w:rPr>
                      <w:rFonts w:hint="eastAsia"/>
                      <w:color w:val="auto"/>
                      <w:szCs w:val="21"/>
                    </w:rPr>
                    <w:t>项目占地范围及周边</w:t>
                  </w:r>
                </w:p>
              </w:tc>
            </w:tr>
          </w:tbl>
          <w:p>
            <w:pPr>
              <w:spacing w:line="360" w:lineRule="auto"/>
              <w:ind w:firstLine="480" w:firstLineChars="200"/>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评价标准</w:t>
            </w:r>
          </w:p>
        </w:tc>
        <w:tc>
          <w:tcPr>
            <w:tcW w:w="8834" w:type="dxa"/>
            <w:vAlign w:val="center"/>
          </w:tcPr>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3.9 环境质量标准</w:t>
            </w:r>
          </w:p>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3.9.1</w:t>
            </w:r>
            <w:r>
              <w:rPr>
                <w:rFonts w:ascii="Times New Roman" w:hAnsi="Times New Roman" w:cs="Times New Roman"/>
                <w:b/>
                <w:sz w:val="24"/>
                <w:szCs w:val="24"/>
              </w:rPr>
              <w:t>大气环境质量标准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w:t>
            </w:r>
            <w:r>
              <w:rPr>
                <w:rFonts w:hint="eastAsia" w:ascii="Times New Roman" w:hAnsi="Times New Roman" w:cs="Times New Roman"/>
                <w:sz w:val="24"/>
                <w:szCs w:val="24"/>
              </w:rPr>
              <w:t>东川区拖布卡镇象鼻村</w:t>
            </w:r>
            <w:r>
              <w:rPr>
                <w:rFonts w:ascii="Times New Roman" w:hAnsi="Times New Roman" w:cs="Times New Roman"/>
                <w:sz w:val="24"/>
                <w:szCs w:val="24"/>
              </w:rPr>
              <w:t>，该区域环境空气功能区属于二类区，基本污染物执行《环境空气质量标准》修改单（GB</w:t>
            </w:r>
            <w:r>
              <w:rPr>
                <w:rFonts w:hint="eastAsia" w:ascii="Times New Roman" w:hAnsi="Times New Roman" w:cs="Times New Roman"/>
                <w:sz w:val="24"/>
                <w:szCs w:val="24"/>
                <w:lang w:eastAsia="zh-CN"/>
              </w:rPr>
              <w:t>****</w:t>
            </w:r>
            <w:r>
              <w:rPr>
                <w:rFonts w:ascii="Times New Roman" w:hAnsi="Times New Roman" w:cs="Times New Roman"/>
                <w:sz w:val="24"/>
                <w:szCs w:val="24"/>
              </w:rPr>
              <w:t>-2012）二级标准。各污染物浓度限值如下表所示。</w:t>
            </w:r>
          </w:p>
          <w:p>
            <w:pPr>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3.9.1</w:t>
            </w:r>
            <w:r>
              <w:rPr>
                <w:rFonts w:ascii="Times New Roman" w:hAnsi="Times New Roman" w:eastAsia="宋体" w:cs="Times New Roman"/>
                <w:b/>
              </w:rPr>
              <w:t>-1  环境空气质量标准    单位：ug/m³</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2980"/>
              <w:gridCol w:w="184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污染物项目</w:t>
                  </w: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平均时间</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二级浓度限值</w:t>
                  </w:r>
                </w:p>
              </w:tc>
              <w:tc>
                <w:tcPr>
                  <w:tcW w:w="1198" w:type="dxa"/>
                  <w:tcBorders>
                    <w:top w:val="single" w:color="auto" w:sz="4" w:space="0"/>
                    <w:left w:val="single" w:color="000000" w:sz="4" w:space="0"/>
                    <w:bottom w:val="single" w:color="auto" w:sz="4" w:space="0"/>
                    <w:right w:val="single" w:color="auto" w:sz="4" w:space="0"/>
                  </w:tcBorders>
                  <w:vAlign w:val="center"/>
                </w:tcPr>
                <w:p>
                  <w:pPr>
                    <w:pStyle w:val="34"/>
                    <w:spacing w:line="360" w:lineRule="exact"/>
                    <w:rPr>
                      <w:color w:val="auto"/>
                      <w:szCs w:val="21"/>
                    </w:rPr>
                  </w:pPr>
                  <w:r>
                    <w:rPr>
                      <w:color w:val="auto"/>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二氧化硫（SO</w:t>
                  </w:r>
                  <w:r>
                    <w:rPr>
                      <w:color w:val="auto"/>
                      <w:szCs w:val="21"/>
                      <w:vertAlign w:val="subscript"/>
                    </w:rPr>
                    <w:t>2</w:t>
                  </w:r>
                  <w:r>
                    <w:rPr>
                      <w:color w:val="auto"/>
                      <w:szCs w:val="21"/>
                    </w:rPr>
                    <w:t>）</w:t>
                  </w: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60</w:t>
                  </w:r>
                </w:p>
              </w:tc>
              <w:tc>
                <w:tcPr>
                  <w:tcW w:w="1198" w:type="dxa"/>
                  <w:vMerge w:val="restart"/>
                  <w:tcBorders>
                    <w:top w:val="single" w:color="auto" w:sz="4" w:space="0"/>
                    <w:left w:val="single" w:color="000000" w:sz="4" w:space="0"/>
                    <w:right w:val="single" w:color="auto" w:sz="4" w:space="0"/>
                  </w:tcBorders>
                  <w:vAlign w:val="center"/>
                </w:tcPr>
                <w:p>
                  <w:pPr>
                    <w:pStyle w:val="34"/>
                    <w:spacing w:line="360" w:lineRule="exact"/>
                    <w:rPr>
                      <w:color w:val="auto"/>
                      <w:szCs w:val="21"/>
                    </w:rPr>
                  </w:pPr>
                  <w:r>
                    <w:rPr>
                      <w:color w:val="auto"/>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150</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1h平均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500</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right w:val="single" w:color="auto" w:sz="4" w:space="0"/>
                  </w:tcBorders>
                  <w:vAlign w:val="center"/>
                </w:tcPr>
                <w:p>
                  <w:pPr>
                    <w:pStyle w:val="34"/>
                    <w:spacing w:line="360" w:lineRule="exact"/>
                    <w:rPr>
                      <w:color w:val="auto"/>
                      <w:szCs w:val="21"/>
                    </w:rPr>
                  </w:pPr>
                  <w:r>
                    <w:rPr>
                      <w:color w:val="auto"/>
                      <w:szCs w:val="21"/>
                    </w:rPr>
                    <w:t>二氧化氮（NO</w:t>
                  </w:r>
                  <w:r>
                    <w:rPr>
                      <w:color w:val="auto"/>
                      <w:szCs w:val="21"/>
                      <w:vertAlign w:val="subscript"/>
                    </w:rPr>
                    <w:t>2</w:t>
                  </w:r>
                  <w:r>
                    <w:rPr>
                      <w:color w:val="auto"/>
                      <w:szCs w:val="21"/>
                    </w:rPr>
                    <w:t>）</w:t>
                  </w: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40</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right w:val="single" w:color="auto" w:sz="4" w:space="0"/>
                  </w:tcBorders>
                  <w:vAlign w:val="center"/>
                </w:tcPr>
                <w:p>
                  <w:pPr>
                    <w:pStyle w:val="34"/>
                    <w:spacing w:line="360" w:lineRule="exact"/>
                    <w:rPr>
                      <w:color w:val="auto"/>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80</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34"/>
                    <w:spacing w:line="360" w:lineRule="exact"/>
                    <w:rPr>
                      <w:color w:val="auto"/>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1h平均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200</w:t>
                  </w:r>
                </w:p>
              </w:tc>
              <w:tc>
                <w:tcPr>
                  <w:tcW w:w="1198" w:type="dxa"/>
                  <w:vMerge w:val="continue"/>
                  <w:tcBorders>
                    <w:left w:val="single" w:color="000000" w:sz="4" w:space="0"/>
                    <w:bottom w:val="single" w:color="auto"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left w:val="single" w:color="auto" w:sz="4" w:space="0"/>
                    <w:right w:val="single" w:color="auto" w:sz="4" w:space="0"/>
                  </w:tcBorders>
                  <w:vAlign w:val="center"/>
                </w:tcPr>
                <w:p>
                  <w:pPr>
                    <w:pStyle w:val="34"/>
                    <w:spacing w:line="360" w:lineRule="exact"/>
                    <w:rPr>
                      <w:color w:val="auto"/>
                      <w:szCs w:val="21"/>
                    </w:rPr>
                  </w:pPr>
                  <w:r>
                    <w:rPr>
                      <w:color w:val="auto"/>
                      <w:szCs w:val="21"/>
                    </w:rPr>
                    <w:t>一氧化碳（CO）</w:t>
                  </w: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4</w:t>
                  </w:r>
                </w:p>
              </w:tc>
              <w:tc>
                <w:tcPr>
                  <w:tcW w:w="1198" w:type="dxa"/>
                  <w:vMerge w:val="restart"/>
                  <w:tcBorders>
                    <w:top w:val="single" w:color="auto" w:sz="4" w:space="0"/>
                    <w:left w:val="single" w:color="000000" w:sz="4" w:space="0"/>
                    <w:right w:val="single" w:color="auto" w:sz="4" w:space="0"/>
                  </w:tcBorders>
                  <w:vAlign w:val="center"/>
                </w:tcPr>
                <w:p>
                  <w:pPr>
                    <w:pStyle w:val="34"/>
                    <w:spacing w:line="360" w:lineRule="exact"/>
                    <w:rPr>
                      <w:color w:val="auto"/>
                      <w:szCs w:val="21"/>
                    </w:rPr>
                  </w:pPr>
                  <w:r>
                    <w:rPr>
                      <w:color w:val="auto"/>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34"/>
                    <w:spacing w:line="360" w:lineRule="exact"/>
                    <w:rPr>
                      <w:color w:val="auto"/>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1h平均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10</w:t>
                  </w:r>
                </w:p>
              </w:tc>
              <w:tc>
                <w:tcPr>
                  <w:tcW w:w="1198" w:type="dxa"/>
                  <w:vMerge w:val="continue"/>
                  <w:tcBorders>
                    <w:left w:val="single" w:color="000000" w:sz="4" w:space="0"/>
                    <w:bottom w:val="single" w:color="auto"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left w:val="single" w:color="auto" w:sz="4" w:space="0"/>
                    <w:right w:val="single" w:color="auto" w:sz="4" w:space="0"/>
                  </w:tcBorders>
                  <w:vAlign w:val="center"/>
                </w:tcPr>
                <w:p>
                  <w:pPr>
                    <w:pStyle w:val="34"/>
                    <w:spacing w:line="360" w:lineRule="exact"/>
                    <w:rPr>
                      <w:color w:val="auto"/>
                      <w:szCs w:val="21"/>
                    </w:rPr>
                  </w:pPr>
                  <w:r>
                    <w:rPr>
                      <w:color w:val="auto"/>
                      <w:szCs w:val="21"/>
                    </w:rPr>
                    <w:t>臭氧（O</w:t>
                  </w:r>
                  <w:r>
                    <w:rPr>
                      <w:color w:val="auto"/>
                      <w:szCs w:val="21"/>
                      <w:vertAlign w:val="subscript"/>
                    </w:rPr>
                    <w:t>3</w:t>
                  </w:r>
                  <w:r>
                    <w:rPr>
                      <w:color w:val="auto"/>
                      <w:szCs w:val="21"/>
                    </w:rPr>
                    <w:t>）</w:t>
                  </w: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日最大8h平均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160</w:t>
                  </w:r>
                </w:p>
              </w:tc>
              <w:tc>
                <w:tcPr>
                  <w:tcW w:w="1198" w:type="dxa"/>
                  <w:vMerge w:val="restart"/>
                  <w:tcBorders>
                    <w:left w:val="single" w:color="000000" w:sz="4" w:space="0"/>
                    <w:right w:val="single" w:color="auto" w:sz="4" w:space="0"/>
                  </w:tcBorders>
                  <w:vAlign w:val="center"/>
                </w:tcPr>
                <w:p>
                  <w:pPr>
                    <w:pStyle w:val="34"/>
                    <w:spacing w:line="360" w:lineRule="exact"/>
                    <w:rPr>
                      <w:color w:val="auto"/>
                      <w:szCs w:val="21"/>
                    </w:rPr>
                  </w:pPr>
                  <w:r>
                    <w:rPr>
                      <w:color w:val="auto"/>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34"/>
                    <w:spacing w:line="360" w:lineRule="exact"/>
                    <w:rPr>
                      <w:color w:val="auto"/>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1h平均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200</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颗粒物（粒径小于等于10um）</w:t>
                  </w: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70</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150</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restart"/>
                  <w:tcBorders>
                    <w:top w:val="single" w:color="auto" w:sz="4" w:space="0"/>
                    <w:left w:val="single" w:color="auto" w:sz="4" w:space="0"/>
                    <w:right w:val="single" w:color="auto" w:sz="4" w:space="0"/>
                  </w:tcBorders>
                  <w:vAlign w:val="center"/>
                </w:tcPr>
                <w:p>
                  <w:pPr>
                    <w:pStyle w:val="34"/>
                    <w:spacing w:line="360" w:lineRule="exact"/>
                    <w:rPr>
                      <w:color w:val="auto"/>
                      <w:szCs w:val="21"/>
                    </w:rPr>
                  </w:pPr>
                  <w:r>
                    <w:rPr>
                      <w:color w:val="auto"/>
                      <w:szCs w:val="21"/>
                    </w:rPr>
                    <w:t>颗粒物（粒径小于等于2.5um）</w:t>
                  </w: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35</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34"/>
                    <w:spacing w:line="360" w:lineRule="exact"/>
                    <w:rPr>
                      <w:color w:val="auto"/>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75</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left w:val="single" w:color="auto" w:sz="4" w:space="0"/>
                    <w:right w:val="single" w:color="auto" w:sz="4" w:space="0"/>
                  </w:tcBorders>
                  <w:vAlign w:val="center"/>
                </w:tcPr>
                <w:p>
                  <w:pPr>
                    <w:pStyle w:val="34"/>
                    <w:spacing w:line="360" w:lineRule="exact"/>
                    <w:rPr>
                      <w:color w:val="auto"/>
                      <w:szCs w:val="21"/>
                    </w:rPr>
                  </w:pPr>
                  <w:r>
                    <w:rPr>
                      <w:color w:val="auto"/>
                      <w:szCs w:val="21"/>
                    </w:rPr>
                    <w:t>总悬浮颗粒物（TSP）</w:t>
                  </w: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200</w:t>
                  </w:r>
                </w:p>
              </w:tc>
              <w:tc>
                <w:tcPr>
                  <w:tcW w:w="1198" w:type="dxa"/>
                  <w:vMerge w:val="continue"/>
                  <w:tcBorders>
                    <w:left w:val="single" w:color="000000" w:sz="4" w:space="0"/>
                    <w:right w:val="single" w:color="auto" w:sz="4" w:space="0"/>
                  </w:tcBorders>
                  <w:vAlign w:val="center"/>
                </w:tcPr>
                <w:p>
                  <w:pPr>
                    <w:pStyle w:val="34"/>
                    <w:spacing w:line="36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vMerge w:val="continue"/>
                  <w:tcBorders>
                    <w:left w:val="single" w:color="auto" w:sz="4" w:space="0"/>
                    <w:right w:val="single" w:color="auto" w:sz="4" w:space="0"/>
                  </w:tcBorders>
                  <w:vAlign w:val="center"/>
                </w:tcPr>
                <w:p>
                  <w:pPr>
                    <w:pStyle w:val="34"/>
                    <w:spacing w:line="360" w:lineRule="exact"/>
                    <w:rPr>
                      <w:color w:val="auto"/>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4"/>
                    <w:spacing w:line="360" w:lineRule="exact"/>
                    <w:rPr>
                      <w:color w:val="auto"/>
                      <w:szCs w:val="21"/>
                    </w:rPr>
                  </w:pPr>
                  <w:r>
                    <w:rPr>
                      <w:color w:val="auto"/>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4"/>
                    <w:spacing w:line="360" w:lineRule="exact"/>
                    <w:rPr>
                      <w:color w:val="auto"/>
                      <w:szCs w:val="21"/>
                    </w:rPr>
                  </w:pPr>
                  <w:r>
                    <w:rPr>
                      <w:color w:val="auto"/>
                      <w:szCs w:val="21"/>
                    </w:rPr>
                    <w:t>300</w:t>
                  </w:r>
                </w:p>
              </w:tc>
              <w:tc>
                <w:tcPr>
                  <w:tcW w:w="1198" w:type="dxa"/>
                  <w:vMerge w:val="continue"/>
                  <w:tcBorders>
                    <w:left w:val="single" w:color="000000" w:sz="4" w:space="0"/>
                    <w:bottom w:val="single" w:color="auto" w:sz="4" w:space="0"/>
                    <w:right w:val="single" w:color="auto" w:sz="4" w:space="0"/>
                  </w:tcBorders>
                  <w:vAlign w:val="center"/>
                </w:tcPr>
                <w:p>
                  <w:pPr>
                    <w:pStyle w:val="34"/>
                    <w:spacing w:line="360" w:lineRule="exact"/>
                    <w:rPr>
                      <w:color w:val="auto"/>
                      <w:szCs w:val="21"/>
                    </w:rPr>
                  </w:pPr>
                </w:p>
              </w:tc>
            </w:tr>
          </w:tbl>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 xml:space="preserve">3.9.2 </w:t>
            </w:r>
            <w:r>
              <w:rPr>
                <w:rFonts w:ascii="Times New Roman" w:hAnsi="Times New Roman" w:cs="Times New Roman"/>
                <w:b/>
                <w:sz w:val="24"/>
                <w:szCs w:val="24"/>
              </w:rPr>
              <w:t>地表水环境质量标准</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w:t>
            </w:r>
            <w:r>
              <w:rPr>
                <w:rFonts w:ascii="Times New Roman" w:hAnsi="Times New Roman" w:cs="Times New Roman"/>
                <w:sz w:val="24"/>
                <w:szCs w:val="24"/>
              </w:rPr>
              <w:t>项目属于</w:t>
            </w:r>
            <w:r>
              <w:rPr>
                <w:rFonts w:hint="eastAsia" w:hAnsi="Times New Roman"/>
                <w:sz w:val="24"/>
                <w:szCs w:val="24"/>
              </w:rPr>
              <w:t>引水</w:t>
            </w:r>
            <w:r>
              <w:rPr>
                <w:rFonts w:ascii="Times New Roman" w:hAnsi="Times New Roman" w:cs="Times New Roman"/>
                <w:sz w:val="24"/>
                <w:szCs w:val="24"/>
              </w:rPr>
              <w:t>工程项目，</w:t>
            </w:r>
            <w:r>
              <w:rPr>
                <w:rFonts w:hint="eastAsia" w:ascii="Times New Roman" w:hAnsi="Times New Roman" w:cs="Times New Roman"/>
                <w:sz w:val="24"/>
                <w:szCs w:val="24"/>
              </w:rPr>
              <w:t>涉及河流为金沙江，属于长江流域。</w:t>
            </w:r>
            <w:r>
              <w:rPr>
                <w:rFonts w:ascii="Times New Roman" w:hAnsi="Times New Roman" w:cs="Times New Roman"/>
                <w:sz w:val="24"/>
                <w:szCs w:val="24"/>
              </w:rPr>
              <w:t>根据《云南省水功能区划（2014年修订）》，项目区段为“金沙江滇川4号缓冲区”，由金沙江干流距元谋县出境口5km处至向家坝水电站坝轴线线下1.8km，即水富县城出境口，属左右岸关系，为云南与四川两省间的界河段，全长585.0km，现状水质为Ⅲ类，执行《地表水环境质量标准》中Ⅲ类标准要求。标准限值详见下表。</w:t>
            </w:r>
          </w:p>
          <w:p>
            <w:pPr>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3.9.2-1</w:t>
            </w:r>
            <w:r>
              <w:rPr>
                <w:rFonts w:ascii="Times New Roman" w:hAnsi="Times New Roman" w:eastAsia="宋体" w:cs="Times New Roman"/>
                <w:b/>
              </w:rPr>
              <w:t xml:space="preserve"> 地表水环境质量评价标准值  单位：mg/L</w:t>
            </w:r>
          </w:p>
          <w:tbl>
            <w:tblPr>
              <w:tblStyle w:val="2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5"/>
              <w:gridCol w:w="1764"/>
              <w:gridCol w:w="1887"/>
              <w:gridCol w:w="1619"/>
              <w:gridCol w:w="19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7" w:type="dxa"/>
                  <w:vAlign w:val="center"/>
                </w:tcPr>
                <w:p>
                  <w:pPr>
                    <w:pStyle w:val="34"/>
                    <w:spacing w:line="360" w:lineRule="exact"/>
                    <w:ind w:left="11"/>
                    <w:rPr>
                      <w:color w:val="auto"/>
                      <w:szCs w:val="21"/>
                    </w:rPr>
                  </w:pPr>
                  <w:r>
                    <w:rPr>
                      <w:color w:val="auto"/>
                      <w:szCs w:val="21"/>
                    </w:rPr>
                    <w:t>项目</w:t>
                  </w:r>
                </w:p>
              </w:tc>
              <w:tc>
                <w:tcPr>
                  <w:tcW w:w="1843" w:type="dxa"/>
                  <w:vAlign w:val="center"/>
                </w:tcPr>
                <w:p>
                  <w:pPr>
                    <w:pStyle w:val="34"/>
                    <w:spacing w:line="360" w:lineRule="exact"/>
                    <w:ind w:left="11"/>
                    <w:rPr>
                      <w:color w:val="auto"/>
                      <w:szCs w:val="21"/>
                    </w:rPr>
                  </w:pPr>
                  <w:r>
                    <w:rPr>
                      <w:color w:val="auto"/>
                      <w:szCs w:val="21"/>
                    </w:rPr>
                    <w:t>pH</w:t>
                  </w:r>
                </w:p>
              </w:tc>
              <w:tc>
                <w:tcPr>
                  <w:tcW w:w="1985" w:type="dxa"/>
                  <w:vAlign w:val="center"/>
                </w:tcPr>
                <w:p>
                  <w:pPr>
                    <w:pStyle w:val="34"/>
                    <w:spacing w:line="360" w:lineRule="exact"/>
                    <w:ind w:left="11"/>
                    <w:rPr>
                      <w:color w:val="auto"/>
                      <w:szCs w:val="21"/>
                    </w:rPr>
                  </w:pPr>
                  <w:r>
                    <w:rPr>
                      <w:color w:val="auto"/>
                      <w:szCs w:val="21"/>
                    </w:rPr>
                    <w:t>CODcr</w:t>
                  </w:r>
                </w:p>
              </w:tc>
              <w:tc>
                <w:tcPr>
                  <w:tcW w:w="1701" w:type="dxa"/>
                  <w:vAlign w:val="center"/>
                </w:tcPr>
                <w:p>
                  <w:pPr>
                    <w:pStyle w:val="34"/>
                    <w:spacing w:line="360" w:lineRule="exact"/>
                    <w:ind w:left="11"/>
                    <w:rPr>
                      <w:color w:val="auto"/>
                      <w:szCs w:val="21"/>
                    </w:rPr>
                  </w:pPr>
                  <w:r>
                    <w:rPr>
                      <w:color w:val="auto"/>
                      <w:szCs w:val="21"/>
                    </w:rPr>
                    <w:t>BOD</w:t>
                  </w:r>
                  <w:r>
                    <w:rPr>
                      <w:color w:val="auto"/>
                      <w:szCs w:val="21"/>
                      <w:vertAlign w:val="subscript"/>
                    </w:rPr>
                    <w:t>5</w:t>
                  </w:r>
                </w:p>
              </w:tc>
              <w:tc>
                <w:tcPr>
                  <w:tcW w:w="2026" w:type="dxa"/>
                  <w:vAlign w:val="center"/>
                </w:tcPr>
                <w:p>
                  <w:pPr>
                    <w:pStyle w:val="34"/>
                    <w:spacing w:line="360" w:lineRule="exact"/>
                    <w:rPr>
                      <w:color w:val="auto"/>
                      <w:szCs w:val="21"/>
                    </w:rPr>
                  </w:pPr>
                  <w:r>
                    <w:rPr>
                      <w:rFonts w:hint="eastAsia"/>
                      <w:color w:val="auto"/>
                      <w:szCs w:val="21"/>
                    </w:rPr>
                    <w:t>DO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7" w:type="dxa"/>
                  <w:vAlign w:val="center"/>
                </w:tcPr>
                <w:p>
                  <w:pPr>
                    <w:pStyle w:val="34"/>
                    <w:spacing w:line="360" w:lineRule="exact"/>
                    <w:rPr>
                      <w:color w:val="auto"/>
                      <w:szCs w:val="21"/>
                    </w:rPr>
                  </w:pPr>
                  <w:r>
                    <w:rPr>
                      <w:color w:val="auto"/>
                      <w:szCs w:val="21"/>
                    </w:rPr>
                    <w:t>III类</w:t>
                  </w:r>
                </w:p>
              </w:tc>
              <w:tc>
                <w:tcPr>
                  <w:tcW w:w="1843" w:type="dxa"/>
                  <w:vAlign w:val="center"/>
                </w:tcPr>
                <w:p>
                  <w:pPr>
                    <w:pStyle w:val="34"/>
                    <w:spacing w:line="360" w:lineRule="exact"/>
                    <w:rPr>
                      <w:color w:val="auto"/>
                      <w:szCs w:val="21"/>
                    </w:rPr>
                  </w:pPr>
                  <w:r>
                    <w:rPr>
                      <w:color w:val="auto"/>
                      <w:szCs w:val="21"/>
                    </w:rPr>
                    <w:t>6-9</w:t>
                  </w:r>
                </w:p>
              </w:tc>
              <w:tc>
                <w:tcPr>
                  <w:tcW w:w="1985" w:type="dxa"/>
                  <w:vAlign w:val="center"/>
                </w:tcPr>
                <w:p>
                  <w:pPr>
                    <w:pStyle w:val="34"/>
                    <w:spacing w:line="360" w:lineRule="exact"/>
                    <w:rPr>
                      <w:color w:val="auto"/>
                      <w:szCs w:val="21"/>
                    </w:rPr>
                  </w:pPr>
                  <w:r>
                    <w:rPr>
                      <w:color w:val="auto"/>
                      <w:szCs w:val="21"/>
                    </w:rPr>
                    <w:t>≤20</w:t>
                  </w:r>
                </w:p>
              </w:tc>
              <w:tc>
                <w:tcPr>
                  <w:tcW w:w="1701" w:type="dxa"/>
                  <w:vAlign w:val="center"/>
                </w:tcPr>
                <w:p>
                  <w:pPr>
                    <w:pStyle w:val="34"/>
                    <w:spacing w:line="360" w:lineRule="exact"/>
                    <w:rPr>
                      <w:color w:val="auto"/>
                      <w:szCs w:val="21"/>
                    </w:rPr>
                  </w:pPr>
                  <w:r>
                    <w:rPr>
                      <w:color w:val="auto"/>
                      <w:szCs w:val="21"/>
                    </w:rPr>
                    <w:t>≤4</w:t>
                  </w:r>
                </w:p>
              </w:tc>
              <w:tc>
                <w:tcPr>
                  <w:tcW w:w="2026" w:type="dxa"/>
                  <w:vAlign w:val="center"/>
                </w:tcPr>
                <w:p>
                  <w:pPr>
                    <w:pStyle w:val="34"/>
                    <w:spacing w:line="360" w:lineRule="exact"/>
                    <w:rPr>
                      <w:color w:val="auto"/>
                      <w:szCs w:val="21"/>
                    </w:rPr>
                  </w:pPr>
                  <w:r>
                    <w:rPr>
                      <w:rFonts w:hint="eastAsia"/>
                      <w:color w:val="auto"/>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7" w:type="dxa"/>
                  <w:vAlign w:val="center"/>
                </w:tcPr>
                <w:p>
                  <w:pPr>
                    <w:pStyle w:val="34"/>
                    <w:spacing w:line="360" w:lineRule="exact"/>
                    <w:rPr>
                      <w:color w:val="auto"/>
                      <w:szCs w:val="21"/>
                    </w:rPr>
                  </w:pPr>
                  <w:r>
                    <w:rPr>
                      <w:color w:val="auto"/>
                      <w:szCs w:val="21"/>
                    </w:rPr>
                    <w:t>项目</w:t>
                  </w:r>
                </w:p>
              </w:tc>
              <w:tc>
                <w:tcPr>
                  <w:tcW w:w="1843" w:type="dxa"/>
                  <w:vAlign w:val="center"/>
                </w:tcPr>
                <w:p>
                  <w:pPr>
                    <w:pStyle w:val="34"/>
                    <w:spacing w:line="360" w:lineRule="exact"/>
                    <w:rPr>
                      <w:color w:val="auto"/>
                      <w:szCs w:val="21"/>
                    </w:rPr>
                  </w:pPr>
                  <w:r>
                    <w:rPr>
                      <w:color w:val="auto"/>
                      <w:szCs w:val="21"/>
                    </w:rPr>
                    <w:t>总磷</w:t>
                  </w:r>
                </w:p>
              </w:tc>
              <w:tc>
                <w:tcPr>
                  <w:tcW w:w="1985" w:type="dxa"/>
                  <w:vAlign w:val="center"/>
                </w:tcPr>
                <w:p>
                  <w:pPr>
                    <w:pStyle w:val="34"/>
                    <w:spacing w:line="360" w:lineRule="exact"/>
                    <w:rPr>
                      <w:color w:val="auto"/>
                      <w:szCs w:val="21"/>
                    </w:rPr>
                  </w:pPr>
                  <w:r>
                    <w:rPr>
                      <w:color w:val="auto"/>
                      <w:szCs w:val="21"/>
                    </w:rPr>
                    <w:t>石油类</w:t>
                  </w:r>
                </w:p>
              </w:tc>
              <w:tc>
                <w:tcPr>
                  <w:tcW w:w="1701" w:type="dxa"/>
                  <w:vAlign w:val="center"/>
                </w:tcPr>
                <w:p>
                  <w:pPr>
                    <w:pStyle w:val="34"/>
                    <w:spacing w:line="360" w:lineRule="exact"/>
                    <w:rPr>
                      <w:color w:val="auto"/>
                      <w:szCs w:val="21"/>
                    </w:rPr>
                  </w:pPr>
                  <w:r>
                    <w:rPr>
                      <w:color w:val="auto"/>
                      <w:szCs w:val="21"/>
                    </w:rPr>
                    <w:t>硒</w:t>
                  </w:r>
                </w:p>
              </w:tc>
              <w:tc>
                <w:tcPr>
                  <w:tcW w:w="2026" w:type="dxa"/>
                  <w:vAlign w:val="center"/>
                </w:tcPr>
                <w:p>
                  <w:pPr>
                    <w:pStyle w:val="34"/>
                    <w:spacing w:line="360" w:lineRule="exact"/>
                    <w:rPr>
                      <w:color w:val="auto"/>
                      <w:szCs w:val="21"/>
                    </w:rPr>
                  </w:pPr>
                  <w:r>
                    <w:rPr>
                      <w:color w:val="auto"/>
                      <w:szCs w:val="21"/>
                    </w:rPr>
                    <w:t>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4"/>
                    <w:spacing w:line="360" w:lineRule="exact"/>
                    <w:rPr>
                      <w:color w:val="auto"/>
                      <w:szCs w:val="21"/>
                    </w:rPr>
                  </w:pPr>
                  <w:r>
                    <w:rPr>
                      <w:color w:val="auto"/>
                      <w:szCs w:val="21"/>
                    </w:rPr>
                    <w:t>III类</w:t>
                  </w:r>
                </w:p>
              </w:tc>
              <w:tc>
                <w:tcPr>
                  <w:tcW w:w="1843" w:type="dxa"/>
                  <w:vAlign w:val="center"/>
                </w:tcPr>
                <w:p>
                  <w:pPr>
                    <w:pStyle w:val="34"/>
                    <w:spacing w:line="360" w:lineRule="exact"/>
                    <w:rPr>
                      <w:color w:val="auto"/>
                      <w:szCs w:val="21"/>
                    </w:rPr>
                  </w:pPr>
                  <w:r>
                    <w:rPr>
                      <w:color w:val="auto"/>
                      <w:szCs w:val="21"/>
                    </w:rPr>
                    <w:t>≤0.2</w:t>
                  </w:r>
                </w:p>
              </w:tc>
              <w:tc>
                <w:tcPr>
                  <w:tcW w:w="1985" w:type="dxa"/>
                  <w:vAlign w:val="center"/>
                </w:tcPr>
                <w:p>
                  <w:pPr>
                    <w:pStyle w:val="34"/>
                    <w:spacing w:line="360" w:lineRule="exact"/>
                    <w:rPr>
                      <w:color w:val="auto"/>
                      <w:szCs w:val="21"/>
                    </w:rPr>
                  </w:pPr>
                  <w:r>
                    <w:rPr>
                      <w:color w:val="auto"/>
                      <w:szCs w:val="21"/>
                    </w:rPr>
                    <w:t>≤0.05</w:t>
                  </w:r>
                </w:p>
              </w:tc>
              <w:tc>
                <w:tcPr>
                  <w:tcW w:w="1701" w:type="dxa"/>
                  <w:vAlign w:val="center"/>
                </w:tcPr>
                <w:p>
                  <w:pPr>
                    <w:pStyle w:val="34"/>
                    <w:spacing w:line="360" w:lineRule="exact"/>
                    <w:rPr>
                      <w:color w:val="auto"/>
                      <w:szCs w:val="21"/>
                    </w:rPr>
                  </w:pPr>
                  <w:r>
                    <w:rPr>
                      <w:color w:val="auto"/>
                      <w:szCs w:val="21"/>
                    </w:rPr>
                    <w:t>≤0.</w:t>
                  </w:r>
                  <w:r>
                    <w:rPr>
                      <w:rFonts w:hint="eastAsia"/>
                      <w:color w:val="auto"/>
                      <w:szCs w:val="21"/>
                    </w:rPr>
                    <w:t>01</w:t>
                  </w:r>
                </w:p>
              </w:tc>
              <w:tc>
                <w:tcPr>
                  <w:tcW w:w="2026" w:type="dxa"/>
                  <w:vAlign w:val="center"/>
                </w:tcPr>
                <w:p>
                  <w:pPr>
                    <w:pStyle w:val="34"/>
                    <w:spacing w:line="360" w:lineRule="exact"/>
                    <w:rPr>
                      <w:color w:val="auto"/>
                      <w:szCs w:val="21"/>
                    </w:rPr>
                  </w:pPr>
                  <w:r>
                    <w:rPr>
                      <w:color w:val="auto"/>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7" w:type="dxa"/>
                  <w:vAlign w:val="center"/>
                </w:tcPr>
                <w:p>
                  <w:pPr>
                    <w:pStyle w:val="34"/>
                    <w:spacing w:line="360" w:lineRule="exact"/>
                    <w:rPr>
                      <w:color w:val="auto"/>
                      <w:szCs w:val="21"/>
                    </w:rPr>
                  </w:pPr>
                  <w:r>
                    <w:rPr>
                      <w:color w:val="auto"/>
                      <w:szCs w:val="21"/>
                    </w:rPr>
                    <w:t>项目</w:t>
                  </w:r>
                </w:p>
              </w:tc>
              <w:tc>
                <w:tcPr>
                  <w:tcW w:w="1843" w:type="dxa"/>
                  <w:vAlign w:val="center"/>
                </w:tcPr>
                <w:p>
                  <w:pPr>
                    <w:pStyle w:val="34"/>
                    <w:spacing w:line="360" w:lineRule="exact"/>
                    <w:rPr>
                      <w:color w:val="auto"/>
                      <w:szCs w:val="21"/>
                    </w:rPr>
                  </w:pPr>
                  <w:r>
                    <w:rPr>
                      <w:color w:val="auto"/>
                      <w:szCs w:val="21"/>
                    </w:rPr>
                    <w:t>Hg</w:t>
                  </w:r>
                </w:p>
              </w:tc>
              <w:tc>
                <w:tcPr>
                  <w:tcW w:w="1985" w:type="dxa"/>
                  <w:vAlign w:val="center"/>
                </w:tcPr>
                <w:p>
                  <w:pPr>
                    <w:pStyle w:val="34"/>
                    <w:spacing w:line="360" w:lineRule="exact"/>
                    <w:rPr>
                      <w:color w:val="auto"/>
                      <w:szCs w:val="21"/>
                    </w:rPr>
                  </w:pPr>
                  <w:r>
                    <w:rPr>
                      <w:color w:val="auto"/>
                      <w:szCs w:val="21"/>
                    </w:rPr>
                    <w:t>六价铬</w:t>
                  </w:r>
                </w:p>
              </w:tc>
              <w:tc>
                <w:tcPr>
                  <w:tcW w:w="1701" w:type="dxa"/>
                  <w:vAlign w:val="center"/>
                </w:tcPr>
                <w:p>
                  <w:pPr>
                    <w:pStyle w:val="34"/>
                    <w:spacing w:line="360" w:lineRule="exact"/>
                    <w:rPr>
                      <w:color w:val="auto"/>
                      <w:szCs w:val="21"/>
                    </w:rPr>
                  </w:pPr>
                  <w:r>
                    <w:rPr>
                      <w:color w:val="auto"/>
                      <w:szCs w:val="21"/>
                    </w:rPr>
                    <w:t>Cu</w:t>
                  </w:r>
                </w:p>
              </w:tc>
              <w:tc>
                <w:tcPr>
                  <w:tcW w:w="2026" w:type="dxa"/>
                  <w:vAlign w:val="center"/>
                </w:tcPr>
                <w:p>
                  <w:pPr>
                    <w:pStyle w:val="34"/>
                    <w:spacing w:line="360" w:lineRule="exact"/>
                    <w:rPr>
                      <w:color w:val="auto"/>
                      <w:szCs w:val="21"/>
                    </w:rPr>
                  </w:pPr>
                  <w:r>
                    <w:rPr>
                      <w:color w:val="auto"/>
                      <w:szCs w:val="21"/>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7" w:type="dxa"/>
                  <w:vAlign w:val="center"/>
                </w:tcPr>
                <w:p>
                  <w:pPr>
                    <w:pStyle w:val="34"/>
                    <w:spacing w:line="360" w:lineRule="exact"/>
                    <w:rPr>
                      <w:color w:val="auto"/>
                      <w:szCs w:val="21"/>
                    </w:rPr>
                  </w:pPr>
                  <w:r>
                    <w:rPr>
                      <w:color w:val="auto"/>
                      <w:szCs w:val="21"/>
                    </w:rPr>
                    <w:t>III类</w:t>
                  </w:r>
                </w:p>
              </w:tc>
              <w:tc>
                <w:tcPr>
                  <w:tcW w:w="1843" w:type="dxa"/>
                  <w:vAlign w:val="center"/>
                </w:tcPr>
                <w:p>
                  <w:pPr>
                    <w:pStyle w:val="34"/>
                    <w:spacing w:line="360" w:lineRule="exact"/>
                    <w:rPr>
                      <w:color w:val="auto"/>
                      <w:szCs w:val="21"/>
                    </w:rPr>
                  </w:pPr>
                  <w:r>
                    <w:rPr>
                      <w:color w:val="auto"/>
                      <w:szCs w:val="21"/>
                    </w:rPr>
                    <w:t>≤0.0001</w:t>
                  </w:r>
                </w:p>
              </w:tc>
              <w:tc>
                <w:tcPr>
                  <w:tcW w:w="1985" w:type="dxa"/>
                  <w:vAlign w:val="center"/>
                </w:tcPr>
                <w:p>
                  <w:pPr>
                    <w:pStyle w:val="34"/>
                    <w:spacing w:line="360" w:lineRule="exact"/>
                    <w:rPr>
                      <w:color w:val="auto"/>
                      <w:szCs w:val="21"/>
                    </w:rPr>
                  </w:pPr>
                  <w:r>
                    <w:rPr>
                      <w:color w:val="auto"/>
                      <w:szCs w:val="21"/>
                    </w:rPr>
                    <w:t>≤0.05</w:t>
                  </w:r>
                </w:p>
              </w:tc>
              <w:tc>
                <w:tcPr>
                  <w:tcW w:w="1701" w:type="dxa"/>
                  <w:vAlign w:val="center"/>
                </w:tcPr>
                <w:p>
                  <w:pPr>
                    <w:pStyle w:val="34"/>
                    <w:spacing w:line="360" w:lineRule="exact"/>
                    <w:rPr>
                      <w:color w:val="auto"/>
                      <w:szCs w:val="21"/>
                    </w:rPr>
                  </w:pPr>
                  <w:r>
                    <w:rPr>
                      <w:color w:val="auto"/>
                      <w:szCs w:val="21"/>
                    </w:rPr>
                    <w:t>≤1.0</w:t>
                  </w:r>
                </w:p>
              </w:tc>
              <w:tc>
                <w:tcPr>
                  <w:tcW w:w="2026" w:type="dxa"/>
                  <w:vAlign w:val="center"/>
                </w:tcPr>
                <w:p>
                  <w:pPr>
                    <w:pStyle w:val="34"/>
                    <w:spacing w:line="360" w:lineRule="exact"/>
                    <w:rPr>
                      <w:color w:val="auto"/>
                      <w:szCs w:val="21"/>
                    </w:rPr>
                  </w:pPr>
                  <w:r>
                    <w:rPr>
                      <w:color w:val="auto"/>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7" w:type="dxa"/>
                  <w:vAlign w:val="center"/>
                </w:tcPr>
                <w:p>
                  <w:pPr>
                    <w:pStyle w:val="34"/>
                    <w:spacing w:line="360" w:lineRule="exact"/>
                    <w:rPr>
                      <w:color w:val="auto"/>
                      <w:szCs w:val="21"/>
                    </w:rPr>
                  </w:pPr>
                  <w:r>
                    <w:rPr>
                      <w:color w:val="auto"/>
                      <w:szCs w:val="21"/>
                    </w:rPr>
                    <w:t>项目</w:t>
                  </w:r>
                </w:p>
              </w:tc>
              <w:tc>
                <w:tcPr>
                  <w:tcW w:w="1843" w:type="dxa"/>
                  <w:vAlign w:val="center"/>
                </w:tcPr>
                <w:p>
                  <w:pPr>
                    <w:pStyle w:val="34"/>
                    <w:spacing w:line="360" w:lineRule="exact"/>
                    <w:rPr>
                      <w:color w:val="auto"/>
                      <w:szCs w:val="21"/>
                    </w:rPr>
                  </w:pPr>
                  <w:r>
                    <w:rPr>
                      <w:color w:val="auto"/>
                      <w:szCs w:val="21"/>
                    </w:rPr>
                    <w:t>Pb</w:t>
                  </w:r>
                </w:p>
              </w:tc>
              <w:tc>
                <w:tcPr>
                  <w:tcW w:w="1985" w:type="dxa"/>
                  <w:vAlign w:val="center"/>
                </w:tcPr>
                <w:p>
                  <w:pPr>
                    <w:pStyle w:val="34"/>
                    <w:spacing w:line="360" w:lineRule="exact"/>
                    <w:rPr>
                      <w:color w:val="auto"/>
                      <w:szCs w:val="21"/>
                    </w:rPr>
                  </w:pPr>
                  <w:r>
                    <w:rPr>
                      <w:color w:val="auto"/>
                      <w:szCs w:val="21"/>
                    </w:rPr>
                    <w:t>Cd</w:t>
                  </w:r>
                </w:p>
              </w:tc>
              <w:tc>
                <w:tcPr>
                  <w:tcW w:w="1701" w:type="dxa"/>
                  <w:vAlign w:val="center"/>
                </w:tcPr>
                <w:p>
                  <w:pPr>
                    <w:pStyle w:val="34"/>
                    <w:spacing w:line="360" w:lineRule="exact"/>
                    <w:rPr>
                      <w:color w:val="auto"/>
                      <w:szCs w:val="21"/>
                    </w:rPr>
                  </w:pPr>
                  <w:r>
                    <w:rPr>
                      <w:color w:val="auto"/>
                      <w:szCs w:val="21"/>
                    </w:rPr>
                    <w:t>Zn</w:t>
                  </w:r>
                </w:p>
              </w:tc>
              <w:tc>
                <w:tcPr>
                  <w:tcW w:w="2026" w:type="dxa"/>
                  <w:vAlign w:val="center"/>
                </w:tcPr>
                <w:p>
                  <w:pPr>
                    <w:pStyle w:val="34"/>
                    <w:spacing w:line="360" w:lineRule="exact"/>
                    <w:rPr>
                      <w:color w:val="auto"/>
                      <w:szCs w:val="21"/>
                    </w:rPr>
                  </w:pPr>
                  <w:r>
                    <w:rPr>
                      <w:rFonts w:hint="eastAsia"/>
                      <w:color w:val="auto"/>
                      <w:szCs w:val="21"/>
                    </w:rPr>
                    <w:t>氰化物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4"/>
                    <w:spacing w:line="360" w:lineRule="exact"/>
                    <w:rPr>
                      <w:color w:val="auto"/>
                      <w:szCs w:val="21"/>
                    </w:rPr>
                  </w:pPr>
                  <w:r>
                    <w:rPr>
                      <w:color w:val="auto"/>
                      <w:szCs w:val="21"/>
                    </w:rPr>
                    <w:t>III类</w:t>
                  </w:r>
                </w:p>
              </w:tc>
              <w:tc>
                <w:tcPr>
                  <w:tcW w:w="1843" w:type="dxa"/>
                  <w:vAlign w:val="center"/>
                </w:tcPr>
                <w:p>
                  <w:pPr>
                    <w:pStyle w:val="34"/>
                    <w:spacing w:line="360" w:lineRule="exact"/>
                    <w:rPr>
                      <w:color w:val="auto"/>
                      <w:szCs w:val="21"/>
                    </w:rPr>
                  </w:pPr>
                  <w:r>
                    <w:rPr>
                      <w:color w:val="auto"/>
                      <w:szCs w:val="21"/>
                    </w:rPr>
                    <w:t>≤0.05</w:t>
                  </w:r>
                </w:p>
              </w:tc>
              <w:tc>
                <w:tcPr>
                  <w:tcW w:w="1985" w:type="dxa"/>
                  <w:vAlign w:val="center"/>
                </w:tcPr>
                <w:p>
                  <w:pPr>
                    <w:pStyle w:val="34"/>
                    <w:spacing w:line="360" w:lineRule="exact"/>
                    <w:rPr>
                      <w:color w:val="auto"/>
                      <w:szCs w:val="21"/>
                    </w:rPr>
                  </w:pPr>
                  <w:r>
                    <w:rPr>
                      <w:color w:val="auto"/>
                      <w:szCs w:val="21"/>
                    </w:rPr>
                    <w:t>≤0.005</w:t>
                  </w:r>
                </w:p>
              </w:tc>
              <w:tc>
                <w:tcPr>
                  <w:tcW w:w="1701" w:type="dxa"/>
                  <w:vAlign w:val="center"/>
                </w:tcPr>
                <w:p>
                  <w:pPr>
                    <w:pStyle w:val="34"/>
                    <w:spacing w:line="360" w:lineRule="exact"/>
                    <w:rPr>
                      <w:color w:val="auto"/>
                      <w:szCs w:val="21"/>
                    </w:rPr>
                  </w:pPr>
                  <w:r>
                    <w:rPr>
                      <w:color w:val="auto"/>
                      <w:szCs w:val="21"/>
                    </w:rPr>
                    <w:t>≤1.0</w:t>
                  </w:r>
                </w:p>
              </w:tc>
              <w:tc>
                <w:tcPr>
                  <w:tcW w:w="2026" w:type="dxa"/>
                  <w:vAlign w:val="center"/>
                </w:tcPr>
                <w:p>
                  <w:pPr>
                    <w:pStyle w:val="34"/>
                    <w:spacing w:line="360" w:lineRule="exact"/>
                    <w:rPr>
                      <w:color w:val="auto"/>
                      <w:szCs w:val="21"/>
                    </w:rPr>
                  </w:pPr>
                  <w:r>
                    <w:rPr>
                      <w:color w:val="auto"/>
                      <w:szCs w:val="21"/>
                    </w:rPr>
                    <w:t>≤</w:t>
                  </w:r>
                  <w:r>
                    <w:rPr>
                      <w:rFonts w:hint="eastAsia"/>
                      <w:color w:val="auto"/>
                      <w:szCs w:val="21"/>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7" w:type="dxa"/>
                  <w:vAlign w:val="center"/>
                </w:tcPr>
                <w:p>
                  <w:pPr>
                    <w:pStyle w:val="34"/>
                    <w:spacing w:line="360" w:lineRule="exact"/>
                    <w:rPr>
                      <w:color w:val="auto"/>
                      <w:szCs w:val="21"/>
                    </w:rPr>
                  </w:pPr>
                  <w:r>
                    <w:rPr>
                      <w:color w:val="auto"/>
                      <w:szCs w:val="21"/>
                    </w:rPr>
                    <w:t>项目</w:t>
                  </w:r>
                </w:p>
              </w:tc>
              <w:tc>
                <w:tcPr>
                  <w:tcW w:w="1843" w:type="dxa"/>
                  <w:vAlign w:val="center"/>
                </w:tcPr>
                <w:p>
                  <w:pPr>
                    <w:pStyle w:val="34"/>
                    <w:spacing w:line="360" w:lineRule="exact"/>
                    <w:rPr>
                      <w:color w:val="auto"/>
                      <w:szCs w:val="21"/>
                    </w:rPr>
                  </w:pPr>
                  <w:r>
                    <w:rPr>
                      <w:rFonts w:hint="eastAsia"/>
                      <w:color w:val="auto"/>
                      <w:szCs w:val="21"/>
                    </w:rPr>
                    <w:t>硫化物</w:t>
                  </w:r>
                </w:p>
              </w:tc>
              <w:tc>
                <w:tcPr>
                  <w:tcW w:w="1985" w:type="dxa"/>
                  <w:vAlign w:val="center"/>
                </w:tcPr>
                <w:p>
                  <w:pPr>
                    <w:pStyle w:val="34"/>
                    <w:spacing w:line="360" w:lineRule="exact"/>
                    <w:ind w:left="11"/>
                    <w:rPr>
                      <w:color w:val="auto"/>
                      <w:szCs w:val="21"/>
                    </w:rPr>
                  </w:pPr>
                  <w:r>
                    <w:rPr>
                      <w:color w:val="auto"/>
                      <w:szCs w:val="21"/>
                    </w:rPr>
                    <w:t>NH</w:t>
                  </w:r>
                  <w:r>
                    <w:rPr>
                      <w:color w:val="auto"/>
                      <w:szCs w:val="21"/>
                      <w:vertAlign w:val="subscript"/>
                    </w:rPr>
                    <w:t>3</w:t>
                  </w:r>
                  <w:r>
                    <w:rPr>
                      <w:color w:val="auto"/>
                      <w:szCs w:val="21"/>
                    </w:rPr>
                    <w:t>-N</w:t>
                  </w:r>
                </w:p>
              </w:tc>
              <w:tc>
                <w:tcPr>
                  <w:tcW w:w="1701" w:type="dxa"/>
                  <w:vAlign w:val="center"/>
                </w:tcPr>
                <w:p>
                  <w:pPr>
                    <w:pStyle w:val="34"/>
                    <w:spacing w:line="360" w:lineRule="exact"/>
                    <w:rPr>
                      <w:color w:val="auto"/>
                      <w:szCs w:val="21"/>
                    </w:rPr>
                  </w:pPr>
                  <w:r>
                    <w:rPr>
                      <w:color w:val="auto"/>
                      <w:szCs w:val="21"/>
                    </w:rPr>
                    <w:t>粪大肠菌群</w:t>
                  </w:r>
                </w:p>
              </w:tc>
              <w:tc>
                <w:tcPr>
                  <w:tcW w:w="2026" w:type="dxa"/>
                  <w:vAlign w:val="center"/>
                </w:tcPr>
                <w:p>
                  <w:pPr>
                    <w:pStyle w:val="34"/>
                    <w:spacing w:line="360" w:lineRule="exact"/>
                    <w:rPr>
                      <w:color w:val="auto"/>
                      <w:szCs w:val="21"/>
                    </w:rPr>
                  </w:pPr>
                  <w:r>
                    <w:rPr>
                      <w:rFonts w:hint="eastAsia"/>
                      <w:color w:val="auto"/>
                      <w:szCs w:val="21"/>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7" w:type="dxa"/>
                  <w:vAlign w:val="center"/>
                </w:tcPr>
                <w:p>
                  <w:pPr>
                    <w:pStyle w:val="34"/>
                    <w:spacing w:line="360" w:lineRule="exact"/>
                    <w:rPr>
                      <w:color w:val="auto"/>
                      <w:szCs w:val="21"/>
                    </w:rPr>
                  </w:pPr>
                  <w:r>
                    <w:rPr>
                      <w:color w:val="auto"/>
                      <w:szCs w:val="21"/>
                    </w:rPr>
                    <w:t>III类</w:t>
                  </w:r>
                </w:p>
              </w:tc>
              <w:tc>
                <w:tcPr>
                  <w:tcW w:w="1843" w:type="dxa"/>
                  <w:vAlign w:val="center"/>
                </w:tcPr>
                <w:p>
                  <w:pPr>
                    <w:pStyle w:val="34"/>
                    <w:spacing w:line="360" w:lineRule="exact"/>
                    <w:rPr>
                      <w:color w:val="auto"/>
                      <w:szCs w:val="21"/>
                    </w:rPr>
                  </w:pPr>
                  <w:r>
                    <w:rPr>
                      <w:color w:val="auto"/>
                      <w:szCs w:val="21"/>
                    </w:rPr>
                    <w:t>≤</w:t>
                  </w:r>
                  <w:r>
                    <w:rPr>
                      <w:rFonts w:hint="eastAsia"/>
                      <w:color w:val="auto"/>
                      <w:szCs w:val="21"/>
                    </w:rPr>
                    <w:t>0.2</w:t>
                  </w:r>
                </w:p>
              </w:tc>
              <w:tc>
                <w:tcPr>
                  <w:tcW w:w="1985" w:type="dxa"/>
                  <w:vAlign w:val="center"/>
                </w:tcPr>
                <w:p>
                  <w:pPr>
                    <w:pStyle w:val="34"/>
                    <w:spacing w:line="360" w:lineRule="exact"/>
                    <w:rPr>
                      <w:color w:val="auto"/>
                      <w:szCs w:val="21"/>
                    </w:rPr>
                  </w:pPr>
                  <w:r>
                    <w:rPr>
                      <w:color w:val="auto"/>
                      <w:szCs w:val="21"/>
                    </w:rPr>
                    <w:t>≤1.0</w:t>
                  </w:r>
                </w:p>
              </w:tc>
              <w:tc>
                <w:tcPr>
                  <w:tcW w:w="1701" w:type="dxa"/>
                  <w:vAlign w:val="center"/>
                </w:tcPr>
                <w:p>
                  <w:pPr>
                    <w:pStyle w:val="34"/>
                    <w:spacing w:line="360" w:lineRule="exact"/>
                    <w:rPr>
                      <w:color w:val="auto"/>
                      <w:szCs w:val="21"/>
                    </w:rPr>
                  </w:pPr>
                  <w:r>
                    <w:rPr>
                      <w:color w:val="auto"/>
                      <w:szCs w:val="21"/>
                    </w:rPr>
                    <w:t>20000个/L</w:t>
                  </w:r>
                </w:p>
              </w:tc>
              <w:tc>
                <w:tcPr>
                  <w:tcW w:w="2026" w:type="dxa"/>
                  <w:vAlign w:val="center"/>
                </w:tcPr>
                <w:p>
                  <w:pPr>
                    <w:pStyle w:val="34"/>
                    <w:spacing w:line="360" w:lineRule="exact"/>
                    <w:rPr>
                      <w:color w:val="auto"/>
                      <w:szCs w:val="21"/>
                    </w:rPr>
                  </w:pPr>
                  <w:r>
                    <w:rPr>
                      <w:color w:val="auto"/>
                      <w:szCs w:val="21"/>
                    </w:rPr>
                    <w:t>≤</w:t>
                  </w:r>
                  <w:r>
                    <w:rPr>
                      <w:rFonts w:hint="eastAsia"/>
                      <w:color w:val="auto"/>
                      <w:szCs w:val="21"/>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17" w:type="dxa"/>
                  <w:vAlign w:val="center"/>
                </w:tcPr>
                <w:p>
                  <w:pPr>
                    <w:pStyle w:val="34"/>
                    <w:spacing w:line="360" w:lineRule="exact"/>
                    <w:rPr>
                      <w:color w:val="auto"/>
                      <w:szCs w:val="21"/>
                    </w:rPr>
                  </w:pPr>
                  <w:r>
                    <w:rPr>
                      <w:color w:val="auto"/>
                      <w:szCs w:val="21"/>
                    </w:rPr>
                    <w:t>项目</w:t>
                  </w:r>
                </w:p>
              </w:tc>
              <w:tc>
                <w:tcPr>
                  <w:tcW w:w="1843" w:type="dxa"/>
                  <w:vAlign w:val="center"/>
                </w:tcPr>
                <w:p>
                  <w:pPr>
                    <w:pStyle w:val="34"/>
                    <w:spacing w:line="360" w:lineRule="exact"/>
                    <w:rPr>
                      <w:color w:val="auto"/>
                      <w:szCs w:val="21"/>
                    </w:rPr>
                  </w:pPr>
                  <w:r>
                    <w:rPr>
                      <w:rFonts w:hint="eastAsia"/>
                      <w:color w:val="auto"/>
                      <w:szCs w:val="21"/>
                    </w:rPr>
                    <w:t>铁</w:t>
                  </w:r>
                </w:p>
              </w:tc>
              <w:tc>
                <w:tcPr>
                  <w:tcW w:w="1985" w:type="dxa"/>
                  <w:vAlign w:val="center"/>
                </w:tcPr>
                <w:p>
                  <w:pPr>
                    <w:pStyle w:val="34"/>
                    <w:spacing w:line="360" w:lineRule="exact"/>
                    <w:rPr>
                      <w:color w:val="auto"/>
                      <w:szCs w:val="21"/>
                    </w:rPr>
                  </w:pPr>
                  <w:r>
                    <w:rPr>
                      <w:rFonts w:hint="eastAsia"/>
                      <w:color w:val="auto"/>
                      <w:szCs w:val="21"/>
                    </w:rPr>
                    <w:t>锰</w:t>
                  </w:r>
                </w:p>
              </w:tc>
              <w:tc>
                <w:tcPr>
                  <w:tcW w:w="1701" w:type="dxa"/>
                  <w:vAlign w:val="center"/>
                </w:tcPr>
                <w:p>
                  <w:pPr>
                    <w:pStyle w:val="34"/>
                    <w:spacing w:line="360" w:lineRule="exact"/>
                    <w:rPr>
                      <w:color w:val="auto"/>
                      <w:szCs w:val="21"/>
                    </w:rPr>
                  </w:pPr>
                  <w:r>
                    <w:rPr>
                      <w:rFonts w:hint="eastAsia"/>
                      <w:color w:val="auto"/>
                      <w:szCs w:val="21"/>
                    </w:rPr>
                    <w:t>--</w:t>
                  </w:r>
                </w:p>
              </w:tc>
              <w:tc>
                <w:tcPr>
                  <w:tcW w:w="2026" w:type="dxa"/>
                  <w:vAlign w:val="center"/>
                </w:tcPr>
                <w:p>
                  <w:pPr>
                    <w:pStyle w:val="34"/>
                    <w:spacing w:line="360" w:lineRule="exact"/>
                    <w:rPr>
                      <w:color w:val="auto"/>
                      <w:szCs w:val="21"/>
                    </w:rPr>
                  </w:pPr>
                  <w:r>
                    <w:rPr>
                      <w:rFonts w:hint="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4"/>
                    <w:spacing w:line="360" w:lineRule="exact"/>
                    <w:rPr>
                      <w:color w:val="auto"/>
                      <w:szCs w:val="21"/>
                    </w:rPr>
                  </w:pPr>
                  <w:r>
                    <w:rPr>
                      <w:color w:val="auto"/>
                      <w:szCs w:val="21"/>
                    </w:rPr>
                    <w:t>III类</w:t>
                  </w:r>
                </w:p>
              </w:tc>
              <w:tc>
                <w:tcPr>
                  <w:tcW w:w="1843" w:type="dxa"/>
                  <w:vAlign w:val="center"/>
                </w:tcPr>
                <w:p>
                  <w:pPr>
                    <w:pStyle w:val="34"/>
                    <w:spacing w:line="360" w:lineRule="exact"/>
                    <w:rPr>
                      <w:color w:val="auto"/>
                      <w:szCs w:val="21"/>
                    </w:rPr>
                  </w:pPr>
                  <w:r>
                    <w:rPr>
                      <w:color w:val="auto"/>
                      <w:szCs w:val="21"/>
                    </w:rPr>
                    <w:t>≤</w:t>
                  </w:r>
                  <w:r>
                    <w:rPr>
                      <w:rFonts w:hint="eastAsia"/>
                      <w:color w:val="auto"/>
                      <w:szCs w:val="21"/>
                    </w:rPr>
                    <w:t>0.3</w:t>
                  </w:r>
                </w:p>
              </w:tc>
              <w:tc>
                <w:tcPr>
                  <w:tcW w:w="1985" w:type="dxa"/>
                  <w:vAlign w:val="center"/>
                </w:tcPr>
                <w:p>
                  <w:pPr>
                    <w:pStyle w:val="34"/>
                    <w:spacing w:line="360" w:lineRule="exact"/>
                    <w:rPr>
                      <w:color w:val="auto"/>
                      <w:szCs w:val="21"/>
                    </w:rPr>
                  </w:pPr>
                  <w:r>
                    <w:rPr>
                      <w:color w:val="auto"/>
                      <w:szCs w:val="21"/>
                    </w:rPr>
                    <w:t>≤</w:t>
                  </w:r>
                  <w:r>
                    <w:rPr>
                      <w:rFonts w:hint="eastAsia"/>
                      <w:color w:val="auto"/>
                      <w:szCs w:val="21"/>
                    </w:rPr>
                    <w:t>0.1</w:t>
                  </w:r>
                </w:p>
              </w:tc>
              <w:tc>
                <w:tcPr>
                  <w:tcW w:w="1701" w:type="dxa"/>
                  <w:vAlign w:val="center"/>
                </w:tcPr>
                <w:p>
                  <w:pPr>
                    <w:pStyle w:val="34"/>
                    <w:spacing w:line="360" w:lineRule="exact"/>
                    <w:rPr>
                      <w:color w:val="auto"/>
                      <w:szCs w:val="21"/>
                    </w:rPr>
                  </w:pPr>
                  <w:r>
                    <w:rPr>
                      <w:rFonts w:hint="eastAsia"/>
                      <w:color w:val="auto"/>
                      <w:szCs w:val="21"/>
                    </w:rPr>
                    <w:t>--</w:t>
                  </w:r>
                </w:p>
              </w:tc>
              <w:tc>
                <w:tcPr>
                  <w:tcW w:w="2026" w:type="dxa"/>
                  <w:vAlign w:val="center"/>
                </w:tcPr>
                <w:p>
                  <w:pPr>
                    <w:pStyle w:val="34"/>
                    <w:spacing w:line="360" w:lineRule="exact"/>
                    <w:rPr>
                      <w:color w:val="auto"/>
                      <w:szCs w:val="21"/>
                    </w:rPr>
                  </w:pPr>
                  <w:r>
                    <w:rPr>
                      <w:rFonts w:hint="eastAsia"/>
                      <w:color w:val="auto"/>
                      <w:szCs w:val="21"/>
                    </w:rPr>
                    <w:t>--</w:t>
                  </w:r>
                </w:p>
              </w:tc>
            </w:tr>
          </w:tbl>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 xml:space="preserve">3.9.3 </w:t>
            </w:r>
            <w:r>
              <w:rPr>
                <w:rFonts w:ascii="Times New Roman" w:hAnsi="Times New Roman" w:cs="Times New Roman"/>
                <w:b/>
                <w:sz w:val="24"/>
                <w:szCs w:val="24"/>
              </w:rPr>
              <w:t>声环境质量标准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该项目位于</w:t>
            </w:r>
            <w:r>
              <w:rPr>
                <w:rFonts w:hint="eastAsia" w:ascii="Times New Roman" w:hAnsi="Times New Roman" w:cs="Times New Roman"/>
                <w:sz w:val="24"/>
                <w:szCs w:val="24"/>
              </w:rPr>
              <w:t>东川区拖布卡镇象鼻村</w:t>
            </w:r>
            <w:r>
              <w:rPr>
                <w:rFonts w:ascii="Times New Roman" w:hAnsi="Times New Roman" w:cs="Times New Roman"/>
                <w:sz w:val="24"/>
                <w:szCs w:val="24"/>
              </w:rPr>
              <w:t>，属于2类</w:t>
            </w:r>
            <w:r>
              <w:rPr>
                <w:rFonts w:hint="eastAsia" w:ascii="Times New Roman" w:hAnsi="Times New Roman" w:cs="Times New Roman"/>
                <w:sz w:val="24"/>
                <w:szCs w:val="24"/>
              </w:rPr>
              <w:t>声功能</w:t>
            </w:r>
            <w:r>
              <w:rPr>
                <w:rFonts w:ascii="Times New Roman" w:hAnsi="Times New Roman" w:cs="Times New Roman"/>
                <w:sz w:val="24"/>
                <w:szCs w:val="24"/>
              </w:rPr>
              <w:t>区，执行《声环境质量标准》（GB</w:t>
            </w:r>
            <w:r>
              <w:rPr>
                <w:rFonts w:hint="eastAsia" w:ascii="Times New Roman" w:hAnsi="Times New Roman" w:cs="Times New Roman"/>
                <w:sz w:val="24"/>
                <w:szCs w:val="24"/>
                <w:lang w:eastAsia="zh-CN"/>
              </w:rPr>
              <w:t>****</w:t>
            </w:r>
            <w:r>
              <w:rPr>
                <w:rFonts w:ascii="Times New Roman" w:hAnsi="Times New Roman" w:cs="Times New Roman"/>
                <w:sz w:val="24"/>
                <w:szCs w:val="24"/>
              </w:rPr>
              <w:t>-2008）2类标准，环境标准值如下表。</w:t>
            </w:r>
          </w:p>
          <w:p>
            <w:pPr>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3.9.3-1</w:t>
            </w:r>
            <w:r>
              <w:rPr>
                <w:rFonts w:ascii="Times New Roman" w:hAnsi="Times New Roman" w:eastAsia="宋体" w:cs="Times New Roman"/>
                <w:b/>
              </w:rPr>
              <w:t xml:space="preserve">  声环境质量标准限值  单位：dB（A）</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344"/>
              <w:gridCol w:w="2386"/>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930" w:type="pct"/>
                  <w:gridSpan w:val="2"/>
                  <w:vMerge w:val="restart"/>
                  <w:vAlign w:val="center"/>
                </w:tcPr>
                <w:p>
                  <w:pPr>
                    <w:pStyle w:val="34"/>
                    <w:spacing w:line="360" w:lineRule="exact"/>
                    <w:rPr>
                      <w:color w:val="auto"/>
                      <w:szCs w:val="21"/>
                    </w:rPr>
                  </w:pPr>
                  <w:r>
                    <w:rPr>
                      <w:color w:val="auto"/>
                      <w:szCs w:val="21"/>
                    </w:rPr>
                    <w:t>声环境功能区类别</w:t>
                  </w:r>
                </w:p>
              </w:tc>
              <w:tc>
                <w:tcPr>
                  <w:tcW w:w="3070" w:type="pct"/>
                  <w:gridSpan w:val="2"/>
                  <w:vAlign w:val="center"/>
                </w:tcPr>
                <w:p>
                  <w:pPr>
                    <w:pStyle w:val="34"/>
                    <w:spacing w:line="360" w:lineRule="exact"/>
                    <w:rPr>
                      <w:color w:val="auto"/>
                      <w:szCs w:val="21"/>
                    </w:rPr>
                  </w:pPr>
                  <w:r>
                    <w:rPr>
                      <w:color w:val="auto"/>
                      <w:szCs w:val="21"/>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30" w:type="pct"/>
                  <w:gridSpan w:val="2"/>
                  <w:vMerge w:val="continue"/>
                  <w:vAlign w:val="center"/>
                </w:tcPr>
                <w:p>
                  <w:pPr>
                    <w:pStyle w:val="34"/>
                    <w:spacing w:line="360" w:lineRule="exact"/>
                    <w:rPr>
                      <w:color w:val="auto"/>
                      <w:szCs w:val="21"/>
                    </w:rPr>
                  </w:pPr>
                </w:p>
              </w:tc>
              <w:tc>
                <w:tcPr>
                  <w:tcW w:w="1387" w:type="pct"/>
                  <w:vAlign w:val="center"/>
                </w:tcPr>
                <w:p>
                  <w:pPr>
                    <w:pStyle w:val="34"/>
                    <w:spacing w:line="360" w:lineRule="exact"/>
                    <w:rPr>
                      <w:color w:val="auto"/>
                      <w:szCs w:val="21"/>
                    </w:rPr>
                  </w:pPr>
                  <w:r>
                    <w:rPr>
                      <w:color w:val="auto"/>
                      <w:szCs w:val="21"/>
                    </w:rPr>
                    <w:t>昼间</w:t>
                  </w:r>
                </w:p>
              </w:tc>
              <w:tc>
                <w:tcPr>
                  <w:tcW w:w="1683" w:type="pct"/>
                  <w:vAlign w:val="center"/>
                </w:tcPr>
                <w:p>
                  <w:pPr>
                    <w:pStyle w:val="34"/>
                    <w:spacing w:line="360" w:lineRule="exact"/>
                    <w:rPr>
                      <w:color w:val="auto"/>
                      <w:szCs w:val="21"/>
                    </w:rPr>
                  </w:pPr>
                  <w:r>
                    <w:rPr>
                      <w:color w:val="auto"/>
                      <w:szCs w:val="21"/>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49" w:type="pct"/>
                  <w:vAlign w:val="center"/>
                </w:tcPr>
                <w:p>
                  <w:pPr>
                    <w:pStyle w:val="34"/>
                    <w:spacing w:line="360" w:lineRule="exact"/>
                    <w:rPr>
                      <w:color w:val="auto"/>
                      <w:szCs w:val="21"/>
                    </w:rPr>
                  </w:pPr>
                  <w:r>
                    <w:rPr>
                      <w:color w:val="auto"/>
                      <w:szCs w:val="21"/>
                    </w:rPr>
                    <w:t>项目区域</w:t>
                  </w:r>
                </w:p>
              </w:tc>
              <w:tc>
                <w:tcPr>
                  <w:tcW w:w="781" w:type="pct"/>
                  <w:vAlign w:val="center"/>
                </w:tcPr>
                <w:p>
                  <w:pPr>
                    <w:pStyle w:val="34"/>
                    <w:spacing w:line="360" w:lineRule="exact"/>
                    <w:rPr>
                      <w:color w:val="auto"/>
                      <w:szCs w:val="21"/>
                    </w:rPr>
                  </w:pPr>
                  <w:r>
                    <w:rPr>
                      <w:color w:val="auto"/>
                      <w:szCs w:val="21"/>
                    </w:rPr>
                    <w:t>2类</w:t>
                  </w:r>
                </w:p>
              </w:tc>
              <w:tc>
                <w:tcPr>
                  <w:tcW w:w="1387" w:type="pct"/>
                  <w:vAlign w:val="center"/>
                </w:tcPr>
                <w:p>
                  <w:pPr>
                    <w:pStyle w:val="34"/>
                    <w:spacing w:line="360" w:lineRule="exact"/>
                    <w:rPr>
                      <w:color w:val="auto"/>
                      <w:szCs w:val="21"/>
                    </w:rPr>
                  </w:pPr>
                  <w:r>
                    <w:rPr>
                      <w:color w:val="auto"/>
                      <w:szCs w:val="21"/>
                    </w:rPr>
                    <w:t>60</w:t>
                  </w:r>
                </w:p>
              </w:tc>
              <w:tc>
                <w:tcPr>
                  <w:tcW w:w="1683" w:type="pct"/>
                  <w:vAlign w:val="center"/>
                </w:tcPr>
                <w:p>
                  <w:pPr>
                    <w:pStyle w:val="34"/>
                    <w:spacing w:line="360" w:lineRule="exact"/>
                    <w:rPr>
                      <w:color w:val="auto"/>
                      <w:szCs w:val="21"/>
                    </w:rPr>
                  </w:pPr>
                  <w:r>
                    <w:rPr>
                      <w:color w:val="auto"/>
                      <w:szCs w:val="21"/>
                    </w:rPr>
                    <w:t>50</w:t>
                  </w:r>
                </w:p>
              </w:tc>
            </w:tr>
          </w:tbl>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 xml:space="preserve">3.10 </w:t>
            </w:r>
            <w:r>
              <w:rPr>
                <w:rFonts w:ascii="Times New Roman" w:hAnsi="Times New Roman" w:cs="Times New Roman"/>
                <w:b/>
                <w:sz w:val="24"/>
                <w:szCs w:val="24"/>
              </w:rPr>
              <w:t>污染物排放标准</w:t>
            </w:r>
          </w:p>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 xml:space="preserve">3.10.1 </w:t>
            </w:r>
            <w:r>
              <w:rPr>
                <w:rFonts w:ascii="Times New Roman" w:hAnsi="Times New Roman" w:cs="Times New Roman"/>
                <w:b/>
                <w:sz w:val="24"/>
                <w:szCs w:val="24"/>
              </w:rPr>
              <w:t>大气污染物排放标准</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项目为</w:t>
            </w:r>
            <w:r>
              <w:rPr>
                <w:rFonts w:hint="eastAsia" w:hAnsi="Times New Roman"/>
                <w:color w:val="auto"/>
              </w:rPr>
              <w:t>引水</w:t>
            </w:r>
            <w:r>
              <w:rPr>
                <w:rFonts w:ascii="Times New Roman" w:hAnsi="Times New Roman" w:cs="Times New Roman"/>
                <w:color w:val="auto"/>
                <w:kern w:val="2"/>
              </w:rPr>
              <w:t>工程项目，依靠光伏发电带动水泵抽水，项目运营期间无废气排放。</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项目施工期执行《大气污染物综合排放标准》（GB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-1996）表2无组织排放监测浓度限值。标准值详见下表。</w:t>
            </w:r>
          </w:p>
          <w:p>
            <w:pPr>
              <w:jc w:val="center"/>
              <w:rPr>
                <w:rFonts w:ascii="Times New Roman" w:hAnsi="Times New Roman" w:eastAsia="宋体" w:cs="Times New Roman"/>
                <w:b/>
              </w:rPr>
            </w:pPr>
            <w:r>
              <w:rPr>
                <w:rFonts w:ascii="Times New Roman" w:hAnsi="Times New Roman" w:eastAsia="宋体" w:cs="Times New Roman"/>
                <w:b/>
              </w:rPr>
              <w:t>表</w:t>
            </w:r>
            <w:r>
              <w:rPr>
                <w:rFonts w:hint="eastAsia" w:ascii="Times New Roman" w:hAnsi="Times New Roman" w:eastAsia="宋体" w:cs="Times New Roman"/>
                <w:b/>
              </w:rPr>
              <w:t>3.10.1</w:t>
            </w:r>
            <w:r>
              <w:rPr>
                <w:rFonts w:ascii="Times New Roman" w:hAnsi="Times New Roman" w:eastAsia="宋体" w:cs="Times New Roman"/>
                <w:b/>
              </w:rPr>
              <w:t>-1 大气污染物综合排放标准排放限值   单位mg/Nm³</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636" w:type="dxa"/>
                  <w:vAlign w:val="center"/>
                </w:tcPr>
                <w:p>
                  <w:pPr>
                    <w:pStyle w:val="34"/>
                    <w:spacing w:line="360" w:lineRule="exact"/>
                    <w:rPr>
                      <w:color w:val="auto"/>
                      <w:szCs w:val="21"/>
                    </w:rPr>
                  </w:pPr>
                  <w:r>
                    <w:rPr>
                      <w:color w:val="auto"/>
                      <w:szCs w:val="21"/>
                    </w:rPr>
                    <w:t>项目</w:t>
                  </w:r>
                </w:p>
              </w:tc>
              <w:tc>
                <w:tcPr>
                  <w:tcW w:w="4436" w:type="dxa"/>
                  <w:vAlign w:val="center"/>
                </w:tcPr>
                <w:p>
                  <w:pPr>
                    <w:pStyle w:val="34"/>
                    <w:spacing w:line="360" w:lineRule="exact"/>
                    <w:rPr>
                      <w:color w:val="auto"/>
                      <w:szCs w:val="21"/>
                    </w:rPr>
                  </w:pPr>
                  <w:r>
                    <w:rPr>
                      <w:color w:val="auto"/>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6" w:type="dxa"/>
                  <w:vAlign w:val="center"/>
                </w:tcPr>
                <w:p>
                  <w:pPr>
                    <w:pStyle w:val="34"/>
                    <w:spacing w:line="360" w:lineRule="exact"/>
                    <w:rPr>
                      <w:color w:val="auto"/>
                      <w:szCs w:val="21"/>
                    </w:rPr>
                  </w:pPr>
                  <w:r>
                    <w:rPr>
                      <w:color w:val="auto"/>
                      <w:szCs w:val="21"/>
                    </w:rPr>
                    <w:t>颗粒物</w:t>
                  </w:r>
                </w:p>
              </w:tc>
              <w:tc>
                <w:tcPr>
                  <w:tcW w:w="4436" w:type="dxa"/>
                  <w:vAlign w:val="center"/>
                </w:tcPr>
                <w:p>
                  <w:pPr>
                    <w:pStyle w:val="34"/>
                    <w:spacing w:line="360" w:lineRule="exact"/>
                    <w:rPr>
                      <w:color w:val="auto"/>
                      <w:szCs w:val="21"/>
                    </w:rPr>
                  </w:pPr>
                  <w:r>
                    <w:rPr>
                      <w:color w:val="auto"/>
                      <w:szCs w:val="21"/>
                    </w:rPr>
                    <w:t>≤1.0</w:t>
                  </w:r>
                </w:p>
              </w:tc>
            </w:tr>
          </w:tbl>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 xml:space="preserve">3.10.2 </w:t>
            </w:r>
            <w:r>
              <w:rPr>
                <w:rFonts w:ascii="Times New Roman" w:hAnsi="Times New Roman" w:cs="Times New Roman"/>
                <w:b/>
                <w:sz w:val="24"/>
                <w:szCs w:val="24"/>
              </w:rPr>
              <w:t>废水排放标准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项目施工期产生的施工废水回用于洒水抑尘，不外排</w:t>
            </w:r>
            <w:r>
              <w:rPr>
                <w:rFonts w:hint="eastAsia" w:ascii="Times New Roman" w:hAnsi="Times New Roman" w:cs="Times New Roman"/>
                <w:sz w:val="24"/>
                <w:szCs w:val="24"/>
              </w:rPr>
              <w:t>。运营期产生的废水达到</w:t>
            </w:r>
            <w:r>
              <w:rPr>
                <w:sz w:val="24"/>
              </w:rPr>
              <w:t>《城市污水再生利用 城市杂用水水质》（GB/T</w:t>
            </w:r>
            <w:r>
              <w:rPr>
                <w:rFonts w:hint="eastAsia"/>
                <w:sz w:val="24"/>
                <w:lang w:eastAsia="zh-CN"/>
              </w:rPr>
              <w:t>*****</w:t>
            </w:r>
            <w:r>
              <w:rPr>
                <w:sz w:val="24"/>
              </w:rPr>
              <w:t>-2020）城市绿化标准回用于</w:t>
            </w:r>
            <w:r>
              <w:rPr>
                <w:rFonts w:hint="eastAsia"/>
                <w:sz w:val="24"/>
              </w:rPr>
              <w:t>洒水抑尘。</w:t>
            </w:r>
            <w:r>
              <w:rPr>
                <w:sz w:val="24"/>
              </w:rPr>
              <w:t>标准限值详见下表。</w:t>
            </w:r>
          </w:p>
          <w:p>
            <w:pPr>
              <w:jc w:val="center"/>
              <w:rPr>
                <w:rFonts w:ascii="Times New Roman" w:hAnsi="Times New Roman" w:eastAsia="宋体" w:cs="Times New Roman"/>
                <w:b/>
              </w:rPr>
            </w:pPr>
            <w:r>
              <w:rPr>
                <w:rFonts w:ascii="Times New Roman" w:hAnsi="Times New Roman" w:eastAsia="宋体" w:cs="Times New Roman"/>
                <w:b/>
              </w:rPr>
              <w:t>表3</w:t>
            </w:r>
            <w:r>
              <w:rPr>
                <w:rFonts w:hint="eastAsia" w:ascii="Times New Roman" w:hAnsi="Times New Roman" w:eastAsia="宋体" w:cs="Times New Roman"/>
                <w:b/>
              </w:rPr>
              <w:t>.10.2</w:t>
            </w:r>
            <w:r>
              <w:rPr>
                <w:rFonts w:ascii="Times New Roman" w:hAnsi="Times New Roman" w:eastAsia="宋体" w:cs="Times New Roman"/>
                <w:b/>
              </w:rPr>
              <w:t xml:space="preserve">-1  </w:t>
            </w:r>
            <w:r>
              <w:rPr>
                <w:rFonts w:hint="eastAsia" w:ascii="Times New Roman" w:hAnsi="Times New Roman" w:eastAsia="宋体" w:cs="Times New Roman"/>
                <w:b/>
              </w:rPr>
              <w:t>《城市污水再生利用 城市杂用水水质》城市绿化标准</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4073"/>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序号</w:t>
                  </w:r>
                </w:p>
              </w:tc>
              <w:tc>
                <w:tcPr>
                  <w:tcW w:w="2366" w:type="pct"/>
                  <w:vAlign w:val="center"/>
                </w:tcPr>
                <w:p>
                  <w:pPr>
                    <w:pStyle w:val="34"/>
                    <w:spacing w:line="360" w:lineRule="exact"/>
                    <w:rPr>
                      <w:color w:val="auto"/>
                      <w:szCs w:val="21"/>
                    </w:rPr>
                  </w:pPr>
                  <w:r>
                    <w:rPr>
                      <w:color w:val="auto"/>
                      <w:szCs w:val="21"/>
                    </w:rPr>
                    <w:t>项目</w:t>
                  </w:r>
                </w:p>
              </w:tc>
              <w:tc>
                <w:tcPr>
                  <w:tcW w:w="1655" w:type="pct"/>
                  <w:vAlign w:val="center"/>
                </w:tcPr>
                <w:p>
                  <w:pPr>
                    <w:pStyle w:val="34"/>
                    <w:spacing w:line="360" w:lineRule="exact"/>
                    <w:rPr>
                      <w:color w:val="auto"/>
                      <w:szCs w:val="21"/>
                    </w:rPr>
                  </w:pPr>
                  <w:r>
                    <w:rPr>
                      <w:color w:val="auto"/>
                      <w:szCs w:val="21"/>
                    </w:rPr>
                    <w:t>城市绿化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1</w:t>
                  </w:r>
                </w:p>
              </w:tc>
              <w:tc>
                <w:tcPr>
                  <w:tcW w:w="2366" w:type="pct"/>
                  <w:vAlign w:val="center"/>
                </w:tcPr>
                <w:p>
                  <w:pPr>
                    <w:pStyle w:val="34"/>
                    <w:spacing w:line="360" w:lineRule="exact"/>
                    <w:rPr>
                      <w:color w:val="auto"/>
                      <w:szCs w:val="21"/>
                    </w:rPr>
                  </w:pPr>
                  <w:r>
                    <w:rPr>
                      <w:color w:val="auto"/>
                      <w:szCs w:val="21"/>
                    </w:rPr>
                    <w:t>pH</w:t>
                  </w:r>
                </w:p>
              </w:tc>
              <w:tc>
                <w:tcPr>
                  <w:tcW w:w="1655" w:type="pct"/>
                  <w:vAlign w:val="center"/>
                </w:tcPr>
                <w:p>
                  <w:pPr>
                    <w:pStyle w:val="34"/>
                    <w:spacing w:line="360" w:lineRule="exact"/>
                    <w:rPr>
                      <w:color w:val="auto"/>
                      <w:szCs w:val="21"/>
                    </w:rPr>
                  </w:pPr>
                  <w:r>
                    <w:rPr>
                      <w:color w:val="auto"/>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2</w:t>
                  </w:r>
                </w:p>
              </w:tc>
              <w:tc>
                <w:tcPr>
                  <w:tcW w:w="2366" w:type="pct"/>
                  <w:vAlign w:val="center"/>
                </w:tcPr>
                <w:p>
                  <w:pPr>
                    <w:pStyle w:val="34"/>
                    <w:spacing w:line="360" w:lineRule="exact"/>
                    <w:rPr>
                      <w:color w:val="auto"/>
                      <w:szCs w:val="21"/>
                    </w:rPr>
                  </w:pPr>
                  <w:r>
                    <w:rPr>
                      <w:color w:val="auto"/>
                      <w:szCs w:val="21"/>
                    </w:rPr>
                    <w:t>色（度）≤</w:t>
                  </w:r>
                </w:p>
              </w:tc>
              <w:tc>
                <w:tcPr>
                  <w:tcW w:w="1655" w:type="pct"/>
                  <w:vAlign w:val="center"/>
                </w:tcPr>
                <w:p>
                  <w:pPr>
                    <w:pStyle w:val="34"/>
                    <w:spacing w:line="360" w:lineRule="exact"/>
                    <w:rPr>
                      <w:color w:val="auto"/>
                      <w:szCs w:val="21"/>
                    </w:rPr>
                  </w:pPr>
                  <w:r>
                    <w:rPr>
                      <w:color w:val="auto"/>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9" w:type="pct"/>
                  <w:vAlign w:val="center"/>
                </w:tcPr>
                <w:p>
                  <w:pPr>
                    <w:pStyle w:val="34"/>
                    <w:spacing w:line="360" w:lineRule="exact"/>
                    <w:rPr>
                      <w:color w:val="auto"/>
                      <w:szCs w:val="21"/>
                    </w:rPr>
                  </w:pPr>
                  <w:r>
                    <w:rPr>
                      <w:color w:val="auto"/>
                      <w:szCs w:val="21"/>
                    </w:rPr>
                    <w:t>3</w:t>
                  </w:r>
                </w:p>
              </w:tc>
              <w:tc>
                <w:tcPr>
                  <w:tcW w:w="2366" w:type="pct"/>
                  <w:vAlign w:val="center"/>
                </w:tcPr>
                <w:p>
                  <w:pPr>
                    <w:pStyle w:val="34"/>
                    <w:spacing w:line="360" w:lineRule="exact"/>
                    <w:rPr>
                      <w:color w:val="auto"/>
                      <w:szCs w:val="21"/>
                    </w:rPr>
                  </w:pPr>
                  <w:r>
                    <w:rPr>
                      <w:color w:val="auto"/>
                      <w:szCs w:val="21"/>
                    </w:rPr>
                    <w:t>嗅</w:t>
                  </w:r>
                </w:p>
              </w:tc>
              <w:tc>
                <w:tcPr>
                  <w:tcW w:w="1655" w:type="pct"/>
                  <w:vAlign w:val="center"/>
                </w:tcPr>
                <w:p>
                  <w:pPr>
                    <w:pStyle w:val="34"/>
                    <w:spacing w:line="360" w:lineRule="exact"/>
                    <w:rPr>
                      <w:color w:val="auto"/>
                      <w:szCs w:val="21"/>
                    </w:rPr>
                  </w:pPr>
                  <w:r>
                    <w:rPr>
                      <w:color w:val="auto"/>
                      <w:szCs w:val="21"/>
                    </w:rPr>
                    <w:t>无不快感觉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4</w:t>
                  </w:r>
                </w:p>
              </w:tc>
              <w:tc>
                <w:tcPr>
                  <w:tcW w:w="2366" w:type="pct"/>
                  <w:vAlign w:val="center"/>
                </w:tcPr>
                <w:p>
                  <w:pPr>
                    <w:pStyle w:val="34"/>
                    <w:spacing w:line="360" w:lineRule="exact"/>
                    <w:rPr>
                      <w:color w:val="auto"/>
                      <w:szCs w:val="21"/>
                    </w:rPr>
                  </w:pPr>
                  <w:r>
                    <w:rPr>
                      <w:color w:val="auto"/>
                      <w:szCs w:val="21"/>
                    </w:rPr>
                    <w:t>浊度（NTU）≤</w:t>
                  </w:r>
                </w:p>
              </w:tc>
              <w:tc>
                <w:tcPr>
                  <w:tcW w:w="1655" w:type="pct"/>
                  <w:vAlign w:val="center"/>
                </w:tcPr>
                <w:p>
                  <w:pPr>
                    <w:pStyle w:val="34"/>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5</w:t>
                  </w:r>
                </w:p>
              </w:tc>
              <w:tc>
                <w:tcPr>
                  <w:tcW w:w="2366" w:type="pct"/>
                  <w:vAlign w:val="center"/>
                </w:tcPr>
                <w:p>
                  <w:pPr>
                    <w:pStyle w:val="34"/>
                    <w:spacing w:line="360" w:lineRule="exact"/>
                    <w:rPr>
                      <w:color w:val="auto"/>
                      <w:szCs w:val="21"/>
                    </w:rPr>
                  </w:pPr>
                  <w:r>
                    <w:rPr>
                      <w:color w:val="auto"/>
                      <w:szCs w:val="21"/>
                    </w:rPr>
                    <w:t>溶解性总固体（mg/L）≤</w:t>
                  </w:r>
                </w:p>
              </w:tc>
              <w:tc>
                <w:tcPr>
                  <w:tcW w:w="1655" w:type="pct"/>
                  <w:vAlign w:val="center"/>
                </w:tcPr>
                <w:p>
                  <w:pPr>
                    <w:pStyle w:val="34"/>
                    <w:spacing w:line="360" w:lineRule="exact"/>
                    <w:rPr>
                      <w:color w:val="auto"/>
                      <w:szCs w:val="21"/>
                    </w:rPr>
                  </w:pPr>
                  <w:r>
                    <w:rPr>
                      <w:color w:val="auto"/>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6</w:t>
                  </w:r>
                </w:p>
              </w:tc>
              <w:tc>
                <w:tcPr>
                  <w:tcW w:w="2366" w:type="pct"/>
                  <w:vAlign w:val="center"/>
                </w:tcPr>
                <w:p>
                  <w:pPr>
                    <w:pStyle w:val="34"/>
                    <w:spacing w:line="360" w:lineRule="exact"/>
                    <w:rPr>
                      <w:color w:val="auto"/>
                      <w:szCs w:val="21"/>
                    </w:rPr>
                  </w:pPr>
                  <w:r>
                    <w:rPr>
                      <w:color w:val="auto"/>
                      <w:szCs w:val="21"/>
                    </w:rPr>
                    <w:t>五日生化需氧量BOD5（mg/L）≤</w:t>
                  </w:r>
                </w:p>
              </w:tc>
              <w:tc>
                <w:tcPr>
                  <w:tcW w:w="1655" w:type="pct"/>
                  <w:vAlign w:val="center"/>
                </w:tcPr>
                <w:p>
                  <w:pPr>
                    <w:pStyle w:val="34"/>
                    <w:spacing w:line="360" w:lineRule="exact"/>
                    <w:rPr>
                      <w:color w:val="auto"/>
                      <w:szCs w:val="21"/>
                    </w:rPr>
                  </w:pPr>
                  <w:r>
                    <w:rPr>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9" w:type="pct"/>
                  <w:vAlign w:val="center"/>
                </w:tcPr>
                <w:p>
                  <w:pPr>
                    <w:pStyle w:val="34"/>
                    <w:spacing w:line="360" w:lineRule="exact"/>
                    <w:rPr>
                      <w:color w:val="auto"/>
                      <w:szCs w:val="21"/>
                    </w:rPr>
                  </w:pPr>
                  <w:r>
                    <w:rPr>
                      <w:color w:val="auto"/>
                      <w:szCs w:val="21"/>
                    </w:rPr>
                    <w:t>7</w:t>
                  </w:r>
                </w:p>
              </w:tc>
              <w:tc>
                <w:tcPr>
                  <w:tcW w:w="2366" w:type="pct"/>
                  <w:vAlign w:val="center"/>
                </w:tcPr>
                <w:p>
                  <w:pPr>
                    <w:pStyle w:val="34"/>
                    <w:spacing w:line="360" w:lineRule="exact"/>
                    <w:rPr>
                      <w:color w:val="auto"/>
                      <w:szCs w:val="21"/>
                    </w:rPr>
                  </w:pPr>
                  <w:r>
                    <w:rPr>
                      <w:color w:val="auto"/>
                      <w:szCs w:val="21"/>
                    </w:rPr>
                    <w:t>氨氮（mg/L）≤</w:t>
                  </w:r>
                </w:p>
              </w:tc>
              <w:tc>
                <w:tcPr>
                  <w:tcW w:w="1655" w:type="pct"/>
                  <w:vAlign w:val="center"/>
                </w:tcPr>
                <w:p>
                  <w:pPr>
                    <w:pStyle w:val="34"/>
                    <w:spacing w:line="360" w:lineRule="exact"/>
                    <w:rPr>
                      <w:color w:val="auto"/>
                      <w:szCs w:val="21"/>
                    </w:rPr>
                  </w:pPr>
                  <w:r>
                    <w:rPr>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8</w:t>
                  </w:r>
                </w:p>
              </w:tc>
              <w:tc>
                <w:tcPr>
                  <w:tcW w:w="2366" w:type="pct"/>
                  <w:vAlign w:val="center"/>
                </w:tcPr>
                <w:p>
                  <w:pPr>
                    <w:pStyle w:val="34"/>
                    <w:spacing w:line="360" w:lineRule="exact"/>
                    <w:rPr>
                      <w:color w:val="auto"/>
                      <w:szCs w:val="21"/>
                    </w:rPr>
                  </w:pPr>
                  <w:r>
                    <w:rPr>
                      <w:color w:val="auto"/>
                      <w:szCs w:val="21"/>
                    </w:rPr>
                    <w:t>阴离子表面活性（mg/L）≤</w:t>
                  </w:r>
                </w:p>
              </w:tc>
              <w:tc>
                <w:tcPr>
                  <w:tcW w:w="1655" w:type="pct"/>
                  <w:vAlign w:val="center"/>
                </w:tcPr>
                <w:p>
                  <w:pPr>
                    <w:pStyle w:val="34"/>
                    <w:spacing w:line="360" w:lineRule="exact"/>
                    <w:rPr>
                      <w:color w:val="auto"/>
                      <w:szCs w:val="21"/>
                    </w:rPr>
                  </w:pPr>
                  <w:r>
                    <w:rPr>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9</w:t>
                  </w:r>
                </w:p>
              </w:tc>
              <w:tc>
                <w:tcPr>
                  <w:tcW w:w="2366" w:type="pct"/>
                  <w:vAlign w:val="center"/>
                </w:tcPr>
                <w:p>
                  <w:pPr>
                    <w:pStyle w:val="34"/>
                    <w:spacing w:line="360" w:lineRule="exact"/>
                    <w:rPr>
                      <w:color w:val="auto"/>
                      <w:szCs w:val="21"/>
                    </w:rPr>
                  </w:pPr>
                  <w:r>
                    <w:rPr>
                      <w:color w:val="auto"/>
                      <w:szCs w:val="21"/>
                    </w:rPr>
                    <w:t>铁（mg/L）≤</w:t>
                  </w:r>
                </w:p>
              </w:tc>
              <w:tc>
                <w:tcPr>
                  <w:tcW w:w="1655" w:type="pct"/>
                  <w:vAlign w:val="center"/>
                </w:tcPr>
                <w:p>
                  <w:pPr>
                    <w:pStyle w:val="34"/>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10</w:t>
                  </w:r>
                </w:p>
              </w:tc>
              <w:tc>
                <w:tcPr>
                  <w:tcW w:w="2366" w:type="pct"/>
                  <w:vAlign w:val="center"/>
                </w:tcPr>
                <w:p>
                  <w:pPr>
                    <w:pStyle w:val="34"/>
                    <w:spacing w:line="360" w:lineRule="exact"/>
                    <w:rPr>
                      <w:color w:val="auto"/>
                      <w:szCs w:val="21"/>
                    </w:rPr>
                  </w:pPr>
                  <w:r>
                    <w:rPr>
                      <w:color w:val="auto"/>
                      <w:szCs w:val="21"/>
                    </w:rPr>
                    <w:t>锰（mg/L）≤</w:t>
                  </w:r>
                </w:p>
              </w:tc>
              <w:tc>
                <w:tcPr>
                  <w:tcW w:w="1655" w:type="pct"/>
                  <w:vAlign w:val="center"/>
                </w:tcPr>
                <w:p>
                  <w:pPr>
                    <w:pStyle w:val="34"/>
                    <w:spacing w:line="360" w:lineRule="exact"/>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9" w:type="pct"/>
                  <w:vAlign w:val="center"/>
                </w:tcPr>
                <w:p>
                  <w:pPr>
                    <w:pStyle w:val="34"/>
                    <w:spacing w:line="360" w:lineRule="exact"/>
                    <w:rPr>
                      <w:color w:val="auto"/>
                      <w:szCs w:val="21"/>
                    </w:rPr>
                  </w:pPr>
                  <w:r>
                    <w:rPr>
                      <w:color w:val="auto"/>
                      <w:szCs w:val="21"/>
                    </w:rPr>
                    <w:t>11</w:t>
                  </w:r>
                </w:p>
              </w:tc>
              <w:tc>
                <w:tcPr>
                  <w:tcW w:w="2366" w:type="pct"/>
                  <w:vAlign w:val="center"/>
                </w:tcPr>
                <w:p>
                  <w:pPr>
                    <w:pStyle w:val="34"/>
                    <w:spacing w:line="360" w:lineRule="exact"/>
                    <w:rPr>
                      <w:color w:val="auto"/>
                      <w:szCs w:val="21"/>
                    </w:rPr>
                  </w:pPr>
                  <w:r>
                    <w:rPr>
                      <w:color w:val="auto"/>
                      <w:szCs w:val="21"/>
                    </w:rPr>
                    <w:t>溶解氧（mg/L）≥</w:t>
                  </w:r>
                </w:p>
              </w:tc>
              <w:tc>
                <w:tcPr>
                  <w:tcW w:w="1655" w:type="pct"/>
                  <w:vAlign w:val="center"/>
                </w:tcPr>
                <w:p>
                  <w:pPr>
                    <w:pStyle w:val="34"/>
                    <w:spacing w:line="360" w:lineRule="exact"/>
                    <w:rPr>
                      <w:color w:val="auto"/>
                      <w:szCs w:val="21"/>
                    </w:rPr>
                  </w:pPr>
                  <w:r>
                    <w:rPr>
                      <w:color w:val="auto"/>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12</w:t>
                  </w:r>
                </w:p>
              </w:tc>
              <w:tc>
                <w:tcPr>
                  <w:tcW w:w="2366" w:type="pct"/>
                  <w:vAlign w:val="center"/>
                </w:tcPr>
                <w:p>
                  <w:pPr>
                    <w:pStyle w:val="34"/>
                    <w:spacing w:line="360" w:lineRule="exact"/>
                    <w:rPr>
                      <w:color w:val="auto"/>
                      <w:szCs w:val="21"/>
                    </w:rPr>
                  </w:pPr>
                  <w:r>
                    <w:rPr>
                      <w:color w:val="auto"/>
                      <w:szCs w:val="21"/>
                    </w:rPr>
                    <w:t>总余氯（mg/L）</w:t>
                  </w:r>
                </w:p>
              </w:tc>
              <w:tc>
                <w:tcPr>
                  <w:tcW w:w="1655" w:type="pct"/>
                  <w:vAlign w:val="center"/>
                </w:tcPr>
                <w:p>
                  <w:pPr>
                    <w:pStyle w:val="34"/>
                    <w:spacing w:line="360" w:lineRule="exact"/>
                    <w:rPr>
                      <w:color w:val="auto"/>
                      <w:szCs w:val="21"/>
                    </w:rPr>
                  </w:pPr>
                  <w:r>
                    <w:rPr>
                      <w:color w:val="auto"/>
                      <w:szCs w:val="21"/>
                    </w:rPr>
                    <w:t>1.0（出厂），0.2（管网末端）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vAlign w:val="center"/>
                </w:tcPr>
                <w:p>
                  <w:pPr>
                    <w:pStyle w:val="34"/>
                    <w:spacing w:line="360" w:lineRule="exact"/>
                    <w:rPr>
                      <w:color w:val="auto"/>
                      <w:szCs w:val="21"/>
                    </w:rPr>
                  </w:pPr>
                  <w:r>
                    <w:rPr>
                      <w:color w:val="auto"/>
                      <w:szCs w:val="21"/>
                    </w:rPr>
                    <w:t>13</w:t>
                  </w:r>
                </w:p>
              </w:tc>
              <w:tc>
                <w:tcPr>
                  <w:tcW w:w="2366" w:type="pct"/>
                  <w:vAlign w:val="center"/>
                </w:tcPr>
                <w:p>
                  <w:pPr>
                    <w:pStyle w:val="34"/>
                    <w:spacing w:line="360" w:lineRule="exact"/>
                    <w:rPr>
                      <w:color w:val="auto"/>
                      <w:szCs w:val="21"/>
                    </w:rPr>
                  </w:pPr>
                  <w:r>
                    <w:rPr>
                      <w:color w:val="auto"/>
                      <w:szCs w:val="21"/>
                    </w:rPr>
                    <w:t>大肠埃氏菌/(MPN/100mL，或CFU/100 mL)</w:t>
                  </w:r>
                </w:p>
              </w:tc>
              <w:tc>
                <w:tcPr>
                  <w:tcW w:w="1655" w:type="pct"/>
                  <w:vAlign w:val="center"/>
                </w:tcPr>
                <w:p>
                  <w:pPr>
                    <w:pStyle w:val="34"/>
                    <w:spacing w:line="360" w:lineRule="exact"/>
                    <w:rPr>
                      <w:color w:val="auto"/>
                      <w:szCs w:val="21"/>
                    </w:rPr>
                  </w:pPr>
                  <w:r>
                    <w:rPr>
                      <w:color w:val="auto"/>
                      <w:szCs w:val="21"/>
                    </w:rPr>
                    <w:t>无</w:t>
                  </w:r>
                </w:p>
              </w:tc>
            </w:tr>
          </w:tbl>
          <w:p>
            <w:pPr>
              <w:spacing w:line="360" w:lineRule="auto"/>
              <w:ind w:firstLine="481" w:firstLineChars="200"/>
              <w:rPr>
                <w:rFonts w:ascii="Times New Roman" w:hAnsi="Times New Roman" w:cs="Times New Roman"/>
                <w:b/>
                <w:sz w:val="24"/>
                <w:szCs w:val="24"/>
              </w:rPr>
            </w:pPr>
            <w:bookmarkStart w:id="1" w:name="_Toc234181972"/>
            <w:bookmarkStart w:id="2" w:name="_Toc235158158"/>
            <w:bookmarkStart w:id="3" w:name="_Toc243322107"/>
            <w:r>
              <w:rPr>
                <w:rFonts w:hint="eastAsia" w:ascii="Times New Roman" w:hAnsi="Times New Roman" w:cs="Times New Roman"/>
                <w:b/>
                <w:sz w:val="24"/>
                <w:szCs w:val="24"/>
              </w:rPr>
              <w:t xml:space="preserve">3.10.3 </w:t>
            </w:r>
            <w:r>
              <w:rPr>
                <w:rFonts w:ascii="Times New Roman" w:hAnsi="Times New Roman" w:cs="Times New Roman"/>
                <w:b/>
                <w:sz w:val="24"/>
                <w:szCs w:val="24"/>
              </w:rPr>
              <w:t>噪声排放标准</w:t>
            </w:r>
            <w:bookmarkEnd w:id="1"/>
            <w:bookmarkEnd w:id="2"/>
            <w:bookmarkEnd w:id="3"/>
          </w:p>
          <w:p>
            <w:pPr>
              <w:spacing w:line="360" w:lineRule="auto"/>
              <w:ind w:firstLine="481" w:firstLineChars="200"/>
              <w:rPr>
                <w:rFonts w:ascii="Times New Roman" w:hAnsi="Times New Roman" w:cs="Times New Roman"/>
                <w:b/>
                <w:sz w:val="24"/>
                <w:szCs w:val="24"/>
              </w:rPr>
            </w:pPr>
            <w:bookmarkStart w:id="4" w:name="_Toc533756760"/>
            <w:r>
              <w:rPr>
                <w:rFonts w:hint="eastAsia" w:ascii="Times New Roman" w:hAnsi="Times New Roman" w:cs="Times New Roman"/>
                <w:b/>
                <w:sz w:val="24"/>
                <w:szCs w:val="24"/>
              </w:rPr>
              <w:t>（1）施工期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项目施工期噪声排放执行《建筑施工场界噪声环境噪声排放标准》（GB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-2011）。标准值详见下表。</w:t>
            </w:r>
          </w:p>
          <w:p>
            <w:pPr>
              <w:jc w:val="center"/>
              <w:rPr>
                <w:rFonts w:ascii="Times New Roman" w:hAnsi="Times New Roman" w:cs="Times New Roman"/>
                <w:sz w:val="24"/>
                <w:szCs w:val="24"/>
              </w:rPr>
            </w:pPr>
            <w:r>
              <w:rPr>
                <w:rFonts w:ascii="Times New Roman" w:hAnsi="Times New Roman" w:eastAsia="宋体" w:cs="Times New Roman"/>
                <w:b/>
              </w:rPr>
              <w:t>表</w:t>
            </w:r>
            <w:r>
              <w:rPr>
                <w:rFonts w:hint="eastAsia" w:ascii="Times New Roman" w:hAnsi="Times New Roman" w:eastAsia="宋体" w:cs="Times New Roman"/>
                <w:b/>
              </w:rPr>
              <w:t>3.10.3-1</w:t>
            </w:r>
            <w:r>
              <w:rPr>
                <w:rFonts w:ascii="Times New Roman" w:hAnsi="Times New Roman" w:eastAsia="宋体" w:cs="Times New Roman"/>
                <w:b/>
              </w:rPr>
              <w:t xml:space="preserve"> </w:t>
            </w:r>
            <w:r>
              <w:rPr>
                <w:rFonts w:hint="eastAsia" w:ascii="Times New Roman" w:hAnsi="Times New Roman" w:eastAsia="宋体" w:cs="Times New Roman"/>
                <w:b/>
              </w:rPr>
              <w:t xml:space="preserve"> </w:t>
            </w:r>
            <w:r>
              <w:rPr>
                <w:rFonts w:ascii="Times New Roman" w:hAnsi="Times New Roman" w:eastAsia="宋体" w:cs="Times New Roman"/>
                <w:b/>
              </w:rPr>
              <w:t>建筑施工场界噪声标准限值   单位：dB（A）</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4"/>
                    <w:spacing w:line="360" w:lineRule="exact"/>
                    <w:rPr>
                      <w:color w:val="auto"/>
                      <w:szCs w:val="21"/>
                    </w:rPr>
                  </w:pPr>
                  <w:r>
                    <w:rPr>
                      <w:color w:val="auto"/>
                      <w:szCs w:val="21"/>
                    </w:rPr>
                    <w:t>控制区域</w:t>
                  </w:r>
                </w:p>
              </w:tc>
              <w:tc>
                <w:tcPr>
                  <w:tcW w:w="5857" w:type="dxa"/>
                  <w:gridSpan w:val="2"/>
                  <w:vAlign w:val="center"/>
                </w:tcPr>
                <w:p>
                  <w:pPr>
                    <w:pStyle w:val="34"/>
                    <w:spacing w:line="360" w:lineRule="exact"/>
                    <w:rPr>
                      <w:color w:val="auto"/>
                      <w:szCs w:val="21"/>
                    </w:rPr>
                  </w:pPr>
                  <w:r>
                    <w:rPr>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4"/>
                    <w:spacing w:line="360" w:lineRule="exact"/>
                    <w:rPr>
                      <w:color w:val="auto"/>
                      <w:szCs w:val="21"/>
                    </w:rPr>
                  </w:pPr>
                </w:p>
              </w:tc>
              <w:tc>
                <w:tcPr>
                  <w:tcW w:w="2977" w:type="dxa"/>
                  <w:vAlign w:val="center"/>
                </w:tcPr>
                <w:p>
                  <w:pPr>
                    <w:pStyle w:val="34"/>
                    <w:spacing w:line="360" w:lineRule="exact"/>
                    <w:rPr>
                      <w:color w:val="auto"/>
                      <w:szCs w:val="21"/>
                    </w:rPr>
                  </w:pPr>
                  <w:r>
                    <w:rPr>
                      <w:color w:val="auto"/>
                      <w:szCs w:val="21"/>
                    </w:rPr>
                    <w:t>昼间</w:t>
                  </w:r>
                </w:p>
              </w:tc>
              <w:tc>
                <w:tcPr>
                  <w:tcW w:w="2880" w:type="dxa"/>
                  <w:vAlign w:val="center"/>
                </w:tcPr>
                <w:p>
                  <w:pPr>
                    <w:pStyle w:val="34"/>
                    <w:spacing w:line="360" w:lineRule="exact"/>
                    <w:rPr>
                      <w:color w:val="auto"/>
                      <w:szCs w:val="21"/>
                    </w:rPr>
                  </w:pPr>
                  <w:r>
                    <w:rPr>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4"/>
                    <w:spacing w:line="360" w:lineRule="exact"/>
                    <w:rPr>
                      <w:color w:val="auto"/>
                      <w:szCs w:val="21"/>
                    </w:rPr>
                  </w:pPr>
                  <w:r>
                    <w:rPr>
                      <w:color w:val="auto"/>
                      <w:szCs w:val="21"/>
                    </w:rPr>
                    <w:t>场界</w:t>
                  </w:r>
                </w:p>
              </w:tc>
              <w:tc>
                <w:tcPr>
                  <w:tcW w:w="2977" w:type="dxa"/>
                  <w:vAlign w:val="center"/>
                </w:tcPr>
                <w:p>
                  <w:pPr>
                    <w:pStyle w:val="34"/>
                    <w:spacing w:line="360" w:lineRule="exact"/>
                    <w:rPr>
                      <w:color w:val="auto"/>
                      <w:szCs w:val="21"/>
                    </w:rPr>
                  </w:pPr>
                  <w:r>
                    <w:rPr>
                      <w:color w:val="auto"/>
                      <w:szCs w:val="21"/>
                    </w:rPr>
                    <w:t>70</w:t>
                  </w:r>
                </w:p>
              </w:tc>
              <w:tc>
                <w:tcPr>
                  <w:tcW w:w="2880" w:type="dxa"/>
                  <w:vAlign w:val="center"/>
                </w:tcPr>
                <w:p>
                  <w:pPr>
                    <w:pStyle w:val="34"/>
                    <w:spacing w:line="360" w:lineRule="exact"/>
                    <w:rPr>
                      <w:color w:val="auto"/>
                      <w:szCs w:val="21"/>
                    </w:rPr>
                  </w:pPr>
                  <w:r>
                    <w:rPr>
                      <w:color w:val="auto"/>
                      <w:szCs w:val="21"/>
                    </w:rPr>
                    <w:t>55</w:t>
                  </w:r>
                </w:p>
              </w:tc>
            </w:tr>
          </w:tbl>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（2）运营期</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运营期噪声来源于提水泵站中水泵、变压器的运行噪声，执行《工业企业厂界环噪声排放标准》（GB</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-2008）2类标准。</w:t>
            </w:r>
          </w:p>
          <w:p>
            <w:pPr>
              <w:jc w:val="center"/>
              <w:rPr>
                <w:rFonts w:ascii="Times New Roman" w:hAnsi="Times New Roman" w:cs="Times New Roman"/>
                <w:sz w:val="24"/>
                <w:szCs w:val="24"/>
              </w:rPr>
            </w:pPr>
            <w:r>
              <w:rPr>
                <w:rFonts w:ascii="Times New Roman" w:hAnsi="Times New Roman" w:eastAsia="宋体" w:cs="Times New Roman"/>
                <w:b/>
              </w:rPr>
              <w:t>表</w:t>
            </w:r>
            <w:r>
              <w:rPr>
                <w:rFonts w:hint="eastAsia" w:ascii="Times New Roman" w:hAnsi="Times New Roman" w:eastAsia="宋体" w:cs="Times New Roman"/>
                <w:b/>
              </w:rPr>
              <w:t>3.10.3-2</w:t>
            </w:r>
            <w:r>
              <w:rPr>
                <w:rFonts w:ascii="Times New Roman" w:hAnsi="Times New Roman" w:eastAsia="宋体" w:cs="Times New Roman"/>
                <w:b/>
              </w:rPr>
              <w:t xml:space="preserve"> </w:t>
            </w:r>
            <w:r>
              <w:rPr>
                <w:rFonts w:hint="eastAsia" w:ascii="Times New Roman" w:hAnsi="Times New Roman" w:eastAsia="宋体" w:cs="Times New Roman"/>
                <w:b/>
              </w:rPr>
              <w:t xml:space="preserve"> 工业企业厂界环噪声排放标准</w:t>
            </w:r>
            <w:r>
              <w:rPr>
                <w:rFonts w:ascii="Times New Roman" w:hAnsi="Times New Roman" w:eastAsia="宋体" w:cs="Times New Roman"/>
                <w:b/>
              </w:rPr>
              <w:t xml:space="preserve">   单位：dB（A）</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4"/>
                    <w:spacing w:line="360" w:lineRule="exact"/>
                    <w:rPr>
                      <w:color w:val="auto"/>
                      <w:szCs w:val="21"/>
                    </w:rPr>
                  </w:pPr>
                  <w:r>
                    <w:rPr>
                      <w:color w:val="auto"/>
                      <w:szCs w:val="21"/>
                    </w:rPr>
                    <w:t>类别</w:t>
                  </w:r>
                </w:p>
              </w:tc>
              <w:tc>
                <w:tcPr>
                  <w:tcW w:w="5857" w:type="dxa"/>
                  <w:gridSpan w:val="2"/>
                  <w:vAlign w:val="center"/>
                </w:tcPr>
                <w:p>
                  <w:pPr>
                    <w:pStyle w:val="34"/>
                    <w:spacing w:line="360" w:lineRule="exact"/>
                    <w:rPr>
                      <w:color w:val="auto"/>
                      <w:szCs w:val="21"/>
                    </w:rPr>
                  </w:pPr>
                  <w:r>
                    <w:rPr>
                      <w:color w:val="auto"/>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4"/>
                    <w:spacing w:line="360" w:lineRule="exact"/>
                    <w:rPr>
                      <w:color w:val="auto"/>
                      <w:szCs w:val="21"/>
                    </w:rPr>
                  </w:pPr>
                </w:p>
              </w:tc>
              <w:tc>
                <w:tcPr>
                  <w:tcW w:w="2977" w:type="dxa"/>
                  <w:vAlign w:val="center"/>
                </w:tcPr>
                <w:p>
                  <w:pPr>
                    <w:pStyle w:val="34"/>
                    <w:spacing w:line="360" w:lineRule="exact"/>
                    <w:rPr>
                      <w:color w:val="auto"/>
                      <w:szCs w:val="21"/>
                    </w:rPr>
                  </w:pPr>
                  <w:r>
                    <w:rPr>
                      <w:color w:val="auto"/>
                      <w:szCs w:val="21"/>
                    </w:rPr>
                    <w:t>昼间</w:t>
                  </w:r>
                </w:p>
              </w:tc>
              <w:tc>
                <w:tcPr>
                  <w:tcW w:w="2880" w:type="dxa"/>
                  <w:vAlign w:val="center"/>
                </w:tcPr>
                <w:p>
                  <w:pPr>
                    <w:pStyle w:val="34"/>
                    <w:spacing w:line="360" w:lineRule="exact"/>
                    <w:rPr>
                      <w:color w:val="auto"/>
                      <w:szCs w:val="21"/>
                    </w:rPr>
                  </w:pPr>
                  <w:r>
                    <w:rPr>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4"/>
                    <w:spacing w:line="360" w:lineRule="exact"/>
                    <w:rPr>
                      <w:color w:val="auto"/>
                      <w:szCs w:val="21"/>
                    </w:rPr>
                  </w:pPr>
                  <w:r>
                    <w:rPr>
                      <w:rFonts w:hint="eastAsia"/>
                      <w:color w:val="auto"/>
                      <w:szCs w:val="21"/>
                    </w:rPr>
                    <w:t>2类</w:t>
                  </w:r>
                </w:p>
              </w:tc>
              <w:tc>
                <w:tcPr>
                  <w:tcW w:w="2977" w:type="dxa"/>
                  <w:vAlign w:val="center"/>
                </w:tcPr>
                <w:p>
                  <w:pPr>
                    <w:pStyle w:val="34"/>
                    <w:spacing w:line="360" w:lineRule="exact"/>
                    <w:rPr>
                      <w:color w:val="auto"/>
                      <w:szCs w:val="21"/>
                    </w:rPr>
                  </w:pPr>
                  <w:r>
                    <w:rPr>
                      <w:rFonts w:hint="eastAsia"/>
                      <w:color w:val="auto"/>
                      <w:szCs w:val="21"/>
                    </w:rPr>
                    <w:t>60</w:t>
                  </w:r>
                </w:p>
              </w:tc>
              <w:tc>
                <w:tcPr>
                  <w:tcW w:w="2880" w:type="dxa"/>
                  <w:vAlign w:val="center"/>
                </w:tcPr>
                <w:p>
                  <w:pPr>
                    <w:pStyle w:val="34"/>
                    <w:spacing w:line="360" w:lineRule="exact"/>
                    <w:rPr>
                      <w:color w:val="auto"/>
                      <w:szCs w:val="21"/>
                    </w:rPr>
                  </w:pPr>
                  <w:r>
                    <w:rPr>
                      <w:rFonts w:hint="eastAsia"/>
                      <w:color w:val="auto"/>
                      <w:szCs w:val="21"/>
                    </w:rPr>
                    <w:t>50</w:t>
                  </w:r>
                </w:p>
              </w:tc>
            </w:tr>
          </w:tbl>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 xml:space="preserve">3.11.4 </w:t>
            </w:r>
            <w:r>
              <w:rPr>
                <w:rFonts w:ascii="Times New Roman" w:hAnsi="Times New Roman" w:cs="Times New Roman"/>
                <w:b/>
                <w:sz w:val="24"/>
                <w:szCs w:val="24"/>
              </w:rPr>
              <w:t>固废执行标准</w:t>
            </w:r>
          </w:p>
          <w:bookmarkEnd w:id="4"/>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①</w:t>
            </w:r>
            <w:r>
              <w:rPr>
                <w:rFonts w:ascii="Times New Roman" w:hAnsi="Times New Roman" w:cs="Times New Roman"/>
                <w:sz w:val="24"/>
                <w:szCs w:val="24"/>
              </w:rPr>
              <w:t>一般工业固体废物</w:t>
            </w:r>
            <w:r>
              <w:rPr>
                <w:rFonts w:hint="eastAsia" w:ascii="Times New Roman" w:hAnsi="Times New Roman" w:cs="Times New Roman"/>
                <w:sz w:val="24"/>
                <w:szCs w:val="24"/>
              </w:rPr>
              <w:t>：</w:t>
            </w:r>
            <w:r>
              <w:rPr>
                <w:rFonts w:ascii="Times New Roman" w:hAnsi="Times New Roman" w:cs="Times New Roman"/>
                <w:sz w:val="24"/>
                <w:szCs w:val="24"/>
              </w:rPr>
              <w:t>执行《一般工业固体废物贮存和填埋污染控制标准》（GB</w:t>
            </w:r>
            <w:r>
              <w:rPr>
                <w:rFonts w:hint="eastAsia" w:ascii="Times New Roman" w:hAnsi="Times New Roman" w:cs="Times New Roman"/>
                <w:sz w:val="24"/>
                <w:szCs w:val="24"/>
                <w:lang w:eastAsia="zh-CN"/>
              </w:rPr>
              <w:t>*****</w:t>
            </w:r>
            <w:r>
              <w:rPr>
                <w:rFonts w:ascii="Times New Roman" w:hAnsi="Times New Roman" w:cs="Times New Roman"/>
                <w:sz w:val="24"/>
                <w:szCs w:val="24"/>
              </w:rPr>
              <w:t>-2020）。</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②</w:t>
            </w:r>
            <w:r>
              <w:rPr>
                <w:rFonts w:ascii="Times New Roman" w:hAnsi="Times New Roman" w:cs="Times New Roman"/>
                <w:sz w:val="24"/>
                <w:szCs w:val="24"/>
              </w:rPr>
              <w:t>危险废物</w:t>
            </w:r>
            <w:r>
              <w:rPr>
                <w:rFonts w:hint="eastAsia" w:ascii="Times New Roman" w:hAnsi="Times New Roman" w:cs="Times New Roman"/>
                <w:sz w:val="24"/>
                <w:szCs w:val="24"/>
              </w:rPr>
              <w:t>：</w:t>
            </w:r>
            <w:r>
              <w:rPr>
                <w:rFonts w:ascii="Times New Roman" w:hAnsi="Times New Roman" w:cs="Times New Roman"/>
                <w:sz w:val="24"/>
                <w:szCs w:val="24"/>
              </w:rPr>
              <w:t>执行</w:t>
            </w:r>
            <w:r>
              <w:rPr>
                <w:rFonts w:hint="eastAsia" w:ascii="Times New Roman" w:hAnsi="Times New Roman" w:cs="Times New Roman"/>
                <w:sz w:val="24"/>
                <w:szCs w:val="24"/>
              </w:rPr>
              <w:t>《危险废物贮存污染控制标准》（GB</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-2023）。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其他</w:t>
            </w:r>
          </w:p>
        </w:tc>
        <w:tc>
          <w:tcPr>
            <w:tcW w:w="8834" w:type="dxa"/>
            <w:vAlign w:val="center"/>
          </w:tcPr>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“十四五”期间国家规定的污染物排放总量控制指标有：化学需氧量、氨氮，氮氧化物、挥发性有机物。项目为非污染类工程项目，属于</w:t>
            </w:r>
            <w:r>
              <w:rPr>
                <w:rFonts w:hint="eastAsia" w:hAnsi="Times New Roman"/>
                <w:sz w:val="24"/>
                <w:szCs w:val="24"/>
              </w:rPr>
              <w:t>引水</w:t>
            </w:r>
            <w:r>
              <w:rPr>
                <w:rFonts w:ascii="Times New Roman" w:hAnsi="Times New Roman" w:cs="Times New Roman"/>
                <w:sz w:val="24"/>
              </w:rPr>
              <w:t>工程项目，主要</w:t>
            </w:r>
            <w:r>
              <w:rPr>
                <w:rFonts w:ascii="Times New Roman" w:hAnsi="Times New Roman" w:cs="Times New Roman"/>
                <w:sz w:val="24"/>
                <w:szCs w:val="24"/>
              </w:rPr>
              <w:t>依靠光伏发电带动水泵抽水，</w:t>
            </w:r>
            <w:r>
              <w:rPr>
                <w:rFonts w:ascii="Times New Roman" w:hAnsi="Times New Roman" w:cs="Times New Roman"/>
                <w:sz w:val="24"/>
              </w:rPr>
              <w:t>不存在空气污染、水污染、噪声污染及有毒有害固废等污染问题，运营期无总量控制指标。本项目施工期废水不外排，使用的施工机械运行中尾气排放中SO</w:t>
            </w:r>
            <w:r>
              <w:rPr>
                <w:rFonts w:ascii="Times New Roman" w:hAnsi="Times New Roman" w:cs="Times New Roman"/>
                <w:sz w:val="24"/>
                <w:vertAlign w:val="subscript"/>
              </w:rPr>
              <w:t>2</w:t>
            </w:r>
            <w:r>
              <w:rPr>
                <w:rFonts w:ascii="Times New Roman" w:hAnsi="Times New Roman" w:cs="Times New Roman"/>
                <w:sz w:val="24"/>
              </w:rPr>
              <w:t>浓度很低，不做总量控制要求。根据分析，本项目施工期产生的废物量和排放量如下：</w:t>
            </w:r>
          </w:p>
          <w:p>
            <w:pPr>
              <w:spacing w:line="360" w:lineRule="auto"/>
              <w:ind w:firstLine="481" w:firstLineChars="200"/>
              <w:rPr>
                <w:rFonts w:ascii="Times New Roman" w:hAnsi="Times New Roman" w:cs="Times New Roman"/>
                <w:b/>
                <w:sz w:val="24"/>
              </w:rPr>
            </w:pPr>
            <w:r>
              <w:rPr>
                <w:rFonts w:hint="eastAsia" w:ascii="Times New Roman" w:hAnsi="Times New Roman" w:cs="Times New Roman"/>
                <w:b/>
                <w:sz w:val="24"/>
              </w:rPr>
              <w:t>（1）废气</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施工期扬尘呈无组织排放，采用洒水降尘措施，不设总量控制指标；施工车辆、机械尾气，建议做好保养，不设总量控制指标。</w:t>
            </w:r>
          </w:p>
          <w:p>
            <w:pPr>
              <w:spacing w:line="360" w:lineRule="auto"/>
              <w:ind w:firstLine="481" w:firstLineChars="200"/>
              <w:rPr>
                <w:rFonts w:ascii="Times New Roman" w:hAnsi="Times New Roman" w:cs="Times New Roman"/>
                <w:b/>
                <w:sz w:val="24"/>
              </w:rPr>
            </w:pPr>
            <w:r>
              <w:rPr>
                <w:rFonts w:hint="eastAsia" w:ascii="Times New Roman" w:hAnsi="Times New Roman" w:cs="Times New Roman"/>
                <w:b/>
                <w:sz w:val="24"/>
              </w:rPr>
              <w:t>（2）废水</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施工期生产废水产生量792m</w:t>
            </w:r>
            <w:r>
              <w:rPr>
                <w:rFonts w:hint="eastAsia" w:ascii="Times New Roman" w:hAnsi="Times New Roman" w:cs="Times New Roman"/>
                <w:sz w:val="24"/>
                <w:vertAlign w:val="superscript"/>
              </w:rPr>
              <w:t>3</w:t>
            </w:r>
            <w:r>
              <w:rPr>
                <w:rFonts w:hint="eastAsia" w:ascii="Times New Roman" w:hAnsi="Times New Roman" w:cs="Times New Roman"/>
                <w:sz w:val="24"/>
              </w:rPr>
              <w:t>/a，</w:t>
            </w:r>
            <w:r>
              <w:rPr>
                <w:rFonts w:hint="eastAsia" w:ascii="Times New Roman" w:hAnsi="Times New Roman" w:cs="Times New Roman"/>
                <w:sz w:val="24"/>
                <w:szCs w:val="24"/>
              </w:rPr>
              <w:t>CODcr产生量约0.009t/a，石油类产生量约0.028t/a，</w:t>
            </w:r>
            <w:r>
              <w:rPr>
                <w:rFonts w:ascii="Times New Roman" w:hAnsi="Times New Roman" w:cs="Times New Roman"/>
                <w:sz w:val="24"/>
                <w:szCs w:val="24"/>
              </w:rPr>
              <w:t>悬浮物</w:t>
            </w:r>
            <w:r>
              <w:rPr>
                <w:rFonts w:hint="eastAsia" w:ascii="Times New Roman" w:hAnsi="Times New Roman" w:cs="Times New Roman"/>
                <w:sz w:val="24"/>
                <w:szCs w:val="24"/>
              </w:rPr>
              <w:t>产生量约0.99t/a，</w:t>
            </w:r>
            <w:r>
              <w:rPr>
                <w:rFonts w:hint="eastAsia" w:ascii="Times New Roman" w:hAnsi="Times New Roman" w:cs="Times New Roman"/>
                <w:sz w:val="24"/>
              </w:rPr>
              <w:t>经沉淀池沉淀处理后回用于施工场地洒水降尘，不外排；雨天地表径流经临时沉砂池沉淀处理后回用于施工生产区洒水降尘，不外排。</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运营期生产废水产生量6.64m</w:t>
            </w:r>
            <w:r>
              <w:rPr>
                <w:rFonts w:hint="eastAsia" w:ascii="Times New Roman" w:hAnsi="Times New Roman" w:cs="Times New Roman"/>
                <w:sz w:val="24"/>
                <w:vertAlign w:val="superscript"/>
              </w:rPr>
              <w:t>3</w:t>
            </w:r>
            <w:r>
              <w:rPr>
                <w:rFonts w:hint="eastAsia" w:ascii="Times New Roman" w:hAnsi="Times New Roman" w:cs="Times New Roman"/>
                <w:sz w:val="24"/>
              </w:rPr>
              <w:t>/a，SS产生量约0.003t/a。经沉淀池沉淀处理后回用于光伏泵站周围场地洒水降尘，不外排。</w:t>
            </w:r>
          </w:p>
          <w:p>
            <w:pPr>
              <w:spacing w:line="360" w:lineRule="auto"/>
              <w:ind w:firstLine="481" w:firstLineChars="200"/>
              <w:rPr>
                <w:rFonts w:ascii="Times New Roman" w:hAnsi="Times New Roman" w:cs="Times New Roman"/>
                <w:b/>
                <w:sz w:val="24"/>
              </w:rPr>
            </w:pPr>
            <w:r>
              <w:rPr>
                <w:rFonts w:hint="eastAsia" w:ascii="Times New Roman" w:hAnsi="Times New Roman" w:cs="Times New Roman"/>
                <w:b/>
                <w:sz w:val="24"/>
              </w:rPr>
              <w:t>（3）固废</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施工期固体废物处理率100%。</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rFonts w:ascii="Times New Roman" w:hAnsi="Times New Roman" w:cs="Times New Roman"/>
                <w:sz w:val="24"/>
                <w:szCs w:val="24"/>
              </w:rPr>
            </w:pPr>
          </w:p>
          <w:p>
            <w:pPr>
              <w:spacing w:line="360" w:lineRule="auto"/>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四、生态环境影响分析</w:t>
      </w:r>
    </w:p>
    <w:tbl>
      <w:tblPr>
        <w:tblStyle w:val="2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施工期生态环境影响分析</w:t>
            </w:r>
          </w:p>
        </w:tc>
        <w:tc>
          <w:tcPr>
            <w:tcW w:w="8834" w:type="dxa"/>
            <w:vAlign w:val="center"/>
          </w:tcPr>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该项目不开展专项评价，且不涉及涉及环境敏感区，根据</w:t>
            </w:r>
            <w:r>
              <w:rPr>
                <w:rFonts w:ascii="Times New Roman" w:hAnsi="Times New Roman" w:cs="Times New Roman"/>
                <w:sz w:val="24"/>
                <w:szCs w:val="24"/>
              </w:rPr>
              <w:t>《建设项目环境影响报告表编制技术指南》（</w:t>
            </w:r>
            <w:r>
              <w:rPr>
                <w:rFonts w:hint="eastAsia" w:ascii="Times New Roman" w:hAnsi="Times New Roman" w:cs="Times New Roman"/>
                <w:sz w:val="24"/>
                <w:szCs w:val="24"/>
              </w:rPr>
              <w:t>生态</w:t>
            </w:r>
            <w:r>
              <w:rPr>
                <w:rFonts w:ascii="Times New Roman" w:hAnsi="Times New Roman" w:cs="Times New Roman"/>
                <w:sz w:val="24"/>
                <w:szCs w:val="24"/>
              </w:rPr>
              <w:t>影响类）的要求，</w:t>
            </w:r>
            <w:r>
              <w:rPr>
                <w:rFonts w:hint="eastAsia" w:ascii="Times New Roman" w:hAnsi="Times New Roman" w:cs="Times New Roman"/>
                <w:sz w:val="24"/>
                <w:szCs w:val="24"/>
              </w:rPr>
              <w:t>本环评定性分析施工期各要素对环境的影响，具体如下。</w:t>
            </w:r>
          </w:p>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4.1</w:t>
            </w:r>
            <w:r>
              <w:rPr>
                <w:rFonts w:hint="eastAsia" w:ascii="Times New Roman" w:hAnsi="Times New Roman" w:cs="Times New Roman"/>
                <w:b/>
                <w:sz w:val="24"/>
                <w:szCs w:val="24"/>
              </w:rPr>
              <w:t xml:space="preserve"> </w:t>
            </w:r>
            <w:r>
              <w:rPr>
                <w:rFonts w:ascii="Times New Roman" w:hAnsi="Times New Roman" w:cs="Times New Roman"/>
                <w:b/>
                <w:sz w:val="24"/>
                <w:szCs w:val="24"/>
              </w:rPr>
              <w:t>施工期环境影响分析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施工期的主要建设内容为施工征占地范围内的施工场地平整，管线管沟土石方开挖与回填、镇墩和支墩的基础土石方开挖和回填、输水管道铺设，水池土石方开挖和混凝土浇筑，光伏泵站、光伏发电场建设，施工生产区修建，临时表土堆场等。项目在土石方开挖及回填、建筑施工材料运输时将产生扬尘，施工过程中施工机械将产生噪音及废气，建设过程中将产生建筑垃圾、施工生活垃圾和废弃土石方等固体废物，还将产生施工生产废水，同时施工过程中将会破坏地表植被和产生水土流失等。</w:t>
            </w:r>
          </w:p>
          <w:p>
            <w:pPr>
              <w:spacing w:line="360" w:lineRule="auto"/>
              <w:ind w:firstLine="481" w:firstLineChars="200"/>
              <w:rPr>
                <w:rFonts w:ascii="Times New Roman" w:cs="Times New Roman"/>
                <w:b/>
                <w:sz w:val="24"/>
              </w:rPr>
            </w:pPr>
            <w:r>
              <w:rPr>
                <w:rFonts w:ascii="Times New Roman" w:cs="Times New Roman"/>
                <w:b/>
                <w:sz w:val="24"/>
              </w:rPr>
              <w:t>4.1.</w:t>
            </w:r>
            <w:r>
              <w:rPr>
                <w:rFonts w:hint="eastAsia" w:ascii="Times New Roman" w:cs="Times New Roman"/>
                <w:b/>
                <w:sz w:val="24"/>
              </w:rPr>
              <w:t xml:space="preserve">1 </w:t>
            </w:r>
            <w:r>
              <w:rPr>
                <w:rFonts w:ascii="Times New Roman" w:cs="Times New Roman"/>
                <w:b/>
                <w:sz w:val="24"/>
              </w:rPr>
              <w:t>生态环境影响分析</w:t>
            </w:r>
          </w:p>
          <w:p>
            <w:pPr>
              <w:spacing w:line="360" w:lineRule="auto"/>
              <w:ind w:firstLine="361" w:firstLineChars="150"/>
              <w:rPr>
                <w:rFonts w:ascii="Times New Roman" w:hAnsi="Times New Roman" w:cs="Times New Roman"/>
                <w:b/>
                <w:sz w:val="24"/>
              </w:rPr>
            </w:pPr>
            <w:r>
              <w:rPr>
                <w:rFonts w:ascii="Times New Roman" w:cs="Times New Roman"/>
                <w:b/>
                <w:sz w:val="24"/>
              </w:rPr>
              <w:t>（</w:t>
            </w:r>
            <w:r>
              <w:rPr>
                <w:rFonts w:ascii="Times New Roman" w:hAnsi="Times New Roman" w:cs="Times New Roman"/>
                <w:b/>
                <w:sz w:val="24"/>
              </w:rPr>
              <w:t>1</w:t>
            </w:r>
            <w:r>
              <w:rPr>
                <w:rFonts w:ascii="Times New Roman" w:cs="Times New Roman"/>
                <w:b/>
                <w:sz w:val="24"/>
              </w:rPr>
              <w:t>）土地利用影响分析</w:t>
            </w:r>
          </w:p>
          <w:p>
            <w:pPr>
              <w:pStyle w:val="62"/>
              <w:spacing w:line="360" w:lineRule="auto"/>
              <w:ind w:firstLine="480"/>
              <w:rPr>
                <w:rFonts w:hAnsi="Times New Roman"/>
                <w:sz w:val="24"/>
                <w:szCs w:val="24"/>
              </w:rPr>
            </w:pPr>
            <w:r>
              <w:rPr>
                <w:rFonts w:hAnsi="Times New Roman"/>
                <w:sz w:val="24"/>
                <w:szCs w:val="24"/>
              </w:rPr>
              <w:t>根据设计，项目建设占地包括永久占地和临时占地两部分，其中永久占地范围为</w:t>
            </w:r>
            <w:r>
              <w:rPr>
                <w:rFonts w:hint="eastAsia" w:hAnsi="Times New Roman"/>
                <w:sz w:val="24"/>
                <w:szCs w:val="24"/>
              </w:rPr>
              <w:t>光伏泵站、泵房、控制房、水池、部分光伏板</w:t>
            </w:r>
            <w:r>
              <w:rPr>
                <w:rFonts w:hAnsi="Times New Roman"/>
                <w:sz w:val="24"/>
                <w:szCs w:val="24"/>
              </w:rPr>
              <w:t>；施工临时占地范围为在满足施工需要的前提下确定的施工临时占地。</w:t>
            </w:r>
            <w:r>
              <w:rPr>
                <w:rFonts w:hint="eastAsia" w:hAnsi="Times New Roman"/>
                <w:sz w:val="24"/>
                <w:szCs w:val="24"/>
              </w:rPr>
              <w:t>项目</w:t>
            </w:r>
            <w:r>
              <w:rPr>
                <w:rFonts w:hAnsi="Times New Roman"/>
                <w:sz w:val="24"/>
                <w:szCs w:val="24"/>
              </w:rPr>
              <w:t>征占地面积</w:t>
            </w:r>
            <w:r>
              <w:rPr>
                <w:rFonts w:hint="eastAsia" w:hAnsi="Times New Roman"/>
                <w:sz w:val="24"/>
                <w:szCs w:val="24"/>
              </w:rPr>
              <w:t>21.07</w:t>
            </w:r>
            <w:r>
              <w:rPr>
                <w:rFonts w:hAnsi="Times New Roman"/>
                <w:sz w:val="24"/>
                <w:szCs w:val="24"/>
              </w:rPr>
              <w:t>亩，其中永久征占地</w:t>
            </w:r>
            <w:r>
              <w:rPr>
                <w:rFonts w:hint="eastAsia" w:hAnsi="Times New Roman"/>
                <w:sz w:val="24"/>
                <w:szCs w:val="24"/>
              </w:rPr>
              <w:t>16.93亩</w:t>
            </w:r>
            <w:r>
              <w:rPr>
                <w:rFonts w:hAnsi="Times New Roman"/>
                <w:sz w:val="24"/>
                <w:szCs w:val="24"/>
              </w:rPr>
              <w:t>（其中</w:t>
            </w:r>
            <w:r>
              <w:rPr>
                <w:rFonts w:hint="eastAsia" w:hAnsi="Times New Roman"/>
                <w:sz w:val="24"/>
                <w:szCs w:val="24"/>
              </w:rPr>
              <w:t>林地</w:t>
            </w:r>
            <w:r>
              <w:rPr>
                <w:rFonts w:hAnsi="Times New Roman"/>
                <w:sz w:val="24"/>
                <w:szCs w:val="24"/>
              </w:rPr>
              <w:t>为</w:t>
            </w:r>
            <w:r>
              <w:rPr>
                <w:rFonts w:hint="eastAsia" w:hAnsi="Times New Roman"/>
                <w:sz w:val="24"/>
                <w:szCs w:val="24"/>
              </w:rPr>
              <w:t>9.45</w:t>
            </w:r>
            <w:r>
              <w:rPr>
                <w:rFonts w:hAnsi="Times New Roman"/>
                <w:sz w:val="24"/>
                <w:szCs w:val="24"/>
              </w:rPr>
              <w:t>亩，旱地为</w:t>
            </w:r>
            <w:r>
              <w:rPr>
                <w:rFonts w:hint="eastAsia" w:hAnsi="Times New Roman"/>
                <w:sz w:val="24"/>
                <w:szCs w:val="24"/>
              </w:rPr>
              <w:t>7.48</w:t>
            </w:r>
            <w:r>
              <w:rPr>
                <w:rFonts w:hAnsi="Times New Roman"/>
                <w:sz w:val="24"/>
                <w:szCs w:val="24"/>
              </w:rPr>
              <w:t>5亩）；永久占地改变了原有土地利用性质，对土地资源有一定影响。对被占用的土地，项目不存在房屋征占及搬迁人口，因此该项目不涉及生产安置人口。临时占地共</w:t>
            </w:r>
            <w:r>
              <w:rPr>
                <w:rFonts w:hint="eastAsia" w:hAnsi="Times New Roman"/>
                <w:sz w:val="24"/>
                <w:szCs w:val="24"/>
              </w:rPr>
              <w:t>4.14</w:t>
            </w:r>
            <w:r>
              <w:rPr>
                <w:rFonts w:hAnsi="Times New Roman"/>
                <w:sz w:val="24"/>
                <w:szCs w:val="24"/>
              </w:rPr>
              <w:t>亩（其中旱地</w:t>
            </w:r>
            <w:r>
              <w:rPr>
                <w:rFonts w:hint="eastAsia" w:hAnsi="Times New Roman"/>
                <w:sz w:val="24"/>
                <w:szCs w:val="24"/>
              </w:rPr>
              <w:t>4.14</w:t>
            </w:r>
            <w:r>
              <w:rPr>
                <w:rFonts w:hAnsi="Times New Roman"/>
                <w:sz w:val="24"/>
                <w:szCs w:val="24"/>
              </w:rPr>
              <w:t>亩）。在工程完工后临时占地进行复耕或植被恢复。不会对区域用地造成较大影响。</w:t>
            </w:r>
          </w:p>
          <w:p>
            <w:pPr>
              <w:pStyle w:val="62"/>
              <w:spacing w:line="360" w:lineRule="auto"/>
              <w:ind w:firstLine="480"/>
              <w:rPr>
                <w:rFonts w:hAnsi="Times New Roman"/>
                <w:sz w:val="24"/>
                <w:szCs w:val="24"/>
              </w:rPr>
            </w:pPr>
            <w:r>
              <w:rPr>
                <w:rFonts w:hAnsi="Times New Roman"/>
                <w:sz w:val="24"/>
                <w:szCs w:val="24"/>
              </w:rPr>
              <w:t>综上，项目施工对土地利用影响较小。</w:t>
            </w:r>
          </w:p>
          <w:p>
            <w:pPr>
              <w:spacing w:line="360" w:lineRule="auto"/>
              <w:ind w:firstLine="361" w:firstLineChars="150"/>
              <w:rPr>
                <w:rFonts w:ascii="Times New Roman" w:hAnsi="Times New Roman" w:cs="Times New Roman"/>
                <w:b/>
                <w:sz w:val="24"/>
              </w:rPr>
            </w:pPr>
            <w:r>
              <w:rPr>
                <w:rFonts w:ascii="Times New Roman" w:cs="Times New Roman"/>
                <w:b/>
                <w:sz w:val="24"/>
              </w:rPr>
              <w:t>（</w:t>
            </w:r>
            <w:r>
              <w:rPr>
                <w:rFonts w:ascii="Times New Roman" w:hAnsi="Times New Roman" w:cs="Times New Roman"/>
                <w:b/>
                <w:sz w:val="24"/>
              </w:rPr>
              <w:t>2</w:t>
            </w:r>
            <w:r>
              <w:rPr>
                <w:rFonts w:ascii="Times New Roman" w:cs="Times New Roman"/>
                <w:b/>
                <w:sz w:val="24"/>
              </w:rPr>
              <w:t>）对植被的影响分析</w:t>
            </w:r>
          </w:p>
          <w:p>
            <w:pPr>
              <w:pStyle w:val="62"/>
              <w:spacing w:line="360" w:lineRule="auto"/>
              <w:ind w:firstLine="480"/>
              <w:rPr>
                <w:rFonts w:hAnsi="Times New Roman"/>
                <w:sz w:val="24"/>
                <w:szCs w:val="24"/>
              </w:rPr>
            </w:pPr>
            <w:r>
              <w:rPr>
                <w:rFonts w:hint="eastAsia" w:hAnsi="Times New Roman"/>
                <w:sz w:val="24"/>
                <w:szCs w:val="24"/>
              </w:rPr>
              <w:t>项目对评价区植物种类和区系的影响主要是工程永久占地和临时占地对评价区内植被的直接破坏，这将造成其上生活着的植物体全部死亡。根据工程布置及现场踏勘，工程建设涉及的主要为林地、旱地，所受影响的物种主要是乔木等，还有少数人工种植的农作物和经济作物，受影响的野生植物主要是旱地常见杂草，多是滇东地区，其至云南省的常见种、广布种和外来种，如：紫茎泽兰、空心莲子草、北美紫菀、银胶菊、飞机草、鬼针草、野艾蒿、辣子草、小白酒草、稀莶、头花蓼、尼泊尔蓼、鹅肠菜、繁缕等，这些植物种群的大部分个体在影响区域以外广泛分布，工程影响到的只是植物种群的部分个体，不会导致植物物种濒危或灭绝，不会造成较大的生物多样性流失。</w:t>
            </w:r>
          </w:p>
          <w:p>
            <w:pPr>
              <w:pStyle w:val="15"/>
              <w:spacing w:line="360" w:lineRule="auto"/>
              <w:ind w:firstLine="480" w:firstLineChars="200"/>
              <w:rPr>
                <w:rFonts w:ascii="Times New Roman" w:hAnsi="Times New Roman" w:eastAsia="宋体" w:cs="Times New Roman"/>
                <w:color w:val="auto"/>
                <w:kern w:val="2"/>
              </w:rPr>
            </w:pPr>
            <w:r>
              <w:rPr>
                <w:rFonts w:hint="eastAsia" w:ascii="Times New Roman" w:hAnsi="Times New Roman" w:eastAsia="宋体" w:cs="Times New Roman"/>
                <w:color w:val="auto"/>
                <w:kern w:val="2"/>
              </w:rPr>
              <w:t>此外，项目区将会架起大量的太阳能光伏组件，这些组件遮光影响大面积的区域。受太阳能光伏组件遮挡，喜阳的禾本科植物将受到较大的不利影响，耐阴植物受影响不明显，喜阴植物由于适宜生境增加，个体数量将有一定程度的增多。本项目评价区分布的植物均为云南地区常见的植物种类，现场没有调查到国家和云南省重点保护野生植物种类分布，也没有调查到地方狭域特有植物种类分布。工程建设以临时占地为主，且以次生草丛植被为主，造成的植物资源影响有限，不会造成任何植物种类的在项目区域栖息地的丧失，不造成任何植物种类在评价区的消失。</w:t>
            </w:r>
          </w:p>
          <w:p>
            <w:pPr>
              <w:pStyle w:val="15"/>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为减少施工对植被的影响，在施工时先对征占地范围内的旱地、林地和草地覆盖区域表土进行剥离并堆存于临时表土堆场，工程结束后用于植被恢复和复耕覆土。项目</w:t>
            </w:r>
            <w:r>
              <w:rPr>
                <w:rFonts w:hint="eastAsia" w:ascii="Times New Roman" w:hAnsi="Times New Roman" w:eastAsia="宋体" w:cs="Times New Roman"/>
                <w:color w:val="auto"/>
                <w:kern w:val="2"/>
              </w:rPr>
              <w:t>太阳能电池板正下方部分宜布置喜阴的低小植物、农作物或草坪，且尽量保留原有的植被，选种可选择当地容易成活的常见植被，不能引进外来物种。根据项目可行性研究报告，本项目在光伏发电区可种植油用</w:t>
            </w:r>
            <w:r>
              <w:rPr>
                <w:rFonts w:hint="eastAsia" w:hAnsi="Times New Roman"/>
                <w:color w:val="auto"/>
              </w:rPr>
              <w:t>紫茎泽兰、鬼针草</w:t>
            </w:r>
            <w:r>
              <w:rPr>
                <w:rFonts w:hint="eastAsia" w:ascii="Times New Roman" w:hAnsi="Times New Roman" w:eastAsia="宋体" w:cs="Times New Roman"/>
                <w:color w:val="auto"/>
                <w:kern w:val="2"/>
              </w:rPr>
              <w:t>等当地常见植被。</w:t>
            </w:r>
          </w:p>
          <w:p>
            <w:pPr>
              <w:pStyle w:val="15"/>
              <w:spacing w:line="360" w:lineRule="auto"/>
              <w:ind w:firstLine="480" w:firstLineChars="200"/>
              <w:jc w:val="both"/>
              <w:rPr>
                <w:rFonts w:ascii="Times New Roman" w:hAnsi="Times New Roman" w:eastAsia="宋体" w:cs="Times New Roman"/>
                <w:color w:val="auto"/>
                <w:kern w:val="2"/>
              </w:rPr>
            </w:pPr>
            <w:r>
              <w:rPr>
                <w:rFonts w:hint="eastAsia" w:hAnsi="Times New Roman"/>
                <w:color w:val="auto"/>
              </w:rPr>
              <w:t>总体来说，本工程建设会对评价区内的植物资源产生一定的不利影响，工程占地将造成部分植物种群规模减小，但影响范围和程度有限，不会使评价区内的物种在空间分布格局和遗传结构上发生明显的改变，不会改变评价区的植物区系组成及造成某一种物种在该区域消失，影响很小。</w:t>
            </w:r>
          </w:p>
          <w:p>
            <w:pPr>
              <w:spacing w:line="360" w:lineRule="auto"/>
              <w:ind w:firstLine="361" w:firstLineChars="150"/>
              <w:rPr>
                <w:rFonts w:ascii="Times New Roman" w:hAnsi="Times New Roman" w:cs="Times New Roman"/>
                <w:b/>
                <w:sz w:val="24"/>
              </w:rPr>
            </w:pPr>
            <w:r>
              <w:rPr>
                <w:rFonts w:ascii="Times New Roman" w:cs="Times New Roman"/>
                <w:b/>
                <w:sz w:val="24"/>
              </w:rPr>
              <w:t>（</w:t>
            </w:r>
            <w:r>
              <w:rPr>
                <w:rFonts w:ascii="Times New Roman" w:hAnsi="Times New Roman" w:cs="Times New Roman"/>
                <w:b/>
                <w:sz w:val="24"/>
              </w:rPr>
              <w:t>3</w:t>
            </w:r>
            <w:r>
              <w:rPr>
                <w:rFonts w:ascii="Times New Roman" w:cs="Times New Roman"/>
                <w:b/>
                <w:sz w:val="24"/>
              </w:rPr>
              <w:t>）对动物的影响分析</w:t>
            </w:r>
          </w:p>
          <w:p>
            <w:pPr>
              <w:pStyle w:val="15"/>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本项目实施对陆生野生脊椎动物的影响在以下三方面：</w:t>
            </w:r>
            <w:r>
              <w:rPr>
                <w:rFonts w:hint="eastAsia" w:ascii="宋体" w:hAnsi="宋体" w:eastAsia="宋体" w:cs="宋体"/>
                <w:color w:val="auto"/>
              </w:rPr>
              <w:t>①</w:t>
            </w:r>
            <w:r>
              <w:rPr>
                <w:rFonts w:ascii="Times New Roman" w:hAnsi="Times New Roman" w:cs="Times New Roman"/>
                <w:color w:val="auto"/>
              </w:rPr>
              <w:t>施工对动物生境的干扰和破坏，如施工对动物栖息地的破坏等；</w:t>
            </w:r>
            <w:r>
              <w:rPr>
                <w:rFonts w:hint="eastAsia" w:ascii="宋体" w:hAnsi="宋体" w:eastAsia="宋体" w:cs="宋体"/>
                <w:color w:val="auto"/>
              </w:rPr>
              <w:t>②</w:t>
            </w:r>
            <w:r>
              <w:rPr>
                <w:rFonts w:ascii="Times New Roman" w:hAnsi="Times New Roman" w:cs="Times New Roman"/>
                <w:color w:val="auto"/>
              </w:rPr>
              <w:t>施工人员的人为干扰；</w:t>
            </w:r>
            <w:r>
              <w:rPr>
                <w:rFonts w:hint="eastAsia" w:ascii="宋体" w:hAnsi="宋体" w:eastAsia="宋体" w:cs="宋体"/>
                <w:color w:val="auto"/>
              </w:rPr>
              <w:t>③</w:t>
            </w:r>
            <w:r>
              <w:rPr>
                <w:rFonts w:ascii="Times New Roman" w:hAnsi="Times New Roman" w:cs="Times New Roman"/>
                <w:color w:val="auto"/>
              </w:rPr>
              <w:t>施工噪声对动物生境的破坏以及对动物的惊吓、驱赶等。影响的结果将使得大部分动物迁移它处，远离施工影响范围。</w:t>
            </w:r>
          </w:p>
          <w:p>
            <w:pPr>
              <w:pStyle w:val="15"/>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在评价区有较多的鸟类，偶尔会进入项目区，鸟类动物迁徙能力强，活动区域大，其性甚机警，在环境受到干扰时，会迅速迁移至其他相同或相似生境中，会通过迁移来避免工程建设对其的影响，因此，只要加强施工管理，项目建设对鸟类的影响不大。</w:t>
            </w:r>
          </w:p>
          <w:p>
            <w:pPr>
              <w:pStyle w:val="62"/>
              <w:spacing w:line="360" w:lineRule="auto"/>
              <w:ind w:firstLine="480"/>
              <w:rPr>
                <w:rFonts w:hAnsi="Times New Roman" w:eastAsiaTheme="minorEastAsia"/>
                <w:kern w:val="0"/>
                <w:sz w:val="24"/>
                <w:szCs w:val="24"/>
              </w:rPr>
            </w:pPr>
            <w:r>
              <w:rPr>
                <w:rFonts w:hint="eastAsia" w:hAnsi="Times New Roman" w:eastAsiaTheme="minorEastAsia"/>
                <w:kern w:val="0"/>
                <w:sz w:val="24"/>
                <w:szCs w:val="24"/>
              </w:rPr>
              <w:t>评价区的两栖类中主要分布在工程周边水域，与人类活动关系较密切。施工期将会产生一定的施工废水，若不经处理随意排放到水体中，会导致两栖类的生活环境恶化，破坏两栖类酸碱度平衡，影响其对外界环境的适应能力，导致栖息地缩小和种群及数量的减少。施工期各种机械噪声、施工人员生活噪声等也会驱赶评价区内的两栖类，使其远离工程区域，造成工程区域两栖类数量减少。人类活动对两栖类的影响主要是人为捕杀，捕杀将会造成部分个体死亡，但可通过对施工人员的宣传教育以及法律、制度约束可以有效的降低该影响。</w:t>
            </w:r>
          </w:p>
          <w:p>
            <w:pPr>
              <w:pStyle w:val="62"/>
              <w:spacing w:line="360" w:lineRule="auto"/>
              <w:ind w:firstLine="480"/>
              <w:rPr>
                <w:rFonts w:hAnsi="Times New Roman" w:eastAsiaTheme="minorEastAsia"/>
                <w:kern w:val="0"/>
                <w:sz w:val="24"/>
                <w:szCs w:val="24"/>
              </w:rPr>
            </w:pPr>
            <w:r>
              <w:rPr>
                <w:rFonts w:hint="eastAsia" w:hAnsi="Times New Roman" w:eastAsiaTheme="minorEastAsia"/>
                <w:kern w:val="0"/>
                <w:sz w:val="24"/>
                <w:szCs w:val="24"/>
              </w:rPr>
              <w:t>评价区森林减少，沿线缺手高大的树木，因此评价区不属于这两种国家保护鸟类的栖息地和筑巢地，仅是其觅食区域。工程对黑鸢和松雀鹰的影响主要是施工噪声和人类活动的驱赶。由于其活动范围大，而评价区面积较小，其仅在捕食过程中进入评价区，评价区周边还存在大量可供它们活动的场所，因此这种影响甚微，工程施工结束后这些影响将消失。施工期间，由于施工人员多，施工人员有可能会乱砍乱伐，破坏野生动物的生境，其至会直接将其捕猎，从而对其物种数量产生威胁，但这种影响是暂时和可控的，可通过对施工人员的宣传教育以及法律、制度约束可以有效的降低该影响。</w:t>
            </w:r>
          </w:p>
          <w:p>
            <w:pPr>
              <w:pStyle w:val="62"/>
              <w:spacing w:line="360" w:lineRule="auto"/>
              <w:ind w:firstLine="480"/>
              <w:rPr>
                <w:rFonts w:hAnsi="Times New Roman" w:eastAsiaTheme="minorEastAsia"/>
                <w:kern w:val="0"/>
                <w:sz w:val="24"/>
                <w:szCs w:val="24"/>
              </w:rPr>
            </w:pPr>
            <w:r>
              <w:rPr>
                <w:rFonts w:hAnsi="Times New Roman" w:eastAsiaTheme="minorEastAsia"/>
                <w:kern w:val="0"/>
                <w:sz w:val="24"/>
                <w:szCs w:val="24"/>
              </w:rPr>
              <w:t>评价区内的生态环境比较简单，不适宜野生动物的生存，同时周边有人类活动参与，大部分动物迁徙他处，不在评价区范围内活动。项目区分布的动物绝大多数为小型、常见的啮齿类小型动物，且多数对人类干扰有一定适应。项目的实施对野生动物的直接影响相对较小，通过加强对施工人员的环保教育，保护好野生动物，总体上项目实施对当地的动物影响不大。</w:t>
            </w:r>
          </w:p>
          <w:p>
            <w:pPr>
              <w:spacing w:line="360" w:lineRule="auto"/>
              <w:ind w:firstLine="361" w:firstLineChars="150"/>
              <w:rPr>
                <w:rFonts w:ascii="Times New Roman" w:hAnsi="Times New Roman" w:cs="Times New Roman"/>
                <w:b/>
                <w:sz w:val="24"/>
              </w:rPr>
            </w:pPr>
            <w:r>
              <w:rPr>
                <w:rFonts w:ascii="Times New Roman" w:cs="Times New Roman"/>
                <w:b/>
                <w:sz w:val="24"/>
              </w:rPr>
              <w:t>（</w:t>
            </w:r>
            <w:r>
              <w:rPr>
                <w:rFonts w:ascii="Times New Roman" w:hAnsi="Times New Roman" w:cs="Times New Roman"/>
                <w:b/>
                <w:sz w:val="24"/>
              </w:rPr>
              <w:t>4</w:t>
            </w:r>
            <w:r>
              <w:rPr>
                <w:rFonts w:ascii="Times New Roman" w:cs="Times New Roman"/>
                <w:b/>
                <w:sz w:val="24"/>
              </w:rPr>
              <w:t>）对水土流失的影响分析</w:t>
            </w:r>
          </w:p>
          <w:p>
            <w:pPr>
              <w:pStyle w:val="15"/>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由于</w:t>
            </w:r>
            <w:r>
              <w:rPr>
                <w:rFonts w:hint="eastAsia" w:ascii="Times New Roman" w:hAnsi="Times New Roman" w:cs="Times New Roman"/>
                <w:color w:val="auto"/>
              </w:rPr>
              <w:t>项目</w:t>
            </w:r>
            <w:r>
              <w:rPr>
                <w:rFonts w:ascii="Times New Roman" w:hAnsi="Times New Roman" w:cs="Times New Roman"/>
                <w:color w:val="auto"/>
              </w:rPr>
              <w:t>的建设，使得项目区征占地范围内的原地貌遭到不同程度的破坏、开挖及占压，地表抗侵蚀能力下降，破坏了原地表的原有水土保持功能，如不采取水土保持措施，扰动后的土壤侵蚀量也将大幅度增加。</w:t>
            </w:r>
          </w:p>
          <w:p>
            <w:pPr>
              <w:pStyle w:val="62"/>
              <w:spacing w:line="360" w:lineRule="auto"/>
              <w:ind w:firstLine="480"/>
              <w:rPr>
                <w:rFonts w:hAnsi="Times New Roman"/>
                <w:sz w:val="24"/>
                <w:szCs w:val="24"/>
              </w:rPr>
            </w:pPr>
            <w:r>
              <w:rPr>
                <w:rFonts w:hAnsi="Times New Roman"/>
                <w:sz w:val="24"/>
                <w:szCs w:val="24"/>
              </w:rPr>
              <w:t>项目新建光伏泵站、提水管道及水池等用地，建设过程中土方开挖、临时堆土等必然扰动原地表，损坏原地表土壤、植被，并形成松散堆积体，易造成新的水土流失。</w:t>
            </w:r>
            <w:r>
              <w:rPr>
                <w:rFonts w:hint="eastAsia" w:hAnsi="Times New Roman"/>
                <w:sz w:val="24"/>
                <w:szCs w:val="24"/>
              </w:rPr>
              <w:t>经现场勘查，项目选址已尽可能避让了植被相对较好的区域，用地大部分为其他林地、旱地，项目建设完成后，在光伏板下及泵站处种植当地灌木植被及草本植被等，项目建设一定程度上能够缓解目前区域水土流失现状，对水土流失影响起到积极作用。</w:t>
            </w:r>
            <w:r>
              <w:rPr>
                <w:rFonts w:hAnsi="Times New Roman"/>
                <w:sz w:val="24"/>
                <w:szCs w:val="24"/>
              </w:rPr>
              <w:t>该项目水土保持措施工程量主要包括工程措施、植物措施和临时措施，</w:t>
            </w:r>
            <w:r>
              <w:rPr>
                <w:rFonts w:hint="eastAsia" w:hAnsi="Times New Roman"/>
                <w:sz w:val="24"/>
                <w:szCs w:val="24"/>
              </w:rPr>
              <w:t>具体包括对项目</w:t>
            </w:r>
            <w:r>
              <w:rPr>
                <w:rFonts w:hAnsi="Times New Roman"/>
                <w:sz w:val="24"/>
                <w:szCs w:val="24"/>
              </w:rPr>
              <w:t>工程区</w:t>
            </w:r>
            <w:r>
              <w:rPr>
                <w:rFonts w:hint="eastAsia" w:hAnsi="Times New Roman"/>
                <w:sz w:val="24"/>
                <w:szCs w:val="24"/>
              </w:rPr>
              <w:t>和</w:t>
            </w:r>
            <w:r>
              <w:rPr>
                <w:rFonts w:hAnsi="Times New Roman"/>
                <w:sz w:val="24"/>
                <w:szCs w:val="24"/>
              </w:rPr>
              <w:t>施工生产区</w:t>
            </w:r>
            <w:r>
              <w:rPr>
                <w:rFonts w:hint="eastAsia" w:hAnsi="Times New Roman"/>
                <w:sz w:val="24"/>
                <w:szCs w:val="24"/>
              </w:rPr>
              <w:t>采取工程措施及植物措施，对各区域表土进行单独收集并全部用于覆土，对临时占用的管道工程各行、表土堆场及施工生产区的旱地进行复耕。</w:t>
            </w:r>
          </w:p>
          <w:p>
            <w:pPr>
              <w:pStyle w:val="15"/>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通过以上工程措施、植物措施，可以有效控制新增水土流失数量，维护项目区生态环境。各项水土保持措施实施后，水土流失治理度达到99.99%，植被恢复率达到99%，各项指标都能达到防治目标值。</w:t>
            </w:r>
          </w:p>
          <w:p>
            <w:pPr>
              <w:spacing w:line="360" w:lineRule="auto"/>
              <w:ind w:firstLine="361" w:firstLineChars="150"/>
              <w:rPr>
                <w:rFonts w:ascii="Times New Roman" w:hAnsi="Times New Roman" w:cs="Times New Roman"/>
                <w:b/>
                <w:sz w:val="24"/>
              </w:rPr>
            </w:pPr>
            <w:r>
              <w:rPr>
                <w:rFonts w:ascii="Times New Roman" w:cs="Times New Roman"/>
                <w:b/>
                <w:sz w:val="24"/>
              </w:rPr>
              <w:t>（</w:t>
            </w:r>
            <w:r>
              <w:rPr>
                <w:rFonts w:ascii="Times New Roman" w:hAnsi="Times New Roman" w:cs="Times New Roman"/>
                <w:b/>
                <w:sz w:val="24"/>
              </w:rPr>
              <w:t>5</w:t>
            </w:r>
            <w:r>
              <w:rPr>
                <w:rFonts w:ascii="Times New Roman" w:cs="Times New Roman"/>
                <w:b/>
                <w:sz w:val="24"/>
              </w:rPr>
              <w:t>）水生生态的影响分析</w:t>
            </w:r>
          </w:p>
          <w:p>
            <w:pPr>
              <w:pStyle w:val="15"/>
              <w:spacing w:line="360" w:lineRule="auto"/>
              <w:ind w:firstLine="480" w:firstLineChars="200"/>
              <w:jc w:val="both"/>
              <w:rPr>
                <w:rFonts w:ascii="Times New Roman" w:hAnsi="Times New Roman" w:cs="Times New Roman"/>
                <w:color w:val="auto"/>
              </w:rPr>
            </w:pPr>
            <w:r>
              <w:rPr>
                <w:rFonts w:ascii="Times New Roman" w:hAnsi="Times New Roman" w:eastAsia="宋体" w:cs="Times New Roman"/>
                <w:color w:val="auto"/>
                <w:kern w:val="2"/>
              </w:rPr>
              <w:t>项目</w:t>
            </w:r>
            <w:r>
              <w:rPr>
                <w:rFonts w:hint="eastAsia" w:ascii="Times New Roman" w:hAnsi="Times New Roman" w:cs="Times New Roman"/>
                <w:color w:val="auto"/>
              </w:rPr>
              <w:t>一级取水泵站所设置的主要为浮箱、潜水泵及软管，不用开挖及回填。</w:t>
            </w:r>
            <w:r>
              <w:rPr>
                <w:rFonts w:hAnsi="Times New Roman"/>
                <w:color w:val="auto"/>
              </w:rPr>
              <w:t>项目的施工</w:t>
            </w:r>
            <w:r>
              <w:rPr>
                <w:rFonts w:ascii="Times New Roman" w:hAnsi="Times New Roman" w:eastAsia="宋体" w:cs="Times New Roman"/>
                <w:color w:val="auto"/>
                <w:kern w:val="2"/>
              </w:rPr>
              <w:t>对水生生态的影响不大。</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4.1.</w:t>
            </w:r>
            <w:r>
              <w:rPr>
                <w:rFonts w:hint="eastAsia" w:ascii="Times New Roman" w:hAnsi="Times New Roman" w:cs="Times New Roman"/>
                <w:b/>
                <w:sz w:val="24"/>
                <w:szCs w:val="24"/>
              </w:rPr>
              <w:t xml:space="preserve">2 </w:t>
            </w:r>
            <w:r>
              <w:rPr>
                <w:rFonts w:ascii="Times New Roman" w:hAnsi="Times New Roman" w:cs="Times New Roman"/>
                <w:b/>
                <w:sz w:val="24"/>
                <w:szCs w:val="24"/>
              </w:rPr>
              <w:t>大气环境影响分析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施工期间的废气主要</w:t>
            </w:r>
            <w:r>
              <w:rPr>
                <w:rFonts w:hint="eastAsia" w:ascii="Times New Roman" w:hAnsi="Times New Roman" w:cs="Times New Roman"/>
                <w:sz w:val="24"/>
                <w:szCs w:val="24"/>
              </w:rPr>
              <w:t>为施工扬尘和</w:t>
            </w:r>
            <w:r>
              <w:rPr>
                <w:rFonts w:ascii="Times New Roman" w:hAnsi="Times New Roman" w:cs="Times New Roman"/>
                <w:sz w:val="24"/>
                <w:szCs w:val="24"/>
              </w:rPr>
              <w:t>施工机械、车辆废气</w:t>
            </w:r>
            <w:r>
              <w:rPr>
                <w:rFonts w:hint="eastAsia" w:ascii="Times New Roman" w:hAnsi="Times New Roman" w:cs="Times New Roman"/>
                <w:sz w:val="24"/>
                <w:szCs w:val="24"/>
              </w:rPr>
              <w:t>，其中扬尘</w:t>
            </w:r>
            <w:r>
              <w:rPr>
                <w:rFonts w:ascii="Times New Roman" w:hAnsi="Times New Roman" w:cs="Times New Roman"/>
                <w:sz w:val="24"/>
                <w:szCs w:val="24"/>
              </w:rPr>
              <w:t>包括</w:t>
            </w:r>
            <w:r>
              <w:rPr>
                <w:rFonts w:hint="eastAsia" w:ascii="Times New Roman" w:hAnsi="Times New Roman" w:cs="Times New Roman"/>
                <w:sz w:val="24"/>
                <w:szCs w:val="24"/>
              </w:rPr>
              <w:t>施工作业场地土石方开挖、回填、砂石料装卸、</w:t>
            </w:r>
            <w:r>
              <w:rPr>
                <w:rFonts w:ascii="Times New Roman" w:hAnsi="Times New Roman" w:cs="Times New Roman"/>
                <w:sz w:val="24"/>
                <w:szCs w:val="24"/>
              </w:rPr>
              <w:t>施工场地扬尘、混凝土系统</w:t>
            </w:r>
            <w:r>
              <w:rPr>
                <w:rFonts w:hint="eastAsia" w:ascii="Times New Roman" w:hAnsi="Times New Roman" w:cs="Times New Roman"/>
                <w:sz w:val="24"/>
                <w:szCs w:val="24"/>
              </w:rPr>
              <w:t>扬尘、</w:t>
            </w:r>
            <w:r>
              <w:rPr>
                <w:rFonts w:ascii="Times New Roman" w:hAnsi="Times New Roman" w:cs="Times New Roman"/>
                <w:sz w:val="24"/>
                <w:szCs w:val="24"/>
              </w:rPr>
              <w:t>临时</w:t>
            </w:r>
            <w:r>
              <w:rPr>
                <w:rFonts w:hint="eastAsia" w:ascii="Times New Roman" w:hAnsi="Times New Roman" w:cs="Times New Roman"/>
                <w:sz w:val="24"/>
                <w:szCs w:val="24"/>
              </w:rPr>
              <w:t>表土堆场扬尘和运输扬尘。具体环境影响分析如下。</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（1）施工扬尘</w:t>
            </w:r>
            <w:r>
              <w:rPr>
                <w:rFonts w:hint="eastAsia" w:ascii="Times New Roman" w:hAnsi="Times New Roman" w:cs="Times New Roman"/>
                <w:b/>
                <w:sz w:val="24"/>
                <w:szCs w:val="24"/>
              </w:rPr>
              <w:t>环境</w:t>
            </w:r>
            <w:r>
              <w:rPr>
                <w:rFonts w:ascii="Times New Roman" w:hAnsi="Times New Roman" w:cs="Times New Roman"/>
                <w:b/>
                <w:sz w:val="24"/>
                <w:szCs w:val="24"/>
              </w:rPr>
              <w:t>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该</w:t>
            </w:r>
            <w:r>
              <w:rPr>
                <w:rFonts w:ascii="Times New Roman" w:hAnsi="Times New Roman" w:cs="Times New Roman"/>
                <w:sz w:val="24"/>
                <w:szCs w:val="24"/>
              </w:rPr>
              <w:t>项目属于</w:t>
            </w:r>
            <w:r>
              <w:rPr>
                <w:rFonts w:hint="eastAsia" w:hAnsi="Times New Roman"/>
                <w:sz w:val="24"/>
                <w:szCs w:val="24"/>
              </w:rPr>
              <w:t>引水</w:t>
            </w:r>
            <w:r>
              <w:rPr>
                <w:rFonts w:ascii="Times New Roman" w:hAnsi="Times New Roman" w:cs="Times New Roman"/>
                <w:sz w:val="24"/>
                <w:szCs w:val="24"/>
              </w:rPr>
              <w:t>工程项目，</w:t>
            </w:r>
            <w:r>
              <w:rPr>
                <w:rFonts w:hint="eastAsia" w:ascii="Times New Roman" w:hAnsi="Times New Roman" w:cs="Times New Roman"/>
                <w:sz w:val="24"/>
                <w:szCs w:val="24"/>
              </w:rPr>
              <w:t>施工期主要建设内容包括</w:t>
            </w:r>
            <w:r>
              <w:rPr>
                <w:rFonts w:ascii="Times New Roman" w:hAnsi="Times New Roman" w:cs="Times New Roman"/>
                <w:sz w:val="24"/>
                <w:szCs w:val="24"/>
              </w:rPr>
              <w:t>新建</w:t>
            </w:r>
            <w:r>
              <w:rPr>
                <w:rFonts w:hint="eastAsia" w:ascii="Times New Roman" w:hAnsi="Times New Roman" w:cs="Times New Roman"/>
                <w:sz w:val="24"/>
                <w:szCs w:val="24"/>
              </w:rPr>
              <w:t>施工生产区、光伏泵站、提水管道及水池。</w:t>
            </w:r>
            <w:r>
              <w:rPr>
                <w:rFonts w:ascii="Times New Roman" w:hAnsi="Times New Roman" w:cs="Times New Roman"/>
                <w:sz w:val="24"/>
                <w:szCs w:val="24"/>
              </w:rPr>
              <w:t>施工过程中基础开挖、土石方回填等引起的局地</w:t>
            </w:r>
            <w:r>
              <w:rPr>
                <w:rFonts w:hint="eastAsia" w:ascii="Times New Roman" w:hAnsi="Times New Roman" w:cs="Times New Roman"/>
                <w:sz w:val="24"/>
                <w:szCs w:val="24"/>
              </w:rPr>
              <w:t>扬尘</w:t>
            </w:r>
            <w:r>
              <w:rPr>
                <w:rFonts w:ascii="Times New Roman" w:hAnsi="Times New Roman" w:cs="Times New Roman"/>
                <w:sz w:val="24"/>
                <w:szCs w:val="24"/>
              </w:rPr>
              <w:t>污染。在项目施工建设过程中，由于土方开挖、回填土石方造成地表裸露，建筑施工会产生不同影响程度的地面扬尘，扬尘呈无组织排放，在干季风大的情况下，以上建筑过程会导致施工现场扬尘飞扬，使空气中扬尘颗粒物浓度升高，影响所在地周围的空气环境质量。施工期各施工工序产生的扬尘产生量与施工范围、方式方法、空气干湿度、气象等诸多因素有关，是一个复杂较难定量的问题。</w:t>
            </w:r>
            <w:r>
              <w:rPr>
                <w:rFonts w:hint="eastAsia" w:ascii="Times New Roman" w:hAnsi="Times New Roman" w:cs="Times New Roman"/>
                <w:sz w:val="24"/>
                <w:szCs w:val="24"/>
              </w:rPr>
              <w:t>根据</w:t>
            </w:r>
            <w:r>
              <w:rPr>
                <w:rFonts w:ascii="Times New Roman" w:hAnsi="Times New Roman" w:cs="Times New Roman"/>
                <w:sz w:val="24"/>
                <w:szCs w:val="24"/>
              </w:rPr>
              <w:t>北京市环境科学研究院对7个建筑工程工地施工扬尘进行了测定，测定结果表明：建筑施工扬尘的影响范围为其下风向150m之内，被影响地区的TSP浓度平均值为0.491mg/m³，</w:t>
            </w:r>
            <w:r>
              <w:rPr>
                <w:rFonts w:hint="eastAsia" w:ascii="Times New Roman" w:hAnsi="Times New Roman" w:cs="Times New Roman"/>
                <w:sz w:val="24"/>
                <w:szCs w:val="24"/>
              </w:rPr>
              <w:t>约为</w:t>
            </w:r>
            <w:r>
              <w:rPr>
                <w:rFonts w:ascii="Times New Roman" w:hAnsi="Times New Roman" w:cs="Times New Roman"/>
                <w:sz w:val="24"/>
                <w:szCs w:val="24"/>
              </w:rPr>
              <w:t>《环境空气质量标准》中二级标准限值的1.6倍。当风速＞2.5m/s时</w:t>
            </w:r>
            <w:r>
              <w:rPr>
                <w:rFonts w:hint="eastAsia" w:ascii="Times New Roman" w:hAnsi="Times New Roman" w:cs="Times New Roman"/>
                <w:sz w:val="24"/>
                <w:szCs w:val="24"/>
              </w:rPr>
              <w:t>，</w:t>
            </w:r>
            <w:r>
              <w:rPr>
                <w:rFonts w:ascii="Times New Roman" w:hAnsi="Times New Roman" w:cs="Times New Roman"/>
                <w:sz w:val="24"/>
                <w:szCs w:val="24"/>
              </w:rPr>
              <w:t>施工扬尘的影响范围变大，特别下风向超标范围将更大</w:t>
            </w:r>
            <w:r>
              <w:rPr>
                <w:rFonts w:hint="eastAsia" w:ascii="Times New Roman" w:hAnsi="Times New Roman" w:cs="Times New Roman"/>
                <w:sz w:val="24"/>
                <w:szCs w:val="24"/>
              </w:rPr>
              <w:t>；为此建设单位拟对</w:t>
            </w:r>
            <w:r>
              <w:rPr>
                <w:rFonts w:ascii="Times New Roman" w:hAnsi="Times New Roman" w:cs="Times New Roman"/>
                <w:sz w:val="24"/>
                <w:szCs w:val="24"/>
              </w:rPr>
              <w:t>施工场地采取洒水抑尘</w:t>
            </w:r>
            <w:r>
              <w:rPr>
                <w:rFonts w:hint="eastAsia" w:ascii="Times New Roman" w:hAnsi="Times New Roman" w:cs="Times New Roman"/>
                <w:sz w:val="24"/>
                <w:szCs w:val="24"/>
              </w:rPr>
              <w:t>措施，</w:t>
            </w:r>
            <w:r>
              <w:rPr>
                <w:rFonts w:ascii="Times New Roman" w:hAnsi="Times New Roman" w:cs="Times New Roman"/>
                <w:sz w:val="24"/>
                <w:szCs w:val="24"/>
              </w:rPr>
              <w:t>扬尘量将减低28%</w:t>
            </w:r>
            <w:r>
              <w:rPr>
                <w:rFonts w:hint="eastAsia" w:ascii="Times New Roman" w:hAnsi="Times New Roman" w:cs="Times New Roman"/>
                <w:sz w:val="24"/>
                <w:szCs w:val="24"/>
              </w:rPr>
              <w:t>-</w:t>
            </w:r>
            <w:r>
              <w:rPr>
                <w:rFonts w:ascii="Times New Roman" w:hAnsi="Times New Roman" w:cs="Times New Roman"/>
                <w:sz w:val="24"/>
                <w:szCs w:val="24"/>
              </w:rPr>
              <w:t>75%，</w:t>
            </w:r>
            <w:r>
              <w:rPr>
                <w:rFonts w:hint="eastAsia" w:ascii="Times New Roman" w:hAnsi="Times New Roman" w:cs="Times New Roman"/>
                <w:sz w:val="24"/>
                <w:szCs w:val="24"/>
              </w:rPr>
              <w:t>可有效</w:t>
            </w:r>
            <w:r>
              <w:rPr>
                <w:rFonts w:ascii="Times New Roman" w:hAnsi="Times New Roman" w:cs="Times New Roman"/>
                <w:sz w:val="24"/>
                <w:szCs w:val="24"/>
              </w:rPr>
              <w:t>减少了扬尘</w:t>
            </w:r>
            <w:r>
              <w:rPr>
                <w:rFonts w:hint="eastAsia" w:ascii="Times New Roman" w:hAnsi="Times New Roman" w:cs="Times New Roman"/>
                <w:sz w:val="24"/>
                <w:szCs w:val="24"/>
              </w:rPr>
              <w:t>的排放，降低施工场地扬尘对环境的影响，又由于项目属于线性工程，局部地方施工时间较短，随着施工期的结束，施工对环境的影响结束，因此项目施工场地扬尘对环境影响较小。</w:t>
            </w:r>
          </w:p>
          <w:p>
            <w:pPr>
              <w:pStyle w:val="42"/>
              <w:ind w:firstLine="480"/>
            </w:pPr>
            <w:r>
              <w:t>汽车运输产生的道路扬尘量与车型、车速、车流量、风速、道路表面积尘、尘土湿度等有关。车辆道路扬尘为线源污染，扬尘在道路两侧扩散，最大起尘浓度出现在道路两侧，随离散距离的增加浓度逐渐降低，最终可达背景值。</w:t>
            </w:r>
            <w:r>
              <w:rPr>
                <w:rFonts w:hint="eastAsia"/>
              </w:rPr>
              <w:t>根据类似施工场地对运输车辆产生的扬尘进行测定，运输车辆下风向50m处尘土浓度为11mg/m</w:t>
            </w:r>
            <w:r>
              <w:rPr>
                <w:rFonts w:hint="eastAsia"/>
                <w:vertAlign w:val="superscript"/>
              </w:rPr>
              <w:t>3</w:t>
            </w:r>
            <w:r>
              <w:rPr>
                <w:rFonts w:hint="eastAsia"/>
              </w:rPr>
              <w:t>，下风向150m处粉尘浓度5mg/m</w:t>
            </w:r>
            <w:r>
              <w:rPr>
                <w:rFonts w:hint="eastAsia"/>
                <w:vertAlign w:val="superscript"/>
              </w:rPr>
              <w:t>3</w:t>
            </w:r>
            <w:r>
              <w:rPr>
                <w:rFonts w:hint="eastAsia"/>
              </w:rPr>
              <w:t>，远远超过环境空气质量二级标准的日均值。</w:t>
            </w:r>
            <w:r>
              <w:t>项目运输道路与周围村庄住户的距离较近，为减轻施工运输期间产生的扬尘对周围村子的影响，运输车辆不得过度装载并需对运输车辆进行加盖篷布，防止运输过程中施工材料的洒落。必要时适当对运输道路进行洒水，以减轻车辆行驶时产生的扬尘量。</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针对上述扬尘产生情况，环评要求建设方应采取以下措施：加强施工场地、运输道路洒水降尘，对运输车辆加盖篷布，经过村庄的管段施工时设置围挡，经过以上措施后，扬尘量大幅度降低，对周围环境影响较小。</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w:t>
            </w:r>
            <w:r>
              <w:rPr>
                <w:rFonts w:ascii="Times New Roman" w:hAnsi="Times New Roman" w:cs="Times New Roman"/>
                <w:b/>
                <w:sz w:val="24"/>
                <w:szCs w:val="24"/>
              </w:rPr>
              <w:t>混凝土系统</w:t>
            </w:r>
            <w:r>
              <w:rPr>
                <w:rFonts w:hint="eastAsia" w:ascii="Times New Roman" w:hAnsi="Times New Roman" w:cs="Times New Roman"/>
                <w:b/>
                <w:sz w:val="24"/>
                <w:szCs w:val="24"/>
              </w:rPr>
              <w:t>扬尘环境</w:t>
            </w:r>
            <w:r>
              <w:rPr>
                <w:rFonts w:ascii="Times New Roman" w:hAnsi="Times New Roman" w:cs="Times New Roman"/>
                <w:b/>
                <w:sz w:val="24"/>
                <w:szCs w:val="24"/>
              </w:rPr>
              <w:t>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根据设计</w:t>
            </w:r>
            <w:r>
              <w:rPr>
                <w:rFonts w:ascii="Times New Roman" w:hAnsi="Times New Roman" w:cs="Times New Roman"/>
                <w:sz w:val="24"/>
                <w:szCs w:val="24"/>
              </w:rPr>
              <w:t>，</w:t>
            </w:r>
            <w:r>
              <w:rPr>
                <w:rFonts w:hint="eastAsia" w:ascii="Times New Roman" w:hAnsi="Times New Roman" w:cs="Times New Roman"/>
                <w:sz w:val="24"/>
                <w:szCs w:val="24"/>
              </w:rPr>
              <w:t>该项目施工期间，</w:t>
            </w:r>
            <w:r>
              <w:rPr>
                <w:rFonts w:ascii="Times New Roman" w:hAnsi="Times New Roman" w:cs="Times New Roman"/>
                <w:sz w:val="24"/>
                <w:szCs w:val="24"/>
              </w:rPr>
              <w:t>在</w:t>
            </w:r>
            <w:r>
              <w:rPr>
                <w:rFonts w:hint="eastAsia" w:ascii="Times New Roman" w:hAnsi="Times New Roman" w:cs="Times New Roman"/>
                <w:sz w:val="24"/>
                <w:szCs w:val="24"/>
              </w:rPr>
              <w:t>3个施工生产区</w:t>
            </w:r>
            <w:r>
              <w:rPr>
                <w:rFonts w:ascii="Times New Roman" w:hAnsi="Times New Roman" w:cs="Times New Roman"/>
                <w:sz w:val="24"/>
                <w:szCs w:val="24"/>
              </w:rPr>
              <w:t>布置0.35m³移动式混凝土搅拌机</w:t>
            </w:r>
            <w:r>
              <w:rPr>
                <w:rFonts w:hint="eastAsia" w:ascii="Times New Roman" w:hAnsi="Times New Roman" w:cs="Times New Roman"/>
                <w:sz w:val="24"/>
                <w:szCs w:val="24"/>
              </w:rPr>
              <w:t>3</w:t>
            </w:r>
            <w:r>
              <w:rPr>
                <w:rFonts w:ascii="Times New Roman" w:hAnsi="Times New Roman" w:cs="Times New Roman"/>
                <w:sz w:val="24"/>
                <w:szCs w:val="24"/>
              </w:rPr>
              <w:t>台及0.20m³移动式砂浆搅拌机</w:t>
            </w:r>
            <w:r>
              <w:rPr>
                <w:rFonts w:hint="eastAsia" w:ascii="Times New Roman" w:hAnsi="Times New Roman" w:cs="Times New Roman"/>
                <w:sz w:val="24"/>
                <w:szCs w:val="24"/>
              </w:rPr>
              <w:t>3</w:t>
            </w:r>
            <w:r>
              <w:rPr>
                <w:rFonts w:ascii="Times New Roman" w:hAnsi="Times New Roman" w:cs="Times New Roman"/>
                <w:sz w:val="24"/>
                <w:szCs w:val="24"/>
              </w:rPr>
              <w:t>台供给项目的建设使用</w:t>
            </w:r>
            <w:r>
              <w:rPr>
                <w:rFonts w:hint="eastAsia" w:ascii="Times New Roman" w:hAnsi="Times New Roman" w:cs="Times New Roman"/>
                <w:sz w:val="24"/>
                <w:szCs w:val="24"/>
              </w:rPr>
              <w:t>，该混凝土搅拌机为移动式设备，在人工加料加料过程中会产生一定量扬尘，参考</w:t>
            </w:r>
            <w:r>
              <w:rPr>
                <w:rFonts w:ascii="Times New Roman" w:hAnsi="Times New Roman" w:cs="Times New Roman"/>
                <w:sz w:val="24"/>
                <w:szCs w:val="24"/>
              </w:rPr>
              <w:t>《逸散性工业扬尘控制技术》中混凝土搅拌厂逸散尘排放因子，表22-1中数据，装水泥、砂和粒料入搅拌机的扬尘产生系数为0.02kg/t（装料），</w:t>
            </w:r>
            <w:r>
              <w:rPr>
                <w:rFonts w:hint="eastAsia" w:ascii="Times New Roman" w:hAnsi="Times New Roman" w:cs="Times New Roman"/>
                <w:sz w:val="24"/>
                <w:szCs w:val="24"/>
              </w:rPr>
              <w:t>根据设计，项目整个施工期用混凝土量约为4476t，则粉尘产生量约为0.1t，为降低人工装料过程产生的扬尘，项目拟采取洒水抑尘措施，扬尘去除效率约为50%，则整个施工期</w:t>
            </w:r>
            <w:r>
              <w:rPr>
                <w:rFonts w:ascii="Times New Roman" w:hAnsi="Times New Roman" w:cs="Times New Roman"/>
                <w:sz w:val="24"/>
                <w:szCs w:val="24"/>
              </w:rPr>
              <w:t>混凝土系统</w:t>
            </w:r>
            <w:r>
              <w:rPr>
                <w:rFonts w:hint="eastAsia" w:ascii="Times New Roman" w:hAnsi="Times New Roman" w:cs="Times New Roman"/>
                <w:sz w:val="24"/>
                <w:szCs w:val="24"/>
              </w:rPr>
              <w:t>扬尘排放量约为0.05t，由于</w:t>
            </w:r>
            <w:r>
              <w:rPr>
                <w:rFonts w:ascii="Times New Roman" w:hAnsi="Times New Roman" w:cs="Times New Roman"/>
                <w:sz w:val="24"/>
                <w:szCs w:val="24"/>
              </w:rPr>
              <w:t>混凝土系统</w:t>
            </w:r>
            <w:r>
              <w:rPr>
                <w:rFonts w:hint="eastAsia" w:ascii="Times New Roman" w:hAnsi="Times New Roman" w:cs="Times New Roman"/>
                <w:sz w:val="24"/>
                <w:szCs w:val="24"/>
              </w:rPr>
              <w:t>为移动式，在局部排放量不大，对大气环境影响较小。</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（3）</w:t>
            </w:r>
            <w:r>
              <w:rPr>
                <w:rFonts w:ascii="Times New Roman" w:hAnsi="Times New Roman" w:cs="Times New Roman"/>
                <w:b/>
                <w:sz w:val="24"/>
                <w:szCs w:val="24"/>
              </w:rPr>
              <w:t>临时</w:t>
            </w:r>
            <w:r>
              <w:rPr>
                <w:rFonts w:hint="eastAsia" w:ascii="Times New Roman" w:hAnsi="Times New Roman" w:cs="Times New Roman"/>
                <w:b/>
                <w:sz w:val="24"/>
                <w:szCs w:val="24"/>
              </w:rPr>
              <w:t>表土堆场扬尘环境</w:t>
            </w:r>
            <w:r>
              <w:rPr>
                <w:rFonts w:ascii="Times New Roman" w:hAnsi="Times New Roman" w:cs="Times New Roman"/>
                <w:b/>
                <w:sz w:val="24"/>
                <w:szCs w:val="24"/>
              </w:rPr>
              <w:t>影响分析</w:t>
            </w:r>
          </w:p>
          <w:p>
            <w:pPr>
              <w:pStyle w:val="42"/>
              <w:ind w:firstLine="480"/>
            </w:pPr>
            <w:r>
              <w:rPr>
                <w:rFonts w:hint="eastAsia"/>
              </w:rPr>
              <w:t>根据设计，项目拟设置3个临时表土堆场，将施工开挖产生的表土暂存后，用于</w:t>
            </w:r>
            <w:r>
              <w:t>植</w:t>
            </w:r>
            <w:r>
              <w:rPr>
                <w:rFonts w:hint="eastAsia"/>
              </w:rPr>
              <w:t>被</w:t>
            </w:r>
            <w:r>
              <w:t>复耕覆土</w:t>
            </w:r>
            <w:r>
              <w:rPr>
                <w:rFonts w:hint="eastAsia"/>
              </w:rPr>
              <w:t>，其中1#临时表土堆场位于1#施工生产区，占地面积为400m</w:t>
            </w:r>
            <w:r>
              <w:rPr>
                <w:rFonts w:hint="eastAsia"/>
                <w:vertAlign w:val="superscript"/>
              </w:rPr>
              <w:t>2</w:t>
            </w:r>
            <w:r>
              <w:rPr>
                <w:rFonts w:hint="eastAsia"/>
              </w:rPr>
              <w:t>；2#临时表土堆场位于2#施工生产区，占地面积为100</w:t>
            </w:r>
            <w:r>
              <w:t>m</w:t>
            </w:r>
            <w:r>
              <w:rPr>
                <w:rFonts w:hint="eastAsia"/>
                <w:vertAlign w:val="superscript"/>
              </w:rPr>
              <w:t>2</w:t>
            </w:r>
            <w:r>
              <w:rPr>
                <w:rFonts w:hint="eastAsia"/>
              </w:rPr>
              <w:t>；3#临时表土堆场位于3#施工生产区，占地面积为100m</w:t>
            </w:r>
            <w:r>
              <w:rPr>
                <w:rFonts w:hint="eastAsia"/>
                <w:vertAlign w:val="superscript"/>
              </w:rPr>
              <w:t>2</w:t>
            </w:r>
            <w:r>
              <w:rPr>
                <w:rFonts w:hint="eastAsia"/>
              </w:rPr>
              <w:t>。</w:t>
            </w:r>
            <w:r>
              <w:t>本环评按照《排放源统计调查产排污核算方法和系数手册》中“</w:t>
            </w:r>
            <w:r>
              <w:rPr>
                <w:rFonts w:hint="eastAsia"/>
              </w:rPr>
              <w:t>工业源固体物料堆场颗粒物核算系数手册</w:t>
            </w:r>
            <w:r>
              <w:t>”提供的数据进行核算。颗粒物产生量核算公式如下：</w:t>
            </w:r>
          </w:p>
          <w:p>
            <w:pPr>
              <w:autoSpaceDE w:val="0"/>
              <w:autoSpaceDN w:val="0"/>
              <w:adjustRightInd w:val="0"/>
              <w:spacing w:line="360" w:lineRule="auto"/>
              <w:ind w:firstLine="1200" w:firstLineChars="500"/>
              <w:rPr>
                <w:rFonts w:ascii="Times New Roman" w:hAnsi="Times New Roman" w:cs="Times New Roman"/>
                <w:kern w:val="0"/>
                <w:sz w:val="24"/>
                <w:szCs w:val="24"/>
                <w:vertAlign w:val="superscript"/>
              </w:rPr>
            </w:pPr>
            <w:r>
              <w:rPr>
                <w:rFonts w:ascii="Cambria Math" w:hAnsi="Cambria Math" w:cs="Cambria Math"/>
                <w:kern w:val="0"/>
                <w:sz w:val="24"/>
                <w:szCs w:val="24"/>
              </w:rPr>
              <w:t>𝑃</w:t>
            </w:r>
            <w:r>
              <w:rPr>
                <w:rFonts w:ascii="Times New Roman" w:hAnsi="Times New Roman" w:cs="Times New Roman"/>
                <w:kern w:val="0"/>
                <w:sz w:val="24"/>
                <w:szCs w:val="24"/>
              </w:rPr>
              <w:t>=ZCy+FCy={Nc×D×（a/b）+2×E</w:t>
            </w:r>
            <w:r>
              <w:rPr>
                <w:rFonts w:ascii="Times New Roman" w:hAnsi="Times New Roman" w:cs="Times New Roman"/>
                <w:kern w:val="0"/>
                <w:sz w:val="24"/>
                <w:szCs w:val="24"/>
                <w:vertAlign w:val="subscript"/>
              </w:rPr>
              <w:t>f</w:t>
            </w:r>
            <w:r>
              <w:rPr>
                <w:rFonts w:ascii="Times New Roman" w:hAnsi="Times New Roman" w:cs="Times New Roman"/>
                <w:kern w:val="0"/>
                <w:sz w:val="24"/>
                <w:szCs w:val="24"/>
              </w:rPr>
              <w:t>×</w:t>
            </w:r>
            <w:r>
              <w:rPr>
                <w:rFonts w:ascii="Cambria Math" w:hAnsi="Cambria Math" w:cs="Cambria Math"/>
                <w:kern w:val="0"/>
                <w:sz w:val="24"/>
                <w:szCs w:val="24"/>
              </w:rPr>
              <w:t>𝑆</w:t>
            </w:r>
            <w:r>
              <w:rPr>
                <w:rFonts w:ascii="Times New Roman" w:hAnsi="Times New Roman" w:cs="Times New Roman"/>
                <w:kern w:val="0"/>
                <w:sz w:val="24"/>
                <w:szCs w:val="24"/>
              </w:rPr>
              <w:t>}×10</w:t>
            </w:r>
            <w:r>
              <w:rPr>
                <w:rFonts w:ascii="Times New Roman" w:hAnsi="Times New Roman" w:cs="Times New Roman"/>
                <w:kern w:val="0"/>
                <w:sz w:val="24"/>
                <w:szCs w:val="24"/>
                <w:vertAlign w:val="superscript"/>
              </w:rPr>
              <w:t>-3</w:t>
            </w:r>
          </w:p>
          <w:p>
            <w:pPr>
              <w:pStyle w:val="42"/>
              <w:ind w:firstLine="480"/>
            </w:pPr>
            <w:r>
              <w:t>式中：P：颗粒物产生量（吨）；</w:t>
            </w:r>
          </w:p>
          <w:p>
            <w:pPr>
              <w:pStyle w:val="42"/>
              <w:ind w:firstLine="480"/>
            </w:pPr>
            <w:r>
              <w:t xml:space="preserve">      ZCy：装卸扬尘产生量；</w:t>
            </w:r>
          </w:p>
          <w:p>
            <w:pPr>
              <w:pStyle w:val="42"/>
              <w:ind w:firstLine="480"/>
            </w:pPr>
            <w:r>
              <w:t xml:space="preserve">      FCy：风蚀扬尘产生量；</w:t>
            </w:r>
          </w:p>
          <w:p>
            <w:pPr>
              <w:pStyle w:val="42"/>
              <w:ind w:firstLine="480"/>
            </w:pPr>
            <w:r>
              <w:t xml:space="preserve">      Nc：年物料运载车次；</w:t>
            </w:r>
          </w:p>
          <w:p>
            <w:pPr>
              <w:pStyle w:val="42"/>
              <w:ind w:firstLine="480"/>
            </w:pPr>
            <w:r>
              <w:t xml:space="preserve">      D：单车平均运载量；</w:t>
            </w:r>
          </w:p>
          <w:p>
            <w:pPr>
              <w:pStyle w:val="42"/>
              <w:ind w:firstLine="480"/>
            </w:pPr>
            <w:r>
              <w:t xml:space="preserve">      a：各省风速概化系数；</w:t>
            </w:r>
          </w:p>
          <w:p>
            <w:pPr>
              <w:pStyle w:val="42"/>
              <w:ind w:firstLine="480"/>
            </w:pPr>
            <w:r>
              <w:t xml:space="preserve">      b：物料含水率概化系数；</w:t>
            </w:r>
          </w:p>
          <w:p>
            <w:pPr>
              <w:pStyle w:val="42"/>
              <w:ind w:firstLine="480"/>
            </w:pPr>
            <w:r>
              <w:t xml:space="preserve">      Ef：堆场风蚀扬尘概化系数；</w:t>
            </w:r>
          </w:p>
          <w:p>
            <w:pPr>
              <w:pStyle w:val="42"/>
              <w:ind w:firstLine="480"/>
            </w:pPr>
            <w:r>
              <w:t xml:space="preserve">      S：堆场占地面积。</w:t>
            </w:r>
          </w:p>
          <w:p>
            <w:pPr>
              <w:pStyle w:val="42"/>
              <w:ind w:firstLine="480"/>
            </w:pPr>
            <w:r>
              <w:t>工业企业固体物料堆场颗粒物排放量核算公式如下：</w:t>
            </w:r>
          </w:p>
          <w:p>
            <w:pPr>
              <w:autoSpaceDE w:val="0"/>
              <w:autoSpaceDN w:val="0"/>
              <w:adjustRightInd w:val="0"/>
              <w:jc w:val="center"/>
              <w:rPr>
                <w:rFonts w:ascii="Times New Roman" w:hAnsi="Times New Roman" w:cs="Times New Roman"/>
                <w:kern w:val="0"/>
                <w:sz w:val="24"/>
                <w:szCs w:val="28"/>
              </w:rPr>
            </w:pPr>
            <w:r>
              <w:rPr>
                <w:rFonts w:ascii="Cambria Math" w:hAnsi="Cambria Math" w:cs="Cambria Math"/>
                <w:kern w:val="0"/>
                <w:sz w:val="24"/>
                <w:szCs w:val="28"/>
              </w:rPr>
              <w:t>𝑈𝑐</w:t>
            </w:r>
            <w:r>
              <w:rPr>
                <w:rFonts w:ascii="Times New Roman" w:hAnsi="Times New Roman" w:cs="Times New Roman"/>
                <w:kern w:val="0"/>
                <w:sz w:val="24"/>
                <w:szCs w:val="28"/>
              </w:rPr>
              <w:t>=</w:t>
            </w:r>
            <w:r>
              <w:rPr>
                <w:rFonts w:ascii="Cambria Math" w:hAnsi="Cambria Math" w:cs="Cambria Math"/>
                <w:kern w:val="0"/>
                <w:sz w:val="24"/>
                <w:szCs w:val="28"/>
              </w:rPr>
              <w:t>𝑃</w:t>
            </w:r>
            <w:r>
              <w:rPr>
                <w:rFonts w:ascii="Times New Roman" w:hAnsi="Times New Roman" w:cs="Times New Roman"/>
                <w:kern w:val="0"/>
                <w:sz w:val="24"/>
                <w:szCs w:val="28"/>
              </w:rPr>
              <w:t>×（1−</w:t>
            </w:r>
            <w:r>
              <w:rPr>
                <w:rFonts w:ascii="Cambria Math" w:hAnsi="Cambria Math" w:cs="Cambria Math"/>
                <w:kern w:val="0"/>
                <w:sz w:val="24"/>
                <w:szCs w:val="28"/>
              </w:rPr>
              <w:t>𝐶𝑚</w:t>
            </w:r>
            <w:r>
              <w:rPr>
                <w:rFonts w:ascii="Times New Roman" w:hAnsi="Times New Roman" w:cs="Times New Roman"/>
                <w:kern w:val="0"/>
                <w:sz w:val="24"/>
                <w:szCs w:val="28"/>
              </w:rPr>
              <w:t>）×（1−</w:t>
            </w:r>
            <w:r>
              <w:rPr>
                <w:rFonts w:ascii="Cambria Math" w:hAnsi="Cambria Math" w:cs="Cambria Math"/>
                <w:kern w:val="0"/>
                <w:sz w:val="24"/>
                <w:szCs w:val="28"/>
              </w:rPr>
              <w:t>𝑇𝑚</w:t>
            </w:r>
            <w:r>
              <w:rPr>
                <w:rFonts w:ascii="Times New Roman" w:hAnsi="Times New Roman" w:cs="Times New Roman"/>
                <w:kern w:val="0"/>
                <w:sz w:val="24"/>
                <w:szCs w:val="28"/>
              </w:rPr>
              <w:t>）</w:t>
            </w:r>
          </w:p>
          <w:p>
            <w:pPr>
              <w:pStyle w:val="42"/>
              <w:ind w:firstLine="480"/>
            </w:pPr>
            <w:r>
              <w:t>式中：P：颗粒物产生量（单位：吨）；</w:t>
            </w:r>
          </w:p>
          <w:p>
            <w:pPr>
              <w:pStyle w:val="42"/>
              <w:ind w:firstLine="480"/>
            </w:pPr>
            <w:r>
              <w:t xml:space="preserve">      Uc：颗粒物排放量（单位：吨）；</w:t>
            </w:r>
          </w:p>
          <w:p>
            <w:pPr>
              <w:pStyle w:val="42"/>
              <w:ind w:firstLine="480"/>
            </w:pPr>
            <w:r>
              <w:t xml:space="preserve">      Cm：颗粒物控制措施控制效率；</w:t>
            </w:r>
          </w:p>
          <w:p>
            <w:pPr>
              <w:pStyle w:val="42"/>
              <w:ind w:firstLine="480"/>
            </w:pPr>
            <w:r>
              <w:t xml:space="preserve">      Tm：堆场类型控制效率。</w:t>
            </w:r>
          </w:p>
          <w:p>
            <w:pPr>
              <w:pStyle w:val="42"/>
              <w:ind w:firstLine="480"/>
            </w:pPr>
            <w:r>
              <w:t>项目临时</w:t>
            </w:r>
            <w:r>
              <w:rPr>
                <w:rFonts w:hint="eastAsia"/>
              </w:rPr>
              <w:t>表土堆场</w:t>
            </w:r>
            <w:r>
              <w:t>计算参数如下表所示。</w:t>
            </w:r>
          </w:p>
          <w:p>
            <w:pPr>
              <w:jc w:val="center"/>
              <w:rPr>
                <w:rFonts w:ascii="Times New Roman" w:hAnsi="Times New Roman" w:eastAsia="宋体" w:cs="Times New Roman"/>
                <w:b/>
              </w:rPr>
            </w:pPr>
            <w:r>
              <w:rPr>
                <w:rFonts w:ascii="Times New Roman" w:hAnsi="Times New Roman" w:eastAsia="宋体" w:cs="Times New Roman"/>
                <w:b/>
              </w:rPr>
              <w:t>表4.1.</w:t>
            </w:r>
            <w:r>
              <w:rPr>
                <w:rFonts w:hint="eastAsia" w:ascii="Times New Roman" w:hAnsi="Times New Roman" w:eastAsia="宋体" w:cs="Times New Roman"/>
                <w:b/>
              </w:rPr>
              <w:t>2</w:t>
            </w:r>
            <w:r>
              <w:rPr>
                <w:rFonts w:ascii="Times New Roman" w:hAnsi="Times New Roman" w:eastAsia="宋体" w:cs="Times New Roman"/>
                <w:b/>
              </w:rPr>
              <w:t>-</w:t>
            </w:r>
            <w:r>
              <w:rPr>
                <w:rFonts w:hint="eastAsia" w:ascii="Times New Roman" w:hAnsi="Times New Roman" w:eastAsia="宋体" w:cs="Times New Roman"/>
                <w:b/>
              </w:rPr>
              <w:t>1</w:t>
            </w:r>
            <w:r>
              <w:rPr>
                <w:rFonts w:ascii="Times New Roman" w:hAnsi="Times New Roman" w:eastAsia="宋体" w:cs="Times New Roman"/>
                <w:b/>
              </w:rPr>
              <w:t xml:space="preserve"> 临时</w:t>
            </w:r>
            <w:r>
              <w:rPr>
                <w:rFonts w:hint="eastAsia" w:ascii="Times New Roman" w:hAnsi="Times New Roman" w:eastAsia="宋体" w:cs="Times New Roman"/>
                <w:b/>
              </w:rPr>
              <w:t>表土堆场</w:t>
            </w:r>
            <w:r>
              <w:rPr>
                <w:rFonts w:ascii="Times New Roman" w:hAnsi="Times New Roman" w:eastAsia="宋体" w:cs="Times New Roman"/>
                <w:b/>
              </w:rPr>
              <w:t>装卸及风蚀扬尘计算参数一览表</w:t>
            </w:r>
          </w:p>
          <w:tbl>
            <w:tblPr>
              <w:tblStyle w:val="24"/>
              <w:tblW w:w="5000" w:type="pct"/>
              <w:jc w:val="center"/>
              <w:tblLayout w:type="autofit"/>
              <w:tblCellMar>
                <w:top w:w="0" w:type="dxa"/>
                <w:left w:w="108" w:type="dxa"/>
                <w:bottom w:w="0" w:type="dxa"/>
                <w:right w:w="108" w:type="dxa"/>
              </w:tblCellMar>
            </w:tblPr>
            <w:tblGrid>
              <w:gridCol w:w="1144"/>
              <w:gridCol w:w="891"/>
              <w:gridCol w:w="981"/>
              <w:gridCol w:w="945"/>
              <w:gridCol w:w="946"/>
              <w:gridCol w:w="1133"/>
              <w:gridCol w:w="863"/>
              <w:gridCol w:w="842"/>
              <w:gridCol w:w="873"/>
            </w:tblGrid>
            <w:tr>
              <w:tblPrEx>
                <w:tblCellMar>
                  <w:top w:w="0" w:type="dxa"/>
                  <w:left w:w="108" w:type="dxa"/>
                  <w:bottom w:w="0" w:type="dxa"/>
                  <w:right w:w="108" w:type="dxa"/>
                </w:tblCellMar>
              </w:tblPrEx>
              <w:trPr>
                <w:jc w:val="center"/>
              </w:trPr>
              <w:tc>
                <w:tcPr>
                  <w:tcW w:w="1367"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物料种类</w:t>
                  </w:r>
                </w:p>
              </w:tc>
              <w:tc>
                <w:tcPr>
                  <w:tcW w:w="90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Nc（车）</w:t>
                  </w:r>
                </w:p>
              </w:tc>
              <w:tc>
                <w:tcPr>
                  <w:tcW w:w="1088"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D（吨/车）</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a</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b</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Ef（kg/m²）</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S（m²）</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Cm（%）</w:t>
                  </w:r>
                </w:p>
              </w:tc>
              <w:tc>
                <w:tcPr>
                  <w:tcW w:w="8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Tm（%）</w:t>
                  </w:r>
                </w:p>
              </w:tc>
            </w:tr>
            <w:tr>
              <w:tblPrEx>
                <w:tblCellMar>
                  <w:top w:w="0" w:type="dxa"/>
                  <w:left w:w="108" w:type="dxa"/>
                  <w:bottom w:w="0" w:type="dxa"/>
                  <w:right w:w="108" w:type="dxa"/>
                </w:tblCellMar>
              </w:tblPrEx>
              <w:trPr>
                <w:jc w:val="center"/>
              </w:trPr>
              <w:tc>
                <w:tcPr>
                  <w:tcW w:w="1367"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表土</w:t>
                  </w:r>
                </w:p>
              </w:tc>
              <w:tc>
                <w:tcPr>
                  <w:tcW w:w="90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1200</w:t>
                  </w:r>
                </w:p>
              </w:tc>
              <w:tc>
                <w:tcPr>
                  <w:tcW w:w="1088"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10</w:t>
                  </w:r>
                </w:p>
              </w:tc>
              <w:tc>
                <w:tcPr>
                  <w:tcW w:w="9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0.0009</w:t>
                  </w:r>
                </w:p>
              </w:tc>
              <w:tc>
                <w:tcPr>
                  <w:tcW w:w="993"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0.0151</w:t>
                  </w:r>
                </w:p>
              </w:tc>
              <w:tc>
                <w:tcPr>
                  <w:tcW w:w="113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41.5808</w:t>
                  </w:r>
                </w:p>
              </w:tc>
              <w:tc>
                <w:tcPr>
                  <w:tcW w:w="85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600</w:t>
                  </w:r>
                </w:p>
              </w:tc>
              <w:tc>
                <w:tcPr>
                  <w:tcW w:w="851"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86</w:t>
                  </w:r>
                </w:p>
              </w:tc>
              <w:tc>
                <w:tcPr>
                  <w:tcW w:w="8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0</w:t>
                  </w:r>
                </w:p>
              </w:tc>
            </w:tr>
          </w:tbl>
          <w:p>
            <w:pPr>
              <w:pStyle w:val="42"/>
              <w:ind w:firstLine="480"/>
            </w:pPr>
            <w:r>
              <w:t>由上述计算参数计算可知，项目临时</w:t>
            </w:r>
            <w:r>
              <w:rPr>
                <w:rFonts w:hint="eastAsia"/>
              </w:rPr>
              <w:t>表土堆场</w:t>
            </w:r>
            <w:r>
              <w:t>装卸及风蚀扬尘产生量为</w:t>
            </w:r>
            <w:r>
              <w:rPr>
                <w:rFonts w:hint="eastAsia"/>
              </w:rPr>
              <w:t>50.61</w:t>
            </w:r>
            <w:r>
              <w:t>t/a，临时</w:t>
            </w:r>
            <w:r>
              <w:rPr>
                <w:rFonts w:hint="eastAsia"/>
              </w:rPr>
              <w:t>表土堆场采用防尘网对其</w:t>
            </w:r>
            <w:r>
              <w:t>进行覆盖</w:t>
            </w:r>
            <w:r>
              <w:rPr>
                <w:rFonts w:hint="eastAsia"/>
              </w:rPr>
              <w:t>后</w:t>
            </w:r>
            <w:r>
              <w:t>，排放量为</w:t>
            </w:r>
            <w:r>
              <w:rPr>
                <w:rFonts w:hint="eastAsia"/>
              </w:rPr>
              <w:t>7.09</w:t>
            </w:r>
            <w:r>
              <w:t>t/a。</w:t>
            </w:r>
            <w:r>
              <w:rPr>
                <w:rFonts w:hint="eastAsia"/>
              </w:rPr>
              <w:t>项目</w:t>
            </w:r>
            <w:r>
              <w:t>临时</w:t>
            </w:r>
            <w:r>
              <w:rPr>
                <w:rFonts w:hint="eastAsia"/>
              </w:rPr>
              <w:t>表土堆场</w:t>
            </w:r>
            <w:r>
              <w:t>周围较空旷、地面风速也较大，大气扩散条件相对较好，临时</w:t>
            </w:r>
            <w:r>
              <w:rPr>
                <w:rFonts w:hint="eastAsia"/>
              </w:rPr>
              <w:t>表土堆场</w:t>
            </w:r>
            <w:r>
              <w:t>所产生</w:t>
            </w:r>
            <w:r>
              <w:rPr>
                <w:rFonts w:hint="eastAsia"/>
              </w:rPr>
              <w:t>扬尘</w:t>
            </w:r>
            <w:r>
              <w:t>在空气中经自然扩散和稀释后，</w:t>
            </w:r>
            <w:r>
              <w:rPr>
                <w:rFonts w:hint="eastAsia"/>
              </w:rPr>
              <w:t>对大气环境影响较小。</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4</w:t>
            </w:r>
            <w:r>
              <w:rPr>
                <w:rFonts w:ascii="Times New Roman" w:hAnsi="Times New Roman" w:cs="Times New Roman"/>
                <w:b/>
                <w:sz w:val="24"/>
                <w:szCs w:val="24"/>
              </w:rPr>
              <w:t>）施工机械、车辆废气影响分析</w:t>
            </w:r>
          </w:p>
          <w:p>
            <w:pPr>
              <w:spacing w:line="360" w:lineRule="auto"/>
              <w:ind w:firstLine="480" w:firstLineChars="200"/>
              <w:rPr>
                <w:rFonts w:ascii="Times New Roman" w:cs="Times New Roman"/>
                <w:sz w:val="24"/>
              </w:rPr>
            </w:pPr>
            <w:r>
              <w:rPr>
                <w:rFonts w:ascii="Times New Roman" w:cs="Times New Roman"/>
                <w:sz w:val="24"/>
              </w:rPr>
              <w:t>施工机械及各型运输车辆。使用汽油、柴油作为能源，在运行时排放的废气是主要的污染源。在光伏泵站建设、管道土方开挖运输、建筑材料运输等过程中将产生较多的大气污染物。</w:t>
            </w:r>
          </w:p>
          <w:p>
            <w:pPr>
              <w:spacing w:line="360" w:lineRule="auto"/>
              <w:ind w:firstLine="480" w:firstLineChars="200"/>
              <w:rPr>
                <w:rFonts w:ascii="Times New Roman" w:cs="Times New Roman"/>
                <w:sz w:val="24"/>
              </w:rPr>
            </w:pPr>
            <w:r>
              <w:rPr>
                <w:rFonts w:ascii="Times New Roman" w:cs="Times New Roman"/>
                <w:sz w:val="24"/>
              </w:rPr>
              <w:t>施工机械废气主要是CO、碳氢化合物等，其产生量及废气中污染物浓度视其使用频率及发动机对燃料的燃烧情况而异。施工机械废气属低架点源无组织排放性质，具有间断性产生、产生量较小、产生点相对分散、易被稀释扩散等特点，加之项目区施工范围相对较大，施工场地周围较空旷、地面风速也较大，大气扩散条件相对较好，一般情况下，施工机械和运输车辆所产生污染在空气中经自然扩散和稀释后，对评价区域的空气环境质量影响不大。</w:t>
            </w:r>
          </w:p>
          <w:p>
            <w:pPr>
              <w:spacing w:line="360" w:lineRule="auto"/>
              <w:ind w:firstLine="481" w:firstLineChars="200"/>
              <w:rPr>
                <w:rFonts w:ascii="Times New Roman" w:cs="Times New Roman"/>
                <w:sz w:val="24"/>
              </w:rPr>
            </w:pPr>
            <w:r>
              <w:rPr>
                <w:rFonts w:hint="eastAsia" w:ascii="Times New Roman" w:hAnsi="Times New Roman" w:cs="Times New Roman"/>
                <w:b/>
                <w:sz w:val="24"/>
                <w:szCs w:val="24"/>
              </w:rPr>
              <w:t>（5）</w:t>
            </w:r>
            <w:r>
              <w:rPr>
                <w:rFonts w:ascii="Times New Roman" w:hAnsi="Times New Roman" w:cs="Times New Roman"/>
                <w:b/>
                <w:sz w:val="24"/>
                <w:szCs w:val="24"/>
              </w:rPr>
              <w:t>废气污染物治理措施及排放方式</w:t>
            </w:r>
          </w:p>
          <w:p>
            <w:pPr>
              <w:pStyle w:val="14"/>
              <w:jc w:val="center"/>
              <w:rPr>
                <w:rFonts w:ascii="Times New Roman" w:hAnsi="Times New Roman"/>
                <w:b/>
              </w:rPr>
            </w:pPr>
            <w:r>
              <w:rPr>
                <w:rFonts w:ascii="Times New Roman" w:hAnsi="Times New Roman"/>
                <w:b/>
              </w:rPr>
              <w:t>表4</w:t>
            </w:r>
            <w:r>
              <w:rPr>
                <w:rFonts w:hint="eastAsia" w:ascii="Times New Roman" w:hAnsi="Times New Roman"/>
                <w:b/>
              </w:rPr>
              <w:t>.1.2</w:t>
            </w:r>
            <w:r>
              <w:rPr>
                <w:rFonts w:ascii="Times New Roman" w:hAnsi="Times New Roman"/>
                <w:b/>
              </w:rPr>
              <w:t>-</w:t>
            </w:r>
            <w:r>
              <w:rPr>
                <w:rFonts w:hint="eastAsia" w:ascii="Times New Roman" w:hAnsi="Times New Roman"/>
                <w:b/>
              </w:rPr>
              <w:t>2</w:t>
            </w:r>
            <w:r>
              <w:rPr>
                <w:rFonts w:ascii="Times New Roman" w:hAnsi="Times New Roman"/>
                <w:b/>
              </w:rPr>
              <w:t xml:space="preserve">  项目废气排放情况表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121"/>
              <w:gridCol w:w="3646"/>
              <w:gridCol w:w="1121"/>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pct"/>
                  <w:vAlign w:val="center"/>
                </w:tcPr>
                <w:p>
                  <w:pPr>
                    <w:pStyle w:val="34"/>
                    <w:spacing w:line="360" w:lineRule="exact"/>
                    <w:rPr>
                      <w:color w:val="auto"/>
                      <w:szCs w:val="21"/>
                    </w:rPr>
                  </w:pPr>
                  <w:r>
                    <w:rPr>
                      <w:color w:val="auto"/>
                      <w:szCs w:val="21"/>
                    </w:rPr>
                    <w:t>产排污环节</w:t>
                  </w:r>
                </w:p>
              </w:tc>
              <w:tc>
                <w:tcPr>
                  <w:tcW w:w="651" w:type="pct"/>
                  <w:vAlign w:val="center"/>
                </w:tcPr>
                <w:p>
                  <w:pPr>
                    <w:pStyle w:val="34"/>
                    <w:spacing w:line="360" w:lineRule="exact"/>
                    <w:rPr>
                      <w:color w:val="auto"/>
                      <w:szCs w:val="21"/>
                    </w:rPr>
                  </w:pPr>
                  <w:r>
                    <w:rPr>
                      <w:color w:val="auto"/>
                      <w:szCs w:val="21"/>
                    </w:rPr>
                    <w:t>污染物种类</w:t>
                  </w:r>
                </w:p>
              </w:tc>
              <w:tc>
                <w:tcPr>
                  <w:tcW w:w="2118" w:type="pct"/>
                  <w:vAlign w:val="center"/>
                </w:tcPr>
                <w:p>
                  <w:pPr>
                    <w:pStyle w:val="34"/>
                    <w:spacing w:line="360" w:lineRule="exact"/>
                    <w:rPr>
                      <w:color w:val="auto"/>
                      <w:szCs w:val="21"/>
                    </w:rPr>
                  </w:pPr>
                  <w:r>
                    <w:rPr>
                      <w:color w:val="auto"/>
                      <w:szCs w:val="21"/>
                    </w:rPr>
                    <w:t>治理设施及效率</w:t>
                  </w:r>
                </w:p>
              </w:tc>
              <w:tc>
                <w:tcPr>
                  <w:tcW w:w="651" w:type="pct"/>
                  <w:vAlign w:val="center"/>
                </w:tcPr>
                <w:p>
                  <w:pPr>
                    <w:spacing w:line="360" w:lineRule="exact"/>
                    <w:jc w:val="center"/>
                    <w:rPr>
                      <w:bCs/>
                      <w:snapToGrid w:val="0"/>
                      <w:kern w:val="32"/>
                      <w:lang w:val="zh-CN"/>
                    </w:rPr>
                  </w:pPr>
                  <w:r>
                    <w:rPr>
                      <w:bCs/>
                      <w:snapToGrid w:val="0"/>
                      <w:kern w:val="32"/>
                      <w:lang w:val="zh-CN"/>
                    </w:rPr>
                    <w:t>排放形式</w:t>
                  </w:r>
                </w:p>
              </w:tc>
              <w:tc>
                <w:tcPr>
                  <w:tcW w:w="783" w:type="pct"/>
                  <w:vAlign w:val="center"/>
                </w:tcPr>
                <w:p>
                  <w:pPr>
                    <w:pStyle w:val="34"/>
                    <w:spacing w:line="360" w:lineRule="exact"/>
                    <w:rPr>
                      <w:color w:val="auto"/>
                      <w:szCs w:val="21"/>
                    </w:rPr>
                  </w:pPr>
                  <w:r>
                    <w:rPr>
                      <w:color w:val="auto"/>
                      <w:szCs w:val="21"/>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7" w:type="pct"/>
                  <w:vAlign w:val="center"/>
                </w:tcPr>
                <w:p>
                  <w:pPr>
                    <w:pStyle w:val="34"/>
                    <w:spacing w:line="360" w:lineRule="exact"/>
                    <w:rPr>
                      <w:bCs w:val="0"/>
                      <w:color w:val="auto"/>
                    </w:rPr>
                  </w:pPr>
                  <w:r>
                    <w:rPr>
                      <w:rFonts w:hint="eastAsia"/>
                      <w:bCs w:val="0"/>
                      <w:color w:val="auto"/>
                    </w:rPr>
                    <w:t>施工场地</w:t>
                  </w:r>
                </w:p>
              </w:tc>
              <w:tc>
                <w:tcPr>
                  <w:tcW w:w="651" w:type="pct"/>
                  <w:vAlign w:val="center"/>
                </w:tcPr>
                <w:p>
                  <w:pPr>
                    <w:pStyle w:val="34"/>
                    <w:spacing w:line="360" w:lineRule="exact"/>
                    <w:rPr>
                      <w:bCs w:val="0"/>
                      <w:color w:val="auto"/>
                    </w:rPr>
                  </w:pPr>
                  <w:r>
                    <w:rPr>
                      <w:rFonts w:hint="eastAsia"/>
                      <w:bCs w:val="0"/>
                      <w:color w:val="auto"/>
                    </w:rPr>
                    <w:t>粉尘</w:t>
                  </w:r>
                </w:p>
              </w:tc>
              <w:tc>
                <w:tcPr>
                  <w:tcW w:w="2118" w:type="pct"/>
                  <w:vAlign w:val="center"/>
                </w:tcPr>
                <w:p>
                  <w:pPr>
                    <w:pStyle w:val="34"/>
                    <w:spacing w:line="360" w:lineRule="exact"/>
                    <w:ind w:firstLine="210" w:firstLineChars="100"/>
                    <w:jc w:val="both"/>
                    <w:rPr>
                      <w:color w:val="auto"/>
                      <w:szCs w:val="21"/>
                    </w:rPr>
                  </w:pPr>
                  <w:r>
                    <w:rPr>
                      <w:rFonts w:hint="eastAsia"/>
                      <w:color w:val="auto"/>
                      <w:szCs w:val="21"/>
                    </w:rPr>
                    <w:t>采取洒水降尘措施降尘粉尘的逸散。</w:t>
                  </w:r>
                </w:p>
              </w:tc>
              <w:tc>
                <w:tcPr>
                  <w:tcW w:w="651" w:type="pct"/>
                  <w:vAlign w:val="center"/>
                </w:tcPr>
                <w:p>
                  <w:pPr>
                    <w:pStyle w:val="34"/>
                    <w:spacing w:line="360" w:lineRule="exact"/>
                    <w:rPr>
                      <w:color w:val="auto"/>
                      <w:szCs w:val="21"/>
                    </w:rPr>
                  </w:pPr>
                  <w:r>
                    <w:rPr>
                      <w:color w:val="auto"/>
                      <w:szCs w:val="21"/>
                    </w:rPr>
                    <w:t>无组织</w:t>
                  </w:r>
                </w:p>
              </w:tc>
              <w:tc>
                <w:tcPr>
                  <w:tcW w:w="783" w:type="pct"/>
                  <w:vAlign w:val="center"/>
                </w:tcPr>
                <w:p>
                  <w:pPr>
                    <w:pStyle w:val="34"/>
                    <w:spacing w:line="360" w:lineRule="exact"/>
                    <w:rPr>
                      <w:color w:val="auto"/>
                      <w:szCs w:val="21"/>
                    </w:rPr>
                  </w:pPr>
                  <w:r>
                    <w:rPr>
                      <w:rFonts w:hint="eastAsia"/>
                      <w:color w:val="auto"/>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7" w:type="pct"/>
                  <w:vAlign w:val="center"/>
                </w:tcPr>
                <w:p>
                  <w:pPr>
                    <w:pStyle w:val="34"/>
                    <w:spacing w:line="360" w:lineRule="exact"/>
                    <w:rPr>
                      <w:bCs w:val="0"/>
                      <w:color w:val="auto"/>
                    </w:rPr>
                  </w:pPr>
                  <w:r>
                    <w:rPr>
                      <w:rFonts w:hint="eastAsia"/>
                      <w:bCs w:val="0"/>
                      <w:color w:val="auto"/>
                    </w:rPr>
                    <w:t>混凝土系统</w:t>
                  </w:r>
                </w:p>
              </w:tc>
              <w:tc>
                <w:tcPr>
                  <w:tcW w:w="651" w:type="pct"/>
                  <w:vAlign w:val="center"/>
                </w:tcPr>
                <w:p>
                  <w:pPr>
                    <w:pStyle w:val="34"/>
                    <w:spacing w:line="360" w:lineRule="exact"/>
                    <w:rPr>
                      <w:bCs w:val="0"/>
                      <w:color w:val="auto"/>
                    </w:rPr>
                  </w:pPr>
                  <w:r>
                    <w:rPr>
                      <w:rFonts w:hint="eastAsia"/>
                      <w:bCs w:val="0"/>
                      <w:color w:val="auto"/>
                    </w:rPr>
                    <w:t>粉尘</w:t>
                  </w:r>
                </w:p>
              </w:tc>
              <w:tc>
                <w:tcPr>
                  <w:tcW w:w="2118" w:type="pct"/>
                  <w:vAlign w:val="center"/>
                </w:tcPr>
                <w:p>
                  <w:pPr>
                    <w:pStyle w:val="34"/>
                    <w:spacing w:line="360" w:lineRule="exact"/>
                    <w:ind w:firstLine="210" w:firstLineChars="100"/>
                    <w:jc w:val="both"/>
                    <w:rPr>
                      <w:color w:val="auto"/>
                      <w:szCs w:val="21"/>
                    </w:rPr>
                  </w:pPr>
                  <w:r>
                    <w:rPr>
                      <w:rFonts w:hint="eastAsia"/>
                      <w:color w:val="auto"/>
                      <w:szCs w:val="21"/>
                    </w:rPr>
                    <w:t>采取洒水降尘措施降尘粉尘的逸散。</w:t>
                  </w:r>
                </w:p>
              </w:tc>
              <w:tc>
                <w:tcPr>
                  <w:tcW w:w="651" w:type="pct"/>
                  <w:vAlign w:val="center"/>
                </w:tcPr>
                <w:p>
                  <w:pPr>
                    <w:pStyle w:val="34"/>
                    <w:spacing w:line="360" w:lineRule="exact"/>
                    <w:rPr>
                      <w:color w:val="auto"/>
                      <w:szCs w:val="21"/>
                    </w:rPr>
                  </w:pPr>
                  <w:r>
                    <w:rPr>
                      <w:color w:val="auto"/>
                      <w:szCs w:val="21"/>
                    </w:rPr>
                    <w:t>无组织</w:t>
                  </w:r>
                </w:p>
              </w:tc>
              <w:tc>
                <w:tcPr>
                  <w:tcW w:w="783" w:type="pct"/>
                  <w:vAlign w:val="center"/>
                </w:tcPr>
                <w:p>
                  <w:pPr>
                    <w:pStyle w:val="34"/>
                    <w:spacing w:line="360" w:lineRule="exact"/>
                    <w:rPr>
                      <w:color w:val="auto"/>
                      <w:szCs w:val="21"/>
                    </w:rPr>
                  </w:pPr>
                  <w:r>
                    <w:rPr>
                      <w:rFonts w:hint="eastAsia"/>
                      <w:color w:val="auto"/>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7" w:type="pct"/>
                  <w:vAlign w:val="center"/>
                </w:tcPr>
                <w:p>
                  <w:pPr>
                    <w:pStyle w:val="34"/>
                    <w:spacing w:line="360" w:lineRule="exact"/>
                    <w:rPr>
                      <w:bCs w:val="0"/>
                      <w:color w:val="auto"/>
                    </w:rPr>
                  </w:pPr>
                  <w:r>
                    <w:rPr>
                      <w:rFonts w:hint="eastAsia"/>
                      <w:bCs w:val="0"/>
                      <w:color w:val="auto"/>
                    </w:rPr>
                    <w:t>临时表土堆场</w:t>
                  </w:r>
                </w:p>
              </w:tc>
              <w:tc>
                <w:tcPr>
                  <w:tcW w:w="651" w:type="pct"/>
                  <w:vAlign w:val="center"/>
                </w:tcPr>
                <w:p>
                  <w:pPr>
                    <w:pStyle w:val="34"/>
                    <w:spacing w:line="360" w:lineRule="exact"/>
                    <w:rPr>
                      <w:bCs w:val="0"/>
                      <w:color w:val="auto"/>
                    </w:rPr>
                  </w:pPr>
                  <w:r>
                    <w:rPr>
                      <w:rFonts w:hint="eastAsia"/>
                      <w:bCs w:val="0"/>
                      <w:color w:val="auto"/>
                    </w:rPr>
                    <w:t>粉尘</w:t>
                  </w:r>
                </w:p>
              </w:tc>
              <w:tc>
                <w:tcPr>
                  <w:tcW w:w="2118" w:type="pct"/>
                  <w:vAlign w:val="center"/>
                </w:tcPr>
                <w:p>
                  <w:pPr>
                    <w:pStyle w:val="34"/>
                    <w:spacing w:line="360" w:lineRule="exact"/>
                    <w:ind w:firstLine="210" w:firstLineChars="100"/>
                    <w:jc w:val="both"/>
                    <w:rPr>
                      <w:color w:val="auto"/>
                      <w:szCs w:val="21"/>
                    </w:rPr>
                  </w:pPr>
                  <w:r>
                    <w:rPr>
                      <w:rFonts w:hint="eastAsia"/>
                      <w:color w:val="auto"/>
                      <w:szCs w:val="21"/>
                    </w:rPr>
                    <w:t>采用防尘网对其进行覆盖。</w:t>
                  </w:r>
                </w:p>
              </w:tc>
              <w:tc>
                <w:tcPr>
                  <w:tcW w:w="651" w:type="pct"/>
                  <w:vAlign w:val="center"/>
                </w:tcPr>
                <w:p>
                  <w:pPr>
                    <w:pStyle w:val="34"/>
                    <w:spacing w:line="360" w:lineRule="exact"/>
                    <w:rPr>
                      <w:color w:val="auto"/>
                      <w:szCs w:val="21"/>
                    </w:rPr>
                  </w:pPr>
                  <w:r>
                    <w:rPr>
                      <w:color w:val="auto"/>
                      <w:szCs w:val="21"/>
                    </w:rPr>
                    <w:t>无组织</w:t>
                  </w:r>
                </w:p>
              </w:tc>
              <w:tc>
                <w:tcPr>
                  <w:tcW w:w="783" w:type="pct"/>
                  <w:vAlign w:val="center"/>
                </w:tcPr>
                <w:p>
                  <w:pPr>
                    <w:pStyle w:val="34"/>
                    <w:spacing w:line="360" w:lineRule="exact"/>
                    <w:rPr>
                      <w:color w:val="auto"/>
                      <w:szCs w:val="21"/>
                    </w:rPr>
                  </w:pPr>
                  <w:r>
                    <w:rPr>
                      <w:rFonts w:hint="eastAsia"/>
                      <w:color w:val="auto"/>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97" w:type="pct"/>
                  <w:vAlign w:val="center"/>
                </w:tcPr>
                <w:p>
                  <w:pPr>
                    <w:pStyle w:val="34"/>
                    <w:spacing w:line="360" w:lineRule="exact"/>
                    <w:rPr>
                      <w:bCs w:val="0"/>
                      <w:color w:val="auto"/>
                    </w:rPr>
                  </w:pPr>
                  <w:r>
                    <w:rPr>
                      <w:rFonts w:hint="eastAsia"/>
                      <w:bCs w:val="0"/>
                      <w:color w:val="auto"/>
                    </w:rPr>
                    <w:t>施工机械、车辆废气</w:t>
                  </w:r>
                </w:p>
              </w:tc>
              <w:tc>
                <w:tcPr>
                  <w:tcW w:w="651" w:type="pct"/>
                  <w:vAlign w:val="center"/>
                </w:tcPr>
                <w:p>
                  <w:pPr>
                    <w:pStyle w:val="34"/>
                    <w:spacing w:line="360" w:lineRule="exact"/>
                    <w:rPr>
                      <w:bCs w:val="0"/>
                      <w:color w:val="auto"/>
                    </w:rPr>
                  </w:pPr>
                  <w:r>
                    <w:rPr>
                      <w:rFonts w:hint="eastAsia"/>
                      <w:bCs w:val="0"/>
                      <w:color w:val="auto"/>
                    </w:rPr>
                    <w:t>CO、碳氢化合物</w:t>
                  </w:r>
                </w:p>
              </w:tc>
              <w:tc>
                <w:tcPr>
                  <w:tcW w:w="2118" w:type="pct"/>
                  <w:vAlign w:val="center"/>
                </w:tcPr>
                <w:p>
                  <w:pPr>
                    <w:pStyle w:val="34"/>
                    <w:spacing w:line="360" w:lineRule="exact"/>
                    <w:ind w:firstLine="210" w:firstLineChars="100"/>
                    <w:jc w:val="both"/>
                    <w:rPr>
                      <w:color w:val="auto"/>
                      <w:szCs w:val="21"/>
                      <w:lang w:val="en-US"/>
                    </w:rPr>
                  </w:pPr>
                  <w:r>
                    <w:rPr>
                      <w:rFonts w:hint="eastAsia"/>
                      <w:color w:val="auto"/>
                      <w:szCs w:val="21"/>
                      <w:lang w:val="en-US"/>
                    </w:rPr>
                    <w:t>经自然扩散和稀释后，对评价区域的空气环境质量影响不大。</w:t>
                  </w:r>
                </w:p>
              </w:tc>
              <w:tc>
                <w:tcPr>
                  <w:tcW w:w="651" w:type="pct"/>
                  <w:vAlign w:val="center"/>
                </w:tcPr>
                <w:p>
                  <w:pPr>
                    <w:pStyle w:val="34"/>
                    <w:spacing w:line="360" w:lineRule="exact"/>
                    <w:rPr>
                      <w:color w:val="auto"/>
                      <w:szCs w:val="21"/>
                    </w:rPr>
                  </w:pPr>
                  <w:r>
                    <w:rPr>
                      <w:color w:val="auto"/>
                      <w:szCs w:val="21"/>
                    </w:rPr>
                    <w:t>无组织</w:t>
                  </w:r>
                </w:p>
              </w:tc>
              <w:tc>
                <w:tcPr>
                  <w:tcW w:w="783" w:type="pct"/>
                  <w:vAlign w:val="center"/>
                </w:tcPr>
                <w:p>
                  <w:pPr>
                    <w:pStyle w:val="34"/>
                    <w:spacing w:line="360" w:lineRule="exact"/>
                    <w:rPr>
                      <w:color w:val="auto"/>
                      <w:szCs w:val="21"/>
                    </w:rPr>
                  </w:pPr>
                  <w:r>
                    <w:rPr>
                      <w:rFonts w:hint="eastAsia"/>
                      <w:color w:val="auto"/>
                      <w:szCs w:val="21"/>
                      <w:lang w:val="en-US"/>
                    </w:rPr>
                    <w:t>/</w:t>
                  </w:r>
                </w:p>
              </w:tc>
            </w:tr>
          </w:tbl>
          <w:p>
            <w:pPr>
              <w:adjustRightInd w:val="0"/>
              <w:snapToGrid w:val="0"/>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（6）</w:t>
            </w:r>
            <w:r>
              <w:rPr>
                <w:rFonts w:ascii="Times New Roman" w:hAnsi="Times New Roman" w:cs="Times New Roman"/>
                <w:b/>
                <w:sz w:val="24"/>
                <w:szCs w:val="24"/>
              </w:rPr>
              <w:t>废气污染物排放源产排量及达标情况</w:t>
            </w:r>
          </w:p>
          <w:p>
            <w:pPr>
              <w:jc w:val="center"/>
              <w:rPr>
                <w:rFonts w:ascii="Times New Roman" w:hAnsi="Times New Roman" w:eastAsia="宋体" w:cs="Times New Roman"/>
                <w:b/>
              </w:rPr>
            </w:pPr>
            <w:r>
              <w:rPr>
                <w:rFonts w:ascii="Times New Roman" w:hAnsi="Times New Roman" w:eastAsia="宋体" w:cs="Times New Roman"/>
                <w:b/>
              </w:rPr>
              <w:t>表4</w:t>
            </w:r>
            <w:r>
              <w:rPr>
                <w:rFonts w:hint="eastAsia" w:ascii="Times New Roman" w:hAnsi="Times New Roman" w:eastAsia="宋体" w:cs="Times New Roman"/>
                <w:b/>
              </w:rPr>
              <w:t>.1.1</w:t>
            </w:r>
            <w:r>
              <w:rPr>
                <w:rFonts w:ascii="Times New Roman" w:hAnsi="Times New Roman" w:eastAsia="宋体" w:cs="Times New Roman"/>
                <w:b/>
              </w:rPr>
              <w:t>-</w:t>
            </w:r>
            <w:r>
              <w:rPr>
                <w:rFonts w:hint="eastAsia" w:ascii="Times New Roman" w:hAnsi="Times New Roman" w:eastAsia="宋体" w:cs="Times New Roman"/>
                <w:b/>
              </w:rPr>
              <w:t>3</w:t>
            </w:r>
            <w:r>
              <w:rPr>
                <w:rFonts w:ascii="Times New Roman" w:hAnsi="Times New Roman" w:eastAsia="宋体" w:cs="Times New Roman"/>
                <w:b/>
              </w:rPr>
              <w:t xml:space="preserve">  废气污染物排放源产排量及达标情况一览表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1164"/>
              <w:gridCol w:w="1579"/>
              <w:gridCol w:w="1405"/>
              <w:gridCol w:w="1623"/>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vMerge w:val="restart"/>
                  <w:vAlign w:val="center"/>
                </w:tcPr>
                <w:p>
                  <w:pPr>
                    <w:pStyle w:val="34"/>
                    <w:spacing w:line="360" w:lineRule="exact"/>
                    <w:rPr>
                      <w:color w:val="auto"/>
                      <w:szCs w:val="21"/>
                    </w:rPr>
                  </w:pPr>
                  <w:r>
                    <w:rPr>
                      <w:color w:val="auto"/>
                      <w:szCs w:val="21"/>
                    </w:rPr>
                    <w:t>产排污环节</w:t>
                  </w:r>
                </w:p>
              </w:tc>
              <w:tc>
                <w:tcPr>
                  <w:tcW w:w="676" w:type="pct"/>
                  <w:vMerge w:val="restart"/>
                  <w:vAlign w:val="center"/>
                </w:tcPr>
                <w:p>
                  <w:pPr>
                    <w:pStyle w:val="34"/>
                    <w:spacing w:line="360" w:lineRule="exact"/>
                    <w:rPr>
                      <w:color w:val="auto"/>
                      <w:szCs w:val="21"/>
                    </w:rPr>
                  </w:pPr>
                  <w:r>
                    <w:rPr>
                      <w:color w:val="auto"/>
                      <w:szCs w:val="21"/>
                    </w:rPr>
                    <w:t>污染物种类</w:t>
                  </w:r>
                </w:p>
              </w:tc>
              <w:tc>
                <w:tcPr>
                  <w:tcW w:w="917"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rPr>
                    <w:t>污染物产生情况</w:t>
                  </w:r>
                </w:p>
              </w:tc>
              <w:tc>
                <w:tcPr>
                  <w:tcW w:w="816"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污染物排放量和浓度</w:t>
                  </w:r>
                </w:p>
              </w:tc>
              <w:tc>
                <w:tcPr>
                  <w:tcW w:w="943" w:type="pct"/>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排放标准mg/m³</w:t>
                  </w:r>
                </w:p>
              </w:tc>
              <w:tc>
                <w:tcPr>
                  <w:tcW w:w="582" w:type="pct"/>
                  <w:vMerge w:val="restar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vMerge w:val="continue"/>
                  <w:vAlign w:val="center"/>
                </w:tcPr>
                <w:p>
                  <w:pPr>
                    <w:pStyle w:val="34"/>
                    <w:spacing w:line="360" w:lineRule="exact"/>
                    <w:rPr>
                      <w:color w:val="auto"/>
                      <w:szCs w:val="21"/>
                    </w:rPr>
                  </w:pPr>
                </w:p>
              </w:tc>
              <w:tc>
                <w:tcPr>
                  <w:tcW w:w="676" w:type="pct"/>
                  <w:vMerge w:val="continue"/>
                  <w:vAlign w:val="center"/>
                </w:tcPr>
                <w:p>
                  <w:pPr>
                    <w:pStyle w:val="34"/>
                    <w:spacing w:line="360" w:lineRule="exact"/>
                    <w:rPr>
                      <w:color w:val="auto"/>
                      <w:szCs w:val="21"/>
                    </w:rPr>
                  </w:pPr>
                </w:p>
              </w:tc>
              <w:tc>
                <w:tcPr>
                  <w:tcW w:w="917" w:type="pct"/>
                  <w:vAlign w:val="center"/>
                </w:tcPr>
                <w:p>
                  <w:pPr>
                    <w:pStyle w:val="34"/>
                    <w:spacing w:line="360" w:lineRule="exact"/>
                    <w:rPr>
                      <w:color w:val="auto"/>
                      <w:szCs w:val="21"/>
                    </w:rPr>
                  </w:pPr>
                  <w:r>
                    <w:rPr>
                      <w:color w:val="auto"/>
                      <w:szCs w:val="21"/>
                    </w:rPr>
                    <w:t>产生量t/a</w:t>
                  </w:r>
                </w:p>
              </w:tc>
              <w:tc>
                <w:tcPr>
                  <w:tcW w:w="816" w:type="pct"/>
                  <w:vAlign w:val="center"/>
                </w:tcPr>
                <w:p>
                  <w:pPr>
                    <w:pStyle w:val="34"/>
                    <w:spacing w:line="360" w:lineRule="exact"/>
                    <w:rPr>
                      <w:color w:val="auto"/>
                      <w:szCs w:val="21"/>
                    </w:rPr>
                  </w:pPr>
                  <w:r>
                    <w:rPr>
                      <w:color w:val="auto"/>
                      <w:szCs w:val="21"/>
                    </w:rPr>
                    <w:t>排放量t/a</w:t>
                  </w:r>
                </w:p>
              </w:tc>
              <w:tc>
                <w:tcPr>
                  <w:tcW w:w="943" w:type="pct"/>
                  <w:vMerge w:val="continue"/>
                  <w:vAlign w:val="center"/>
                </w:tcPr>
                <w:p>
                  <w:pPr>
                    <w:pStyle w:val="34"/>
                    <w:spacing w:line="360" w:lineRule="exact"/>
                    <w:rPr>
                      <w:color w:val="auto"/>
                      <w:szCs w:val="21"/>
                    </w:rPr>
                  </w:pPr>
                </w:p>
              </w:tc>
              <w:tc>
                <w:tcPr>
                  <w:tcW w:w="582" w:type="pct"/>
                  <w:vMerge w:val="continue"/>
                  <w:vAlign w:val="center"/>
                </w:tcPr>
                <w:p>
                  <w:pPr>
                    <w:spacing w:line="360" w:lineRule="exact"/>
                    <w:jc w:val="center"/>
                    <w:rPr>
                      <w:rFonts w:ascii="Times New Roman" w:hAnsi="Times New Roman" w:cs="Times New Roman"/>
                      <w:bCs/>
                      <w:snapToGrid w:val="0"/>
                      <w:kern w:val="3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vAlign w:val="center"/>
                </w:tcPr>
                <w:p>
                  <w:pPr>
                    <w:pStyle w:val="34"/>
                    <w:spacing w:line="360" w:lineRule="exact"/>
                    <w:rPr>
                      <w:color w:val="auto"/>
                      <w:szCs w:val="21"/>
                    </w:rPr>
                  </w:pPr>
                  <w:r>
                    <w:rPr>
                      <w:bCs w:val="0"/>
                      <w:color w:val="auto"/>
                      <w:szCs w:val="21"/>
                    </w:rPr>
                    <w:t>施工场地</w:t>
                  </w:r>
                </w:p>
              </w:tc>
              <w:tc>
                <w:tcPr>
                  <w:tcW w:w="676" w:type="pct"/>
                  <w:vAlign w:val="center"/>
                </w:tcPr>
                <w:p>
                  <w:pPr>
                    <w:pStyle w:val="34"/>
                    <w:spacing w:line="360" w:lineRule="exact"/>
                    <w:rPr>
                      <w:color w:val="auto"/>
                      <w:szCs w:val="21"/>
                    </w:rPr>
                  </w:pPr>
                  <w:r>
                    <w:rPr>
                      <w:bCs w:val="0"/>
                      <w:color w:val="auto"/>
                      <w:szCs w:val="21"/>
                    </w:rPr>
                    <w:t>粉尘</w:t>
                  </w:r>
                </w:p>
              </w:tc>
              <w:tc>
                <w:tcPr>
                  <w:tcW w:w="917" w:type="pct"/>
                  <w:vAlign w:val="center"/>
                </w:tcPr>
                <w:p>
                  <w:pPr>
                    <w:pStyle w:val="34"/>
                    <w:spacing w:line="360" w:lineRule="exact"/>
                    <w:rPr>
                      <w:color w:val="auto"/>
                      <w:szCs w:val="21"/>
                    </w:rPr>
                  </w:pPr>
                  <w:r>
                    <w:rPr>
                      <w:color w:val="auto"/>
                      <w:szCs w:val="21"/>
                    </w:rPr>
                    <w:t>少量</w:t>
                  </w:r>
                </w:p>
              </w:tc>
              <w:tc>
                <w:tcPr>
                  <w:tcW w:w="816" w:type="pct"/>
                  <w:vAlign w:val="center"/>
                </w:tcPr>
                <w:p>
                  <w:pPr>
                    <w:pStyle w:val="34"/>
                    <w:spacing w:line="360" w:lineRule="exact"/>
                    <w:rPr>
                      <w:color w:val="auto"/>
                      <w:szCs w:val="21"/>
                    </w:rPr>
                  </w:pPr>
                  <w:r>
                    <w:rPr>
                      <w:color w:val="auto"/>
                      <w:szCs w:val="21"/>
                    </w:rPr>
                    <w:t>少量</w:t>
                  </w:r>
                </w:p>
              </w:tc>
              <w:tc>
                <w:tcPr>
                  <w:tcW w:w="943" w:type="pct"/>
                  <w:vAlign w:val="center"/>
                </w:tcPr>
                <w:p>
                  <w:pPr>
                    <w:pStyle w:val="34"/>
                    <w:spacing w:line="360" w:lineRule="exact"/>
                    <w:rPr>
                      <w:color w:val="auto"/>
                      <w:szCs w:val="21"/>
                    </w:rPr>
                  </w:pPr>
                  <w:r>
                    <w:rPr>
                      <w:rFonts w:hint="eastAsia"/>
                      <w:color w:val="auto"/>
                      <w:szCs w:val="21"/>
                    </w:rPr>
                    <w:t>1.0</w:t>
                  </w:r>
                </w:p>
              </w:tc>
              <w:tc>
                <w:tcPr>
                  <w:tcW w:w="582" w:type="pct"/>
                  <w:vAlign w:val="center"/>
                </w:tcPr>
                <w:p>
                  <w:pPr>
                    <w:spacing w:line="360" w:lineRule="exact"/>
                    <w:jc w:val="center"/>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6" w:type="pct"/>
                  <w:vAlign w:val="center"/>
                </w:tcPr>
                <w:p>
                  <w:pPr>
                    <w:pStyle w:val="34"/>
                    <w:spacing w:line="360" w:lineRule="exact"/>
                    <w:rPr>
                      <w:bCs w:val="0"/>
                      <w:color w:val="auto"/>
                      <w:szCs w:val="21"/>
                    </w:rPr>
                  </w:pPr>
                  <w:r>
                    <w:rPr>
                      <w:bCs w:val="0"/>
                      <w:color w:val="auto"/>
                      <w:szCs w:val="21"/>
                    </w:rPr>
                    <w:t>混凝土系统</w:t>
                  </w:r>
                </w:p>
              </w:tc>
              <w:tc>
                <w:tcPr>
                  <w:tcW w:w="676" w:type="pct"/>
                  <w:vAlign w:val="center"/>
                </w:tcPr>
                <w:p>
                  <w:pPr>
                    <w:pStyle w:val="34"/>
                    <w:spacing w:line="360" w:lineRule="exact"/>
                    <w:rPr>
                      <w:bCs w:val="0"/>
                      <w:color w:val="auto"/>
                      <w:szCs w:val="21"/>
                    </w:rPr>
                  </w:pPr>
                  <w:r>
                    <w:rPr>
                      <w:bCs w:val="0"/>
                      <w:color w:val="auto"/>
                      <w:szCs w:val="21"/>
                    </w:rPr>
                    <w:t>粉尘</w:t>
                  </w:r>
                </w:p>
              </w:tc>
              <w:tc>
                <w:tcPr>
                  <w:tcW w:w="917" w:type="pct"/>
                  <w:vAlign w:val="center"/>
                </w:tcPr>
                <w:p>
                  <w:pPr>
                    <w:pStyle w:val="34"/>
                    <w:spacing w:line="360" w:lineRule="exact"/>
                    <w:rPr>
                      <w:color w:val="auto"/>
                      <w:szCs w:val="21"/>
                    </w:rPr>
                  </w:pPr>
                  <w:r>
                    <w:rPr>
                      <w:rFonts w:hint="eastAsia"/>
                      <w:color w:val="auto"/>
                      <w:szCs w:val="21"/>
                    </w:rPr>
                    <w:t>0.5</w:t>
                  </w:r>
                </w:p>
              </w:tc>
              <w:tc>
                <w:tcPr>
                  <w:tcW w:w="816" w:type="pct"/>
                  <w:vAlign w:val="center"/>
                </w:tcPr>
                <w:p>
                  <w:pPr>
                    <w:pStyle w:val="34"/>
                    <w:spacing w:line="360" w:lineRule="exact"/>
                    <w:rPr>
                      <w:color w:val="auto"/>
                      <w:szCs w:val="21"/>
                    </w:rPr>
                  </w:pPr>
                  <w:r>
                    <w:rPr>
                      <w:rFonts w:hint="eastAsia"/>
                      <w:color w:val="auto"/>
                      <w:szCs w:val="21"/>
                    </w:rPr>
                    <w:t>0.05</w:t>
                  </w:r>
                </w:p>
              </w:tc>
              <w:tc>
                <w:tcPr>
                  <w:tcW w:w="943" w:type="pct"/>
                  <w:vAlign w:val="center"/>
                </w:tcPr>
                <w:p>
                  <w:pPr>
                    <w:pStyle w:val="34"/>
                    <w:spacing w:line="360" w:lineRule="exact"/>
                    <w:rPr>
                      <w:color w:val="auto"/>
                      <w:szCs w:val="21"/>
                    </w:rPr>
                  </w:pPr>
                  <w:r>
                    <w:rPr>
                      <w:rFonts w:hint="eastAsia"/>
                      <w:color w:val="auto"/>
                      <w:szCs w:val="21"/>
                    </w:rPr>
                    <w:t>1.0</w:t>
                  </w:r>
                </w:p>
              </w:tc>
              <w:tc>
                <w:tcPr>
                  <w:tcW w:w="582" w:type="pct"/>
                  <w:vAlign w:val="center"/>
                </w:tcPr>
                <w:p>
                  <w:pPr>
                    <w:spacing w:line="360" w:lineRule="exact"/>
                    <w:jc w:val="center"/>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vAlign w:val="center"/>
                </w:tcPr>
                <w:p>
                  <w:pPr>
                    <w:pStyle w:val="34"/>
                    <w:spacing w:line="360" w:lineRule="exact"/>
                    <w:rPr>
                      <w:bCs w:val="0"/>
                      <w:color w:val="auto"/>
                    </w:rPr>
                  </w:pPr>
                  <w:r>
                    <w:rPr>
                      <w:rFonts w:hint="eastAsia"/>
                      <w:bCs w:val="0"/>
                      <w:color w:val="auto"/>
                    </w:rPr>
                    <w:t>临时表土堆场</w:t>
                  </w:r>
                </w:p>
              </w:tc>
              <w:tc>
                <w:tcPr>
                  <w:tcW w:w="676" w:type="pct"/>
                  <w:vAlign w:val="center"/>
                </w:tcPr>
                <w:p>
                  <w:pPr>
                    <w:pStyle w:val="34"/>
                    <w:spacing w:line="360" w:lineRule="exact"/>
                    <w:rPr>
                      <w:bCs w:val="0"/>
                      <w:color w:val="auto"/>
                    </w:rPr>
                  </w:pPr>
                  <w:r>
                    <w:rPr>
                      <w:rFonts w:hint="eastAsia"/>
                      <w:bCs w:val="0"/>
                      <w:color w:val="auto"/>
                    </w:rPr>
                    <w:t>粉尘</w:t>
                  </w:r>
                </w:p>
              </w:tc>
              <w:tc>
                <w:tcPr>
                  <w:tcW w:w="917" w:type="pct"/>
                  <w:vAlign w:val="center"/>
                </w:tcPr>
                <w:p>
                  <w:pPr>
                    <w:pStyle w:val="34"/>
                    <w:spacing w:line="360" w:lineRule="exact"/>
                    <w:rPr>
                      <w:color w:val="auto"/>
                      <w:szCs w:val="21"/>
                    </w:rPr>
                  </w:pPr>
                  <w:r>
                    <w:rPr>
                      <w:rFonts w:hint="eastAsia"/>
                      <w:color w:val="auto"/>
                      <w:szCs w:val="21"/>
                    </w:rPr>
                    <w:t>50.61</w:t>
                  </w:r>
                </w:p>
              </w:tc>
              <w:tc>
                <w:tcPr>
                  <w:tcW w:w="816" w:type="pct"/>
                  <w:vAlign w:val="center"/>
                </w:tcPr>
                <w:p>
                  <w:pPr>
                    <w:pStyle w:val="34"/>
                    <w:spacing w:line="360" w:lineRule="exact"/>
                    <w:rPr>
                      <w:color w:val="auto"/>
                      <w:szCs w:val="21"/>
                    </w:rPr>
                  </w:pPr>
                  <w:r>
                    <w:rPr>
                      <w:rFonts w:hint="eastAsia"/>
                      <w:color w:val="auto"/>
                      <w:szCs w:val="21"/>
                    </w:rPr>
                    <w:t>7.09</w:t>
                  </w:r>
                </w:p>
              </w:tc>
              <w:tc>
                <w:tcPr>
                  <w:tcW w:w="943" w:type="pct"/>
                  <w:vAlign w:val="center"/>
                </w:tcPr>
                <w:p>
                  <w:pPr>
                    <w:pStyle w:val="34"/>
                    <w:spacing w:line="360" w:lineRule="exact"/>
                    <w:rPr>
                      <w:color w:val="auto"/>
                      <w:szCs w:val="21"/>
                    </w:rPr>
                  </w:pPr>
                  <w:r>
                    <w:rPr>
                      <w:rFonts w:hint="eastAsia"/>
                      <w:color w:val="auto"/>
                      <w:szCs w:val="21"/>
                    </w:rPr>
                    <w:t>1.0</w:t>
                  </w:r>
                </w:p>
              </w:tc>
              <w:tc>
                <w:tcPr>
                  <w:tcW w:w="582" w:type="pct"/>
                  <w:vAlign w:val="center"/>
                </w:tcPr>
                <w:p>
                  <w:pPr>
                    <w:spacing w:line="360" w:lineRule="exact"/>
                    <w:jc w:val="center"/>
                    <w:rPr>
                      <w:rFonts w:ascii="Times New Roman" w:hAnsi="Times New Roman" w:cs="Times New Roman"/>
                      <w:bCs/>
                      <w:snapToGrid w:val="0"/>
                      <w:kern w:val="32"/>
                      <w:lang w:val="zh-CN"/>
                    </w:rPr>
                  </w:pPr>
                  <w:r>
                    <w:rPr>
                      <w:rFonts w:hint="eastAsia" w:ascii="Times New Roman" w:hAnsi="Times New Roman" w:cs="Times New Roman"/>
                      <w:bCs/>
                      <w:snapToGrid w:val="0"/>
                      <w:kern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vAlign w:val="center"/>
                </w:tcPr>
                <w:p>
                  <w:pPr>
                    <w:pStyle w:val="34"/>
                    <w:spacing w:line="360" w:lineRule="exact"/>
                    <w:rPr>
                      <w:bCs w:val="0"/>
                      <w:color w:val="auto"/>
                      <w:szCs w:val="21"/>
                    </w:rPr>
                  </w:pPr>
                  <w:r>
                    <w:rPr>
                      <w:bCs w:val="0"/>
                      <w:color w:val="auto"/>
                      <w:szCs w:val="21"/>
                    </w:rPr>
                    <w:t>施工机械、车辆废气</w:t>
                  </w:r>
                </w:p>
              </w:tc>
              <w:tc>
                <w:tcPr>
                  <w:tcW w:w="676" w:type="pct"/>
                  <w:vAlign w:val="center"/>
                </w:tcPr>
                <w:p>
                  <w:pPr>
                    <w:pStyle w:val="34"/>
                    <w:spacing w:line="360" w:lineRule="exact"/>
                    <w:rPr>
                      <w:bCs w:val="0"/>
                      <w:color w:val="auto"/>
                      <w:szCs w:val="21"/>
                    </w:rPr>
                  </w:pPr>
                  <w:r>
                    <w:rPr>
                      <w:bCs w:val="0"/>
                      <w:color w:val="auto"/>
                      <w:szCs w:val="21"/>
                    </w:rPr>
                    <w:t>CO、碳氢化合物</w:t>
                  </w:r>
                </w:p>
              </w:tc>
              <w:tc>
                <w:tcPr>
                  <w:tcW w:w="917" w:type="pct"/>
                  <w:vAlign w:val="center"/>
                </w:tcPr>
                <w:p>
                  <w:pPr>
                    <w:pStyle w:val="34"/>
                    <w:spacing w:line="360" w:lineRule="exact"/>
                    <w:rPr>
                      <w:color w:val="auto"/>
                      <w:szCs w:val="21"/>
                    </w:rPr>
                  </w:pPr>
                  <w:r>
                    <w:rPr>
                      <w:color w:val="auto"/>
                      <w:szCs w:val="21"/>
                    </w:rPr>
                    <w:t>少量</w:t>
                  </w:r>
                </w:p>
              </w:tc>
              <w:tc>
                <w:tcPr>
                  <w:tcW w:w="816" w:type="pct"/>
                  <w:vAlign w:val="center"/>
                </w:tcPr>
                <w:p>
                  <w:pPr>
                    <w:pStyle w:val="34"/>
                    <w:spacing w:line="360" w:lineRule="exact"/>
                    <w:rPr>
                      <w:color w:val="auto"/>
                      <w:szCs w:val="21"/>
                    </w:rPr>
                  </w:pPr>
                  <w:r>
                    <w:rPr>
                      <w:color w:val="auto"/>
                      <w:szCs w:val="21"/>
                    </w:rPr>
                    <w:t>少量</w:t>
                  </w:r>
                </w:p>
              </w:tc>
              <w:tc>
                <w:tcPr>
                  <w:tcW w:w="943" w:type="pct"/>
                  <w:vAlign w:val="center"/>
                </w:tcPr>
                <w:p>
                  <w:pPr>
                    <w:pStyle w:val="34"/>
                    <w:spacing w:line="360" w:lineRule="exact"/>
                    <w:rPr>
                      <w:color w:val="auto"/>
                      <w:szCs w:val="21"/>
                    </w:rPr>
                  </w:pPr>
                  <w:r>
                    <w:rPr>
                      <w:color w:val="auto"/>
                      <w:szCs w:val="21"/>
                    </w:rPr>
                    <w:t>/</w:t>
                  </w:r>
                </w:p>
              </w:tc>
              <w:tc>
                <w:tcPr>
                  <w:tcW w:w="582"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bl>
          <w:p>
            <w:pPr>
              <w:spacing w:line="360" w:lineRule="auto"/>
              <w:ind w:firstLine="480" w:firstLineChars="200"/>
              <w:rPr>
                <w:rFonts w:ascii="Times New Roman" w:cs="Times New Roman"/>
                <w:sz w:val="24"/>
              </w:rPr>
            </w:pPr>
            <w:r>
              <w:rPr>
                <w:rFonts w:ascii="Times New Roman" w:cs="Times New Roman"/>
                <w:sz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sz w:val="24"/>
                <w:szCs w:val="24"/>
              </w:rPr>
            </w:pPr>
            <w:r>
              <w:rPr>
                <w:rFonts w:ascii="Times New Roman" w:cs="Times New Roman" w:hAnsiTheme="minorEastAsia"/>
                <w:b/>
                <w:sz w:val="24"/>
                <w:szCs w:val="24"/>
              </w:rPr>
              <w:t>建设单位相关要求：</w:t>
            </w:r>
          </w:p>
          <w:p>
            <w:pPr>
              <w:spacing w:line="360" w:lineRule="auto"/>
              <w:ind w:firstLine="480" w:firstLineChars="200"/>
              <w:rPr>
                <w:rFonts w:ascii="Times New Roman" w:hAnsi="Times New Roman" w:cs="Times New Roman"/>
                <w:sz w:val="24"/>
                <w:szCs w:val="24"/>
              </w:rPr>
            </w:pPr>
            <w:r>
              <w:rPr>
                <w:rFonts w:cs="Times New Roman" w:asciiTheme="minorEastAsia" w:hAnsiTheme="minorEastAsia"/>
                <w:sz w:val="24"/>
                <w:szCs w:val="24"/>
              </w:rPr>
              <w:t>①</w:t>
            </w:r>
            <w:r>
              <w:rPr>
                <w:rFonts w:ascii="Times New Roman" w:cs="Times New Roman" w:hAnsiTheme="minorEastAsia"/>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sz w:val="24"/>
                <w:szCs w:val="24"/>
              </w:rPr>
            </w:pPr>
            <w:r>
              <w:rPr>
                <w:rFonts w:cs="Times New Roman" w:asciiTheme="minorEastAsia" w:hAnsiTheme="minorEastAsia"/>
                <w:sz w:val="24"/>
                <w:szCs w:val="24"/>
              </w:rPr>
              <w:t>②</w:t>
            </w:r>
            <w:r>
              <w:rPr>
                <w:rFonts w:ascii="Times New Roman" w:cs="Times New Roman" w:hAnsiTheme="minorEastAsia"/>
                <w:sz w:val="24"/>
                <w:szCs w:val="24"/>
              </w:rPr>
              <w:t>督促施工单位按规定做好工地现场</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cs="Times New Roman" w:hAnsiTheme="minorEastAsia"/>
                <w:sz w:val="24"/>
                <w:szCs w:val="24"/>
              </w:rPr>
              <w:t>监测、视频监控等扬尘信息化监管设备的安装、使用、维护工作，工地现场</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cs="Times New Roman" w:hAnsiTheme="minorEastAsia"/>
                <w:sz w:val="24"/>
                <w:szCs w:val="24"/>
              </w:rPr>
              <w:t>浓度达到规定的临界值时，督促施工单位采取相应的应急措施；</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③配合管理部门，督促项目施工、监理等单位做好渣土车等工程运输车辆扬尘污染防治的工地源头管理工作。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sz w:val="24"/>
                <w:szCs w:val="24"/>
              </w:rPr>
            </w:pPr>
            <w:r>
              <w:rPr>
                <w:rFonts w:ascii="Times New Roman" w:cs="Times New Roman" w:hAnsiTheme="minorEastAsia"/>
                <w:b/>
                <w:sz w:val="24"/>
                <w:szCs w:val="24"/>
              </w:rPr>
              <w:t>施工单位相关要求：</w:t>
            </w:r>
          </w:p>
          <w:p>
            <w:pPr>
              <w:spacing w:line="360" w:lineRule="auto"/>
              <w:ind w:firstLine="480" w:firstLineChars="200"/>
              <w:rPr>
                <w:rFonts w:ascii="Times New Roman" w:hAnsi="Times New Roman" w:cs="Times New Roman"/>
                <w:sz w:val="24"/>
                <w:szCs w:val="24"/>
              </w:rPr>
            </w:pPr>
            <w:r>
              <w:rPr>
                <w:rFonts w:cs="Times New Roman" w:asciiTheme="minorEastAsia" w:hAnsiTheme="minorEastAsia"/>
                <w:sz w:val="24"/>
                <w:szCs w:val="24"/>
              </w:rPr>
              <w:t>①</w:t>
            </w:r>
            <w:r>
              <w:rPr>
                <w:rFonts w:ascii="Times New Roman" w:cs="Times New Roman" w:hAnsiTheme="minorEastAsia"/>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sz w:val="24"/>
                <w:szCs w:val="24"/>
              </w:rPr>
            </w:pPr>
            <w:r>
              <w:rPr>
                <w:rFonts w:cs="Times New Roman" w:asciiTheme="minorEastAsia" w:hAnsiTheme="minorEastAsia"/>
                <w:sz w:val="24"/>
                <w:szCs w:val="24"/>
              </w:rPr>
              <w:t>②</w:t>
            </w:r>
            <w:r>
              <w:rPr>
                <w:rFonts w:ascii="Times New Roman" w:cs="Times New Roman" w:hAnsiTheme="minorEastAsia"/>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sz w:val="24"/>
                <w:szCs w:val="24"/>
              </w:rPr>
            </w:pPr>
            <w:r>
              <w:rPr>
                <w:rFonts w:cs="Times New Roman" w:asciiTheme="minorEastAsia" w:hAnsiTheme="minorEastAsia"/>
                <w:sz w:val="24"/>
                <w:szCs w:val="24"/>
              </w:rPr>
              <w:t>③</w:t>
            </w:r>
            <w:r>
              <w:rPr>
                <w:rFonts w:ascii="Times New Roman" w:cs="Times New Roman" w:hAnsiTheme="minorEastAsia"/>
                <w:sz w:val="24"/>
                <w:szCs w:val="24"/>
              </w:rPr>
              <w:t>按规定做好工地现场</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cs="Times New Roman" w:hAnsiTheme="minorEastAsia"/>
                <w:sz w:val="24"/>
                <w:szCs w:val="24"/>
              </w:rPr>
              <w:t>监测、视频监控等扬尘信息化监管设备的安装、使用、维护工作，现场</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cs="Times New Roman" w:hAnsiTheme="minorEastAsia"/>
                <w:sz w:val="24"/>
                <w:szCs w:val="24"/>
              </w:rPr>
              <w:t>浓度超过</w:t>
            </w:r>
            <w:r>
              <w:rPr>
                <w:rFonts w:ascii="Times New Roman" w:hAnsi="Times New Roman" w:cs="Times New Roman"/>
                <w:sz w:val="24"/>
                <w:szCs w:val="24"/>
              </w:rPr>
              <w:t>60</w:t>
            </w:r>
            <w:r>
              <w:rPr>
                <w:rFonts w:ascii="Times New Roman" w:cs="Times New Roman" w:hAnsiTheme="minorEastAsia"/>
                <w:sz w:val="24"/>
                <w:szCs w:val="24"/>
              </w:rPr>
              <w:t>时，立即采取洒水降尘</w:t>
            </w:r>
            <w:r>
              <w:rPr>
                <w:rFonts w:ascii="Times New Roman" w:hAnsi="Times New Roman" w:cs="Times New Roman"/>
                <w:sz w:val="24"/>
                <w:szCs w:val="24"/>
              </w:rPr>
              <w:t>+</w:t>
            </w:r>
            <w:r>
              <w:rPr>
                <w:rFonts w:ascii="Times New Roman" w:cs="Times New Roman" w:hAnsiTheme="minorEastAsia"/>
                <w:sz w:val="24"/>
                <w:szCs w:val="24"/>
              </w:rPr>
              <w:t>喷雾降尘等综合降尘措施，</w:t>
            </w:r>
            <w:r>
              <w:rPr>
                <w:rFonts w:ascii="Times New Roman" w:hAnsi="Times New Roman" w:cs="Times New Roman"/>
                <w:sz w:val="24"/>
                <w:szCs w:val="24"/>
              </w:rPr>
              <w:t>12h</w:t>
            </w:r>
            <w:r>
              <w:rPr>
                <w:rFonts w:ascii="Times New Roman" w:cs="Times New Roman" w:hAnsiTheme="minorEastAsia"/>
                <w:sz w:val="24"/>
                <w:szCs w:val="24"/>
              </w:rPr>
              <w:t>平均</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cs="Times New Roman" w:hAnsiTheme="minorEastAsia"/>
                <w:sz w:val="24"/>
                <w:szCs w:val="24"/>
              </w:rPr>
              <w:t>浓度超过</w:t>
            </w:r>
            <w:r>
              <w:rPr>
                <w:rFonts w:ascii="Times New Roman" w:hAnsi="Times New Roman" w:cs="Times New Roman"/>
                <w:sz w:val="24"/>
                <w:szCs w:val="24"/>
              </w:rPr>
              <w:t>100</w:t>
            </w:r>
            <w:r>
              <w:rPr>
                <w:rFonts w:ascii="Times New Roman" w:cs="Times New Roman" w:hAnsiTheme="minorEastAsia"/>
                <w:sz w:val="24"/>
                <w:szCs w:val="24"/>
              </w:rPr>
              <w:t>时，必须停工整改、加强综合降尘措施；</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④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⑤必须服从各级政府及相关管理部门的管理，被责令整改的工地，必须按要求认真、及时、全面的进行整改；被责令停工的工地，非经同意，严禁复工。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sz w:val="24"/>
                <w:szCs w:val="24"/>
              </w:rPr>
            </w:pPr>
            <w:r>
              <w:rPr>
                <w:rFonts w:ascii="Times New Roman" w:cs="Times New Roman" w:hAnsiTheme="minorEastAsia"/>
                <w:b/>
                <w:sz w:val="24"/>
                <w:szCs w:val="24"/>
              </w:rPr>
              <w:t>监理单位：</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①在监理规划、监理实施细则中建立完善的建筑工地扬尘污染防治监理制度、台帐管理制度并严格按要求开展监理工作；</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②认真审查施工单位编制的文明施工、扬尘污染防治实施方案，并在施工全过程监督施工单位认真履行工地扬尘污染防治主体责任；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③监督施工单位做好工地现场PM</w:t>
            </w:r>
            <w:r>
              <w:rPr>
                <w:rFonts w:ascii="Times New Roman" w:cs="Times New Roman" w:hAnsiTheme="minorEastAsia"/>
                <w:sz w:val="24"/>
                <w:szCs w:val="24"/>
                <w:vertAlign w:val="subscript"/>
              </w:rPr>
              <w:t>10</w:t>
            </w:r>
            <w:r>
              <w:rPr>
                <w:rFonts w:ascii="Times New Roman" w:cs="Times New Roman" w:hAnsiTheme="minorEastAsia"/>
                <w:sz w:val="24"/>
                <w:szCs w:val="24"/>
              </w:rPr>
              <w:t>监测、视频监控等扬尘信息化监管设备的安装、使用、维护工作，现场PM</w:t>
            </w:r>
            <w:r>
              <w:rPr>
                <w:rFonts w:ascii="Times New Roman" w:cs="Times New Roman" w:hAnsiTheme="minorEastAsia"/>
                <w:sz w:val="24"/>
                <w:szCs w:val="24"/>
                <w:vertAlign w:val="subscript"/>
              </w:rPr>
              <w:t>10</w:t>
            </w:r>
            <w:r>
              <w:rPr>
                <w:rFonts w:ascii="Times New Roman" w:cs="Times New Roman" w:hAnsiTheme="minorEastAsia"/>
                <w:sz w:val="24"/>
                <w:szCs w:val="24"/>
              </w:rPr>
              <w:t>浓度超过临界值时，督促施工单位及时采取应急措施；</w:t>
            </w:r>
          </w:p>
          <w:p>
            <w:pPr>
              <w:spacing w:line="360" w:lineRule="auto"/>
              <w:ind w:firstLine="480" w:firstLineChars="200"/>
              <w:rPr>
                <w:rFonts w:ascii="Times New Roman" w:cs="Times New Roman" w:hAnsiTheme="minorEastAsia"/>
                <w:sz w:val="24"/>
                <w:szCs w:val="24"/>
              </w:rPr>
            </w:pPr>
            <w:r>
              <w:rPr>
                <w:rFonts w:ascii="Times New Roman" w:cs="Times New Roman" w:hAnsiTheme="minorEastAsia"/>
                <w:sz w:val="24"/>
                <w:szCs w:val="24"/>
              </w:rPr>
              <w:t>④安排专门监理人员，每天对施工单位落实苫盖和洒水喷淋降尘措施进行监理，参照“旁站监理”模式，每天对施工单位工程车辆监管、规范使用“三池一设备”情况进行监理，形成台帐；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cs="Times New Roman"/>
                <w:sz w:val="24"/>
              </w:rPr>
            </w:pPr>
            <w:r>
              <w:rPr>
                <w:rFonts w:ascii="Times New Roman" w:cs="Times New Roman" w:hAnsiTheme="minorEastAsia"/>
                <w:sz w:val="24"/>
                <w:szCs w:val="24"/>
              </w:rPr>
              <w:t>⑤对施工单位扬尘污染防治工作不到位的，予以责令整改，拒不整改或整改不到位的及时上报建设单位和项目监督机构。</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4.1.</w:t>
            </w:r>
            <w:r>
              <w:rPr>
                <w:rFonts w:hint="eastAsia" w:ascii="Times New Roman" w:hAnsi="Times New Roman" w:cs="Times New Roman"/>
                <w:b/>
                <w:sz w:val="24"/>
                <w:szCs w:val="24"/>
              </w:rPr>
              <w:t xml:space="preserve">3 </w:t>
            </w:r>
            <w:r>
              <w:rPr>
                <w:rFonts w:ascii="Times New Roman" w:hAnsi="Times New Roman" w:cs="Times New Roman"/>
                <w:b/>
                <w:sz w:val="24"/>
                <w:szCs w:val="24"/>
              </w:rPr>
              <w:t>水环境影响分析</w:t>
            </w:r>
          </w:p>
          <w:p>
            <w:pPr>
              <w:spacing w:line="360" w:lineRule="auto"/>
              <w:ind w:firstLine="480" w:firstLineChars="200"/>
              <w:rPr>
                <w:rFonts w:ascii="Times New Roman" w:cs="Times New Roman" w:hAnsiTheme="minorEastAsia"/>
                <w:sz w:val="24"/>
                <w:szCs w:val="24"/>
              </w:rPr>
            </w:pPr>
            <w:r>
              <w:rPr>
                <w:rFonts w:hint="eastAsia" w:ascii="Times New Roman" w:cs="Times New Roman" w:hAnsiTheme="minorEastAsia"/>
                <w:sz w:val="24"/>
                <w:szCs w:val="24"/>
              </w:rPr>
              <w:t>项目生活区租用附近居民住房，施工人员以当地居民为主，生活设施依托当地居民现有生活设施，项目不设施工生活区。</w:t>
            </w:r>
            <w:r>
              <w:rPr>
                <w:rFonts w:ascii="Times New Roman" w:cs="Times New Roman" w:hAnsiTheme="minorEastAsia"/>
                <w:sz w:val="24"/>
                <w:szCs w:val="24"/>
              </w:rPr>
              <w:t>施工期</w:t>
            </w:r>
            <w:r>
              <w:rPr>
                <w:rFonts w:hint="eastAsia" w:ascii="Times New Roman" w:cs="Times New Roman" w:hAnsiTheme="minorEastAsia"/>
                <w:sz w:val="24"/>
                <w:szCs w:val="24"/>
              </w:rPr>
              <w:t>用水环节主要包括</w:t>
            </w:r>
            <w:r>
              <w:rPr>
                <w:rFonts w:ascii="Times New Roman" w:cs="Times New Roman" w:hAnsiTheme="minorEastAsia"/>
                <w:sz w:val="24"/>
                <w:szCs w:val="24"/>
              </w:rPr>
              <w:t>混凝土砂浆拌和</w:t>
            </w:r>
            <w:r>
              <w:rPr>
                <w:rFonts w:hint="eastAsia" w:ascii="Times New Roman" w:cs="Times New Roman" w:hAnsiTheme="minorEastAsia"/>
                <w:sz w:val="24"/>
                <w:szCs w:val="24"/>
              </w:rPr>
              <w:t>用水</w:t>
            </w:r>
            <w:r>
              <w:rPr>
                <w:rFonts w:ascii="Times New Roman" w:cs="Times New Roman" w:hAnsiTheme="minorEastAsia"/>
                <w:sz w:val="24"/>
                <w:szCs w:val="24"/>
              </w:rPr>
              <w:t>、</w:t>
            </w:r>
            <w:r>
              <w:rPr>
                <w:rFonts w:hint="eastAsia" w:ascii="Times New Roman" w:cs="Times New Roman" w:hAnsiTheme="minorEastAsia"/>
                <w:sz w:val="24"/>
                <w:szCs w:val="24"/>
              </w:rPr>
              <w:t>设备清洗废水，施工期产生的废水包括设备清洗废水、</w:t>
            </w:r>
            <w:r>
              <w:rPr>
                <w:rFonts w:ascii="Times New Roman" w:cs="Times New Roman" w:hAnsiTheme="minorEastAsia"/>
                <w:sz w:val="24"/>
                <w:szCs w:val="24"/>
              </w:rPr>
              <w:t>雨天地表径流</w:t>
            </w:r>
            <w:r>
              <w:rPr>
                <w:rFonts w:hint="eastAsia" w:ascii="Times New Roman" w:cs="Times New Roman" w:hAnsiTheme="minorEastAsia"/>
                <w:sz w:val="24"/>
                <w:szCs w:val="24"/>
              </w:rPr>
              <w:t>。</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（1）混凝土砂浆拌和</w:t>
            </w:r>
            <w:r>
              <w:rPr>
                <w:rFonts w:hint="eastAsia" w:ascii="Times New Roman" w:hAnsi="Times New Roman" w:cs="Times New Roman"/>
                <w:b/>
                <w:sz w:val="24"/>
                <w:szCs w:val="24"/>
              </w:rPr>
              <w:t>用水环境影响分析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根据设计，项目施工混凝土总用量约为1865</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，用水量约为</w:t>
            </w:r>
            <w:r>
              <w:rPr>
                <w:rFonts w:ascii="Times New Roman" w:hAnsi="Times New Roman" w:cs="Times New Roman"/>
                <w:sz w:val="24"/>
                <w:szCs w:val="24"/>
              </w:rPr>
              <w:t>混凝土</w:t>
            </w:r>
            <w:r>
              <w:rPr>
                <w:rFonts w:hint="eastAsia" w:ascii="Times New Roman" w:hAnsi="Times New Roman" w:cs="Times New Roman"/>
                <w:sz w:val="24"/>
                <w:szCs w:val="24"/>
              </w:rPr>
              <w:t>砂浆总量的60%，则</w:t>
            </w:r>
            <w:r>
              <w:rPr>
                <w:rFonts w:ascii="Times New Roman" w:hAnsi="Times New Roman" w:cs="Times New Roman"/>
                <w:sz w:val="24"/>
                <w:szCs w:val="24"/>
              </w:rPr>
              <w:t>混凝土砂浆拌和</w:t>
            </w:r>
            <w:r>
              <w:rPr>
                <w:rFonts w:hint="eastAsia" w:ascii="Times New Roman" w:hAnsi="Times New Roman" w:cs="Times New Roman"/>
                <w:sz w:val="24"/>
                <w:szCs w:val="24"/>
              </w:rPr>
              <w:t>用水量约为1119</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，该水全部进入混凝土内，无废水产生。对地表水体影响较小。</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（2）设备清洗废水环境影响分析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根据设计，项目施工期主要对</w:t>
            </w:r>
            <w:r>
              <w:rPr>
                <w:rFonts w:ascii="Times New Roman" w:hAnsi="Times New Roman" w:cs="Times New Roman"/>
                <w:sz w:val="24"/>
                <w:szCs w:val="24"/>
              </w:rPr>
              <w:t>混凝土搅拌机</w:t>
            </w:r>
            <w:r>
              <w:rPr>
                <w:rFonts w:hint="eastAsia" w:ascii="Times New Roman" w:hAnsi="Times New Roman" w:cs="Times New Roman"/>
                <w:sz w:val="24"/>
                <w:szCs w:val="24"/>
              </w:rPr>
              <w:t>和</w:t>
            </w:r>
            <w:r>
              <w:rPr>
                <w:rFonts w:ascii="Times New Roman" w:hAnsi="Times New Roman" w:cs="Times New Roman"/>
                <w:sz w:val="24"/>
                <w:szCs w:val="24"/>
              </w:rPr>
              <w:t>砂浆搅拌机</w:t>
            </w:r>
            <w:r>
              <w:rPr>
                <w:rFonts w:hint="eastAsia" w:ascii="Times New Roman" w:hAnsi="Times New Roman" w:cs="Times New Roman"/>
                <w:sz w:val="24"/>
                <w:szCs w:val="24"/>
              </w:rPr>
              <w:t>等设备进行清洗，</w:t>
            </w:r>
            <w:r>
              <w:rPr>
                <w:rFonts w:ascii="Times New Roman" w:hAnsi="Times New Roman" w:cs="Times New Roman"/>
                <w:sz w:val="24"/>
                <w:szCs w:val="24"/>
              </w:rPr>
              <w:t>在河道工程布置</w:t>
            </w:r>
            <w:r>
              <w:rPr>
                <w:rFonts w:hint="eastAsia" w:ascii="Times New Roman" w:hAnsi="Times New Roman" w:cs="Times New Roman"/>
                <w:sz w:val="24"/>
                <w:szCs w:val="24"/>
              </w:rPr>
              <w:t>3</w:t>
            </w:r>
            <w:r>
              <w:rPr>
                <w:rFonts w:ascii="Times New Roman" w:hAnsi="Times New Roman" w:cs="Times New Roman"/>
                <w:sz w:val="24"/>
                <w:szCs w:val="24"/>
              </w:rPr>
              <w:t>台0.35m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移动式混凝土搅拌机及</w:t>
            </w:r>
            <w:r>
              <w:rPr>
                <w:rFonts w:hint="eastAsia" w:ascii="Times New Roman" w:hAnsi="Times New Roman" w:cs="Times New Roman"/>
                <w:sz w:val="24"/>
                <w:szCs w:val="24"/>
              </w:rPr>
              <w:t>3</w:t>
            </w:r>
            <w:r>
              <w:rPr>
                <w:rFonts w:ascii="Times New Roman" w:hAnsi="Times New Roman" w:cs="Times New Roman"/>
                <w:sz w:val="24"/>
                <w:szCs w:val="24"/>
              </w:rPr>
              <w:t>台0.20m</w:t>
            </w:r>
            <w:r>
              <w:rPr>
                <w:rFonts w:hint="eastAsia" w:ascii="Times New Roman" w:hAnsi="Times New Roman" w:cs="Times New Roman"/>
                <w:sz w:val="24"/>
                <w:szCs w:val="24"/>
                <w:vertAlign w:val="superscript"/>
              </w:rPr>
              <w:t>3</w:t>
            </w:r>
            <w:r>
              <w:rPr>
                <w:rFonts w:ascii="Times New Roman" w:hAnsi="Times New Roman" w:cs="Times New Roman"/>
                <w:sz w:val="24"/>
                <w:szCs w:val="24"/>
              </w:rPr>
              <w:t>移动式砂浆搅拌机</w:t>
            </w:r>
            <w:r>
              <w:rPr>
                <w:rFonts w:hint="eastAsia" w:ascii="Times New Roman" w:hAnsi="Times New Roman" w:cs="Times New Roman"/>
                <w:sz w:val="24"/>
                <w:szCs w:val="24"/>
              </w:rPr>
              <w:t>，以每天1冲洗一次，按照</w:t>
            </w:r>
            <w:r>
              <w:rPr>
                <w:rFonts w:ascii="Times New Roman" w:hAnsi="Times New Roman" w:cs="Times New Roman"/>
                <w:sz w:val="24"/>
                <w:szCs w:val="24"/>
              </w:rPr>
              <w:t>搅拌机容量</w:t>
            </w:r>
            <w:r>
              <w:rPr>
                <w:rFonts w:hint="eastAsia" w:ascii="Times New Roman" w:hAnsi="Times New Roman" w:cs="Times New Roman"/>
                <w:sz w:val="24"/>
                <w:szCs w:val="24"/>
              </w:rPr>
              <w:t>考虑</w:t>
            </w:r>
            <w:r>
              <w:rPr>
                <w:rFonts w:ascii="Times New Roman" w:hAnsi="Times New Roman" w:cs="Times New Roman"/>
                <w:sz w:val="24"/>
                <w:szCs w:val="24"/>
              </w:rPr>
              <w:t>，</w:t>
            </w:r>
            <w:r>
              <w:rPr>
                <w:rFonts w:hint="eastAsia" w:ascii="Times New Roman" w:hAnsi="Times New Roman" w:cs="Times New Roman"/>
                <w:sz w:val="24"/>
                <w:szCs w:val="24"/>
              </w:rPr>
              <w:t>设备</w:t>
            </w:r>
            <w:r>
              <w:rPr>
                <w:rFonts w:ascii="Times New Roman" w:hAnsi="Times New Roman" w:cs="Times New Roman"/>
                <w:sz w:val="24"/>
                <w:szCs w:val="24"/>
              </w:rPr>
              <w:t>冲洗</w:t>
            </w:r>
            <w:r>
              <w:rPr>
                <w:rFonts w:hint="eastAsia" w:ascii="Times New Roman" w:hAnsi="Times New Roman" w:cs="Times New Roman"/>
                <w:sz w:val="24"/>
                <w:szCs w:val="24"/>
              </w:rPr>
              <w:t>用水量约为</w:t>
            </w:r>
            <w:r>
              <w:rPr>
                <w:rFonts w:ascii="Times New Roman" w:hAnsi="Times New Roman" w:cs="Times New Roman"/>
                <w:sz w:val="24"/>
                <w:szCs w:val="24"/>
              </w:rPr>
              <w:t>0.55m³/次计，则搅拌机冲洗废水量</w:t>
            </w:r>
            <w:r>
              <w:rPr>
                <w:rFonts w:hint="eastAsia" w:ascii="Times New Roman" w:hAnsi="Times New Roman" w:cs="Times New Roman"/>
                <w:sz w:val="24"/>
                <w:szCs w:val="24"/>
              </w:rPr>
              <w:t>约</w:t>
            </w:r>
            <w:r>
              <w:rPr>
                <w:rFonts w:ascii="Times New Roman" w:hAnsi="Times New Roman" w:cs="Times New Roman"/>
                <w:sz w:val="24"/>
                <w:szCs w:val="24"/>
              </w:rPr>
              <w:t>为</w:t>
            </w:r>
            <w:r>
              <w:rPr>
                <w:rFonts w:hint="eastAsia" w:ascii="Times New Roman" w:hAnsi="Times New Roman" w:cs="Times New Roman"/>
                <w:sz w:val="24"/>
                <w:szCs w:val="24"/>
              </w:rPr>
              <w:t>3.3</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/d，792m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/a。设备清洗废水参照资料pH值9-12、CODcr约11.4mg/L、</w:t>
            </w:r>
            <w:r>
              <w:rPr>
                <w:rFonts w:ascii="Times New Roman" w:hAnsi="Times New Roman" w:cs="Times New Roman"/>
                <w:sz w:val="24"/>
                <w:szCs w:val="24"/>
              </w:rPr>
              <w:t>石油类约</w:t>
            </w:r>
            <w:r>
              <w:rPr>
                <w:rFonts w:hint="eastAsia" w:ascii="Times New Roman" w:hAnsi="Times New Roman" w:cs="Times New Roman"/>
                <w:sz w:val="24"/>
                <w:szCs w:val="24"/>
              </w:rPr>
              <w:t>35</w:t>
            </w:r>
            <w:r>
              <w:rPr>
                <w:rFonts w:ascii="Times New Roman" w:hAnsi="Times New Roman" w:cs="Times New Roman"/>
                <w:sz w:val="24"/>
                <w:szCs w:val="24"/>
              </w:rPr>
              <w:t>mg/L，悬浮物浓度</w:t>
            </w:r>
            <w:r>
              <w:rPr>
                <w:rFonts w:hint="eastAsia" w:ascii="Times New Roman" w:hAnsi="Times New Roman" w:cs="Times New Roman"/>
                <w:sz w:val="24"/>
                <w:szCs w:val="24"/>
              </w:rPr>
              <w:t>125</w:t>
            </w:r>
            <w:r>
              <w:rPr>
                <w:rFonts w:ascii="Times New Roman" w:hAnsi="Times New Roman" w:cs="Times New Roman"/>
                <w:sz w:val="24"/>
                <w:szCs w:val="24"/>
              </w:rPr>
              <w:t>0mg/L</w:t>
            </w:r>
            <w:r>
              <w:rPr>
                <w:rFonts w:hint="eastAsia" w:ascii="Times New Roman" w:hAnsi="Times New Roman" w:cs="Times New Roman"/>
                <w:sz w:val="24"/>
                <w:szCs w:val="24"/>
              </w:rPr>
              <w:t>；则CODcr产生量约0.009t/a，石油类产生量约0.028t/a，</w:t>
            </w:r>
            <w:r>
              <w:rPr>
                <w:rFonts w:ascii="Times New Roman" w:hAnsi="Times New Roman" w:cs="Times New Roman"/>
                <w:sz w:val="24"/>
                <w:szCs w:val="24"/>
              </w:rPr>
              <w:t>悬浮物</w:t>
            </w:r>
            <w:r>
              <w:rPr>
                <w:rFonts w:hint="eastAsia" w:ascii="Times New Roman" w:hAnsi="Times New Roman" w:cs="Times New Roman"/>
                <w:sz w:val="24"/>
                <w:szCs w:val="24"/>
              </w:rPr>
              <w:t>产生量约0.99t/a。由于</w:t>
            </w:r>
            <w:r>
              <w:rPr>
                <w:rFonts w:ascii="Times New Roman" w:hAnsi="Times New Roman" w:cs="Times New Roman"/>
                <w:sz w:val="24"/>
                <w:szCs w:val="24"/>
              </w:rPr>
              <w:t>混凝土搅拌机</w:t>
            </w:r>
            <w:r>
              <w:rPr>
                <w:rFonts w:hint="eastAsia" w:ascii="Times New Roman" w:hAnsi="Times New Roman" w:cs="Times New Roman"/>
                <w:sz w:val="24"/>
                <w:szCs w:val="24"/>
              </w:rPr>
              <w:t>和</w:t>
            </w:r>
            <w:r>
              <w:rPr>
                <w:rFonts w:ascii="Times New Roman" w:hAnsi="Times New Roman" w:cs="Times New Roman"/>
                <w:sz w:val="24"/>
                <w:szCs w:val="24"/>
              </w:rPr>
              <w:t>砂浆搅拌机</w:t>
            </w:r>
            <w:r>
              <w:rPr>
                <w:rFonts w:hint="eastAsia" w:ascii="Times New Roman" w:hAnsi="Times New Roman" w:cs="Times New Roman"/>
                <w:sz w:val="24"/>
                <w:szCs w:val="24"/>
              </w:rPr>
              <w:t>均为移动式设备，因此项目分别在3个施工生产区设置</w:t>
            </w:r>
            <w:r>
              <w:rPr>
                <w:rFonts w:ascii="Times New Roman" w:hAnsi="Times New Roman" w:cs="Times New Roman"/>
                <w:sz w:val="24"/>
                <w:szCs w:val="24"/>
              </w:rPr>
              <w:t>清洗场地</w:t>
            </w:r>
            <w:r>
              <w:rPr>
                <w:rFonts w:hint="eastAsia" w:ascii="Times New Roman" w:hAnsi="Times New Roman" w:cs="Times New Roman"/>
                <w:sz w:val="24"/>
                <w:szCs w:val="24"/>
              </w:rPr>
              <w:t>，并分别在每个清洗场地区域配套设置有效容积均为4</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/个临时沉淀池，对设备清洗废水进行收集沉淀处理后回用于施工场地及道路洒水抑尘，不外排。</w:t>
            </w:r>
          </w:p>
          <w:p>
            <w:pPr>
              <w:spacing w:line="360" w:lineRule="auto"/>
              <w:ind w:firstLine="361" w:firstLineChars="150"/>
              <w:rPr>
                <w:rFonts w:ascii="Times New Roman" w:hAnsi="Times New Roman" w:cs="Times New Roman"/>
                <w:b/>
                <w:sz w:val="24"/>
                <w:szCs w:val="24"/>
              </w:rPr>
            </w:pPr>
            <w:r>
              <w:rPr>
                <w:rFonts w:ascii="Times New Roman" w:hAnsi="Times New Roman" w:cs="Times New Roman"/>
                <w:b/>
                <w:sz w:val="24"/>
                <w:szCs w:val="24"/>
              </w:rPr>
              <w:t>（</w:t>
            </w:r>
            <w:r>
              <w:rPr>
                <w:rFonts w:hint="eastAsia" w:ascii="Times New Roman" w:hAnsi="Times New Roman" w:cs="Times New Roman"/>
                <w:b/>
                <w:sz w:val="24"/>
                <w:szCs w:val="24"/>
              </w:rPr>
              <w:t>3</w:t>
            </w:r>
            <w:r>
              <w:rPr>
                <w:rFonts w:ascii="Times New Roman" w:hAnsi="Times New Roman" w:cs="Times New Roman"/>
                <w:b/>
                <w:sz w:val="24"/>
                <w:szCs w:val="24"/>
              </w:rPr>
              <w:t>）雨天地表径流</w:t>
            </w:r>
            <w:r>
              <w:rPr>
                <w:rFonts w:hint="eastAsia" w:ascii="Times New Roman" w:hAnsi="Times New Roman" w:cs="Times New Roman"/>
                <w:b/>
                <w:sz w:val="24"/>
                <w:szCs w:val="24"/>
              </w:rPr>
              <w:t>环境影响分析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w:t>
            </w:r>
            <w:r>
              <w:rPr>
                <w:rFonts w:hint="eastAsia" w:ascii="Times New Roman" w:hAnsi="Times New Roman" w:cs="Times New Roman"/>
                <w:sz w:val="24"/>
                <w:szCs w:val="24"/>
              </w:rPr>
              <w:t>1#施工生产区占地面积1500m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；2#施工生产区600m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；3#施工生产区600m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，分别位于光伏泵站场地旁1#施工生产区、0#高位水池旁2#施工生产区、3#蓄水池旁3#施工生产区，</w:t>
            </w:r>
            <w:r>
              <w:rPr>
                <w:rFonts w:ascii="Times New Roman" w:hAnsi="Times New Roman" w:cs="Times New Roman"/>
                <w:sz w:val="24"/>
                <w:szCs w:val="24"/>
              </w:rPr>
              <w:t>并在四周设置截排水沟。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根据东川区多年气象资料统计，项目区所在区域多年日最大降雨量为153.3mm，径流系数按《环境影响评价技术导则-地表水环境》（HJ/T2.3-2018）中的推荐值，本项目径流系数取0.1。地表径流量估算公式如下：</w:t>
            </w:r>
          </w:p>
          <w:p>
            <w:pPr>
              <w:spacing w:line="360" w:lineRule="auto"/>
              <w:ind w:firstLine="480" w:firstLineChars="200"/>
              <w:rPr>
                <w:rFonts w:ascii="Times New Roman" w:hAnsi="Times New Roman" w:cs="Times New Roman"/>
                <w:b/>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m</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C×Q×A</w:t>
            </w:r>
          </w:p>
          <w:p>
            <w:pPr>
              <w:pStyle w:val="78"/>
              <w:adjustRightInd w:val="0"/>
              <w:snapToGrid w:val="0"/>
              <w:spacing w:line="360" w:lineRule="auto"/>
              <w:ind w:firstLine="480" w:firstLineChars="200"/>
              <w:jc w:val="both"/>
              <w:rPr>
                <w:sz w:val="24"/>
                <w:szCs w:val="24"/>
              </w:rPr>
            </w:pPr>
            <w:r>
              <w:rPr>
                <w:sz w:val="24"/>
                <w:szCs w:val="24"/>
              </w:rPr>
              <w:t>式中：Q</w:t>
            </w:r>
            <w:r>
              <w:rPr>
                <w:sz w:val="24"/>
                <w:szCs w:val="24"/>
                <w:vertAlign w:val="subscript"/>
              </w:rPr>
              <w:t>m</w:t>
            </w:r>
            <w:r>
              <w:rPr>
                <w:sz w:val="24"/>
                <w:szCs w:val="24"/>
              </w:rPr>
              <w:t>——降雨产生的路面水量，m</w:t>
            </w:r>
            <w:r>
              <w:rPr>
                <w:sz w:val="24"/>
                <w:szCs w:val="24"/>
                <w:vertAlign w:val="superscript"/>
              </w:rPr>
              <w:t>3</w:t>
            </w:r>
            <w:r>
              <w:rPr>
                <w:sz w:val="24"/>
                <w:szCs w:val="24"/>
              </w:rPr>
              <w:t>/d；</w:t>
            </w:r>
          </w:p>
          <w:p>
            <w:pPr>
              <w:pStyle w:val="78"/>
              <w:adjustRightInd w:val="0"/>
              <w:snapToGrid w:val="0"/>
              <w:spacing w:line="360" w:lineRule="auto"/>
              <w:ind w:firstLine="480" w:firstLineChars="200"/>
              <w:jc w:val="both"/>
              <w:rPr>
                <w:sz w:val="24"/>
                <w:szCs w:val="24"/>
              </w:rPr>
            </w:pPr>
            <w:r>
              <w:rPr>
                <w:sz w:val="24"/>
                <w:szCs w:val="24"/>
              </w:rPr>
              <w:t xml:space="preserve">      C——集中区径流系数；</w:t>
            </w:r>
          </w:p>
          <w:p>
            <w:pPr>
              <w:pStyle w:val="78"/>
              <w:adjustRightInd w:val="0"/>
              <w:snapToGrid w:val="0"/>
              <w:spacing w:line="360" w:lineRule="auto"/>
              <w:ind w:firstLine="1200" w:firstLineChars="500"/>
              <w:jc w:val="both"/>
              <w:rPr>
                <w:sz w:val="24"/>
                <w:szCs w:val="24"/>
              </w:rPr>
            </w:pPr>
            <w:r>
              <w:rPr>
                <w:sz w:val="24"/>
                <w:szCs w:val="24"/>
              </w:rPr>
              <w:t>Q——集水区多年日最大降雨量，mm（本项目多年日最大降雨量取值为153.3mm）；</w:t>
            </w:r>
          </w:p>
          <w:p>
            <w:pPr>
              <w:pStyle w:val="78"/>
              <w:adjustRightInd w:val="0"/>
              <w:snapToGrid w:val="0"/>
              <w:spacing w:line="360" w:lineRule="auto"/>
              <w:ind w:firstLine="480" w:firstLineChars="200"/>
              <w:jc w:val="both"/>
              <w:rPr>
                <w:sz w:val="24"/>
                <w:szCs w:val="24"/>
              </w:rPr>
            </w:pPr>
            <w:r>
              <w:rPr>
                <w:sz w:val="24"/>
                <w:szCs w:val="24"/>
              </w:rPr>
              <w:t xml:space="preserve">      A——集水区地表面积，m</w:t>
            </w:r>
            <w:r>
              <w:rPr>
                <w:sz w:val="24"/>
                <w:szCs w:val="24"/>
                <w:vertAlign w:val="superscript"/>
              </w:rPr>
              <w:t>2</w:t>
            </w:r>
            <w:r>
              <w:rPr>
                <w:sz w:val="24"/>
                <w:szCs w:val="24"/>
              </w:rPr>
              <w:t>。</w:t>
            </w:r>
          </w:p>
          <w:p>
            <w:pPr>
              <w:pStyle w:val="78"/>
              <w:adjustRightInd w:val="0"/>
              <w:snapToGrid w:val="0"/>
              <w:spacing w:line="360" w:lineRule="auto"/>
              <w:ind w:firstLine="480" w:firstLineChars="200"/>
              <w:jc w:val="both"/>
              <w:rPr>
                <w:sz w:val="24"/>
                <w:szCs w:val="24"/>
              </w:rPr>
            </w:pPr>
            <w:r>
              <w:rPr>
                <w:sz w:val="24"/>
                <w:szCs w:val="24"/>
              </w:rPr>
              <w:t>根据上述公式计算，项目</w:t>
            </w:r>
            <w:r>
              <w:rPr>
                <w:rFonts w:hint="eastAsia"/>
                <w:sz w:val="24"/>
                <w:szCs w:val="24"/>
              </w:rPr>
              <w:t>1#</w:t>
            </w:r>
            <w:r>
              <w:rPr>
                <w:sz w:val="24"/>
                <w:szCs w:val="24"/>
              </w:rPr>
              <w:t>施工生产区地表径流量为</w:t>
            </w:r>
            <w:r>
              <w:rPr>
                <w:rFonts w:hint="eastAsia"/>
                <w:sz w:val="24"/>
                <w:szCs w:val="24"/>
              </w:rPr>
              <w:t>23</w:t>
            </w:r>
            <w:r>
              <w:rPr>
                <w:sz w:val="24"/>
                <w:szCs w:val="24"/>
              </w:rPr>
              <w:t>m</w:t>
            </w:r>
            <w:r>
              <w:rPr>
                <w:sz w:val="24"/>
                <w:szCs w:val="24"/>
                <w:vertAlign w:val="superscript"/>
              </w:rPr>
              <w:t>3</w:t>
            </w:r>
            <w:r>
              <w:rPr>
                <w:sz w:val="24"/>
                <w:szCs w:val="24"/>
              </w:rPr>
              <w:t>/d，</w:t>
            </w:r>
            <w:r>
              <w:rPr>
                <w:rFonts w:hint="eastAsia"/>
                <w:sz w:val="24"/>
                <w:szCs w:val="24"/>
              </w:rPr>
              <w:t>0.96</w:t>
            </w:r>
            <w:r>
              <w:rPr>
                <w:sz w:val="24"/>
                <w:szCs w:val="24"/>
              </w:rPr>
              <w:t>m</w:t>
            </w:r>
            <w:r>
              <w:rPr>
                <w:sz w:val="24"/>
                <w:szCs w:val="24"/>
                <w:vertAlign w:val="superscript"/>
              </w:rPr>
              <w:t>3</w:t>
            </w:r>
            <w:r>
              <w:rPr>
                <w:sz w:val="24"/>
                <w:szCs w:val="24"/>
              </w:rPr>
              <w:t>/h；</w:t>
            </w:r>
            <w:r>
              <w:rPr>
                <w:rFonts w:hint="eastAsia"/>
                <w:sz w:val="24"/>
                <w:szCs w:val="24"/>
              </w:rPr>
              <w:t>2#</w:t>
            </w:r>
            <w:r>
              <w:rPr>
                <w:sz w:val="24"/>
                <w:szCs w:val="24"/>
              </w:rPr>
              <w:t>施工生产区地表径流量为</w:t>
            </w:r>
            <w:r>
              <w:rPr>
                <w:rFonts w:hint="eastAsia"/>
                <w:sz w:val="24"/>
                <w:szCs w:val="24"/>
              </w:rPr>
              <w:t>9.2</w:t>
            </w:r>
            <w:r>
              <w:rPr>
                <w:sz w:val="24"/>
                <w:szCs w:val="24"/>
              </w:rPr>
              <w:t>m</w:t>
            </w:r>
            <w:r>
              <w:rPr>
                <w:sz w:val="24"/>
                <w:szCs w:val="24"/>
                <w:vertAlign w:val="superscript"/>
              </w:rPr>
              <w:t>3</w:t>
            </w:r>
            <w:r>
              <w:rPr>
                <w:sz w:val="24"/>
                <w:szCs w:val="24"/>
              </w:rPr>
              <w:t>/d，</w:t>
            </w:r>
            <w:r>
              <w:rPr>
                <w:rFonts w:hint="eastAsia"/>
                <w:sz w:val="24"/>
                <w:szCs w:val="24"/>
              </w:rPr>
              <w:t>0.38</w:t>
            </w:r>
            <w:r>
              <w:rPr>
                <w:sz w:val="24"/>
                <w:szCs w:val="24"/>
              </w:rPr>
              <w:t>m</w:t>
            </w:r>
            <w:r>
              <w:rPr>
                <w:sz w:val="24"/>
                <w:szCs w:val="24"/>
                <w:vertAlign w:val="superscript"/>
              </w:rPr>
              <w:t>3</w:t>
            </w:r>
            <w:r>
              <w:rPr>
                <w:sz w:val="24"/>
                <w:szCs w:val="24"/>
              </w:rPr>
              <w:t>/h；</w:t>
            </w:r>
            <w:r>
              <w:rPr>
                <w:rFonts w:hint="eastAsia"/>
                <w:sz w:val="24"/>
                <w:szCs w:val="24"/>
              </w:rPr>
              <w:t>3#</w:t>
            </w:r>
            <w:r>
              <w:rPr>
                <w:sz w:val="24"/>
                <w:szCs w:val="24"/>
              </w:rPr>
              <w:t>施工生产区地表径流量为</w:t>
            </w:r>
            <w:r>
              <w:rPr>
                <w:rFonts w:hint="eastAsia"/>
                <w:sz w:val="24"/>
                <w:szCs w:val="24"/>
              </w:rPr>
              <w:t>9.2</w:t>
            </w:r>
            <w:r>
              <w:rPr>
                <w:sz w:val="24"/>
                <w:szCs w:val="24"/>
              </w:rPr>
              <w:t>m</w:t>
            </w:r>
            <w:r>
              <w:rPr>
                <w:sz w:val="24"/>
                <w:szCs w:val="24"/>
                <w:vertAlign w:val="superscript"/>
              </w:rPr>
              <w:t>3</w:t>
            </w:r>
            <w:r>
              <w:rPr>
                <w:sz w:val="24"/>
                <w:szCs w:val="24"/>
              </w:rPr>
              <w:t>/d，</w:t>
            </w:r>
            <w:r>
              <w:rPr>
                <w:rFonts w:hint="eastAsia"/>
                <w:sz w:val="24"/>
                <w:szCs w:val="24"/>
              </w:rPr>
              <w:t>0.38</w:t>
            </w:r>
            <w:r>
              <w:rPr>
                <w:sz w:val="24"/>
                <w:szCs w:val="24"/>
              </w:rPr>
              <w:t>m</w:t>
            </w:r>
            <w:r>
              <w:rPr>
                <w:sz w:val="24"/>
                <w:szCs w:val="24"/>
                <w:vertAlign w:val="superscript"/>
              </w:rPr>
              <w:t>3</w:t>
            </w:r>
            <w:r>
              <w:rPr>
                <w:sz w:val="24"/>
                <w:szCs w:val="24"/>
              </w:rPr>
              <w:t>/h。项目在</w:t>
            </w:r>
            <w:r>
              <w:rPr>
                <w:rFonts w:hint="eastAsia"/>
                <w:sz w:val="24"/>
                <w:szCs w:val="24"/>
              </w:rPr>
              <w:t>1#、2#、3#施工生产区分别设置1m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的临时沉砂池，1#、2#、3#施工生产区</w:t>
            </w:r>
            <w:r>
              <w:rPr>
                <w:sz w:val="24"/>
                <w:szCs w:val="24"/>
              </w:rPr>
              <w:t>雨天地表径流经临时沉砂池沉淀处理后回用于施工</w:t>
            </w:r>
            <w:r>
              <w:rPr>
                <w:rFonts w:hint="eastAsia"/>
                <w:sz w:val="24"/>
                <w:szCs w:val="24"/>
              </w:rPr>
              <w:t>生产区</w:t>
            </w:r>
            <w:r>
              <w:rPr>
                <w:sz w:val="24"/>
                <w:szCs w:val="24"/>
              </w:rPr>
              <w:t>洒水降尘，不外排。</w:t>
            </w:r>
          </w:p>
          <w:p>
            <w:pPr>
              <w:pStyle w:val="78"/>
              <w:adjustRightInd w:val="0"/>
              <w:snapToGrid w:val="0"/>
              <w:spacing w:line="360" w:lineRule="auto"/>
              <w:ind w:firstLine="480" w:firstLineChars="200"/>
              <w:jc w:val="both"/>
              <w:rPr>
                <w:sz w:val="24"/>
                <w:szCs w:val="24"/>
              </w:rPr>
            </w:pPr>
            <w:r>
              <w:rPr>
                <w:sz w:val="24"/>
                <w:szCs w:val="24"/>
              </w:rPr>
              <w:t>项目在雨季施工时容易造成局部水土流失，该部分废水含有泥沙，施工期拟在施工生产区内设置临时截洪沟，引排施工生产区雨天产生的地表径流水，</w:t>
            </w:r>
            <w:r>
              <w:rPr>
                <w:rFonts w:hint="eastAsia"/>
                <w:sz w:val="24"/>
                <w:szCs w:val="24"/>
              </w:rPr>
              <w:t>降低其带来的水土流失，从而减少</w:t>
            </w:r>
            <w:r>
              <w:rPr>
                <w:sz w:val="24"/>
                <w:szCs w:val="24"/>
              </w:rPr>
              <w:t>径流水对项目区域地表水体水质的污染。因此项目采取以上措施后，施工期雨天地表径流对</w:t>
            </w:r>
            <w:r>
              <w:rPr>
                <w:rFonts w:hint="eastAsia"/>
                <w:sz w:val="24"/>
                <w:szCs w:val="24"/>
              </w:rPr>
              <w:t>地表水体影响较小。</w:t>
            </w:r>
          </w:p>
          <w:p>
            <w:pPr>
              <w:spacing w:line="360" w:lineRule="auto"/>
              <w:ind w:firstLine="481" w:firstLineChars="200"/>
              <w:rPr>
                <w:rFonts w:ascii="Times New Roman" w:hAnsi="Times New Roman" w:cs="Times New Roman"/>
                <w:sz w:val="24"/>
              </w:rPr>
            </w:pPr>
            <w:r>
              <w:rPr>
                <w:rFonts w:ascii="Times New Roman" w:hAnsi="Times New Roman" w:cs="Times New Roman"/>
                <w:b/>
                <w:sz w:val="24"/>
              </w:rPr>
              <w:t>（</w:t>
            </w:r>
            <w:r>
              <w:rPr>
                <w:rFonts w:hint="eastAsia" w:ascii="Times New Roman" w:hAnsi="Times New Roman" w:cs="Times New Roman"/>
                <w:b/>
                <w:sz w:val="24"/>
              </w:rPr>
              <w:t>4</w:t>
            </w:r>
            <w:r>
              <w:rPr>
                <w:rFonts w:ascii="Times New Roman" w:hAnsi="Times New Roman" w:cs="Times New Roman"/>
                <w:b/>
                <w:sz w:val="24"/>
              </w:rPr>
              <w:t>）废水污染物治理措施及排放方式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项目废水污染物排放源的治理措施及排放方式如下表所示。</w:t>
            </w:r>
          </w:p>
          <w:p>
            <w:pPr>
              <w:jc w:val="center"/>
              <w:rPr>
                <w:rFonts w:ascii="Times New Roman" w:hAnsi="Times New Roman" w:cs="Times New Roman"/>
                <w:b/>
              </w:rPr>
            </w:pPr>
            <w:r>
              <w:rPr>
                <w:rFonts w:ascii="Times New Roman" w:hAnsi="Times New Roman" w:cs="Times New Roman"/>
                <w:b/>
              </w:rPr>
              <w:t>4.1.</w:t>
            </w:r>
            <w:r>
              <w:rPr>
                <w:rFonts w:hint="eastAsia" w:ascii="Times New Roman" w:hAnsi="Times New Roman" w:cs="Times New Roman"/>
                <w:b/>
              </w:rPr>
              <w:t>3</w:t>
            </w:r>
            <w:r>
              <w:rPr>
                <w:rFonts w:ascii="Times New Roman" w:hAnsi="Times New Roman" w:cs="Times New Roman"/>
                <w:b/>
              </w:rPr>
              <w:t>-</w:t>
            </w:r>
            <w:r>
              <w:rPr>
                <w:rFonts w:hint="eastAsia" w:ascii="Times New Roman" w:hAnsi="Times New Roman" w:cs="Times New Roman"/>
                <w:b/>
              </w:rPr>
              <w:t>1</w:t>
            </w:r>
            <w:r>
              <w:rPr>
                <w:rFonts w:ascii="Times New Roman" w:hAnsi="Times New Roman" w:cs="Times New Roman"/>
                <w:b/>
              </w:rPr>
              <w:t xml:space="preserve"> 废水污染物治理措施及排放方式一览表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694"/>
              <w:gridCol w:w="1033"/>
              <w:gridCol w:w="3256"/>
              <w:gridCol w:w="974"/>
              <w:gridCol w:w="108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29" w:type="pct"/>
                  <w:vAlign w:val="center"/>
                </w:tcPr>
                <w:p>
                  <w:pPr>
                    <w:pStyle w:val="34"/>
                    <w:spacing w:line="360" w:lineRule="exact"/>
                    <w:rPr>
                      <w:color w:val="auto"/>
                      <w:szCs w:val="21"/>
                    </w:rPr>
                  </w:pPr>
                  <w:r>
                    <w:rPr>
                      <w:color w:val="auto"/>
                      <w:szCs w:val="21"/>
                    </w:rPr>
                    <w:t>产排污环节</w:t>
                  </w:r>
                </w:p>
              </w:tc>
              <w:tc>
                <w:tcPr>
                  <w:tcW w:w="403" w:type="pct"/>
                  <w:vAlign w:val="center"/>
                </w:tcPr>
                <w:p>
                  <w:pPr>
                    <w:pStyle w:val="34"/>
                    <w:spacing w:line="360" w:lineRule="exact"/>
                    <w:rPr>
                      <w:color w:val="auto"/>
                      <w:szCs w:val="21"/>
                    </w:rPr>
                  </w:pPr>
                  <w:r>
                    <w:rPr>
                      <w:color w:val="auto"/>
                      <w:szCs w:val="21"/>
                    </w:rPr>
                    <w:t>类别</w:t>
                  </w:r>
                </w:p>
              </w:tc>
              <w:tc>
                <w:tcPr>
                  <w:tcW w:w="600" w:type="pct"/>
                  <w:vAlign w:val="center"/>
                </w:tcPr>
                <w:p>
                  <w:pPr>
                    <w:pStyle w:val="34"/>
                    <w:spacing w:line="360" w:lineRule="exact"/>
                    <w:rPr>
                      <w:color w:val="auto"/>
                      <w:szCs w:val="21"/>
                    </w:rPr>
                  </w:pPr>
                  <w:r>
                    <w:rPr>
                      <w:color w:val="auto"/>
                      <w:szCs w:val="21"/>
                    </w:rPr>
                    <w:t>污染物种类</w:t>
                  </w:r>
                </w:p>
              </w:tc>
              <w:tc>
                <w:tcPr>
                  <w:tcW w:w="1891" w:type="pct"/>
                  <w:vAlign w:val="center"/>
                </w:tcPr>
                <w:p>
                  <w:pPr>
                    <w:pStyle w:val="34"/>
                    <w:spacing w:line="360" w:lineRule="exact"/>
                    <w:rPr>
                      <w:color w:val="auto"/>
                      <w:szCs w:val="21"/>
                    </w:rPr>
                  </w:pPr>
                  <w:r>
                    <w:rPr>
                      <w:color w:val="auto"/>
                      <w:szCs w:val="21"/>
                    </w:rPr>
                    <w:t>治理设施、效率及去向</w:t>
                  </w:r>
                </w:p>
              </w:tc>
              <w:tc>
                <w:tcPr>
                  <w:tcW w:w="566"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排放形式及规律</w:t>
                  </w:r>
                </w:p>
              </w:tc>
              <w:tc>
                <w:tcPr>
                  <w:tcW w:w="62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排放口基本情况</w:t>
                  </w:r>
                </w:p>
              </w:tc>
              <w:tc>
                <w:tcPr>
                  <w:tcW w:w="483"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29" w:type="pct"/>
                  <w:vAlign w:val="center"/>
                </w:tcPr>
                <w:p>
                  <w:pPr>
                    <w:pStyle w:val="34"/>
                    <w:spacing w:line="360" w:lineRule="exact"/>
                    <w:rPr>
                      <w:color w:val="auto"/>
                      <w:szCs w:val="21"/>
                      <w:lang w:val="en-US"/>
                    </w:rPr>
                  </w:pPr>
                  <w:r>
                    <w:rPr>
                      <w:rFonts w:hint="eastAsia"/>
                      <w:color w:val="auto"/>
                      <w:szCs w:val="21"/>
                      <w:lang w:val="en-US"/>
                    </w:rPr>
                    <w:t>混凝土砂浆拌和</w:t>
                  </w:r>
                </w:p>
              </w:tc>
              <w:tc>
                <w:tcPr>
                  <w:tcW w:w="403" w:type="pct"/>
                  <w:vAlign w:val="center"/>
                </w:tcPr>
                <w:p>
                  <w:pPr>
                    <w:pStyle w:val="34"/>
                    <w:spacing w:line="360" w:lineRule="exact"/>
                    <w:rPr>
                      <w:color w:val="auto"/>
                      <w:szCs w:val="21"/>
                      <w:lang w:val="en-US"/>
                    </w:rPr>
                  </w:pPr>
                  <w:r>
                    <w:rPr>
                      <w:rFonts w:hint="eastAsia"/>
                      <w:color w:val="auto"/>
                      <w:szCs w:val="21"/>
                      <w:lang w:val="en-US"/>
                    </w:rPr>
                    <w:t>混凝土砂浆拌和用水</w:t>
                  </w:r>
                </w:p>
              </w:tc>
              <w:tc>
                <w:tcPr>
                  <w:tcW w:w="600" w:type="pct"/>
                  <w:vAlign w:val="center"/>
                </w:tcPr>
                <w:p>
                  <w:pPr>
                    <w:pStyle w:val="34"/>
                    <w:spacing w:line="360" w:lineRule="exact"/>
                    <w:rPr>
                      <w:color w:val="auto"/>
                      <w:szCs w:val="21"/>
                      <w:lang w:val="en-US"/>
                    </w:rPr>
                  </w:pPr>
                  <w:r>
                    <w:rPr>
                      <w:rFonts w:hint="eastAsia"/>
                      <w:color w:val="auto"/>
                      <w:szCs w:val="21"/>
                      <w:lang w:val="en-US"/>
                    </w:rPr>
                    <w:t>pH、SS</w:t>
                  </w:r>
                </w:p>
              </w:tc>
              <w:tc>
                <w:tcPr>
                  <w:tcW w:w="1891" w:type="pct"/>
                  <w:vAlign w:val="center"/>
                </w:tcPr>
                <w:p>
                  <w:pPr>
                    <w:pStyle w:val="34"/>
                    <w:spacing w:line="360" w:lineRule="exact"/>
                    <w:ind w:firstLine="210" w:firstLineChars="100"/>
                    <w:jc w:val="both"/>
                    <w:rPr>
                      <w:color w:val="auto"/>
                      <w:szCs w:val="21"/>
                      <w:lang w:val="en-US"/>
                    </w:rPr>
                  </w:pPr>
                  <w:r>
                    <w:rPr>
                      <w:rFonts w:hint="eastAsia"/>
                      <w:color w:val="auto"/>
                      <w:szCs w:val="21"/>
                      <w:lang w:val="en-US"/>
                    </w:rPr>
                    <w:t>全部进入混凝土内，无废水产生。</w:t>
                  </w:r>
                </w:p>
              </w:tc>
              <w:tc>
                <w:tcPr>
                  <w:tcW w:w="566"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62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c>
                <w:tcPr>
                  <w:tcW w:w="483"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9" w:type="pct"/>
                  <w:vAlign w:val="center"/>
                </w:tcPr>
                <w:p>
                  <w:pPr>
                    <w:pStyle w:val="34"/>
                    <w:spacing w:line="360" w:lineRule="exact"/>
                    <w:rPr>
                      <w:color w:val="auto"/>
                      <w:szCs w:val="21"/>
                    </w:rPr>
                  </w:pPr>
                  <w:r>
                    <w:rPr>
                      <w:color w:val="auto"/>
                      <w:szCs w:val="21"/>
                    </w:rPr>
                    <w:t>施工机械设备</w:t>
                  </w:r>
                </w:p>
              </w:tc>
              <w:tc>
                <w:tcPr>
                  <w:tcW w:w="403" w:type="pct"/>
                  <w:vAlign w:val="center"/>
                </w:tcPr>
                <w:p>
                  <w:pPr>
                    <w:pStyle w:val="34"/>
                    <w:spacing w:line="360" w:lineRule="exact"/>
                    <w:rPr>
                      <w:color w:val="auto"/>
                      <w:szCs w:val="21"/>
                    </w:rPr>
                  </w:pPr>
                  <w:r>
                    <w:rPr>
                      <w:color w:val="auto"/>
                      <w:szCs w:val="21"/>
                    </w:rPr>
                    <w:t>设备清洗废水</w:t>
                  </w:r>
                </w:p>
              </w:tc>
              <w:tc>
                <w:tcPr>
                  <w:tcW w:w="600" w:type="pct"/>
                  <w:vAlign w:val="center"/>
                </w:tcPr>
                <w:p>
                  <w:pPr>
                    <w:pStyle w:val="34"/>
                    <w:spacing w:line="360" w:lineRule="exact"/>
                    <w:rPr>
                      <w:color w:val="auto"/>
                      <w:szCs w:val="21"/>
                    </w:rPr>
                  </w:pPr>
                  <w:r>
                    <w:rPr>
                      <w:rFonts w:hint="eastAsia"/>
                      <w:color w:val="auto"/>
                      <w:szCs w:val="21"/>
                    </w:rPr>
                    <w:t>pH、CODcr、</w:t>
                  </w:r>
                  <w:r>
                    <w:rPr>
                      <w:color w:val="auto"/>
                      <w:szCs w:val="21"/>
                    </w:rPr>
                    <w:t>SS、石油类</w:t>
                  </w:r>
                </w:p>
              </w:tc>
              <w:tc>
                <w:tcPr>
                  <w:tcW w:w="1891" w:type="pct"/>
                  <w:vAlign w:val="center"/>
                </w:tcPr>
                <w:p>
                  <w:pPr>
                    <w:pStyle w:val="34"/>
                    <w:spacing w:line="360" w:lineRule="exact"/>
                    <w:ind w:firstLine="210" w:firstLineChars="100"/>
                    <w:jc w:val="both"/>
                    <w:rPr>
                      <w:color w:val="auto"/>
                      <w:szCs w:val="21"/>
                      <w:lang w:val="en-US"/>
                    </w:rPr>
                  </w:pPr>
                  <w:r>
                    <w:rPr>
                      <w:rFonts w:hint="eastAsia"/>
                      <w:color w:val="auto"/>
                      <w:szCs w:val="21"/>
                      <w:lang w:val="en-US"/>
                    </w:rPr>
                    <w:t>项目分别在3个施工生产区设置清洗场地，并分别在每个清洗场地区域配套设置有效容积均为4m</w:t>
                  </w:r>
                  <w:r>
                    <w:rPr>
                      <w:rFonts w:hint="eastAsia"/>
                      <w:color w:val="auto"/>
                      <w:szCs w:val="21"/>
                      <w:vertAlign w:val="superscript"/>
                      <w:lang w:val="en-US"/>
                    </w:rPr>
                    <w:t>3</w:t>
                  </w:r>
                  <w:r>
                    <w:rPr>
                      <w:rFonts w:hint="eastAsia"/>
                      <w:color w:val="auto"/>
                      <w:szCs w:val="21"/>
                      <w:lang w:val="en-US"/>
                    </w:rPr>
                    <w:t>/个临时沉淀池，对设备清洗废水进行收集沉淀处理后回用于施工场地及道路洒水抑尘，不外排。</w:t>
                  </w:r>
                </w:p>
              </w:tc>
              <w:tc>
                <w:tcPr>
                  <w:tcW w:w="566"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不外排</w:t>
                  </w:r>
                </w:p>
              </w:tc>
              <w:tc>
                <w:tcPr>
                  <w:tcW w:w="62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c>
                <w:tcPr>
                  <w:tcW w:w="483"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29" w:type="pct"/>
                  <w:vAlign w:val="center"/>
                </w:tcPr>
                <w:p>
                  <w:pPr>
                    <w:pStyle w:val="34"/>
                    <w:spacing w:line="360" w:lineRule="exact"/>
                    <w:rPr>
                      <w:color w:val="auto"/>
                      <w:szCs w:val="21"/>
                      <w:lang w:val="en-US"/>
                    </w:rPr>
                  </w:pPr>
                  <w:r>
                    <w:rPr>
                      <w:rFonts w:hint="eastAsia"/>
                      <w:color w:val="auto"/>
                      <w:szCs w:val="21"/>
                      <w:lang w:val="en-US"/>
                    </w:rPr>
                    <w:t>施工生产区</w:t>
                  </w:r>
                </w:p>
              </w:tc>
              <w:tc>
                <w:tcPr>
                  <w:tcW w:w="403" w:type="pct"/>
                  <w:vAlign w:val="center"/>
                </w:tcPr>
                <w:p>
                  <w:pPr>
                    <w:pStyle w:val="34"/>
                    <w:spacing w:line="360" w:lineRule="exact"/>
                    <w:rPr>
                      <w:color w:val="auto"/>
                      <w:szCs w:val="21"/>
                      <w:lang w:val="en-US"/>
                    </w:rPr>
                  </w:pPr>
                  <w:r>
                    <w:rPr>
                      <w:color w:val="auto"/>
                      <w:szCs w:val="21"/>
                      <w:lang w:val="en-US"/>
                    </w:rPr>
                    <w:t>雨天地表径流</w:t>
                  </w:r>
                </w:p>
              </w:tc>
              <w:tc>
                <w:tcPr>
                  <w:tcW w:w="600" w:type="pct"/>
                  <w:vAlign w:val="center"/>
                </w:tcPr>
                <w:p>
                  <w:pPr>
                    <w:pStyle w:val="34"/>
                    <w:spacing w:line="360" w:lineRule="exact"/>
                    <w:rPr>
                      <w:color w:val="auto"/>
                      <w:szCs w:val="21"/>
                      <w:lang w:val="en-US"/>
                    </w:rPr>
                  </w:pPr>
                  <w:r>
                    <w:rPr>
                      <w:color w:val="auto"/>
                      <w:szCs w:val="21"/>
                      <w:lang w:val="en-US"/>
                    </w:rPr>
                    <w:t>SS</w:t>
                  </w:r>
                </w:p>
              </w:tc>
              <w:tc>
                <w:tcPr>
                  <w:tcW w:w="1891" w:type="pct"/>
                  <w:vAlign w:val="center"/>
                </w:tcPr>
                <w:p>
                  <w:pPr>
                    <w:pStyle w:val="34"/>
                    <w:spacing w:line="360" w:lineRule="exact"/>
                    <w:ind w:firstLine="210" w:firstLineChars="100"/>
                    <w:jc w:val="both"/>
                    <w:rPr>
                      <w:color w:val="auto"/>
                      <w:szCs w:val="21"/>
                      <w:lang w:val="en-US"/>
                    </w:rPr>
                  </w:pPr>
                  <w:r>
                    <w:rPr>
                      <w:rFonts w:hint="eastAsia"/>
                      <w:color w:val="auto"/>
                      <w:szCs w:val="21"/>
                      <w:lang w:val="en-US"/>
                    </w:rPr>
                    <w:t>项目在1#、2#、3#施工生产区分别设置1m</w:t>
                  </w:r>
                  <w:r>
                    <w:rPr>
                      <w:rFonts w:hint="eastAsia"/>
                      <w:color w:val="auto"/>
                      <w:szCs w:val="21"/>
                      <w:vertAlign w:val="superscript"/>
                      <w:lang w:val="en-US"/>
                    </w:rPr>
                    <w:t>3</w:t>
                  </w:r>
                  <w:r>
                    <w:rPr>
                      <w:rFonts w:hint="eastAsia"/>
                      <w:color w:val="auto"/>
                      <w:szCs w:val="21"/>
                      <w:lang w:val="en-US"/>
                    </w:rPr>
                    <w:t>、0.5m</w:t>
                  </w:r>
                  <w:r>
                    <w:rPr>
                      <w:rFonts w:hint="eastAsia"/>
                      <w:color w:val="auto"/>
                      <w:szCs w:val="21"/>
                      <w:vertAlign w:val="superscript"/>
                      <w:lang w:val="en-US"/>
                    </w:rPr>
                    <w:t>3</w:t>
                  </w:r>
                  <w:r>
                    <w:rPr>
                      <w:rFonts w:hint="eastAsia"/>
                      <w:color w:val="auto"/>
                      <w:szCs w:val="21"/>
                      <w:lang w:val="en-US"/>
                    </w:rPr>
                    <w:t>、0.5m</w:t>
                  </w:r>
                  <w:r>
                    <w:rPr>
                      <w:rFonts w:hint="eastAsia"/>
                      <w:color w:val="auto"/>
                      <w:szCs w:val="21"/>
                      <w:vertAlign w:val="superscript"/>
                      <w:lang w:val="en-US"/>
                    </w:rPr>
                    <w:t>3</w:t>
                  </w:r>
                  <w:r>
                    <w:rPr>
                      <w:rFonts w:hint="eastAsia"/>
                      <w:color w:val="auto"/>
                      <w:szCs w:val="21"/>
                      <w:lang w:val="en-US"/>
                    </w:rPr>
                    <w:t>的临时沉砂池，1#、2#、3#施工生产区雨天地表径流经临时沉砂池沉淀处理后回用于施工生产区洒水降尘，不外排。</w:t>
                  </w:r>
                </w:p>
              </w:tc>
              <w:tc>
                <w:tcPr>
                  <w:tcW w:w="566" w:type="pct"/>
                  <w:vAlign w:val="center"/>
                </w:tcPr>
                <w:p>
                  <w:pPr>
                    <w:spacing w:line="360" w:lineRule="exact"/>
                    <w:jc w:val="center"/>
                    <w:rPr>
                      <w:rFonts w:ascii="Times New Roman" w:hAnsi="Times New Roman" w:cs="Times New Roman"/>
                      <w:bCs/>
                      <w:snapToGrid w:val="0"/>
                      <w:kern w:val="32"/>
                    </w:rPr>
                  </w:pPr>
                  <w:r>
                    <w:rPr>
                      <w:rFonts w:ascii="Times New Roman" w:hAnsi="Times New Roman" w:cs="Times New Roman"/>
                      <w:bCs/>
                      <w:snapToGrid w:val="0"/>
                      <w:kern w:val="32"/>
                      <w:lang w:val="zh-CN"/>
                    </w:rPr>
                    <w:t>不外排</w:t>
                  </w:r>
                </w:p>
              </w:tc>
              <w:tc>
                <w:tcPr>
                  <w:tcW w:w="628"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c>
                <w:tcPr>
                  <w:tcW w:w="483" w:type="pct"/>
                  <w:vAlign w:val="center"/>
                </w:tcPr>
                <w:p>
                  <w:pPr>
                    <w:spacing w:line="360" w:lineRule="exact"/>
                    <w:jc w:val="center"/>
                    <w:rPr>
                      <w:rFonts w:ascii="Times New Roman" w:hAnsi="Times New Roman" w:cs="Times New Roman"/>
                      <w:bCs/>
                      <w:snapToGrid w:val="0"/>
                      <w:kern w:val="32"/>
                      <w:lang w:val="zh-CN"/>
                    </w:rPr>
                  </w:pPr>
                  <w:r>
                    <w:rPr>
                      <w:rFonts w:ascii="Times New Roman" w:hAnsi="Times New Roman" w:cs="Times New Roman"/>
                      <w:bCs/>
                      <w:snapToGrid w:val="0"/>
                      <w:kern w:val="32"/>
                      <w:lang w:val="zh-CN"/>
                    </w:rPr>
                    <w:t>/</w:t>
                  </w:r>
                </w:p>
              </w:tc>
            </w:tr>
          </w:tbl>
          <w:p>
            <w:pPr>
              <w:spacing w:line="360" w:lineRule="auto"/>
              <w:ind w:firstLine="481" w:firstLineChars="200"/>
              <w:rPr>
                <w:rFonts w:ascii="Times New Roman" w:hAnsi="Times New Roman" w:cs="Times New Roman"/>
                <w:b/>
                <w:sz w:val="24"/>
                <w:szCs w:val="24"/>
              </w:rPr>
            </w:pPr>
            <w:r>
              <w:rPr>
                <w:rFonts w:hint="eastAsia" w:ascii="Times New Roman" w:hAnsi="Times New Roman" w:cs="Times New Roman"/>
                <w:b/>
                <w:sz w:val="24"/>
                <w:szCs w:val="24"/>
              </w:rPr>
              <w:t>4.1.4 声环境影响分析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该项目对噪声环境的影响主要表现在施工期各种施工机械和运输车辆产生的噪声。根据《环境影响评价技术导则 声环境》（HJ2.4-20</w:t>
            </w:r>
            <w:r>
              <w:rPr>
                <w:rFonts w:hint="eastAsia" w:ascii="Times New Roman" w:hAnsi="Times New Roman" w:cs="Times New Roman"/>
                <w:sz w:val="24"/>
                <w:szCs w:val="24"/>
              </w:rPr>
              <w:t>21</w:t>
            </w:r>
            <w:r>
              <w:rPr>
                <w:rFonts w:ascii="Times New Roman" w:hAnsi="Times New Roman" w:cs="Times New Roman"/>
                <w:sz w:val="24"/>
                <w:szCs w:val="24"/>
              </w:rPr>
              <w:t>），噪声预测模式采用点源衰减模式，预测模式如下：</w:t>
            </w:r>
          </w:p>
          <w:p>
            <w:pPr>
              <w:spacing w:line="360" w:lineRule="auto"/>
              <w:ind w:firstLine="1200" w:firstLineChars="500"/>
              <w:rPr>
                <w:rFonts w:ascii="Times New Roman" w:hAnsi="Times New Roman" w:cs="Times New Roman"/>
                <w:sz w:val="24"/>
                <w:szCs w:val="24"/>
              </w:rPr>
            </w:pPr>
            <w:r>
              <w:rPr>
                <w:rFonts w:ascii="Times New Roman" w:hAnsi="Times New Roman" w:cs="Times New Roman"/>
                <w:sz w:val="24"/>
                <w:szCs w:val="24"/>
              </w:rPr>
              <w:t>LA（r）=LA（r</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20lg（r/r</w:t>
            </w:r>
            <w:r>
              <w:rPr>
                <w:rFonts w:ascii="Times New Roman" w:hAnsi="Times New Roman" w:cs="Times New Roman"/>
                <w:sz w:val="24"/>
                <w:szCs w:val="24"/>
                <w:vertAlign w:val="subscript"/>
              </w:rPr>
              <w:t>0</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式中</w:t>
            </w:r>
            <w:r>
              <w:rPr>
                <w:rFonts w:hint="eastAsia" w:ascii="Times New Roman" w:hAnsi="Times New Roman" w:cs="Times New Roman"/>
                <w:sz w:val="24"/>
                <w:szCs w:val="24"/>
              </w:rPr>
              <w:t>：</w:t>
            </w:r>
            <w:r>
              <w:rPr>
                <w:rFonts w:ascii="Times New Roman" w:hAnsi="Times New Roman" w:cs="Times New Roman"/>
                <w:sz w:val="24"/>
                <w:szCs w:val="24"/>
              </w:rPr>
              <w:t>LA（r）</w:t>
            </w:r>
            <w:r>
              <w:rPr>
                <w:rFonts w:hint="eastAsia" w:ascii="Times New Roman" w:hAnsi="Times New Roman" w:cs="Times New Roman"/>
                <w:sz w:val="24"/>
                <w:szCs w:val="24"/>
              </w:rPr>
              <w:t>--</w:t>
            </w:r>
            <w:r>
              <w:rPr>
                <w:rFonts w:ascii="Times New Roman" w:hAnsi="Times New Roman" w:cs="Times New Roman"/>
                <w:sz w:val="24"/>
                <w:szCs w:val="24"/>
              </w:rPr>
              <w:t>距声源r处的A声级，dB（A）；</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LA（r</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hint="eastAsia" w:ascii="Times New Roman" w:hAnsi="Times New Roman" w:cs="Times New Roman"/>
                <w:sz w:val="24"/>
                <w:szCs w:val="24"/>
              </w:rPr>
              <w:t>--</w:t>
            </w:r>
            <w:r>
              <w:rPr>
                <w:rFonts w:ascii="Times New Roman" w:hAnsi="Times New Roman" w:cs="Times New Roman"/>
                <w:sz w:val="24"/>
                <w:szCs w:val="24"/>
              </w:rPr>
              <w:t>距声源r</w:t>
            </w:r>
            <w:r>
              <w:rPr>
                <w:rFonts w:ascii="Times New Roman" w:hAnsi="Times New Roman" w:cs="Times New Roman"/>
                <w:sz w:val="24"/>
                <w:szCs w:val="24"/>
                <w:vertAlign w:val="subscript"/>
              </w:rPr>
              <w:t>0</w:t>
            </w:r>
            <w:r>
              <w:rPr>
                <w:rFonts w:ascii="Times New Roman" w:hAnsi="Times New Roman" w:cs="Times New Roman"/>
                <w:sz w:val="24"/>
                <w:szCs w:val="24"/>
              </w:rPr>
              <w:t>处的A声级，dB（A）；</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r</w:t>
            </w:r>
            <w:r>
              <w:rPr>
                <w:rFonts w:hint="eastAsia" w:ascii="Times New Roman" w:hAnsi="Times New Roman" w:cs="Times New Roman"/>
                <w:sz w:val="24"/>
                <w:szCs w:val="24"/>
              </w:rPr>
              <w:t>--</w:t>
            </w:r>
            <w:r>
              <w:rPr>
                <w:rFonts w:ascii="Times New Roman" w:hAnsi="Times New Roman" w:cs="Times New Roman"/>
                <w:sz w:val="24"/>
                <w:szCs w:val="24"/>
              </w:rPr>
              <w:t>预测点距声源的距离，m；</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r</w:t>
            </w:r>
            <w:r>
              <w:rPr>
                <w:rFonts w:ascii="Times New Roman" w:hAnsi="Times New Roman" w:cs="Times New Roman"/>
                <w:sz w:val="24"/>
                <w:szCs w:val="24"/>
                <w:vertAlign w:val="subscript"/>
              </w:rPr>
              <w:t>0</w:t>
            </w:r>
            <w:r>
              <w:rPr>
                <w:rFonts w:hint="eastAsia" w:ascii="Times New Roman" w:hAnsi="Times New Roman" w:cs="Times New Roman"/>
                <w:sz w:val="24"/>
                <w:szCs w:val="24"/>
              </w:rPr>
              <w:t>--</w:t>
            </w:r>
            <w:r>
              <w:rPr>
                <w:rFonts w:ascii="Times New Roman" w:hAnsi="Times New Roman" w:cs="Times New Roman"/>
                <w:sz w:val="24"/>
                <w:szCs w:val="24"/>
              </w:rPr>
              <w:t>距声源的参照距离，m，r</w:t>
            </w:r>
            <w:r>
              <w:rPr>
                <w:rFonts w:ascii="Times New Roman" w:hAnsi="Times New Roman" w:cs="Times New Roman"/>
                <w:sz w:val="24"/>
                <w:szCs w:val="24"/>
                <w:vertAlign w:val="subscript"/>
              </w:rPr>
              <w:t>0</w:t>
            </w:r>
            <w:r>
              <w:rPr>
                <w:rFonts w:ascii="Times New Roman" w:hAnsi="Times New Roman" w:cs="Times New Roman"/>
                <w:sz w:val="24"/>
                <w:szCs w:val="24"/>
              </w:rPr>
              <w:t>=1m；</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      </w:t>
            </w:r>
            <w:r>
              <w:rPr>
                <w:rFonts w:ascii="Times New Roman" w:hAnsi="Times New Roman" w:cs="Times New Roman"/>
                <w:sz w:val="24"/>
                <w:szCs w:val="24"/>
              </w:rPr>
              <w:t>Leqi</w:t>
            </w:r>
            <w:r>
              <w:rPr>
                <w:rFonts w:hint="eastAsia" w:ascii="Times New Roman" w:hAnsi="Times New Roman" w:cs="Times New Roman"/>
                <w:sz w:val="24"/>
                <w:szCs w:val="24"/>
              </w:rPr>
              <w:t>--</w:t>
            </w:r>
            <w:r>
              <w:rPr>
                <w:rFonts w:ascii="Times New Roman" w:hAnsi="Times New Roman" w:cs="Times New Roman"/>
                <w:sz w:val="24"/>
                <w:szCs w:val="24"/>
              </w:rPr>
              <w:t>第i个声源对某预测点的等效声级。</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采用以上模型，对项目施工场地周边一定距离范围的噪声进行预测计算。施工场界噪声执行《建筑施工场界环境噪声排放标准》（GB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-2011），项目主要施工设备噪声值随距离衰减情况见下表所示。</w:t>
            </w:r>
          </w:p>
          <w:p>
            <w:pPr>
              <w:jc w:val="center"/>
              <w:rPr>
                <w:rFonts w:ascii="Times New Roman" w:hAnsi="Times New Roman" w:eastAsia="宋体" w:cs="Times New Roman"/>
                <w:b/>
              </w:rPr>
            </w:pPr>
            <w:r>
              <w:rPr>
                <w:rFonts w:ascii="Times New Roman" w:hAnsi="Times New Roman" w:eastAsia="宋体" w:cs="Times New Roman"/>
                <w:b/>
              </w:rPr>
              <w:t>表4.1.</w:t>
            </w:r>
            <w:r>
              <w:rPr>
                <w:rFonts w:hint="eastAsia" w:ascii="Times New Roman" w:hAnsi="Times New Roman" w:eastAsia="宋体" w:cs="Times New Roman"/>
                <w:b/>
              </w:rPr>
              <w:t>4</w:t>
            </w:r>
            <w:r>
              <w:rPr>
                <w:rFonts w:ascii="Times New Roman" w:hAnsi="Times New Roman" w:eastAsia="宋体" w:cs="Times New Roman"/>
                <w:b/>
              </w:rPr>
              <w:t>-1</w:t>
            </w:r>
            <w:r>
              <w:rPr>
                <w:rFonts w:hint="eastAsia" w:ascii="Times New Roman" w:hAnsi="Times New Roman" w:eastAsia="宋体" w:cs="Times New Roman"/>
                <w:b/>
              </w:rPr>
              <w:t xml:space="preserve"> </w:t>
            </w:r>
            <w:r>
              <w:rPr>
                <w:rFonts w:ascii="Times New Roman" w:hAnsi="Times New Roman" w:eastAsia="宋体" w:cs="Times New Roman"/>
                <w:b/>
              </w:rPr>
              <w:t>项目主要设备噪声随距离的衰减情况</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905"/>
              <w:gridCol w:w="994"/>
              <w:gridCol w:w="992"/>
              <w:gridCol w:w="1137"/>
              <w:gridCol w:w="942"/>
              <w:gridCol w:w="94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72" w:type="pct"/>
                  <w:vMerge w:val="restar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机械名称</w:t>
                  </w:r>
                </w:p>
              </w:tc>
              <w:tc>
                <w:tcPr>
                  <w:tcW w:w="526" w:type="pct"/>
                  <w:vMerge w:val="restar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源强</w:t>
                  </w:r>
                </w:p>
              </w:tc>
              <w:tc>
                <w:tcPr>
                  <w:tcW w:w="3501" w:type="pct"/>
                  <w:gridSpan w:val="6"/>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与噪声源不同距离的噪声值dB（A）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continue"/>
                  <w:vAlign w:val="center"/>
                </w:tcPr>
                <w:p>
                  <w:pPr>
                    <w:widowControl/>
                    <w:spacing w:line="360" w:lineRule="exact"/>
                    <w:jc w:val="center"/>
                    <w:rPr>
                      <w:rFonts w:ascii="Times New Roman" w:hAnsi="Times New Roman" w:eastAsia="宋体" w:cs="Times New Roman"/>
                      <w:kern w:val="0"/>
                    </w:rPr>
                  </w:pPr>
                </w:p>
              </w:tc>
              <w:tc>
                <w:tcPr>
                  <w:tcW w:w="526" w:type="pct"/>
                  <w:vMerge w:val="continue"/>
                  <w:vAlign w:val="center"/>
                </w:tcPr>
                <w:p>
                  <w:pPr>
                    <w:widowControl/>
                    <w:spacing w:line="360" w:lineRule="exact"/>
                    <w:jc w:val="center"/>
                    <w:rPr>
                      <w:rFonts w:ascii="Times New Roman" w:hAnsi="Times New Roman" w:eastAsia="宋体" w:cs="Times New Roman"/>
                      <w:kern w:val="0"/>
                    </w:rPr>
                  </w:pP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10m</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20m</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50m</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100m</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200m</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反铲挖掘机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装载机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推土机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手持式凿岩机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自卸汽车</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载重汽车</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砼搅拌机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砂浆搅拌机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83</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63</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56.98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49.02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43</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36.98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插入式振捣器</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振动平碾</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90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蛙式打夯机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80</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60</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53.98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46.02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40</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33.98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钢筋切断机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85</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65</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58.98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51.02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45</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38.98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钢筋调直机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75</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55</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48.98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41.02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35</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28.98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钢筋弯曲机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75</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55</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48.98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41.02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35</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28.98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交流电焊机</w:t>
                  </w:r>
                </w:p>
              </w:tc>
              <w:tc>
                <w:tcPr>
                  <w:tcW w:w="52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75</w:t>
                  </w:r>
                </w:p>
              </w:tc>
              <w:tc>
                <w:tcPr>
                  <w:tcW w:w="57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55</w:t>
                  </w:r>
                </w:p>
              </w:tc>
              <w:tc>
                <w:tcPr>
                  <w:tcW w:w="576"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48.98</w:t>
                  </w:r>
                </w:p>
              </w:tc>
              <w:tc>
                <w:tcPr>
                  <w:tcW w:w="660"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41.02</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35</w:t>
                  </w:r>
                </w:p>
              </w:tc>
              <w:tc>
                <w:tcPr>
                  <w:tcW w:w="547"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28.98</w:t>
                  </w:r>
                </w:p>
              </w:tc>
              <w:tc>
                <w:tcPr>
                  <w:tcW w:w="594" w:type="pct"/>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27.04</w:t>
                  </w:r>
                </w:p>
              </w:tc>
            </w:tr>
          </w:tbl>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上述预测结果可以看出，如果只依靠距离衰减，大量施工机械单独作业就可以导致建筑施工场界噪声值超标，如果多台施工机械同时作业，建筑施工场界噪声超标量将会更大。由于各施工阶段均有交互作业，这些设备在场地内的位置不固定，同时使用率有较大变化，因此很难计算其确切的施工场界噪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施工组织安排，本项目只在白天施工，夜间不施工。从预测结果看施工机械在距离30m左右就能满足2类声环境功能区要求。本项目声环境敏感点距离管线最近的只有12m，在这个距离内所有施工机械噪声都超标，达不到2类声功能区要求。根据建筑施工厂界环境噪声限值，建筑施工场界昼间限值70分贝，从预测表中可以看出施工机械20m均达到限值标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由于该项目厂界超标因此必须采取对策措施。具体如下：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1 \* GB3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①</w:t>
            </w:r>
            <w:r>
              <w:rPr>
                <w:rFonts w:ascii="Times New Roman" w:hAnsi="Times New Roman" w:cs="Times New Roman"/>
                <w:sz w:val="24"/>
                <w:szCs w:val="24"/>
              </w:rPr>
              <w:fldChar w:fldCharType="end"/>
            </w:r>
            <w:r>
              <w:rPr>
                <w:rFonts w:ascii="Times New Roman" w:hAnsi="Times New Roman" w:cs="Times New Roman"/>
                <w:sz w:val="24"/>
                <w:szCs w:val="24"/>
              </w:rPr>
              <w:t>施工场地设置高度为2.5m围挡；</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2 \* GB3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②</w:t>
            </w:r>
            <w:r>
              <w:rPr>
                <w:rFonts w:ascii="Times New Roman" w:hAnsi="Times New Roman" w:cs="Times New Roman"/>
                <w:sz w:val="24"/>
                <w:szCs w:val="24"/>
              </w:rPr>
              <w:fldChar w:fldCharType="end"/>
            </w:r>
            <w:r>
              <w:rPr>
                <w:rFonts w:ascii="Times New Roman" w:hAnsi="Times New Roman" w:cs="Times New Roman"/>
                <w:sz w:val="24"/>
                <w:szCs w:val="24"/>
              </w:rPr>
              <w:t>产噪大的设备远离居民点。</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3 \* GB3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③</w:t>
            </w:r>
            <w:r>
              <w:rPr>
                <w:rFonts w:ascii="Times New Roman" w:hAnsi="Times New Roman" w:cs="Times New Roman"/>
                <w:sz w:val="24"/>
                <w:szCs w:val="24"/>
              </w:rPr>
              <w:fldChar w:fldCharType="end"/>
            </w:r>
            <w:r>
              <w:rPr>
                <w:rFonts w:ascii="Times New Roman" w:hAnsi="Times New Roman" w:cs="Times New Roman"/>
                <w:sz w:val="24"/>
                <w:szCs w:val="24"/>
              </w:rPr>
              <w:t>建设方应严格按照施工规范加以控制。选用低噪声机械，产噪较大的设备必须安排在白天使用，并进行隔声及减振处理；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4 \* GB3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④</w:t>
            </w:r>
            <w:r>
              <w:rPr>
                <w:rFonts w:ascii="Times New Roman" w:hAnsi="Times New Roman" w:cs="Times New Roman"/>
                <w:sz w:val="24"/>
                <w:szCs w:val="24"/>
              </w:rPr>
              <w:fldChar w:fldCharType="end"/>
            </w:r>
            <w:r>
              <w:rPr>
                <w:rFonts w:ascii="Times New Roman" w:hAnsi="Times New Roman" w:cs="Times New Roman"/>
                <w:sz w:val="24"/>
                <w:szCs w:val="24"/>
              </w:rPr>
              <w:t>科学合理地安排施工步骤，优化施工方式，如分段进行混凝土浇灌等措施，尽量减短噪声持续排放的时间；项目在进行物料运输时，应合理安排运输时间，选择最佳的进厂道路，避免在夜间及交通拥挤时段进行，减缓交通噪声对保护目标的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5 \* GB3 </w:instrText>
            </w:r>
            <w:r>
              <w:rPr>
                <w:rFonts w:ascii="Times New Roman" w:hAnsi="Times New Roman" w:cs="Times New Roman"/>
                <w:sz w:val="24"/>
                <w:szCs w:val="24"/>
              </w:rPr>
              <w:fldChar w:fldCharType="separate"/>
            </w:r>
            <w:r>
              <w:rPr>
                <w:rFonts w:hint="eastAsia" w:ascii="Times New Roman" w:hAnsi="Times New Roman" w:cs="Times New Roman"/>
                <w:sz w:val="24"/>
                <w:szCs w:val="24"/>
              </w:rPr>
              <w:t>⑤</w:t>
            </w:r>
            <w:r>
              <w:rPr>
                <w:rFonts w:ascii="Times New Roman" w:hAnsi="Times New Roman" w:cs="Times New Roman"/>
                <w:sz w:val="24"/>
                <w:szCs w:val="24"/>
              </w:rPr>
              <w:fldChar w:fldCharType="end"/>
            </w:r>
            <w:r>
              <w:rPr>
                <w:rFonts w:ascii="Times New Roman" w:hAnsi="Times New Roman" w:cs="Times New Roman"/>
                <w:sz w:val="24"/>
                <w:szCs w:val="24"/>
              </w:rPr>
              <w:t>在施工机械设备与基础或连接部位之间采用弹簧减震、橡胶减震、管道减震、阻尼减震技术，可减少动量，降低噪声。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施工阶段对周围声环境产生的影响是暂时的，会随着施工期的结束而消失，通过采取上述措施后，有效地减小施工噪声对周围环境的影响，措施可行。</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4.1.</w:t>
            </w:r>
            <w:r>
              <w:rPr>
                <w:rFonts w:hint="eastAsia" w:ascii="Times New Roman" w:hAnsi="Times New Roman" w:cs="Times New Roman"/>
                <w:b/>
                <w:sz w:val="24"/>
                <w:szCs w:val="24"/>
              </w:rPr>
              <w:t xml:space="preserve">5 </w:t>
            </w:r>
            <w:r>
              <w:rPr>
                <w:rFonts w:ascii="Times New Roman" w:hAnsi="Times New Roman" w:cs="Times New Roman"/>
                <w:b/>
                <w:sz w:val="24"/>
                <w:szCs w:val="24"/>
              </w:rPr>
              <w:t>固体废物</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根据项目特点，该项目施工期产生的固体废物主要包括表土及土石方、建筑垃圾、搅拌机残留废料、沉淀池污泥。具体如下：</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（1）表土及土石方环境影响分析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根据工程设计资料，项目</w:t>
            </w:r>
            <w:r>
              <w:rPr>
                <w:rFonts w:ascii="Times New Roman" w:hAnsi="Times New Roman" w:cs="Times New Roman"/>
                <w:sz w:val="24"/>
                <w:szCs w:val="24"/>
              </w:rPr>
              <w:t>土石方开挖总量</w:t>
            </w:r>
            <w:r>
              <w:rPr>
                <w:rFonts w:hint="eastAsia" w:ascii="Times New Roman" w:hAnsi="Times New Roman" w:cs="Times New Roman"/>
                <w:sz w:val="24"/>
                <w:szCs w:val="24"/>
              </w:rPr>
              <w:t>17311.26</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ascii="Times New Roman" w:hAnsi="Times New Roman" w:cs="Times New Roman"/>
                <w:sz w:val="24"/>
                <w:szCs w:val="24"/>
              </w:rPr>
              <w:t>（含表土</w:t>
            </w:r>
            <w:r>
              <w:rPr>
                <w:rFonts w:hint="eastAsia" w:ascii="Times New Roman" w:hAnsi="Times New Roman" w:cs="Times New Roman"/>
                <w:sz w:val="24"/>
                <w:szCs w:val="24"/>
              </w:rPr>
              <w:t>6300</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ascii="Times New Roman" w:hAnsi="Times New Roman" w:cs="Times New Roman"/>
                <w:sz w:val="24"/>
                <w:szCs w:val="24"/>
              </w:rPr>
              <w:t>，土方开挖</w:t>
            </w:r>
            <w:r>
              <w:rPr>
                <w:rFonts w:hint="eastAsia" w:ascii="Times New Roman" w:hAnsi="Times New Roman" w:cs="Times New Roman"/>
                <w:sz w:val="24"/>
                <w:szCs w:val="24"/>
              </w:rPr>
              <w:t>11011.26m</w:t>
            </w:r>
            <w:r>
              <w:rPr>
                <w:rFonts w:hint="eastAsia" w:ascii="Times New Roman" w:hAnsi="Times New Roman" w:cs="Times New Roman"/>
                <w:sz w:val="24"/>
                <w:szCs w:val="24"/>
                <w:vertAlign w:val="superscript"/>
              </w:rPr>
              <w:t>3</w:t>
            </w:r>
            <w:r>
              <w:rPr>
                <w:rFonts w:ascii="Times New Roman" w:hAnsi="Times New Roman" w:cs="Times New Roman"/>
                <w:sz w:val="24"/>
                <w:szCs w:val="24"/>
              </w:rPr>
              <w:t>），回填总量</w:t>
            </w:r>
            <w:r>
              <w:rPr>
                <w:rFonts w:hint="eastAsia" w:ascii="Times New Roman" w:hAnsi="Times New Roman" w:cs="Times New Roman"/>
                <w:sz w:val="24"/>
                <w:szCs w:val="24"/>
              </w:rPr>
              <w:t>17311.26</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ascii="Times New Roman" w:hAnsi="Times New Roman" w:cs="Times New Roman"/>
                <w:sz w:val="24"/>
                <w:szCs w:val="24"/>
              </w:rPr>
              <w:t>（含覆土量</w:t>
            </w:r>
            <w:r>
              <w:rPr>
                <w:rFonts w:hint="eastAsia" w:ascii="Times New Roman" w:hAnsi="Times New Roman" w:cs="Times New Roman"/>
                <w:sz w:val="24"/>
                <w:szCs w:val="24"/>
              </w:rPr>
              <w:t>6300</w:t>
            </w:r>
            <w:r>
              <w:rPr>
                <w:rFonts w:ascii="Times New Roman" w:hAnsi="Times New Roman" w:cs="Times New Roman"/>
                <w:sz w:val="24"/>
                <w:szCs w:val="24"/>
              </w:rPr>
              <w:t>m</w:t>
            </w:r>
            <w:r>
              <w:rPr>
                <w:rFonts w:hint="eastAsia" w:ascii="Times New Roman" w:hAnsi="Times New Roman" w:cs="Times New Roman"/>
                <w:sz w:val="24"/>
                <w:szCs w:val="24"/>
                <w:vertAlign w:val="superscript"/>
              </w:rPr>
              <w:t>3</w:t>
            </w:r>
            <w:r>
              <w:rPr>
                <w:rFonts w:ascii="Times New Roman" w:hAnsi="Times New Roman" w:cs="Times New Roman"/>
                <w:sz w:val="24"/>
                <w:szCs w:val="24"/>
              </w:rPr>
              <w:t>，土方回填</w:t>
            </w:r>
            <w:r>
              <w:rPr>
                <w:rFonts w:hint="eastAsia" w:ascii="Times New Roman" w:hAnsi="Times New Roman" w:cs="Times New Roman"/>
                <w:sz w:val="24"/>
                <w:szCs w:val="24"/>
              </w:rPr>
              <w:t>11011.26m</w:t>
            </w:r>
            <w:r>
              <w:rPr>
                <w:rFonts w:hint="eastAsia" w:ascii="Times New Roman" w:hAnsi="Times New Roman" w:cs="Times New Roman"/>
                <w:sz w:val="24"/>
                <w:szCs w:val="24"/>
                <w:vertAlign w:val="superscript"/>
              </w:rPr>
              <w:t>3</w:t>
            </w:r>
            <w:r>
              <w:rPr>
                <w:rFonts w:ascii="Times New Roman" w:hAnsi="Times New Roman" w:cs="Times New Roman"/>
                <w:sz w:val="24"/>
                <w:szCs w:val="24"/>
              </w:rPr>
              <w:t>），表土用于后期植草护坡和复耕覆土</w:t>
            </w:r>
            <w:r>
              <w:rPr>
                <w:rFonts w:hint="eastAsia" w:ascii="Times New Roman" w:hAnsi="Times New Roman" w:cs="Times New Roman"/>
                <w:sz w:val="24"/>
                <w:szCs w:val="24"/>
              </w:rPr>
              <w:t>；土石方全部用于工程回填。项目分别在3个施工生产区设置3个临时表土堆场，对项目产生的表土进行暂存后，</w:t>
            </w:r>
            <w:r>
              <w:rPr>
                <w:rFonts w:ascii="Times New Roman" w:hAnsi="Times New Roman" w:cs="Times New Roman"/>
                <w:sz w:val="24"/>
                <w:szCs w:val="24"/>
              </w:rPr>
              <w:t>后期</w:t>
            </w:r>
            <w:r>
              <w:rPr>
                <w:rFonts w:hint="eastAsia" w:ascii="Times New Roman" w:hAnsi="Times New Roman" w:cs="Times New Roman"/>
                <w:sz w:val="24"/>
                <w:szCs w:val="24"/>
              </w:rPr>
              <w:t>全部</w:t>
            </w:r>
            <w:r>
              <w:rPr>
                <w:rFonts w:ascii="Times New Roman" w:hAnsi="Times New Roman" w:cs="Times New Roman"/>
                <w:sz w:val="24"/>
                <w:szCs w:val="24"/>
              </w:rPr>
              <w:t>用于本区的植草护坡覆土</w:t>
            </w:r>
            <w:r>
              <w:rPr>
                <w:rFonts w:hint="eastAsia" w:ascii="Times New Roman" w:hAnsi="Times New Roman" w:cs="Times New Roman"/>
                <w:sz w:val="24"/>
                <w:szCs w:val="24"/>
              </w:rPr>
              <w:t>，而土石方暂存于施工生产区中土石方堆存区，用于施工生产区、临时表土堆场等工程回填，处置率为100%，对环境影响较小。</w:t>
            </w:r>
          </w:p>
          <w:p>
            <w:pPr>
              <w:jc w:val="center"/>
              <w:rPr>
                <w:rFonts w:ascii="Times New Roman" w:hAnsi="Times New Roman" w:eastAsia="宋体" w:cs="Times New Roman"/>
                <w:b/>
              </w:rPr>
            </w:pPr>
            <w:r>
              <w:rPr>
                <w:rFonts w:hint="eastAsia" w:ascii="Times New Roman" w:hAnsi="Times New Roman" w:eastAsia="宋体" w:cs="Times New Roman"/>
                <w:b/>
              </w:rPr>
              <w:t xml:space="preserve">表4.1.5-1  </w:t>
            </w:r>
            <w:r>
              <w:rPr>
                <w:rFonts w:ascii="Times New Roman" w:hAnsi="Times New Roman" w:eastAsia="宋体" w:cs="Times New Roman"/>
                <w:b/>
              </w:rPr>
              <w:t>土石方平衡及流向表</w:t>
            </w:r>
            <w:r>
              <w:rPr>
                <w:rFonts w:hint="eastAsia" w:ascii="Times New Roman" w:hAnsi="Times New Roman" w:eastAsia="宋体" w:cs="Times New Roman"/>
                <w:b/>
              </w:rPr>
              <w:t xml:space="preserve">  </w:t>
            </w:r>
            <w:r>
              <w:rPr>
                <w:rFonts w:ascii="Times New Roman" w:hAnsi="Times New Roman" w:eastAsia="宋体" w:cs="Times New Roman"/>
                <w:b/>
              </w:rPr>
              <w:t>单位（自然方）：m</w:t>
            </w:r>
            <w:r>
              <w:rPr>
                <w:rFonts w:hint="eastAsia" w:ascii="Times New Roman" w:hAnsi="Times New Roman" w:eastAsia="宋体" w:cs="Times New Roman"/>
                <w:b/>
                <w:vertAlign w:val="superscript"/>
              </w:rPr>
              <w:t>3</w:t>
            </w:r>
          </w:p>
          <w:tbl>
            <w:tblPr>
              <w:tblStyle w:val="2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20"/>
              <w:gridCol w:w="1114"/>
              <w:gridCol w:w="1116"/>
              <w:gridCol w:w="1114"/>
              <w:gridCol w:w="1114"/>
              <w:gridCol w:w="1116"/>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vMerge w:val="restar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项目</w:t>
                  </w:r>
                </w:p>
              </w:tc>
              <w:tc>
                <w:tcPr>
                  <w:tcW w:w="1295" w:type="pct"/>
                  <w:gridSpan w:val="2"/>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开挖</w:t>
                  </w:r>
                </w:p>
              </w:tc>
              <w:tc>
                <w:tcPr>
                  <w:tcW w:w="647" w:type="pct"/>
                  <w:vMerge w:val="restar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开挖总量</w:t>
                  </w:r>
                </w:p>
              </w:tc>
              <w:tc>
                <w:tcPr>
                  <w:tcW w:w="1295" w:type="pct"/>
                  <w:gridSpan w:val="2"/>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回填</w:t>
                  </w:r>
                </w:p>
              </w:tc>
              <w:tc>
                <w:tcPr>
                  <w:tcW w:w="647" w:type="pct"/>
                  <w:vMerge w:val="restar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回填总量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vMerge w:val="continue"/>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表土剥离</w:t>
                  </w:r>
                </w:p>
              </w:tc>
              <w:tc>
                <w:tcPr>
                  <w:tcW w:w="648" w:type="pct"/>
                  <w:noWrap/>
                  <w:tcMar>
                    <w:top w:w="15" w:type="dxa"/>
                    <w:left w:w="15" w:type="dxa"/>
                    <w:right w:w="15" w:type="dxa"/>
                  </w:tcMar>
                  <w:vAlign w:val="bottom"/>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土方开挖</w:t>
                  </w:r>
                </w:p>
              </w:tc>
              <w:tc>
                <w:tcPr>
                  <w:tcW w:w="647" w:type="pct"/>
                  <w:vMerge w:val="continue"/>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覆土利用</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土方利用</w:t>
                  </w:r>
                </w:p>
              </w:tc>
              <w:tc>
                <w:tcPr>
                  <w:tcW w:w="647" w:type="pct"/>
                  <w:vMerge w:val="continue"/>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光伏</w:t>
                  </w:r>
                  <w:r>
                    <w:rPr>
                      <w:rFonts w:ascii="Times New Roman" w:hAnsi="Times New Roman" w:eastAsia="宋体" w:cs="Times New Roman"/>
                      <w:kern w:val="0"/>
                    </w:rPr>
                    <w:t>泵站</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2510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6008.27</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8518.27</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2510</w:t>
                  </w:r>
                </w:p>
              </w:tc>
              <w:tc>
                <w:tcPr>
                  <w:tcW w:w="648" w:type="pct"/>
                  <w:noWrap/>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6008.27</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8518.27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提水管道</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3480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5002.99</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8482.99</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3480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5002.99</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8482.99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noWrap/>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施工生产区</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310</w:t>
                  </w:r>
                </w:p>
              </w:tc>
              <w:tc>
                <w:tcPr>
                  <w:tcW w:w="648" w:type="pct"/>
                  <w:noWrap/>
                  <w:tcMar>
                    <w:top w:w="15" w:type="dxa"/>
                    <w:left w:w="15" w:type="dxa"/>
                    <w:right w:w="15" w:type="dxa"/>
                  </w:tcMar>
                  <w:vAlign w:val="bottom"/>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310</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310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ascii="Times New Roman" w:hAnsi="Times New Roman" w:eastAsia="宋体" w:cs="Times New Roman"/>
                      <w:kern w:val="0"/>
                    </w:rPr>
                    <w:t>合计</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6300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11011.26</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17311.26</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6300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11011.26</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kern w:val="0"/>
                    </w:rPr>
                  </w:pPr>
                  <w:r>
                    <w:rPr>
                      <w:rFonts w:hint="eastAsia" w:ascii="Times New Roman" w:hAnsi="Times New Roman" w:eastAsia="宋体" w:cs="Times New Roman"/>
                      <w:kern w:val="0"/>
                    </w:rPr>
                    <w:t>17311.26</w:t>
                  </w:r>
                </w:p>
              </w:tc>
            </w:tr>
          </w:tbl>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（2）建筑垃圾环境影响分析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根据项目特点，该项目建筑垃圾产生量约为10t，建筑垃圾</w:t>
            </w:r>
            <w:r>
              <w:rPr>
                <w:rFonts w:ascii="Times New Roman" w:hAnsi="Times New Roman" w:cs="Times New Roman"/>
                <w:sz w:val="24"/>
                <w:szCs w:val="24"/>
              </w:rPr>
              <w:t>包括混凝土块、废木材、废钢材等，严格</w:t>
            </w:r>
            <w:r>
              <w:rPr>
                <w:rFonts w:hint="eastAsia" w:ascii="Times New Roman" w:hAnsi="Times New Roman" w:cs="Times New Roman"/>
                <w:sz w:val="24"/>
                <w:szCs w:val="24"/>
              </w:rPr>
              <w:t>相关部门</w:t>
            </w:r>
            <w:r>
              <w:rPr>
                <w:rFonts w:ascii="Times New Roman" w:hAnsi="Times New Roman" w:cs="Times New Roman"/>
                <w:sz w:val="24"/>
                <w:szCs w:val="24"/>
              </w:rPr>
              <w:t>的要求，对其进行分类收集，其中废钢材收集后外售废品收购站，其他不能回收部分运至管理部门指定地点进行合理处置。</w:t>
            </w:r>
            <w:r>
              <w:rPr>
                <w:rFonts w:hint="eastAsia" w:ascii="Times New Roman" w:hAnsi="Times New Roman" w:cs="Times New Roman"/>
                <w:sz w:val="24"/>
                <w:szCs w:val="24"/>
              </w:rPr>
              <w:t>处置率为100%，对环境影响较小。</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（3）搅拌机残留废料环境影响分析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根据项目特点，</w:t>
            </w:r>
            <w:r>
              <w:rPr>
                <w:rFonts w:ascii="Times New Roman" w:hAnsi="Times New Roman" w:cs="Times New Roman"/>
                <w:sz w:val="24"/>
                <w:szCs w:val="24"/>
              </w:rPr>
              <w:t>搅拌过程中会用部分混凝土废料附着在搅拌机内壁，每天需对附着在搅拌机内壁上的废料进行清理，根据</w:t>
            </w:r>
            <w:r>
              <w:rPr>
                <w:rFonts w:hint="eastAsia" w:ascii="Times New Roman" w:hAnsi="Times New Roman" w:cs="Times New Roman"/>
                <w:sz w:val="24"/>
                <w:szCs w:val="24"/>
              </w:rPr>
              <w:t>设计，</w:t>
            </w:r>
            <w:r>
              <w:rPr>
                <w:rFonts w:ascii="Times New Roman" w:hAnsi="Times New Roman" w:cs="Times New Roman"/>
                <w:sz w:val="24"/>
                <w:szCs w:val="24"/>
              </w:rPr>
              <w:t>残留废料量每天约5</w:t>
            </w:r>
            <w:r>
              <w:rPr>
                <w:rFonts w:hint="eastAsia" w:ascii="Times New Roman" w:hAnsi="Times New Roman" w:cs="Times New Roman"/>
                <w:sz w:val="24"/>
                <w:szCs w:val="24"/>
              </w:rPr>
              <w:t>-</w:t>
            </w:r>
            <w:r>
              <w:rPr>
                <w:rFonts w:ascii="Times New Roman" w:hAnsi="Times New Roman" w:cs="Times New Roman"/>
                <w:sz w:val="24"/>
                <w:szCs w:val="24"/>
              </w:rPr>
              <w:t>10kg，取10kg/d，施工期共计产生量约</w:t>
            </w:r>
            <w:r>
              <w:rPr>
                <w:rFonts w:hint="eastAsia" w:ascii="Times New Roman" w:hAnsi="Times New Roman" w:cs="Times New Roman"/>
                <w:sz w:val="24"/>
                <w:szCs w:val="24"/>
              </w:rPr>
              <w:t>2.4</w:t>
            </w:r>
            <w:r>
              <w:rPr>
                <w:rFonts w:ascii="Times New Roman" w:hAnsi="Times New Roman" w:cs="Times New Roman"/>
                <w:sz w:val="24"/>
                <w:szCs w:val="24"/>
              </w:rPr>
              <w:t>t，运至管理部门指定地点进行合理处置。</w:t>
            </w:r>
            <w:r>
              <w:rPr>
                <w:rFonts w:hint="eastAsia" w:ascii="Times New Roman" w:hAnsi="Times New Roman" w:cs="Times New Roman"/>
                <w:sz w:val="24"/>
                <w:szCs w:val="24"/>
              </w:rPr>
              <w:t>处置率为100%，对环境影响较小。</w:t>
            </w:r>
          </w:p>
          <w:p>
            <w:pPr>
              <w:spacing w:line="360" w:lineRule="auto"/>
              <w:ind w:firstLine="361" w:firstLineChars="150"/>
              <w:rPr>
                <w:rFonts w:ascii="Times New Roman" w:hAnsi="Times New Roman" w:cs="Times New Roman"/>
                <w:b/>
                <w:sz w:val="24"/>
                <w:szCs w:val="24"/>
              </w:rPr>
            </w:pPr>
            <w:r>
              <w:rPr>
                <w:rFonts w:hint="eastAsia" w:ascii="Times New Roman" w:hAnsi="Times New Roman" w:cs="Times New Roman"/>
                <w:b/>
                <w:sz w:val="24"/>
                <w:szCs w:val="24"/>
              </w:rPr>
              <w:t>（4）沉淀池污泥环境影响分析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根据设计，为防止项目施工期废水对环境造成影响，项目拟设置临时废水收集池、临时沉淀池，沉淀池沉淀过程会产生</w:t>
            </w:r>
            <w:r>
              <w:rPr>
                <w:rFonts w:ascii="Times New Roman" w:hAnsi="Times New Roman" w:cs="Times New Roman"/>
                <w:sz w:val="24"/>
                <w:szCs w:val="24"/>
              </w:rPr>
              <w:t>沉淀池污泥</w:t>
            </w:r>
            <w:r>
              <w:rPr>
                <w:rFonts w:hint="eastAsia" w:ascii="Times New Roman" w:hAnsi="Times New Roman" w:cs="Times New Roman"/>
                <w:sz w:val="24"/>
                <w:szCs w:val="24"/>
              </w:rPr>
              <w:t>，产生量约为60</w:t>
            </w:r>
            <w:r>
              <w:rPr>
                <w:rFonts w:ascii="Times New Roman" w:hAnsi="Times New Roman" w:cs="Times New Roman"/>
                <w:sz w:val="24"/>
                <w:szCs w:val="24"/>
              </w:rPr>
              <w:t>t</w:t>
            </w:r>
            <w:r>
              <w:rPr>
                <w:rFonts w:hint="eastAsia" w:ascii="Times New Roman" w:hAnsi="Times New Roman" w:cs="Times New Roman"/>
                <w:sz w:val="24"/>
                <w:szCs w:val="24"/>
              </w:rPr>
              <w:t>，沉淀池污泥可用于</w:t>
            </w:r>
            <w:r>
              <w:rPr>
                <w:rFonts w:ascii="Times New Roman" w:hAnsi="Times New Roman" w:cs="Times New Roman"/>
                <w:sz w:val="24"/>
                <w:szCs w:val="24"/>
              </w:rPr>
              <w:t>绿化覆土和道路建设。</w:t>
            </w:r>
            <w:r>
              <w:rPr>
                <w:rFonts w:hint="eastAsia" w:ascii="Times New Roman" w:hAnsi="Times New Roman" w:cs="Times New Roman"/>
                <w:sz w:val="24"/>
                <w:szCs w:val="24"/>
              </w:rPr>
              <w:t>处置率为100%，对环境影响较小。</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4.1.</w:t>
            </w:r>
            <w:r>
              <w:rPr>
                <w:rFonts w:hint="eastAsia" w:ascii="Times New Roman" w:hAnsi="Times New Roman" w:cs="Times New Roman"/>
                <w:b/>
                <w:sz w:val="24"/>
                <w:szCs w:val="24"/>
              </w:rPr>
              <w:t xml:space="preserve">6 </w:t>
            </w:r>
            <w:r>
              <w:rPr>
                <w:rFonts w:ascii="Times New Roman" w:hAnsi="Times New Roman" w:cs="Times New Roman"/>
                <w:b/>
                <w:sz w:val="24"/>
                <w:szCs w:val="24"/>
              </w:rPr>
              <w:t>地质灾害影响分析</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地质灾害是指在自然或人为因素的作用下形成的，对人类生命财产、环境造成破坏和损失的地质作用（现象），主要表现为坍塌、滑坡、泥石流、地面沉降、地面塌陷、水土流失等。拖布卡灌区 位于金沙江和小江分水岭高台地区，区内地质构造发育，主要表现为断裂、褶皱。受构造影响，岩体风化较严重，岩体破碎，地表植被覆盖较差～一般，在雨水及重力作用下，常发生小规模坍塌、滑坡，汛期洪水将地表松散堆积物带入冲沟，加之冲沟河纵坡降较大，易形成泥石流，在较大冲沟沟口泥石流洪积扇分布普遍。</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项目区内大部岩石主要以物理风化作用为主由于受金沙江断裂影响，岩层结构松散，岸坡一般较稳定～稳定性差，物理地质现象较发育。主要表现为泥石流，以山区暴雨型为主。由于金沙江沿岸陡峻，岩体松散，在陡岩段岩体，因卸荷裂隙发育，在重力等外应力作用下产生的分化剥落或崩塌堆积于山坡脚形成倒石堆，但规模不大。区内碳酸盐岩分布区，岩溶较发育，形成较大的溶洞。工程区滑坡多以浅表滑坡为主，但一般规模不大。</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本工程新建光伏本站、提水管道等，管道基础大多置于第四系地基上，局部为全强风化基岩，地基强度基本能满足要求，管道沿线边坡总体稳定性较好，局部稳定性较差，在稳定性较差地段采取抗滑桩、预应力锚索、格沟锚固、喷锚支护、注浆加固、排导沟等措施，保证工程稳定、安全，从而减少地质灾害的影响。</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施工期管道开挖、水池开挖的土石方如堆放不当，在雨季时能引起严重的水土流失、滑坡，如果堆放在陡坡地带，也可能引发泥石流灾害。施工期采取适当的防治措施这可将人为活动引起的地质灾害降到最低。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运营期生态环境影响分析</w:t>
            </w:r>
          </w:p>
        </w:tc>
        <w:tc>
          <w:tcPr>
            <w:tcW w:w="8834" w:type="dxa"/>
            <w:vAlign w:val="center"/>
          </w:tcPr>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4.2 运营期环境影响分析</w:t>
            </w:r>
          </w:p>
          <w:p>
            <w:pPr>
              <w:pStyle w:val="62"/>
              <w:spacing w:line="360" w:lineRule="auto"/>
              <w:ind w:firstLine="480"/>
              <w:rPr>
                <w:rFonts w:hAnsi="Times New Roman"/>
                <w:sz w:val="24"/>
                <w:szCs w:val="24"/>
              </w:rPr>
            </w:pPr>
            <w:r>
              <w:rPr>
                <w:rFonts w:hint="eastAsia" w:hAnsi="Times New Roman"/>
                <w:sz w:val="24"/>
                <w:szCs w:val="24"/>
              </w:rPr>
              <w:t>本项目属于引水工程项目，是为增强项目区水利基础设施薄弱，提高供水效率和效益促进了灌区耕作制度和种植结构调整，保证了农业生产的稳定发展，促进灌区管理水平不断提高的项目。工程的总目标能改变目前的灌溉条件，能有效提高象鼻村以工代赈灌区水资源利用效率和灌溉保证率，有利于减轻水资源短缺给农业生产造成的损失，保证作物稳产、高产。</w:t>
            </w:r>
          </w:p>
          <w:p>
            <w:pPr>
              <w:pStyle w:val="62"/>
              <w:spacing w:line="360" w:lineRule="auto"/>
              <w:ind w:firstLine="480"/>
              <w:rPr>
                <w:rFonts w:hAnsi="Times New Roman"/>
                <w:sz w:val="24"/>
                <w:szCs w:val="24"/>
              </w:rPr>
            </w:pPr>
            <w:r>
              <w:rPr>
                <w:rFonts w:hint="eastAsia" w:hAnsi="Times New Roman"/>
                <w:sz w:val="24"/>
                <w:szCs w:val="24"/>
              </w:rPr>
              <w:t>项目竣工后，施工造成的废水、废气、噪声都将消失，产生的固体废物得到合理处置；对施工期临时占地中的旱地进行整地复耕恢复绿化。工程建成后交由</w:t>
            </w:r>
            <w:r>
              <w:rPr>
                <w:rFonts w:hint="eastAsia" w:hAnsi="Times New Roman" w:eastAsiaTheme="minorEastAsia"/>
                <w:sz w:val="24"/>
                <w:szCs w:val="24"/>
              </w:rPr>
              <w:t>用水管理协会</w:t>
            </w:r>
            <w:r>
              <w:rPr>
                <w:rFonts w:hint="eastAsia" w:hAnsi="Times New Roman"/>
                <w:sz w:val="24"/>
                <w:szCs w:val="24"/>
              </w:rPr>
              <w:t>进行管理，主要为周边村庄管理人员管理，不在项目区食宿，不产生生活污水及生活固废等，本项目不再对其进行评价。</w:t>
            </w:r>
          </w:p>
          <w:p>
            <w:pPr>
              <w:spacing w:line="360" w:lineRule="auto"/>
              <w:ind w:firstLine="480" w:firstLineChars="200"/>
              <w:rPr>
                <w:rFonts w:hAnsi="Times New Roman"/>
                <w:sz w:val="24"/>
                <w:szCs w:val="24"/>
              </w:rPr>
            </w:pPr>
            <w:r>
              <w:rPr>
                <w:rFonts w:hint="eastAsia" w:hAnsi="Times New Roman"/>
                <w:sz w:val="24"/>
                <w:szCs w:val="24"/>
              </w:rPr>
              <w:t>项目灌溉方式采用低压管道输水灌溉，通过光伏发电提供电力带动水泵将水源提水到取水池后，通过布设管道提水至项目区新建的高位水池，再通过输水管分至个各灌溉区域的新建或已建水池后，由农户自行接管灌溉，保证作物生长用水。运营期不存在空气污染、固废排放问题，不存在对土壤和植被造成危害的污染物，因此正常运营期对生态的影响不大。需要关注的环境影响问题是泵站运营期的噪声、光伏组件冲洗废水及</w:t>
            </w:r>
            <w:r>
              <w:rPr>
                <w:rFonts w:hint="eastAsia"/>
                <w:sz w:val="24"/>
              </w:rPr>
              <w:t>光伏电站损坏的组件及电路板</w:t>
            </w:r>
            <w:r>
              <w:rPr>
                <w:rFonts w:hint="eastAsia" w:hAnsi="Times New Roman"/>
                <w:sz w:val="24"/>
                <w:szCs w:val="24"/>
              </w:rPr>
              <w:t>等。</w:t>
            </w:r>
          </w:p>
          <w:p>
            <w:pPr>
              <w:spacing w:line="360" w:lineRule="auto"/>
              <w:ind w:firstLine="480" w:firstLineChars="200"/>
              <w:rPr>
                <w:rFonts w:hAnsi="Times New Roman"/>
                <w:sz w:val="24"/>
                <w:szCs w:val="24"/>
              </w:rPr>
            </w:pPr>
            <w:r>
              <w:rPr>
                <w:rFonts w:hint="eastAsia" w:hAnsi="Times New Roman"/>
                <w:sz w:val="24"/>
                <w:szCs w:val="24"/>
              </w:rPr>
              <w:t>运营期工艺流程如下：</w:t>
            </w:r>
          </w:p>
          <w:p>
            <w:pPr>
              <w:spacing w:line="360" w:lineRule="auto"/>
              <w:ind w:firstLine="480" w:firstLineChars="200"/>
              <w:jc w:val="center"/>
              <w:rPr>
                <w:rFonts w:hAnsi="Times New Roman"/>
                <w:sz w:val="24"/>
                <w:szCs w:val="24"/>
              </w:rPr>
            </w:pPr>
            <w:r>
              <w:rPr>
                <w:rFonts w:hint="eastAsia" w:hAnsi="Times New Roman"/>
                <w:sz w:val="24"/>
                <w:szCs w:val="24"/>
              </w:rPr>
              <w:drawing>
                <wp:inline distT="0" distB="0" distL="0" distR="0">
                  <wp:extent cx="3743325" cy="1676400"/>
                  <wp:effectExtent l="19050" t="0" r="9525" b="0"/>
                  <wp:docPr id="10"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true" noChangeArrowheads="true"/>
                          </pic:cNvPicPr>
                        </pic:nvPicPr>
                        <pic:blipFill>
                          <a:blip r:embed="rId10" cstate="print"/>
                          <a:srcRect/>
                          <a:stretch>
                            <a:fillRect/>
                          </a:stretch>
                        </pic:blipFill>
                        <pic:spPr>
                          <a:xfrm>
                            <a:off x="0" y="0"/>
                            <a:ext cx="3743325" cy="1676400"/>
                          </a:xfrm>
                          <a:prstGeom prst="rect">
                            <a:avLst/>
                          </a:prstGeom>
                          <a:noFill/>
                          <a:ln w="9525">
                            <a:noFill/>
                            <a:miter lim="800000"/>
                            <a:headEnd/>
                            <a:tailEnd/>
                          </a:ln>
                        </pic:spPr>
                      </pic:pic>
                    </a:graphicData>
                  </a:graphic>
                </wp:inline>
              </w:drawing>
            </w:r>
          </w:p>
          <w:p>
            <w:pPr>
              <w:jc w:val="center"/>
              <w:rPr>
                <w:rFonts w:ascii="Times New Roman" w:hAnsi="Times New Roman" w:cs="Times New Roman"/>
                <w:b/>
              </w:rPr>
            </w:pPr>
            <w:r>
              <w:rPr>
                <w:rFonts w:ascii="Times New Roman" w:hAnsi="Times New Roman" w:cs="Times New Roman"/>
                <w:b/>
              </w:rPr>
              <w:t>图</w:t>
            </w:r>
            <w:r>
              <w:rPr>
                <w:rFonts w:hint="eastAsia" w:ascii="Times New Roman" w:hAnsi="Times New Roman" w:cs="Times New Roman"/>
                <w:b/>
              </w:rPr>
              <w:t xml:space="preserve">4.2-1 </w:t>
            </w:r>
            <w:r>
              <w:rPr>
                <w:rFonts w:ascii="Times New Roman" w:hAnsi="Times New Roman" w:cs="Times New Roman"/>
                <w:b/>
              </w:rPr>
              <w:t xml:space="preserve"> 项目运营期工艺流程图</w:t>
            </w:r>
          </w:p>
          <w:p>
            <w:pPr>
              <w:pStyle w:val="62"/>
              <w:spacing w:line="360" w:lineRule="auto"/>
              <w:ind w:firstLine="482"/>
              <w:rPr>
                <w:rFonts w:hAnsi="Times New Roman"/>
                <w:b/>
                <w:sz w:val="24"/>
                <w:szCs w:val="24"/>
              </w:rPr>
            </w:pPr>
            <w:r>
              <w:rPr>
                <w:rFonts w:hint="eastAsia" w:hAnsi="Times New Roman"/>
                <w:b/>
                <w:sz w:val="24"/>
                <w:szCs w:val="24"/>
              </w:rPr>
              <w:t>4.2.1 运营期地表水环境影响分析</w:t>
            </w:r>
          </w:p>
          <w:p>
            <w:pPr>
              <w:pStyle w:val="62"/>
              <w:spacing w:line="360" w:lineRule="auto"/>
              <w:ind w:firstLine="482"/>
              <w:rPr>
                <w:rFonts w:hAnsi="Times New Roman"/>
                <w:b/>
                <w:sz w:val="24"/>
                <w:szCs w:val="24"/>
              </w:rPr>
            </w:pPr>
            <w:r>
              <w:rPr>
                <w:rFonts w:hint="eastAsia" w:hAnsi="Times New Roman"/>
                <w:b/>
                <w:sz w:val="24"/>
                <w:szCs w:val="24"/>
              </w:rPr>
              <w:t>（1）运营期取水对河流的影响分析</w:t>
            </w:r>
          </w:p>
          <w:p>
            <w:pPr>
              <w:pStyle w:val="62"/>
              <w:spacing w:line="360" w:lineRule="auto"/>
              <w:ind w:firstLine="480"/>
              <w:rPr>
                <w:rFonts w:hAnsi="Times New Roman"/>
                <w:sz w:val="24"/>
                <w:szCs w:val="24"/>
              </w:rPr>
            </w:pPr>
            <w:r>
              <w:rPr>
                <w:rFonts w:hint="eastAsia" w:hAnsi="Times New Roman"/>
                <w:sz w:val="24"/>
                <w:szCs w:val="24"/>
              </w:rPr>
              <w:t>项目水源点确定为白鹤滩水库上游的金沙江，提水位置为东川区拖布卡镇象鼻村白鹤滩水库上游的金沙江提水。最大提水流量为75.34m</w:t>
            </w:r>
            <w:r>
              <w:rPr>
                <w:rFonts w:hint="eastAsia" w:hAnsi="Times New Roman"/>
                <w:sz w:val="24"/>
                <w:szCs w:val="24"/>
                <w:vertAlign w:val="superscript"/>
              </w:rPr>
              <w:t>3</w:t>
            </w:r>
            <w:r>
              <w:rPr>
                <w:rFonts w:hint="eastAsia" w:hAnsi="Times New Roman"/>
                <w:sz w:val="24"/>
                <w:szCs w:val="24"/>
              </w:rPr>
              <w:t>/h，年取水量20.78万m</w:t>
            </w:r>
            <w:r>
              <w:rPr>
                <w:rFonts w:hint="eastAsia" w:hAnsi="Times New Roman"/>
                <w:sz w:val="24"/>
                <w:szCs w:val="24"/>
                <w:vertAlign w:val="superscript"/>
              </w:rPr>
              <w:t>3</w:t>
            </w:r>
            <w:r>
              <w:rPr>
                <w:rFonts w:hint="eastAsia" w:hAnsi="Times New Roman"/>
                <w:sz w:val="24"/>
                <w:szCs w:val="24"/>
              </w:rPr>
              <w:t>，占多年平均径流量4170亿m</w:t>
            </w:r>
            <w:r>
              <w:rPr>
                <w:rFonts w:hint="eastAsia" w:hAnsi="Times New Roman"/>
                <w:sz w:val="24"/>
                <w:szCs w:val="24"/>
                <w:vertAlign w:val="superscript"/>
              </w:rPr>
              <w:t>3</w:t>
            </w:r>
            <w:r>
              <w:rPr>
                <w:rFonts w:hint="eastAsia" w:hAnsi="Times New Roman"/>
                <w:sz w:val="24"/>
                <w:szCs w:val="24"/>
              </w:rPr>
              <w:t>的比例较小，通过水量盈亏分析，项目区域水量水源充足，满足项目区的需水要求，本项目泵站取水对金沙江白鹤滩水库水量影响甚微。</w:t>
            </w:r>
          </w:p>
          <w:p>
            <w:pPr>
              <w:pStyle w:val="62"/>
              <w:spacing w:line="360" w:lineRule="auto"/>
              <w:ind w:firstLine="482"/>
              <w:rPr>
                <w:rFonts w:hAnsi="Times New Roman"/>
                <w:b/>
                <w:sz w:val="24"/>
                <w:szCs w:val="24"/>
              </w:rPr>
            </w:pPr>
            <w:r>
              <w:rPr>
                <w:rFonts w:hint="eastAsia" w:hAnsi="Times New Roman"/>
                <w:b/>
                <w:sz w:val="24"/>
                <w:szCs w:val="24"/>
              </w:rPr>
              <w:t>（2）光伏组件清洗对水环境影响分析</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运营期为保持光伏面板发电效率，需要在定期清洗光伏面板上的灰尘，计划每年2月份对清洗1次。清洗时先用鸡毛掸掸去浮尘，然后用水枪清水冲洗。参考已建的太阳能光电站清洗用水资料，每MW清洗用水量为10t/次，本项目光伏装机容量为</w:t>
            </w:r>
            <w:r>
              <w:rPr>
                <w:rFonts w:hint="eastAsia" w:ascii="Times New Roman" w:hAnsi="Times New Roman" w:cs="Times New Roman"/>
                <w:color w:val="auto"/>
                <w:kern w:val="2"/>
              </w:rPr>
              <w:t>0.83</w:t>
            </w:r>
            <w:r>
              <w:rPr>
                <w:rFonts w:ascii="Times New Roman" w:hAnsi="Times New Roman" w:cs="Times New Roman"/>
                <w:color w:val="auto"/>
                <w:kern w:val="2"/>
              </w:rPr>
              <w:t>MW（一级</w:t>
            </w:r>
            <w:r>
              <w:rPr>
                <w:rFonts w:hint="eastAsia" w:ascii="Times New Roman" w:hAnsi="Times New Roman" w:cs="Times New Roman"/>
                <w:color w:val="auto"/>
                <w:kern w:val="2"/>
              </w:rPr>
              <w:t>0.0638</w:t>
            </w:r>
            <w:r>
              <w:rPr>
                <w:rFonts w:ascii="Times New Roman" w:hAnsi="Times New Roman" w:cs="Times New Roman"/>
                <w:color w:val="auto"/>
                <w:kern w:val="2"/>
              </w:rPr>
              <w:t>MW，二级</w:t>
            </w:r>
            <w:r>
              <w:rPr>
                <w:rFonts w:hint="eastAsia" w:ascii="Times New Roman" w:hAnsi="Times New Roman" w:cs="Times New Roman"/>
                <w:color w:val="auto"/>
                <w:kern w:val="2"/>
              </w:rPr>
              <w:t>0.7662</w:t>
            </w:r>
            <w:r>
              <w:rPr>
                <w:rFonts w:ascii="Times New Roman" w:hAnsi="Times New Roman" w:cs="Times New Roman"/>
                <w:color w:val="auto"/>
                <w:kern w:val="2"/>
              </w:rPr>
              <w:t>MW），则本项目年清洗用水为</w:t>
            </w:r>
            <w:r>
              <w:rPr>
                <w:rFonts w:hint="eastAsia" w:ascii="Times New Roman" w:hAnsi="Times New Roman" w:cs="Times New Roman"/>
                <w:color w:val="auto"/>
                <w:kern w:val="2"/>
              </w:rPr>
              <w:t>8.3</w:t>
            </w:r>
            <w:r>
              <w:rPr>
                <w:rFonts w:ascii="Times New Roman" w:hAnsi="Times New Roman" w:cs="Times New Roman"/>
                <w:color w:val="auto"/>
                <w:kern w:val="2"/>
              </w:rPr>
              <w:t>m</w:t>
            </w:r>
            <w:r>
              <w:rPr>
                <w:rFonts w:ascii="Times New Roman" w:hAnsi="Times New Roman" w:cs="Times New Roman"/>
                <w:color w:val="auto"/>
                <w:kern w:val="2"/>
                <w:vertAlign w:val="superscript"/>
              </w:rPr>
              <w:t>3</w:t>
            </w:r>
            <w:r>
              <w:rPr>
                <w:rFonts w:ascii="Times New Roman" w:hAnsi="Times New Roman" w:cs="Times New Roman"/>
                <w:color w:val="auto"/>
                <w:kern w:val="2"/>
              </w:rPr>
              <w:t>，废水产生量按用水量的80%计算，则项目每年清洗光伏组件产生的废水为</w:t>
            </w:r>
            <w:r>
              <w:rPr>
                <w:rFonts w:hint="eastAsia" w:ascii="Times New Roman" w:hAnsi="Times New Roman" w:cs="Times New Roman"/>
                <w:color w:val="auto"/>
                <w:kern w:val="2"/>
              </w:rPr>
              <w:t>6.64</w:t>
            </w:r>
            <w:r>
              <w:rPr>
                <w:rFonts w:ascii="Times New Roman" w:hAnsi="Times New Roman" w:cs="Times New Roman"/>
                <w:color w:val="auto"/>
                <w:kern w:val="2"/>
              </w:rPr>
              <w:t>m</w:t>
            </w:r>
            <w:r>
              <w:rPr>
                <w:rFonts w:ascii="Times New Roman" w:hAnsi="Times New Roman" w:cs="Times New Roman"/>
                <w:color w:val="auto"/>
                <w:kern w:val="2"/>
                <w:vertAlign w:val="superscript"/>
              </w:rPr>
              <w:t>3</w:t>
            </w:r>
            <w:r>
              <w:rPr>
                <w:rFonts w:ascii="Times New Roman" w:hAnsi="Times New Roman" w:cs="Times New Roman"/>
                <w:color w:val="auto"/>
                <w:kern w:val="2"/>
              </w:rPr>
              <w:t>。</w:t>
            </w:r>
            <w:r>
              <w:rPr>
                <w:rFonts w:hint="eastAsia" w:ascii="Times New Roman" w:hAnsi="Times New Roman" w:cs="Times New Roman"/>
                <w:color w:val="auto"/>
                <w:kern w:val="2"/>
              </w:rPr>
              <w:t>光伏电池板清洗不使用清洗剂，废水中主要含有SS，污染因子单一，水质简单，不含其它有害污染物。光伏组件清洗废水悬浮物浓度500mg/L，产生量约0.003t/a。</w:t>
            </w:r>
            <w:r>
              <w:rPr>
                <w:rFonts w:ascii="Times New Roman" w:hAnsi="Times New Roman" w:cs="Times New Roman"/>
                <w:color w:val="auto"/>
                <w:kern w:val="2"/>
              </w:rPr>
              <w:t>废水经过场地内的排水沟进入</w:t>
            </w:r>
            <w:r>
              <w:rPr>
                <w:rFonts w:hint="eastAsia" w:ascii="Times New Roman" w:hAnsi="Times New Roman" w:cs="Times New Roman"/>
                <w:color w:val="auto"/>
                <w:kern w:val="2"/>
              </w:rPr>
              <w:t>1个7m</w:t>
            </w:r>
            <w:r>
              <w:rPr>
                <w:rFonts w:hint="eastAsia" w:ascii="Times New Roman" w:hAnsi="Times New Roman" w:cs="Times New Roman"/>
                <w:color w:val="auto"/>
                <w:kern w:val="2"/>
                <w:vertAlign w:val="superscript"/>
              </w:rPr>
              <w:t>3</w:t>
            </w:r>
            <w:r>
              <w:rPr>
                <w:rFonts w:hint="eastAsia" w:ascii="Times New Roman" w:hAnsi="Times New Roman" w:cs="Times New Roman"/>
                <w:color w:val="auto"/>
                <w:kern w:val="2"/>
              </w:rPr>
              <w:t>的</w:t>
            </w:r>
            <w:r>
              <w:rPr>
                <w:rFonts w:ascii="Times New Roman" w:hAnsi="Times New Roman" w:cs="Times New Roman"/>
                <w:color w:val="auto"/>
                <w:kern w:val="2"/>
              </w:rPr>
              <w:t>沉淀池，经沉淀后处理后达到</w:t>
            </w:r>
            <w:r>
              <w:rPr>
                <w:rFonts w:hint="eastAsia" w:ascii="Times New Roman" w:hAnsi="Times New Roman" w:cs="Times New Roman"/>
                <w:color w:val="auto"/>
                <w:kern w:val="2"/>
              </w:rPr>
              <w:t>《城市污水再生利用城市杂用水水质》（GB/T</w:t>
            </w:r>
            <w:r>
              <w:rPr>
                <w:rFonts w:hint="eastAsia" w:ascii="Times New Roman" w:hAnsi="Times New Roman" w:cs="Times New Roman"/>
                <w:color w:val="auto"/>
                <w:kern w:val="2"/>
                <w:lang w:eastAsia="zh-CN"/>
              </w:rPr>
              <w:t>*****</w:t>
            </w:r>
            <w:r>
              <w:rPr>
                <w:rFonts w:hint="eastAsia" w:ascii="Times New Roman" w:hAnsi="Times New Roman" w:cs="Times New Roman"/>
                <w:color w:val="auto"/>
                <w:kern w:val="2"/>
              </w:rPr>
              <w:t>-2020）中绿化标准后</w:t>
            </w:r>
            <w:r>
              <w:rPr>
                <w:rFonts w:ascii="Times New Roman" w:hAnsi="Times New Roman" w:cs="Times New Roman"/>
                <w:color w:val="auto"/>
                <w:kern w:val="2"/>
              </w:rPr>
              <w:t>回用于泵站场地绿化和道路洒水，不外排，因此不会对水环境造成影响。</w:t>
            </w:r>
          </w:p>
          <w:p>
            <w:pPr>
              <w:pStyle w:val="62"/>
              <w:spacing w:line="360" w:lineRule="auto"/>
              <w:ind w:firstLine="482"/>
              <w:rPr>
                <w:rFonts w:hAnsi="Times New Roman"/>
                <w:b/>
                <w:sz w:val="24"/>
                <w:szCs w:val="24"/>
              </w:rPr>
            </w:pPr>
            <w:r>
              <w:rPr>
                <w:rFonts w:hint="eastAsia" w:hAnsi="Times New Roman"/>
                <w:b/>
                <w:sz w:val="24"/>
                <w:szCs w:val="24"/>
              </w:rPr>
              <w:t>4.2.2 运营期声环境影响分析</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项目光伏泵站主要噪声源为光伏泵站的逆变器及水泵等，水泵噪声声级为85</w:t>
            </w:r>
            <w:r>
              <w:rPr>
                <w:rFonts w:hint="eastAsia" w:ascii="Times New Roman" w:hAnsi="Times New Roman" w:cs="Times New Roman"/>
                <w:color w:val="auto"/>
                <w:kern w:val="2"/>
              </w:rPr>
              <w:t>dB（A）</w:t>
            </w:r>
            <w:r>
              <w:rPr>
                <w:rFonts w:ascii="Times New Roman" w:hAnsi="Times New Roman" w:cs="Times New Roman"/>
                <w:color w:val="auto"/>
                <w:kern w:val="2"/>
              </w:rPr>
              <w:t>、逆变器噪声级65</w:t>
            </w:r>
            <w:r>
              <w:rPr>
                <w:rFonts w:hint="eastAsia" w:ascii="Times New Roman" w:hAnsi="Times New Roman" w:cs="Times New Roman"/>
                <w:color w:val="auto"/>
                <w:kern w:val="2"/>
              </w:rPr>
              <w:t>dB（A）</w:t>
            </w:r>
            <w:r>
              <w:rPr>
                <w:rFonts w:ascii="Times New Roman" w:hAnsi="Times New Roman" w:cs="Times New Roman"/>
                <w:color w:val="auto"/>
                <w:kern w:val="2"/>
              </w:rPr>
              <w:t>。水泵放置在泵房内，逆变器设置于平台。光伏电站所在位置较为空旷，项目光伏泵站</w:t>
            </w:r>
            <w:r>
              <w:rPr>
                <w:rFonts w:hint="eastAsia" w:ascii="Times New Roman" w:hAnsi="Times New Roman" w:cs="Times New Roman"/>
                <w:color w:val="auto"/>
                <w:kern w:val="2"/>
              </w:rPr>
              <w:t>50</w:t>
            </w:r>
            <w:r>
              <w:rPr>
                <w:rFonts w:ascii="Times New Roman" w:hAnsi="Times New Roman" w:cs="Times New Roman"/>
                <w:color w:val="auto"/>
                <w:kern w:val="2"/>
              </w:rPr>
              <w:t>m范围内没有村庄和常住人口等敏感目标。</w:t>
            </w:r>
          </w:p>
          <w:p>
            <w:pPr>
              <w:jc w:val="center"/>
              <w:rPr>
                <w:rFonts w:ascii="Times New Roman" w:hAnsi="Times New Roman" w:cs="Times New Roman"/>
                <w:b/>
              </w:rPr>
            </w:pPr>
            <w:r>
              <w:rPr>
                <w:rFonts w:ascii="Times New Roman" w:hAnsi="Times New Roman" w:cs="Times New Roman"/>
                <w:b/>
              </w:rPr>
              <w:t>表</w:t>
            </w:r>
            <w:r>
              <w:rPr>
                <w:rFonts w:hint="eastAsia" w:ascii="Times New Roman" w:hAnsi="Times New Roman" w:cs="Times New Roman"/>
                <w:b/>
              </w:rPr>
              <w:t xml:space="preserve">4.2.2-1 </w:t>
            </w:r>
            <w:r>
              <w:rPr>
                <w:rFonts w:ascii="Times New Roman" w:hAnsi="Times New Roman" w:cs="Times New Roman"/>
                <w:b/>
              </w:rPr>
              <w:t xml:space="preserve"> 项目噪声源强一览表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2388"/>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pct"/>
                  <w:vAlign w:val="center"/>
                </w:tcPr>
                <w:p>
                  <w:pPr>
                    <w:spacing w:line="360" w:lineRule="atLeast"/>
                    <w:jc w:val="center"/>
                    <w:rPr>
                      <w:rFonts w:ascii="Times New Roman" w:hAnsi="Times New Roman" w:cs="Times New Roman"/>
                    </w:rPr>
                  </w:pPr>
                  <w:r>
                    <w:rPr>
                      <w:rFonts w:ascii="Times New Roman" w:hAnsi="Times New Roman" w:cs="Times New Roman"/>
                    </w:rPr>
                    <w:t>主要产噪设备</w:t>
                  </w:r>
                </w:p>
              </w:tc>
              <w:tc>
                <w:tcPr>
                  <w:tcW w:w="1387" w:type="pct"/>
                  <w:vAlign w:val="center"/>
                </w:tcPr>
                <w:p>
                  <w:pPr>
                    <w:spacing w:line="360" w:lineRule="atLeast"/>
                    <w:jc w:val="center"/>
                    <w:rPr>
                      <w:rFonts w:ascii="Times New Roman" w:hAnsi="Times New Roman" w:cs="Times New Roman"/>
                    </w:rPr>
                  </w:pPr>
                  <w:r>
                    <w:rPr>
                      <w:rFonts w:ascii="Times New Roman" w:hAnsi="Times New Roman" w:cs="Times New Roman"/>
                    </w:rPr>
                    <w:t>噪声值dB（A）</w:t>
                  </w:r>
                </w:p>
              </w:tc>
              <w:tc>
                <w:tcPr>
                  <w:tcW w:w="1902" w:type="pct"/>
                  <w:vAlign w:val="center"/>
                </w:tcPr>
                <w:p>
                  <w:pPr>
                    <w:spacing w:line="360" w:lineRule="atLeas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pct"/>
                  <w:vAlign w:val="center"/>
                </w:tcPr>
                <w:p>
                  <w:pPr>
                    <w:spacing w:line="360" w:lineRule="atLeast"/>
                    <w:jc w:val="center"/>
                    <w:rPr>
                      <w:rFonts w:ascii="Times New Roman" w:hAnsi="Times New Roman" w:cs="Times New Roman"/>
                    </w:rPr>
                  </w:pPr>
                  <w:r>
                    <w:rPr>
                      <w:rFonts w:ascii="Times New Roman" w:hAnsi="Times New Roman" w:cs="Times New Roman"/>
                    </w:rPr>
                    <w:t>水泵</w:t>
                  </w:r>
                </w:p>
              </w:tc>
              <w:tc>
                <w:tcPr>
                  <w:tcW w:w="1387" w:type="pct"/>
                  <w:vAlign w:val="center"/>
                </w:tcPr>
                <w:p>
                  <w:pPr>
                    <w:spacing w:line="360" w:lineRule="atLeast"/>
                    <w:jc w:val="center"/>
                    <w:rPr>
                      <w:rFonts w:ascii="Times New Roman" w:hAnsi="Times New Roman" w:cs="Times New Roman"/>
                    </w:rPr>
                  </w:pPr>
                  <w:r>
                    <w:rPr>
                      <w:rFonts w:hint="eastAsia" w:ascii="Times New Roman" w:hAnsi="Times New Roman" w:cs="Times New Roman"/>
                    </w:rPr>
                    <w:t>85</w:t>
                  </w:r>
                </w:p>
              </w:tc>
              <w:tc>
                <w:tcPr>
                  <w:tcW w:w="1902" w:type="pct"/>
                  <w:vAlign w:val="center"/>
                </w:tcPr>
                <w:p>
                  <w:pPr>
                    <w:spacing w:line="360" w:lineRule="atLeast"/>
                    <w:jc w:val="center"/>
                    <w:rPr>
                      <w:rFonts w:ascii="Times New Roman" w:hAnsi="Times New Roman" w:cs="Times New Roman"/>
                    </w:rPr>
                  </w:pPr>
                  <w:r>
                    <w:rPr>
                      <w:rFonts w:ascii="Times New Roman" w:hAnsi="Times New Roman" w:cs="Times New Roman"/>
                    </w:rPr>
                    <w:t>布置在室内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pct"/>
                  <w:vAlign w:val="center"/>
                </w:tcPr>
                <w:p>
                  <w:pPr>
                    <w:spacing w:line="360" w:lineRule="atLeast"/>
                    <w:jc w:val="center"/>
                    <w:rPr>
                      <w:rFonts w:ascii="Times New Roman" w:hAnsi="Times New Roman" w:cs="Times New Roman"/>
                    </w:rPr>
                  </w:pPr>
                  <w:r>
                    <w:rPr>
                      <w:rFonts w:ascii="Times New Roman" w:hAnsi="Times New Roman" w:cs="Times New Roman"/>
                    </w:rPr>
                    <w:t>逆变器</w:t>
                  </w:r>
                </w:p>
              </w:tc>
              <w:tc>
                <w:tcPr>
                  <w:tcW w:w="1387" w:type="pct"/>
                  <w:vAlign w:val="center"/>
                </w:tcPr>
                <w:p>
                  <w:pPr>
                    <w:spacing w:line="360" w:lineRule="atLeast"/>
                    <w:jc w:val="center"/>
                    <w:rPr>
                      <w:rFonts w:ascii="Times New Roman" w:hAnsi="Times New Roman" w:cs="Times New Roman"/>
                    </w:rPr>
                  </w:pPr>
                  <w:r>
                    <w:rPr>
                      <w:rFonts w:hint="eastAsia" w:ascii="Times New Roman" w:hAnsi="Times New Roman" w:cs="Times New Roman"/>
                    </w:rPr>
                    <w:t>65</w:t>
                  </w:r>
                </w:p>
              </w:tc>
              <w:tc>
                <w:tcPr>
                  <w:tcW w:w="1902" w:type="pct"/>
                  <w:vAlign w:val="center"/>
                </w:tcPr>
                <w:p>
                  <w:pPr>
                    <w:spacing w:line="360" w:lineRule="atLeast"/>
                    <w:jc w:val="center"/>
                    <w:rPr>
                      <w:rFonts w:ascii="Times New Roman" w:hAnsi="Times New Roman" w:cs="Times New Roman"/>
                    </w:rPr>
                  </w:pPr>
                  <w:r>
                    <w:rPr>
                      <w:rFonts w:ascii="Times New Roman" w:hAnsi="Times New Roman" w:cs="Times New Roman"/>
                    </w:rPr>
                    <w:t>布置在室外</w:t>
                  </w:r>
                </w:p>
              </w:tc>
            </w:tr>
          </w:tbl>
          <w:p>
            <w:pPr>
              <w:jc w:val="center"/>
              <w:rPr>
                <w:rFonts w:ascii="Times New Roman" w:hAnsi="Times New Roman" w:cs="Times New Roman"/>
                <w:b/>
              </w:rPr>
            </w:pPr>
            <w:r>
              <w:rPr>
                <w:rFonts w:ascii="Times New Roman" w:hAnsi="Times New Roman" w:cs="Times New Roman"/>
                <w:b/>
              </w:rPr>
              <w:t>表4</w:t>
            </w:r>
            <w:r>
              <w:rPr>
                <w:rFonts w:hint="eastAsia" w:ascii="Times New Roman" w:hAnsi="Times New Roman" w:cs="Times New Roman"/>
                <w:b/>
              </w:rPr>
              <w:t>.2.2</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 xml:space="preserve">  项目边界噪声预测贡献值 单位：dB（A）</w:t>
            </w:r>
          </w:p>
          <w:tbl>
            <w:tblPr>
              <w:tblStyle w:val="2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1"/>
              <w:gridCol w:w="993"/>
              <w:gridCol w:w="888"/>
              <w:gridCol w:w="878"/>
              <w:gridCol w:w="990"/>
              <w:gridCol w:w="947"/>
              <w:gridCol w:w="945"/>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4" w:type="pct"/>
                  <w:vMerge w:val="restart"/>
                  <w:vAlign w:val="center"/>
                </w:tcPr>
                <w:p>
                  <w:pPr>
                    <w:spacing w:line="360" w:lineRule="exact"/>
                    <w:jc w:val="center"/>
                    <w:rPr>
                      <w:rFonts w:ascii="Times New Roman" w:hAnsi="Times New Roman" w:cs="Times New Roman"/>
                      <w:kern w:val="32"/>
                    </w:rPr>
                  </w:pPr>
                  <w:r>
                    <w:rPr>
                      <w:rFonts w:ascii="Times New Roman" w:hAnsi="Times New Roman" w:cs="Times New Roman"/>
                      <w:kern w:val="32"/>
                    </w:rPr>
                    <w:t>设备名称</w:t>
                  </w:r>
                </w:p>
              </w:tc>
              <w:tc>
                <w:tcPr>
                  <w:tcW w:w="3826" w:type="pct"/>
                  <w:gridSpan w:val="7"/>
                  <w:vAlign w:val="center"/>
                </w:tcPr>
                <w:p>
                  <w:pPr>
                    <w:spacing w:line="360" w:lineRule="exact"/>
                    <w:jc w:val="center"/>
                    <w:rPr>
                      <w:rFonts w:ascii="Times New Roman" w:hAnsi="Times New Roman" w:cs="Times New Roman"/>
                      <w:kern w:val="32"/>
                    </w:rPr>
                  </w:pPr>
                  <w:r>
                    <w:rPr>
                      <w:rFonts w:ascii="Times New Roman" w:hAnsi="Times New Roman" w:cs="Times New Roman"/>
                      <w:kern w:val="32"/>
                    </w:rPr>
                    <w:t>不同距离处噪声预测值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4" w:type="pct"/>
                  <w:vMerge w:val="continue"/>
                  <w:vAlign w:val="center"/>
                </w:tcPr>
                <w:p>
                  <w:pPr>
                    <w:spacing w:line="360" w:lineRule="exact"/>
                    <w:jc w:val="center"/>
                    <w:rPr>
                      <w:rFonts w:ascii="Times New Roman" w:hAnsi="Times New Roman" w:cs="Times New Roman"/>
                      <w:kern w:val="32"/>
                    </w:rPr>
                  </w:pPr>
                </w:p>
              </w:tc>
              <w:tc>
                <w:tcPr>
                  <w:tcW w:w="577"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1m</w:t>
                  </w:r>
                </w:p>
              </w:tc>
              <w:tc>
                <w:tcPr>
                  <w:tcW w:w="516"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6m</w:t>
                  </w:r>
                </w:p>
              </w:tc>
              <w:tc>
                <w:tcPr>
                  <w:tcW w:w="51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10m</w:t>
                  </w:r>
                </w:p>
              </w:tc>
              <w:tc>
                <w:tcPr>
                  <w:tcW w:w="575"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18m</w:t>
                  </w:r>
                </w:p>
              </w:tc>
              <w:tc>
                <w:tcPr>
                  <w:tcW w:w="55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30m</w:t>
                  </w:r>
                </w:p>
              </w:tc>
              <w:tc>
                <w:tcPr>
                  <w:tcW w:w="549"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40m</w:t>
                  </w:r>
                </w:p>
              </w:tc>
              <w:tc>
                <w:tcPr>
                  <w:tcW w:w="549" w:type="pct"/>
                </w:tcPr>
                <w:p>
                  <w:pPr>
                    <w:spacing w:line="360" w:lineRule="exact"/>
                    <w:jc w:val="center"/>
                    <w:rPr>
                      <w:rFonts w:ascii="Times New Roman" w:hAnsi="Times New Roman" w:cs="Times New Roman"/>
                      <w:kern w:val="32"/>
                    </w:rPr>
                  </w:pPr>
                  <w:r>
                    <w:rPr>
                      <w:rFonts w:hint="eastAsia" w:ascii="Times New Roman" w:hAnsi="Times New Roman" w:cs="Times New Roman"/>
                      <w:kern w:val="32"/>
                    </w:rPr>
                    <w:t>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74" w:type="pct"/>
                  <w:vAlign w:val="center"/>
                </w:tcPr>
                <w:p>
                  <w:pPr>
                    <w:spacing w:line="360" w:lineRule="atLeast"/>
                    <w:jc w:val="center"/>
                    <w:rPr>
                      <w:rFonts w:ascii="Times New Roman" w:hAnsi="Times New Roman" w:cs="Times New Roman"/>
                    </w:rPr>
                  </w:pPr>
                  <w:r>
                    <w:rPr>
                      <w:rFonts w:ascii="Times New Roman" w:hAnsi="Times New Roman" w:cs="Times New Roman"/>
                    </w:rPr>
                    <w:t>水泵</w:t>
                  </w:r>
                </w:p>
              </w:tc>
              <w:tc>
                <w:tcPr>
                  <w:tcW w:w="577"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85</w:t>
                  </w:r>
                </w:p>
              </w:tc>
              <w:tc>
                <w:tcPr>
                  <w:tcW w:w="516"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69</w:t>
                  </w:r>
                </w:p>
              </w:tc>
              <w:tc>
                <w:tcPr>
                  <w:tcW w:w="51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65</w:t>
                  </w:r>
                </w:p>
              </w:tc>
              <w:tc>
                <w:tcPr>
                  <w:tcW w:w="575"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60</w:t>
                  </w:r>
                </w:p>
              </w:tc>
              <w:tc>
                <w:tcPr>
                  <w:tcW w:w="55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55</w:t>
                  </w:r>
                </w:p>
              </w:tc>
              <w:tc>
                <w:tcPr>
                  <w:tcW w:w="549"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53</w:t>
                  </w:r>
                </w:p>
              </w:tc>
              <w:tc>
                <w:tcPr>
                  <w:tcW w:w="549" w:type="pct"/>
                </w:tcPr>
                <w:p>
                  <w:pPr>
                    <w:spacing w:line="360" w:lineRule="exact"/>
                    <w:jc w:val="center"/>
                    <w:rPr>
                      <w:rFonts w:ascii="Times New Roman" w:hAnsi="Times New Roman" w:cs="Times New Roman"/>
                      <w:kern w:val="32"/>
                    </w:rPr>
                  </w:pPr>
                  <w:r>
                    <w:rPr>
                      <w:rFonts w:hint="eastAsia" w:ascii="Times New Roman" w:hAnsi="Times New Roman" w:cs="Times New Roman"/>
                      <w:kern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74" w:type="pct"/>
                  <w:vAlign w:val="center"/>
                </w:tcPr>
                <w:p>
                  <w:pPr>
                    <w:spacing w:line="360" w:lineRule="atLeast"/>
                    <w:jc w:val="center"/>
                    <w:rPr>
                      <w:rFonts w:ascii="Times New Roman" w:hAnsi="Times New Roman" w:cs="Times New Roman"/>
                    </w:rPr>
                  </w:pPr>
                  <w:r>
                    <w:rPr>
                      <w:rFonts w:ascii="Times New Roman" w:hAnsi="Times New Roman" w:cs="Times New Roman"/>
                    </w:rPr>
                    <w:t>逆变器</w:t>
                  </w:r>
                </w:p>
              </w:tc>
              <w:tc>
                <w:tcPr>
                  <w:tcW w:w="577" w:type="pct"/>
                  <w:vAlign w:val="center"/>
                </w:tcPr>
                <w:p>
                  <w:pPr>
                    <w:spacing w:line="360" w:lineRule="exact"/>
                    <w:jc w:val="center"/>
                    <w:rPr>
                      <w:rFonts w:ascii="Times New Roman" w:hAnsi="Times New Roman" w:cs="Times New Roman"/>
                    </w:rPr>
                  </w:pPr>
                  <w:r>
                    <w:rPr>
                      <w:rFonts w:hint="eastAsia" w:ascii="Times New Roman" w:hAnsi="Times New Roman" w:cs="Times New Roman"/>
                    </w:rPr>
                    <w:t>65</w:t>
                  </w:r>
                </w:p>
              </w:tc>
              <w:tc>
                <w:tcPr>
                  <w:tcW w:w="516" w:type="pct"/>
                  <w:vAlign w:val="center"/>
                </w:tcPr>
                <w:p>
                  <w:pPr>
                    <w:spacing w:line="360" w:lineRule="exact"/>
                    <w:jc w:val="center"/>
                    <w:rPr>
                      <w:rFonts w:ascii="Times New Roman" w:hAnsi="Times New Roman" w:cs="Times New Roman"/>
                    </w:rPr>
                  </w:pPr>
                  <w:r>
                    <w:rPr>
                      <w:rFonts w:hint="eastAsia" w:ascii="Times New Roman" w:hAnsi="Times New Roman" w:cs="Times New Roman"/>
                    </w:rPr>
                    <w:t>49</w:t>
                  </w:r>
                </w:p>
              </w:tc>
              <w:tc>
                <w:tcPr>
                  <w:tcW w:w="51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45</w:t>
                  </w:r>
                </w:p>
              </w:tc>
              <w:tc>
                <w:tcPr>
                  <w:tcW w:w="575"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40</w:t>
                  </w:r>
                </w:p>
              </w:tc>
              <w:tc>
                <w:tcPr>
                  <w:tcW w:w="55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35</w:t>
                  </w:r>
                </w:p>
              </w:tc>
              <w:tc>
                <w:tcPr>
                  <w:tcW w:w="549"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33</w:t>
                  </w:r>
                </w:p>
              </w:tc>
              <w:tc>
                <w:tcPr>
                  <w:tcW w:w="549" w:type="pct"/>
                </w:tcPr>
                <w:p>
                  <w:pPr>
                    <w:spacing w:line="360" w:lineRule="exact"/>
                    <w:jc w:val="center"/>
                    <w:rPr>
                      <w:rFonts w:ascii="Times New Roman" w:hAnsi="Times New Roman" w:cs="Times New Roman"/>
                      <w:kern w:val="32"/>
                    </w:rPr>
                  </w:pPr>
                  <w:r>
                    <w:rPr>
                      <w:rFonts w:hint="eastAsia" w:ascii="Times New Roman" w:hAnsi="Times New Roman" w:cs="Times New Roman"/>
                      <w:kern w:val="32"/>
                    </w:rPr>
                    <w:t>30</w:t>
                  </w:r>
                </w:p>
              </w:tc>
            </w:tr>
          </w:tbl>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从预测结果，水泵噪声经过10m距离衰减后声级只有65</w:t>
            </w:r>
            <w:r>
              <w:rPr>
                <w:rFonts w:hint="eastAsia" w:ascii="Times New Roman" w:hAnsi="Times New Roman" w:cs="Times New Roman"/>
                <w:color w:val="auto"/>
                <w:kern w:val="2"/>
              </w:rPr>
              <w:t>dB（A）</w:t>
            </w:r>
            <w:r>
              <w:rPr>
                <w:rFonts w:ascii="Times New Roman" w:hAnsi="Times New Roman" w:cs="Times New Roman"/>
                <w:color w:val="auto"/>
                <w:kern w:val="2"/>
              </w:rPr>
              <w:t>，经过18m距离衰减后声级只有60</w:t>
            </w:r>
            <w:r>
              <w:rPr>
                <w:rFonts w:hint="eastAsia" w:ascii="Times New Roman" w:hAnsi="Times New Roman" w:cs="Times New Roman"/>
                <w:color w:val="auto"/>
                <w:kern w:val="2"/>
              </w:rPr>
              <w:t>dB（A）</w:t>
            </w:r>
            <w:r>
              <w:rPr>
                <w:rFonts w:ascii="Times New Roman" w:hAnsi="Times New Roman" w:cs="Times New Roman"/>
                <w:color w:val="auto"/>
                <w:kern w:val="2"/>
              </w:rPr>
              <w:t>，满足声环境质量标准2类区昼间60</w:t>
            </w:r>
            <w:r>
              <w:rPr>
                <w:rFonts w:hint="eastAsia" w:ascii="Times New Roman" w:hAnsi="Times New Roman" w:cs="Times New Roman"/>
                <w:color w:val="auto"/>
                <w:kern w:val="2"/>
              </w:rPr>
              <w:t>dB（A）</w:t>
            </w:r>
            <w:r>
              <w:rPr>
                <w:rFonts w:ascii="Times New Roman" w:hAnsi="Times New Roman" w:cs="Times New Roman"/>
                <w:color w:val="auto"/>
                <w:kern w:val="2"/>
              </w:rPr>
              <w:t>的限值要求（水泵只在白天运行，夜间不运行）。逆变器则经过6m距离衰减后声级只有49</w:t>
            </w:r>
            <w:r>
              <w:rPr>
                <w:rFonts w:hint="eastAsia" w:ascii="Times New Roman" w:hAnsi="Times New Roman" w:cs="Times New Roman"/>
                <w:color w:val="auto"/>
                <w:kern w:val="2"/>
              </w:rPr>
              <w:t>dB（A）</w:t>
            </w:r>
            <w:r>
              <w:rPr>
                <w:rFonts w:ascii="Times New Roman" w:hAnsi="Times New Roman" w:cs="Times New Roman"/>
                <w:color w:val="auto"/>
                <w:kern w:val="2"/>
              </w:rPr>
              <w:t>，满足声环境标准2类区夜间50</w:t>
            </w:r>
            <w:r>
              <w:rPr>
                <w:rFonts w:hint="eastAsia" w:ascii="Times New Roman" w:hAnsi="Times New Roman" w:cs="Times New Roman"/>
                <w:color w:val="auto"/>
                <w:kern w:val="2"/>
              </w:rPr>
              <w:t>dB（A）</w:t>
            </w:r>
            <w:r>
              <w:rPr>
                <w:rFonts w:ascii="Times New Roman" w:hAnsi="Times New Roman" w:cs="Times New Roman"/>
                <w:color w:val="auto"/>
                <w:kern w:val="2"/>
              </w:rPr>
              <w:t>的限值要求。综上所述，项目运营期间对区域声环境影响很小。</w:t>
            </w:r>
          </w:p>
          <w:p>
            <w:pPr>
              <w:pStyle w:val="62"/>
              <w:spacing w:line="360" w:lineRule="auto"/>
              <w:ind w:firstLine="482"/>
              <w:rPr>
                <w:rFonts w:hAnsi="Times New Roman"/>
                <w:b/>
                <w:sz w:val="24"/>
                <w:szCs w:val="24"/>
              </w:rPr>
            </w:pPr>
            <w:r>
              <w:rPr>
                <w:rFonts w:hint="eastAsia" w:hAnsi="Times New Roman"/>
                <w:b/>
                <w:sz w:val="24"/>
                <w:szCs w:val="24"/>
              </w:rPr>
              <w:t>4.2.3运营期固体废物影响分析</w:t>
            </w:r>
          </w:p>
          <w:p>
            <w:pPr>
              <w:pStyle w:val="62"/>
              <w:spacing w:line="360" w:lineRule="auto"/>
              <w:ind w:firstLine="482"/>
              <w:rPr>
                <w:rFonts w:hAnsi="Times New Roman"/>
                <w:b/>
                <w:sz w:val="24"/>
                <w:szCs w:val="24"/>
              </w:rPr>
            </w:pPr>
            <w:r>
              <w:rPr>
                <w:rFonts w:hint="eastAsia" w:hAnsi="Times New Roman"/>
                <w:b/>
                <w:sz w:val="24"/>
                <w:szCs w:val="24"/>
              </w:rPr>
              <w:t>（1）光伏电站损坏的组件及电路板的影响分析</w:t>
            </w:r>
          </w:p>
          <w:p>
            <w:pPr>
              <w:pStyle w:val="62"/>
              <w:spacing w:line="360" w:lineRule="auto"/>
              <w:ind w:firstLine="480"/>
              <w:rPr>
                <w:rFonts w:hAnsi="Times New Roman" w:eastAsiaTheme="minorEastAsia"/>
                <w:sz w:val="24"/>
                <w:szCs w:val="24"/>
              </w:rPr>
            </w:pPr>
            <w:r>
              <w:rPr>
                <w:rFonts w:hint="eastAsia" w:hAnsi="Times New Roman" w:eastAsiaTheme="minorEastAsia"/>
                <w:sz w:val="24"/>
                <w:szCs w:val="24"/>
              </w:rPr>
              <w:t>项目在运营期光伏发电过程中会产生一定量的损坏的组件及电路板，根据建设单位提供的资料，废组件及电路板产生量为0.2t/a，项目拟设置1个面积为10m</w:t>
            </w:r>
            <w:r>
              <w:rPr>
                <w:rFonts w:hint="eastAsia" w:hAnsi="Times New Roman" w:eastAsiaTheme="minorEastAsia"/>
                <w:sz w:val="24"/>
                <w:szCs w:val="24"/>
                <w:vertAlign w:val="superscript"/>
              </w:rPr>
              <w:t>2</w:t>
            </w:r>
            <w:r>
              <w:rPr>
                <w:rFonts w:hint="eastAsia" w:hAnsi="Times New Roman" w:eastAsiaTheme="minorEastAsia"/>
                <w:sz w:val="24"/>
                <w:szCs w:val="24"/>
              </w:rPr>
              <w:t>的危险废物暂存间对其进行分区暂存，收集后由厂家定期回收。</w:t>
            </w:r>
          </w:p>
          <w:p>
            <w:pPr>
              <w:pStyle w:val="62"/>
              <w:spacing w:line="360" w:lineRule="auto"/>
              <w:ind w:firstLine="482"/>
              <w:rPr>
                <w:rFonts w:hAnsi="Times New Roman"/>
                <w:b/>
                <w:sz w:val="24"/>
                <w:szCs w:val="24"/>
              </w:rPr>
            </w:pPr>
            <w:r>
              <w:rPr>
                <w:rFonts w:hint="eastAsia" w:hAnsi="Times New Roman"/>
                <w:b/>
                <w:sz w:val="24"/>
                <w:szCs w:val="24"/>
              </w:rPr>
              <w:t>（2）</w:t>
            </w:r>
            <w:r>
              <w:rPr>
                <w:b/>
                <w:sz w:val="24"/>
                <w:szCs w:val="24"/>
              </w:rPr>
              <w:t>设备维修产生的废机油及废弃沾油抹布</w:t>
            </w:r>
            <w:r>
              <w:rPr>
                <w:rFonts w:hint="eastAsia" w:hAnsi="Times New Roman"/>
                <w:b/>
                <w:sz w:val="24"/>
                <w:szCs w:val="24"/>
              </w:rPr>
              <w:t>的影响分析</w:t>
            </w:r>
          </w:p>
          <w:p>
            <w:pPr>
              <w:pStyle w:val="62"/>
              <w:spacing w:line="360" w:lineRule="auto"/>
              <w:ind w:firstLine="480"/>
              <w:rPr>
                <w:rFonts w:hAnsi="Times New Roman"/>
                <w:sz w:val="24"/>
                <w:szCs w:val="24"/>
              </w:rPr>
            </w:pPr>
            <w:r>
              <w:rPr>
                <w:rFonts w:hint="eastAsia" w:hAnsi="Times New Roman"/>
                <w:sz w:val="24"/>
                <w:szCs w:val="24"/>
              </w:rPr>
              <w:t>项目运营期将不定期对光伏泵站设备进行维护，如涂抹润滑油、机油等，维护过程中将产生少量废机油及废弃沾油抹布，根据《国家危险废物名录》（2021版），其属性见下表。</w:t>
            </w:r>
          </w:p>
          <w:p>
            <w:pPr>
              <w:jc w:val="center"/>
              <w:rPr>
                <w:rFonts w:ascii="Times New Roman" w:hAnsi="Times New Roman" w:cs="Times New Roman"/>
                <w:b/>
              </w:rPr>
            </w:pPr>
            <w:r>
              <w:rPr>
                <w:rFonts w:ascii="Times New Roman" w:hAnsi="Times New Roman" w:cs="Times New Roman"/>
                <w:b/>
              </w:rPr>
              <w:t>表4.2.</w:t>
            </w:r>
            <w:r>
              <w:rPr>
                <w:rFonts w:hint="eastAsia" w:ascii="Times New Roman" w:hAnsi="Times New Roman" w:cs="Times New Roman"/>
                <w:b/>
              </w:rPr>
              <w:t>3</w:t>
            </w:r>
            <w:r>
              <w:rPr>
                <w:rFonts w:ascii="Times New Roman" w:hAnsi="Times New Roman" w:cs="Times New Roman"/>
                <w:b/>
              </w:rPr>
              <w:t>-1  国家危险废物名录（2021年）（摘抄）</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1273"/>
              <w:gridCol w:w="834"/>
              <w:gridCol w:w="1196"/>
              <w:gridCol w:w="2982"/>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4"/>
                    <w:spacing w:before="60" w:line="360" w:lineRule="exact"/>
                    <w:rPr>
                      <w:color w:val="auto"/>
                      <w:szCs w:val="21"/>
                    </w:rPr>
                  </w:pPr>
                  <w:r>
                    <w:rPr>
                      <w:color w:val="auto"/>
                      <w:szCs w:val="21"/>
                    </w:rPr>
                    <w:t>项目危废</w:t>
                  </w:r>
                </w:p>
              </w:tc>
              <w:tc>
                <w:tcPr>
                  <w:tcW w:w="756" w:type="pct"/>
                  <w:vAlign w:val="center"/>
                </w:tcPr>
                <w:p>
                  <w:pPr>
                    <w:pStyle w:val="34"/>
                    <w:spacing w:before="60" w:line="360" w:lineRule="exact"/>
                    <w:rPr>
                      <w:color w:val="auto"/>
                      <w:szCs w:val="21"/>
                    </w:rPr>
                  </w:pPr>
                  <w:r>
                    <w:rPr>
                      <w:color w:val="auto"/>
                      <w:szCs w:val="21"/>
                    </w:rPr>
                    <w:t>废物类别</w:t>
                  </w:r>
                </w:p>
              </w:tc>
              <w:tc>
                <w:tcPr>
                  <w:tcW w:w="501" w:type="pct"/>
                  <w:vAlign w:val="center"/>
                </w:tcPr>
                <w:p>
                  <w:pPr>
                    <w:pStyle w:val="34"/>
                    <w:spacing w:before="60" w:line="360" w:lineRule="exact"/>
                    <w:rPr>
                      <w:color w:val="auto"/>
                      <w:szCs w:val="21"/>
                    </w:rPr>
                  </w:pPr>
                  <w:r>
                    <w:rPr>
                      <w:color w:val="auto"/>
                      <w:szCs w:val="21"/>
                    </w:rPr>
                    <w:t>行业来源</w:t>
                  </w:r>
                </w:p>
              </w:tc>
              <w:tc>
                <w:tcPr>
                  <w:tcW w:w="611" w:type="pct"/>
                  <w:vAlign w:val="center"/>
                </w:tcPr>
                <w:p>
                  <w:pPr>
                    <w:pStyle w:val="34"/>
                    <w:spacing w:before="60" w:line="360" w:lineRule="exact"/>
                    <w:rPr>
                      <w:color w:val="auto"/>
                      <w:szCs w:val="21"/>
                    </w:rPr>
                  </w:pPr>
                  <w:r>
                    <w:rPr>
                      <w:color w:val="auto"/>
                      <w:szCs w:val="21"/>
                    </w:rPr>
                    <w:t>废物代码</w:t>
                  </w:r>
                </w:p>
              </w:tc>
              <w:tc>
                <w:tcPr>
                  <w:tcW w:w="1749" w:type="pct"/>
                  <w:vAlign w:val="center"/>
                </w:tcPr>
                <w:p>
                  <w:pPr>
                    <w:pStyle w:val="34"/>
                    <w:spacing w:before="60" w:line="360" w:lineRule="exact"/>
                    <w:rPr>
                      <w:color w:val="auto"/>
                      <w:szCs w:val="21"/>
                    </w:rPr>
                  </w:pPr>
                  <w:r>
                    <w:rPr>
                      <w:color w:val="auto"/>
                      <w:szCs w:val="21"/>
                    </w:rPr>
                    <w:t>危险废物</w:t>
                  </w:r>
                </w:p>
              </w:tc>
              <w:tc>
                <w:tcPr>
                  <w:tcW w:w="600" w:type="pct"/>
                  <w:vAlign w:val="center"/>
                </w:tcPr>
                <w:p>
                  <w:pPr>
                    <w:pStyle w:val="34"/>
                    <w:spacing w:before="60" w:line="360" w:lineRule="exact"/>
                    <w:rPr>
                      <w:color w:val="auto"/>
                      <w:szCs w:val="21"/>
                    </w:rPr>
                  </w:pPr>
                  <w:r>
                    <w:rPr>
                      <w:color w:val="auto"/>
                      <w:szCs w:val="21"/>
                    </w:rPr>
                    <w:t>危险特征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4"/>
                    <w:spacing w:before="60" w:line="360" w:lineRule="exact"/>
                    <w:rPr>
                      <w:color w:val="auto"/>
                      <w:szCs w:val="21"/>
                    </w:rPr>
                  </w:pPr>
                  <w:r>
                    <w:rPr>
                      <w:color w:val="auto"/>
                      <w:szCs w:val="21"/>
                    </w:rPr>
                    <w:t>废机油</w:t>
                  </w:r>
                </w:p>
              </w:tc>
              <w:tc>
                <w:tcPr>
                  <w:tcW w:w="756" w:type="pct"/>
                  <w:vAlign w:val="center"/>
                </w:tcPr>
                <w:p>
                  <w:pPr>
                    <w:pStyle w:val="34"/>
                    <w:spacing w:before="60" w:line="360" w:lineRule="exact"/>
                    <w:rPr>
                      <w:color w:val="auto"/>
                      <w:szCs w:val="21"/>
                    </w:rPr>
                  </w:pPr>
                  <w:r>
                    <w:rPr>
                      <w:color w:val="auto"/>
                      <w:szCs w:val="21"/>
                    </w:rPr>
                    <w:t>HW08废矿物油与含矿物油废物</w:t>
                  </w:r>
                </w:p>
              </w:tc>
              <w:tc>
                <w:tcPr>
                  <w:tcW w:w="501" w:type="pct"/>
                  <w:vAlign w:val="center"/>
                </w:tcPr>
                <w:p>
                  <w:pPr>
                    <w:pStyle w:val="34"/>
                    <w:spacing w:before="60" w:line="360" w:lineRule="exact"/>
                    <w:rPr>
                      <w:color w:val="auto"/>
                      <w:szCs w:val="21"/>
                    </w:rPr>
                  </w:pPr>
                  <w:r>
                    <w:rPr>
                      <w:color w:val="auto"/>
                      <w:szCs w:val="21"/>
                    </w:rPr>
                    <w:t>非特定行业</w:t>
                  </w:r>
                </w:p>
              </w:tc>
              <w:tc>
                <w:tcPr>
                  <w:tcW w:w="611" w:type="pct"/>
                  <w:vAlign w:val="center"/>
                </w:tcPr>
                <w:p>
                  <w:pPr>
                    <w:pStyle w:val="34"/>
                    <w:spacing w:before="60" w:line="360" w:lineRule="exact"/>
                    <w:rPr>
                      <w:color w:val="auto"/>
                      <w:szCs w:val="21"/>
                    </w:rPr>
                  </w:pPr>
                  <w:r>
                    <w:rPr>
                      <w:color w:val="auto"/>
                      <w:szCs w:val="21"/>
                    </w:rPr>
                    <w:t>900-214-08</w:t>
                  </w:r>
                </w:p>
              </w:tc>
              <w:tc>
                <w:tcPr>
                  <w:tcW w:w="1749" w:type="pct"/>
                  <w:vAlign w:val="center"/>
                </w:tcPr>
                <w:p>
                  <w:pPr>
                    <w:pStyle w:val="34"/>
                    <w:spacing w:before="60" w:line="360" w:lineRule="exact"/>
                    <w:rPr>
                      <w:color w:val="auto"/>
                      <w:szCs w:val="21"/>
                    </w:rPr>
                  </w:pPr>
                  <w:r>
                    <w:rPr>
                      <w:color w:val="auto"/>
                      <w:szCs w:val="21"/>
                    </w:rPr>
                    <w:t>车辆、轮船及其它机械维修过程中产生的废发动机油、制动器油、自动变速器油、齿轮油等废润滑油</w:t>
                  </w:r>
                </w:p>
              </w:tc>
              <w:tc>
                <w:tcPr>
                  <w:tcW w:w="600" w:type="pct"/>
                  <w:vAlign w:val="center"/>
                </w:tcPr>
                <w:p>
                  <w:pPr>
                    <w:pStyle w:val="34"/>
                    <w:spacing w:before="60" w:line="360" w:lineRule="exact"/>
                    <w:rPr>
                      <w:color w:val="auto"/>
                      <w:szCs w:val="21"/>
                    </w:rPr>
                  </w:pPr>
                  <w:r>
                    <w:rPr>
                      <w:color w:val="auto"/>
                      <w:szCs w:val="21"/>
                    </w:rPr>
                    <w:t>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pct"/>
                  <w:vAlign w:val="center"/>
                </w:tcPr>
                <w:p>
                  <w:pPr>
                    <w:pStyle w:val="34"/>
                    <w:spacing w:before="60" w:line="360" w:lineRule="exact"/>
                    <w:rPr>
                      <w:color w:val="auto"/>
                      <w:szCs w:val="21"/>
                    </w:rPr>
                  </w:pPr>
                  <w:r>
                    <w:rPr>
                      <w:color w:val="auto"/>
                      <w:szCs w:val="21"/>
                    </w:rPr>
                    <w:t>沾油的抹布</w:t>
                  </w:r>
                </w:p>
              </w:tc>
              <w:tc>
                <w:tcPr>
                  <w:tcW w:w="756" w:type="pct"/>
                  <w:vAlign w:val="center"/>
                </w:tcPr>
                <w:p>
                  <w:pPr>
                    <w:pStyle w:val="34"/>
                    <w:spacing w:before="60" w:line="360" w:lineRule="exact"/>
                    <w:rPr>
                      <w:color w:val="auto"/>
                      <w:szCs w:val="21"/>
                    </w:rPr>
                  </w:pPr>
                  <w:r>
                    <w:rPr>
                      <w:color w:val="auto"/>
                      <w:szCs w:val="21"/>
                    </w:rPr>
                    <w:t>HW49其他废物</w:t>
                  </w:r>
                </w:p>
              </w:tc>
              <w:tc>
                <w:tcPr>
                  <w:tcW w:w="501" w:type="pct"/>
                  <w:vAlign w:val="center"/>
                </w:tcPr>
                <w:p>
                  <w:pPr>
                    <w:pStyle w:val="34"/>
                    <w:spacing w:before="60" w:line="360" w:lineRule="exact"/>
                    <w:rPr>
                      <w:color w:val="auto"/>
                      <w:szCs w:val="21"/>
                    </w:rPr>
                  </w:pPr>
                  <w:r>
                    <w:rPr>
                      <w:color w:val="auto"/>
                      <w:szCs w:val="21"/>
                    </w:rPr>
                    <w:t>非特定行业</w:t>
                  </w:r>
                </w:p>
              </w:tc>
              <w:tc>
                <w:tcPr>
                  <w:tcW w:w="611" w:type="pct"/>
                  <w:vAlign w:val="center"/>
                </w:tcPr>
                <w:p>
                  <w:pPr>
                    <w:pStyle w:val="34"/>
                    <w:spacing w:before="60" w:line="360" w:lineRule="exact"/>
                    <w:rPr>
                      <w:color w:val="auto"/>
                      <w:szCs w:val="21"/>
                    </w:rPr>
                  </w:pPr>
                  <w:r>
                    <w:rPr>
                      <w:color w:val="auto"/>
                      <w:szCs w:val="21"/>
                    </w:rPr>
                    <w:t>900-041-49</w:t>
                  </w:r>
                </w:p>
              </w:tc>
              <w:tc>
                <w:tcPr>
                  <w:tcW w:w="1749" w:type="pct"/>
                  <w:vAlign w:val="center"/>
                </w:tcPr>
                <w:p>
                  <w:pPr>
                    <w:pStyle w:val="34"/>
                    <w:spacing w:before="60" w:line="360" w:lineRule="exact"/>
                    <w:rPr>
                      <w:color w:val="auto"/>
                      <w:szCs w:val="21"/>
                    </w:rPr>
                  </w:pPr>
                  <w:r>
                    <w:rPr>
                      <w:color w:val="auto"/>
                      <w:szCs w:val="21"/>
                    </w:rPr>
                    <w:t>含有或沾染毒性、感染性危险废物的废弃包装物、容器、过滤吸附介质</w:t>
                  </w:r>
                </w:p>
              </w:tc>
              <w:tc>
                <w:tcPr>
                  <w:tcW w:w="600" w:type="pct"/>
                  <w:vAlign w:val="center"/>
                </w:tcPr>
                <w:p>
                  <w:pPr>
                    <w:pStyle w:val="34"/>
                    <w:spacing w:before="60" w:line="360" w:lineRule="exact"/>
                    <w:rPr>
                      <w:color w:val="auto"/>
                      <w:szCs w:val="21"/>
                    </w:rPr>
                  </w:pPr>
                  <w:r>
                    <w:rPr>
                      <w:color w:val="auto"/>
                      <w:szCs w:val="21"/>
                    </w:rPr>
                    <w:t>T/In</w:t>
                  </w:r>
                </w:p>
              </w:tc>
            </w:tr>
          </w:tbl>
          <w:p>
            <w:pPr>
              <w:pStyle w:val="62"/>
              <w:spacing w:line="360" w:lineRule="auto"/>
              <w:ind w:firstLine="480"/>
              <w:rPr>
                <w:rFonts w:hAnsi="Times New Roman"/>
                <w:sz w:val="24"/>
                <w:szCs w:val="24"/>
              </w:rPr>
            </w:pPr>
            <w:r>
              <w:rPr>
                <w:rFonts w:hint="eastAsia" w:hAnsi="Times New Roman"/>
                <w:sz w:val="24"/>
                <w:szCs w:val="24"/>
              </w:rPr>
              <w:t>根据设计，项目区每年废机油产生量约为0.08t，废弃沾油抹布产生量为0.01t。根据《国家危险废物名录》（2021版）“危险废物豁免管理清单”的要求，本项目豁免危险废物清单如下：</w:t>
            </w:r>
          </w:p>
          <w:p>
            <w:pPr>
              <w:jc w:val="center"/>
              <w:rPr>
                <w:rFonts w:ascii="Times New Roman" w:hAnsi="Times New Roman" w:cs="Times New Roman"/>
                <w:b/>
              </w:rPr>
            </w:pPr>
            <w:r>
              <w:rPr>
                <w:rFonts w:ascii="Times New Roman" w:hAnsi="Times New Roman" w:cs="Times New Roman"/>
                <w:b/>
              </w:rPr>
              <w:t>表4.2.4-2  项目豁免危险废物清单一览表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481"/>
              <w:gridCol w:w="1252"/>
              <w:gridCol w:w="1656"/>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34"/>
                    <w:spacing w:before="60" w:line="360" w:lineRule="exact"/>
                    <w:rPr>
                      <w:color w:val="auto"/>
                      <w:szCs w:val="21"/>
                    </w:rPr>
                  </w:pPr>
                  <w:r>
                    <w:rPr>
                      <w:color w:val="auto"/>
                      <w:szCs w:val="21"/>
                    </w:rPr>
                    <w:t>废物类别</w:t>
                  </w:r>
                </w:p>
              </w:tc>
              <w:tc>
                <w:tcPr>
                  <w:tcW w:w="860" w:type="pct"/>
                  <w:vAlign w:val="center"/>
                </w:tcPr>
                <w:p>
                  <w:pPr>
                    <w:pStyle w:val="34"/>
                    <w:spacing w:before="60" w:line="360" w:lineRule="exact"/>
                    <w:rPr>
                      <w:color w:val="auto"/>
                      <w:szCs w:val="21"/>
                    </w:rPr>
                  </w:pPr>
                  <w:r>
                    <w:rPr>
                      <w:color w:val="auto"/>
                      <w:szCs w:val="21"/>
                    </w:rPr>
                    <w:t>危险废物</w:t>
                  </w:r>
                </w:p>
              </w:tc>
              <w:tc>
                <w:tcPr>
                  <w:tcW w:w="727" w:type="pct"/>
                  <w:vAlign w:val="center"/>
                </w:tcPr>
                <w:p>
                  <w:pPr>
                    <w:pStyle w:val="34"/>
                    <w:spacing w:before="60" w:line="360" w:lineRule="exact"/>
                    <w:rPr>
                      <w:color w:val="auto"/>
                      <w:szCs w:val="21"/>
                    </w:rPr>
                  </w:pPr>
                  <w:r>
                    <w:rPr>
                      <w:color w:val="auto"/>
                      <w:szCs w:val="21"/>
                    </w:rPr>
                    <w:t>豁免环节</w:t>
                  </w:r>
                </w:p>
              </w:tc>
              <w:tc>
                <w:tcPr>
                  <w:tcW w:w="962" w:type="pct"/>
                  <w:vAlign w:val="center"/>
                </w:tcPr>
                <w:p>
                  <w:pPr>
                    <w:pStyle w:val="34"/>
                    <w:spacing w:before="60" w:line="360" w:lineRule="exact"/>
                    <w:rPr>
                      <w:color w:val="auto"/>
                      <w:szCs w:val="21"/>
                    </w:rPr>
                  </w:pPr>
                  <w:r>
                    <w:rPr>
                      <w:color w:val="auto"/>
                      <w:szCs w:val="21"/>
                    </w:rPr>
                    <w:t>豁免条件</w:t>
                  </w:r>
                </w:p>
              </w:tc>
              <w:tc>
                <w:tcPr>
                  <w:tcW w:w="1562" w:type="pct"/>
                  <w:vAlign w:val="center"/>
                </w:tcPr>
                <w:p>
                  <w:pPr>
                    <w:pStyle w:val="34"/>
                    <w:spacing w:before="60" w:line="360" w:lineRule="exact"/>
                    <w:rPr>
                      <w:color w:val="auto"/>
                      <w:szCs w:val="21"/>
                    </w:rPr>
                  </w:pPr>
                  <w:r>
                    <w:rPr>
                      <w:color w:val="auto"/>
                      <w:szCs w:val="21"/>
                    </w:rPr>
                    <w:t>豁免内容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 w:type="pct"/>
                  <w:vAlign w:val="center"/>
                </w:tcPr>
                <w:p>
                  <w:pPr>
                    <w:pStyle w:val="34"/>
                    <w:spacing w:before="60" w:line="360" w:lineRule="exact"/>
                    <w:rPr>
                      <w:color w:val="auto"/>
                      <w:szCs w:val="21"/>
                    </w:rPr>
                  </w:pPr>
                  <w:r>
                    <w:rPr>
                      <w:color w:val="auto"/>
                      <w:szCs w:val="21"/>
                    </w:rPr>
                    <w:t>900-041-49</w:t>
                  </w:r>
                </w:p>
              </w:tc>
              <w:tc>
                <w:tcPr>
                  <w:tcW w:w="860" w:type="pct"/>
                  <w:vAlign w:val="center"/>
                </w:tcPr>
                <w:p>
                  <w:pPr>
                    <w:autoSpaceDE w:val="0"/>
                    <w:autoSpaceDN w:val="0"/>
                    <w:adjustRightInd w:val="0"/>
                    <w:spacing w:line="360" w:lineRule="exact"/>
                    <w:jc w:val="left"/>
                    <w:rPr>
                      <w:rFonts w:ascii="Times New Roman" w:hAnsi="Times New Roman" w:cs="Times New Roman"/>
                      <w:bCs/>
                      <w:snapToGrid w:val="0"/>
                      <w:kern w:val="32"/>
                      <w:lang w:val="zh-CN"/>
                    </w:rPr>
                  </w:pPr>
                  <w:r>
                    <w:rPr>
                      <w:rFonts w:ascii="Times New Roman" w:hAnsi="Times New Roman" w:cs="Times New Roman"/>
                      <w:bCs/>
                      <w:snapToGrid w:val="0"/>
                      <w:kern w:val="32"/>
                      <w:lang w:val="zh-CN"/>
                    </w:rPr>
                    <w:t>废弃的含油抹布、劳保用品</w:t>
                  </w:r>
                </w:p>
              </w:tc>
              <w:tc>
                <w:tcPr>
                  <w:tcW w:w="727" w:type="pct"/>
                  <w:vAlign w:val="center"/>
                </w:tcPr>
                <w:p>
                  <w:pPr>
                    <w:pStyle w:val="34"/>
                    <w:spacing w:before="60" w:line="360" w:lineRule="exact"/>
                    <w:rPr>
                      <w:color w:val="auto"/>
                      <w:szCs w:val="21"/>
                    </w:rPr>
                  </w:pPr>
                  <w:r>
                    <w:rPr>
                      <w:color w:val="auto"/>
                      <w:szCs w:val="21"/>
                    </w:rPr>
                    <w:t>全部环节</w:t>
                  </w:r>
                </w:p>
              </w:tc>
              <w:tc>
                <w:tcPr>
                  <w:tcW w:w="962" w:type="pct"/>
                  <w:vAlign w:val="center"/>
                </w:tcPr>
                <w:p>
                  <w:pPr>
                    <w:pStyle w:val="34"/>
                    <w:spacing w:before="60" w:line="360" w:lineRule="exact"/>
                    <w:rPr>
                      <w:color w:val="auto"/>
                      <w:szCs w:val="21"/>
                    </w:rPr>
                  </w:pPr>
                  <w:r>
                    <w:rPr>
                      <w:color w:val="auto"/>
                      <w:szCs w:val="21"/>
                    </w:rPr>
                    <w:t>未分类收集</w:t>
                  </w:r>
                </w:p>
              </w:tc>
              <w:tc>
                <w:tcPr>
                  <w:tcW w:w="1562" w:type="pct"/>
                  <w:vAlign w:val="center"/>
                </w:tcPr>
                <w:p>
                  <w:pPr>
                    <w:pStyle w:val="34"/>
                    <w:spacing w:before="60" w:line="360" w:lineRule="exact"/>
                    <w:rPr>
                      <w:color w:val="auto"/>
                      <w:szCs w:val="21"/>
                    </w:rPr>
                  </w:pPr>
                  <w:r>
                    <w:rPr>
                      <w:color w:val="auto"/>
                      <w:szCs w:val="21"/>
                    </w:rPr>
                    <w:t>全过程不按危险废物管理</w:t>
                  </w:r>
                </w:p>
              </w:tc>
            </w:tr>
          </w:tbl>
          <w:p>
            <w:pPr>
              <w:pStyle w:val="62"/>
              <w:spacing w:line="360" w:lineRule="auto"/>
              <w:ind w:firstLine="480"/>
              <w:rPr>
                <w:rFonts w:hAnsi="Times New Roman"/>
                <w:sz w:val="24"/>
                <w:szCs w:val="24"/>
              </w:rPr>
            </w:pPr>
            <w:r>
              <w:rPr>
                <w:rFonts w:hint="eastAsia" w:hAnsi="Times New Roman"/>
                <w:sz w:val="24"/>
                <w:szCs w:val="24"/>
              </w:rPr>
              <w:t>由上表可知，项目产生的废弃沾油抹布全部环节已被豁免，按一般固体废物管理要求管理；项目拟单独设置1个10m</w:t>
            </w:r>
            <w:r>
              <w:rPr>
                <w:rFonts w:hint="eastAsia" w:hAnsi="Times New Roman"/>
                <w:sz w:val="24"/>
                <w:szCs w:val="24"/>
                <w:vertAlign w:val="superscript"/>
              </w:rPr>
              <w:t>2</w:t>
            </w:r>
            <w:r>
              <w:rPr>
                <w:rFonts w:hint="eastAsia" w:hAnsi="Times New Roman"/>
                <w:sz w:val="24"/>
                <w:szCs w:val="24"/>
              </w:rPr>
              <w:t>的危险废物暂存间，对废机油进行分类暂存后，委托有资质的单位进行清运处置。</w:t>
            </w:r>
          </w:p>
          <w:p>
            <w:pPr>
              <w:tabs>
                <w:tab w:val="left" w:pos="5952"/>
              </w:tabs>
              <w:spacing w:line="360" w:lineRule="auto"/>
              <w:ind w:firstLine="361" w:firstLineChars="150"/>
              <w:rPr>
                <w:rFonts w:ascii="Times New Roman" w:hAnsi="Times New Roman" w:eastAsia="宋体" w:cs="Times New Roman"/>
                <w:b/>
                <w:sz w:val="24"/>
                <w:szCs w:val="24"/>
              </w:rPr>
            </w:pPr>
            <w:r>
              <w:rPr>
                <w:rFonts w:hint="eastAsia" w:ascii="Times New Roman" w:hAnsi="Times New Roman" w:eastAsia="宋体" w:cs="Times New Roman"/>
                <w:b/>
                <w:sz w:val="24"/>
                <w:szCs w:val="24"/>
              </w:rPr>
              <w:t>（3）</w:t>
            </w:r>
            <w:r>
              <w:rPr>
                <w:rFonts w:ascii="Times New Roman" w:hAnsi="Times New Roman" w:eastAsia="宋体" w:cs="Times New Roman"/>
                <w:b/>
                <w:sz w:val="24"/>
                <w:szCs w:val="24"/>
              </w:rPr>
              <w:t>固体废物环境影响和保护措施分析</w:t>
            </w:r>
          </w:p>
          <w:p>
            <w:pPr>
              <w:autoSpaceDE w:val="0"/>
              <w:autoSpaceDN w:val="0"/>
              <w:adjustRightInd w:val="0"/>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项目运营期固体废物产生情况见下表。</w:t>
            </w:r>
          </w:p>
          <w:p>
            <w:pPr>
              <w:pStyle w:val="36"/>
              <w:spacing w:beforeLines="0"/>
              <w:rPr>
                <w:rFonts w:hAnsi="Times New Roman" w:eastAsia="宋体"/>
                <w:sz w:val="21"/>
                <w:szCs w:val="21"/>
              </w:rPr>
            </w:pPr>
            <w:r>
              <w:rPr>
                <w:rFonts w:hint="eastAsia" w:hAnsi="Times New Roman" w:eastAsia="宋体"/>
                <w:sz w:val="21"/>
                <w:szCs w:val="21"/>
              </w:rPr>
              <w:t>表4.2.4-3</w:t>
            </w:r>
            <w:r>
              <w:rPr>
                <w:rFonts w:hAnsi="Times New Roman" w:eastAsia="宋体"/>
                <w:sz w:val="21"/>
                <w:szCs w:val="21"/>
              </w:rPr>
              <w:t xml:space="preserve">  固体废物环境影响和保护措施分析一览表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656"/>
              <w:gridCol w:w="539"/>
              <w:gridCol w:w="1233"/>
              <w:gridCol w:w="587"/>
              <w:gridCol w:w="871"/>
              <w:gridCol w:w="771"/>
              <w:gridCol w:w="1513"/>
              <w:gridCol w:w="112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pPr>
                    <w:pStyle w:val="34"/>
                    <w:spacing w:line="360" w:lineRule="exact"/>
                    <w:rPr>
                      <w:color w:val="auto"/>
                      <w:szCs w:val="21"/>
                    </w:rPr>
                  </w:pPr>
                  <w:r>
                    <w:rPr>
                      <w:color w:val="auto"/>
                      <w:szCs w:val="21"/>
                    </w:rPr>
                    <w:t>产生环节</w:t>
                  </w:r>
                </w:p>
              </w:tc>
              <w:tc>
                <w:tcPr>
                  <w:tcW w:w="381" w:type="pct"/>
                  <w:vAlign w:val="center"/>
                </w:tcPr>
                <w:p>
                  <w:pPr>
                    <w:pStyle w:val="34"/>
                    <w:spacing w:line="360" w:lineRule="exact"/>
                    <w:rPr>
                      <w:color w:val="auto"/>
                      <w:szCs w:val="21"/>
                    </w:rPr>
                  </w:pPr>
                  <w:r>
                    <w:rPr>
                      <w:color w:val="auto"/>
                      <w:szCs w:val="21"/>
                    </w:rPr>
                    <w:t>名称</w:t>
                  </w:r>
                </w:p>
              </w:tc>
              <w:tc>
                <w:tcPr>
                  <w:tcW w:w="313" w:type="pct"/>
                  <w:vAlign w:val="center"/>
                </w:tcPr>
                <w:p>
                  <w:pPr>
                    <w:pStyle w:val="34"/>
                    <w:spacing w:line="360" w:lineRule="exact"/>
                    <w:rPr>
                      <w:color w:val="auto"/>
                      <w:szCs w:val="21"/>
                    </w:rPr>
                  </w:pPr>
                  <w:r>
                    <w:rPr>
                      <w:color w:val="auto"/>
                      <w:szCs w:val="21"/>
                    </w:rPr>
                    <w:t>属性</w:t>
                  </w:r>
                </w:p>
              </w:tc>
              <w:tc>
                <w:tcPr>
                  <w:tcW w:w="716" w:type="pct"/>
                  <w:vAlign w:val="center"/>
                </w:tcPr>
                <w:p>
                  <w:pPr>
                    <w:pStyle w:val="34"/>
                    <w:spacing w:line="360" w:lineRule="exact"/>
                    <w:rPr>
                      <w:color w:val="auto"/>
                      <w:szCs w:val="21"/>
                    </w:rPr>
                  </w:pPr>
                  <w:r>
                    <w:rPr>
                      <w:color w:val="auto"/>
                      <w:szCs w:val="21"/>
                    </w:rPr>
                    <w:t>固废编码</w:t>
                  </w:r>
                </w:p>
              </w:tc>
              <w:tc>
                <w:tcPr>
                  <w:tcW w:w="341" w:type="pct"/>
                  <w:vAlign w:val="center"/>
                </w:tcPr>
                <w:p>
                  <w:pPr>
                    <w:pStyle w:val="34"/>
                    <w:spacing w:line="360" w:lineRule="exact"/>
                    <w:rPr>
                      <w:color w:val="auto"/>
                      <w:szCs w:val="21"/>
                    </w:rPr>
                  </w:pPr>
                  <w:r>
                    <w:rPr>
                      <w:color w:val="auto"/>
                      <w:szCs w:val="21"/>
                    </w:rPr>
                    <w:t>物理性状</w:t>
                  </w:r>
                </w:p>
              </w:tc>
              <w:tc>
                <w:tcPr>
                  <w:tcW w:w="506" w:type="pct"/>
                  <w:vAlign w:val="center"/>
                </w:tcPr>
                <w:p>
                  <w:pPr>
                    <w:pStyle w:val="34"/>
                    <w:spacing w:line="360" w:lineRule="exact"/>
                    <w:rPr>
                      <w:color w:val="auto"/>
                      <w:szCs w:val="21"/>
                    </w:rPr>
                  </w:pPr>
                  <w:r>
                    <w:rPr>
                      <w:color w:val="auto"/>
                      <w:szCs w:val="21"/>
                    </w:rPr>
                    <w:t>产生量（t/a）</w:t>
                  </w:r>
                </w:p>
              </w:tc>
              <w:tc>
                <w:tcPr>
                  <w:tcW w:w="448" w:type="pct"/>
                  <w:vAlign w:val="center"/>
                </w:tcPr>
                <w:p>
                  <w:pPr>
                    <w:pStyle w:val="34"/>
                    <w:spacing w:line="360" w:lineRule="exact"/>
                    <w:rPr>
                      <w:color w:val="auto"/>
                      <w:szCs w:val="21"/>
                    </w:rPr>
                  </w:pPr>
                  <w:r>
                    <w:rPr>
                      <w:color w:val="auto"/>
                      <w:szCs w:val="21"/>
                    </w:rPr>
                    <w:t>贮存方式</w:t>
                  </w:r>
                </w:p>
              </w:tc>
              <w:tc>
                <w:tcPr>
                  <w:tcW w:w="879" w:type="pct"/>
                  <w:vAlign w:val="center"/>
                </w:tcPr>
                <w:p>
                  <w:pPr>
                    <w:pStyle w:val="34"/>
                    <w:spacing w:line="360" w:lineRule="exact"/>
                    <w:rPr>
                      <w:color w:val="auto"/>
                      <w:szCs w:val="21"/>
                    </w:rPr>
                  </w:pPr>
                  <w:r>
                    <w:rPr>
                      <w:color w:val="auto"/>
                      <w:szCs w:val="21"/>
                    </w:rPr>
                    <w:t>暂存方式</w:t>
                  </w:r>
                </w:p>
              </w:tc>
              <w:tc>
                <w:tcPr>
                  <w:tcW w:w="654" w:type="pct"/>
                  <w:vAlign w:val="center"/>
                </w:tcPr>
                <w:p>
                  <w:pPr>
                    <w:pStyle w:val="34"/>
                    <w:spacing w:line="360" w:lineRule="exact"/>
                    <w:rPr>
                      <w:color w:val="auto"/>
                      <w:szCs w:val="21"/>
                    </w:rPr>
                  </w:pPr>
                  <w:r>
                    <w:rPr>
                      <w:color w:val="auto"/>
                      <w:szCs w:val="21"/>
                    </w:rPr>
                    <w:t>利用处置方式和去向</w:t>
                  </w:r>
                </w:p>
              </w:tc>
              <w:tc>
                <w:tcPr>
                  <w:tcW w:w="507" w:type="pct"/>
                  <w:vAlign w:val="center"/>
                </w:tcPr>
                <w:p>
                  <w:pPr>
                    <w:pStyle w:val="34"/>
                    <w:spacing w:line="360" w:lineRule="exact"/>
                    <w:rPr>
                      <w:color w:val="auto"/>
                      <w:szCs w:val="21"/>
                    </w:rPr>
                  </w:pPr>
                  <w:r>
                    <w:rPr>
                      <w:color w:val="auto"/>
                      <w:szCs w:val="21"/>
                    </w:rPr>
                    <w:t>利用或处置量（t/a）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Align w:val="center"/>
                </w:tcPr>
                <w:p>
                  <w:pPr>
                    <w:pStyle w:val="34"/>
                    <w:spacing w:line="360" w:lineRule="exact"/>
                    <w:rPr>
                      <w:color w:val="auto"/>
                      <w:szCs w:val="21"/>
                    </w:rPr>
                  </w:pPr>
                  <w:r>
                    <w:rPr>
                      <w:color w:val="auto"/>
                      <w:szCs w:val="21"/>
                    </w:rPr>
                    <w:t>运营过程中</w:t>
                  </w:r>
                </w:p>
              </w:tc>
              <w:tc>
                <w:tcPr>
                  <w:tcW w:w="381" w:type="pct"/>
                  <w:vAlign w:val="center"/>
                </w:tcPr>
                <w:p>
                  <w:pPr>
                    <w:pStyle w:val="34"/>
                    <w:spacing w:line="360" w:lineRule="exact"/>
                    <w:rPr>
                      <w:color w:val="auto"/>
                      <w:szCs w:val="21"/>
                    </w:rPr>
                  </w:pPr>
                  <w:r>
                    <w:rPr>
                      <w:rFonts w:hint="eastAsia"/>
                      <w:color w:val="auto"/>
                      <w:szCs w:val="21"/>
                    </w:rPr>
                    <w:t>光伏电站损坏的组件及电路板</w:t>
                  </w:r>
                </w:p>
              </w:tc>
              <w:tc>
                <w:tcPr>
                  <w:tcW w:w="313" w:type="pct"/>
                  <w:vAlign w:val="center"/>
                </w:tcPr>
                <w:p>
                  <w:pPr>
                    <w:pStyle w:val="34"/>
                    <w:spacing w:line="360" w:lineRule="exact"/>
                    <w:rPr>
                      <w:color w:val="auto"/>
                      <w:szCs w:val="21"/>
                    </w:rPr>
                  </w:pPr>
                  <w:r>
                    <w:rPr>
                      <w:color w:val="auto"/>
                      <w:szCs w:val="21"/>
                    </w:rPr>
                    <w:t>一般固体废物</w:t>
                  </w:r>
                </w:p>
              </w:tc>
              <w:tc>
                <w:tcPr>
                  <w:tcW w:w="716" w:type="pct"/>
                  <w:vAlign w:val="center"/>
                </w:tcPr>
                <w:p>
                  <w:pPr>
                    <w:pStyle w:val="34"/>
                    <w:spacing w:line="360" w:lineRule="exact"/>
                    <w:rPr>
                      <w:color w:val="auto"/>
                      <w:szCs w:val="21"/>
                    </w:rPr>
                  </w:pPr>
                  <w:r>
                    <w:rPr>
                      <w:color w:val="auto"/>
                      <w:szCs w:val="21"/>
                    </w:rPr>
                    <w:t>/</w:t>
                  </w:r>
                </w:p>
              </w:tc>
              <w:tc>
                <w:tcPr>
                  <w:tcW w:w="341" w:type="pct"/>
                  <w:vAlign w:val="center"/>
                </w:tcPr>
                <w:p>
                  <w:pPr>
                    <w:pStyle w:val="34"/>
                    <w:spacing w:line="360" w:lineRule="exact"/>
                    <w:rPr>
                      <w:color w:val="auto"/>
                      <w:szCs w:val="21"/>
                    </w:rPr>
                  </w:pPr>
                  <w:r>
                    <w:rPr>
                      <w:color w:val="auto"/>
                      <w:szCs w:val="21"/>
                    </w:rPr>
                    <w:t>固态</w:t>
                  </w:r>
                </w:p>
              </w:tc>
              <w:tc>
                <w:tcPr>
                  <w:tcW w:w="506" w:type="pct"/>
                  <w:vAlign w:val="center"/>
                </w:tcPr>
                <w:p>
                  <w:pPr>
                    <w:pStyle w:val="34"/>
                    <w:spacing w:line="360" w:lineRule="exact"/>
                    <w:rPr>
                      <w:color w:val="auto"/>
                      <w:szCs w:val="21"/>
                    </w:rPr>
                  </w:pPr>
                  <w:r>
                    <w:rPr>
                      <w:rFonts w:hint="eastAsia"/>
                      <w:color w:val="auto"/>
                      <w:szCs w:val="21"/>
                    </w:rPr>
                    <w:t>0.2</w:t>
                  </w:r>
                </w:p>
              </w:tc>
              <w:tc>
                <w:tcPr>
                  <w:tcW w:w="448" w:type="pct"/>
                  <w:vAlign w:val="center"/>
                </w:tcPr>
                <w:p>
                  <w:pPr>
                    <w:pStyle w:val="34"/>
                    <w:spacing w:line="360" w:lineRule="exact"/>
                    <w:rPr>
                      <w:color w:val="auto"/>
                      <w:szCs w:val="21"/>
                    </w:rPr>
                  </w:pPr>
                  <w:r>
                    <w:rPr>
                      <w:rFonts w:hint="eastAsia"/>
                      <w:color w:val="auto"/>
                      <w:szCs w:val="21"/>
                    </w:rPr>
                    <w:t>桶装</w:t>
                  </w:r>
                </w:p>
              </w:tc>
              <w:tc>
                <w:tcPr>
                  <w:tcW w:w="879" w:type="pct"/>
                  <w:vAlign w:val="center"/>
                </w:tcPr>
                <w:p>
                  <w:pPr>
                    <w:pStyle w:val="34"/>
                    <w:spacing w:line="360" w:lineRule="exact"/>
                    <w:ind w:firstLine="210" w:firstLineChars="100"/>
                    <w:jc w:val="both"/>
                    <w:rPr>
                      <w:color w:val="auto"/>
                      <w:szCs w:val="21"/>
                    </w:rPr>
                  </w:pPr>
                  <w:r>
                    <w:rPr>
                      <w:color w:val="auto"/>
                      <w:szCs w:val="21"/>
                    </w:rPr>
                    <w:t>项目拟设置1个面积为</w:t>
                  </w:r>
                  <w:r>
                    <w:rPr>
                      <w:rFonts w:hint="eastAsia"/>
                      <w:color w:val="auto"/>
                      <w:szCs w:val="21"/>
                    </w:rPr>
                    <w:t>1</w:t>
                  </w:r>
                  <w:r>
                    <w:rPr>
                      <w:color w:val="auto"/>
                      <w:szCs w:val="21"/>
                    </w:rPr>
                    <w:t>0m</w:t>
                  </w:r>
                  <w:r>
                    <w:rPr>
                      <w:color w:val="auto"/>
                      <w:szCs w:val="21"/>
                      <w:vertAlign w:val="superscript"/>
                    </w:rPr>
                    <w:t>2</w:t>
                  </w:r>
                  <w:r>
                    <w:rPr>
                      <w:color w:val="auto"/>
                      <w:szCs w:val="21"/>
                    </w:rPr>
                    <w:t>的一般危险废物暂存间对其进行分区暂存。</w:t>
                  </w:r>
                </w:p>
              </w:tc>
              <w:tc>
                <w:tcPr>
                  <w:tcW w:w="654" w:type="pct"/>
                  <w:vAlign w:val="center"/>
                </w:tcPr>
                <w:p>
                  <w:pPr>
                    <w:pStyle w:val="34"/>
                    <w:spacing w:line="360" w:lineRule="exact"/>
                    <w:ind w:firstLine="210" w:firstLineChars="100"/>
                    <w:jc w:val="both"/>
                    <w:rPr>
                      <w:color w:val="auto"/>
                      <w:szCs w:val="21"/>
                    </w:rPr>
                  </w:pPr>
                  <w:r>
                    <w:rPr>
                      <w:rFonts w:hint="eastAsia"/>
                      <w:color w:val="auto"/>
                      <w:szCs w:val="21"/>
                    </w:rPr>
                    <w:t>收集后由厂家定期回收。</w:t>
                  </w:r>
                </w:p>
              </w:tc>
              <w:tc>
                <w:tcPr>
                  <w:tcW w:w="507" w:type="pct"/>
                  <w:vAlign w:val="center"/>
                </w:tcPr>
                <w:p>
                  <w:pPr>
                    <w:pStyle w:val="34"/>
                    <w:spacing w:line="360" w:lineRule="exact"/>
                    <w:rPr>
                      <w:color w:val="auto"/>
                      <w:szCs w:val="21"/>
                    </w:rPr>
                  </w:pPr>
                  <w:r>
                    <w:rPr>
                      <w:rFonts w:hint="eastAsia"/>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Merge w:val="restart"/>
                  <w:vAlign w:val="center"/>
                </w:tcPr>
                <w:p>
                  <w:pPr>
                    <w:pStyle w:val="34"/>
                    <w:spacing w:line="360" w:lineRule="exact"/>
                    <w:rPr>
                      <w:color w:val="auto"/>
                      <w:szCs w:val="21"/>
                    </w:rPr>
                  </w:pPr>
                  <w:r>
                    <w:rPr>
                      <w:color w:val="auto"/>
                      <w:szCs w:val="21"/>
                    </w:rPr>
                    <w:t>运营过程中</w:t>
                  </w:r>
                </w:p>
              </w:tc>
              <w:tc>
                <w:tcPr>
                  <w:tcW w:w="381" w:type="pct"/>
                  <w:vAlign w:val="center"/>
                </w:tcPr>
                <w:p>
                  <w:pPr>
                    <w:pStyle w:val="34"/>
                    <w:widowControl w:val="0"/>
                    <w:spacing w:line="360" w:lineRule="exact"/>
                    <w:rPr>
                      <w:color w:val="auto"/>
                      <w:szCs w:val="21"/>
                    </w:rPr>
                  </w:pPr>
                  <w:r>
                    <w:rPr>
                      <w:color w:val="auto"/>
                      <w:szCs w:val="21"/>
                    </w:rPr>
                    <w:t>废机油</w:t>
                  </w:r>
                </w:p>
              </w:tc>
              <w:tc>
                <w:tcPr>
                  <w:tcW w:w="313" w:type="pct"/>
                  <w:vAlign w:val="center"/>
                </w:tcPr>
                <w:p>
                  <w:pPr>
                    <w:pStyle w:val="34"/>
                    <w:spacing w:line="360" w:lineRule="exact"/>
                    <w:rPr>
                      <w:color w:val="auto"/>
                      <w:szCs w:val="21"/>
                    </w:rPr>
                  </w:pPr>
                  <w:r>
                    <w:rPr>
                      <w:color w:val="auto"/>
                      <w:szCs w:val="21"/>
                    </w:rPr>
                    <w:t>危险废物</w:t>
                  </w:r>
                </w:p>
              </w:tc>
              <w:tc>
                <w:tcPr>
                  <w:tcW w:w="716" w:type="pct"/>
                  <w:vAlign w:val="center"/>
                </w:tcPr>
                <w:p>
                  <w:pPr>
                    <w:pStyle w:val="34"/>
                    <w:widowControl w:val="0"/>
                    <w:spacing w:line="360" w:lineRule="exact"/>
                    <w:rPr>
                      <w:color w:val="auto"/>
                      <w:szCs w:val="21"/>
                    </w:rPr>
                  </w:pPr>
                  <w:r>
                    <w:rPr>
                      <w:color w:val="auto"/>
                      <w:szCs w:val="21"/>
                    </w:rPr>
                    <w:t>900-214-08</w:t>
                  </w:r>
                </w:p>
              </w:tc>
              <w:tc>
                <w:tcPr>
                  <w:tcW w:w="341" w:type="pct"/>
                  <w:vAlign w:val="center"/>
                </w:tcPr>
                <w:p>
                  <w:pPr>
                    <w:pStyle w:val="34"/>
                    <w:widowControl w:val="0"/>
                    <w:spacing w:line="360" w:lineRule="exact"/>
                    <w:rPr>
                      <w:color w:val="auto"/>
                      <w:szCs w:val="21"/>
                    </w:rPr>
                  </w:pPr>
                  <w:r>
                    <w:rPr>
                      <w:color w:val="auto"/>
                      <w:szCs w:val="21"/>
                    </w:rPr>
                    <w:t>液态</w:t>
                  </w:r>
                </w:p>
              </w:tc>
              <w:tc>
                <w:tcPr>
                  <w:tcW w:w="506" w:type="pct"/>
                  <w:vAlign w:val="center"/>
                </w:tcPr>
                <w:p>
                  <w:pPr>
                    <w:pStyle w:val="34"/>
                    <w:widowControl w:val="0"/>
                    <w:spacing w:line="360" w:lineRule="exact"/>
                    <w:rPr>
                      <w:color w:val="auto"/>
                      <w:szCs w:val="21"/>
                    </w:rPr>
                  </w:pPr>
                  <w:r>
                    <w:rPr>
                      <w:color w:val="auto"/>
                      <w:szCs w:val="21"/>
                    </w:rPr>
                    <w:t>0.08</w:t>
                  </w:r>
                </w:p>
              </w:tc>
              <w:tc>
                <w:tcPr>
                  <w:tcW w:w="448" w:type="pct"/>
                  <w:vAlign w:val="center"/>
                </w:tcPr>
                <w:p>
                  <w:pPr>
                    <w:pStyle w:val="34"/>
                    <w:spacing w:line="360" w:lineRule="exact"/>
                    <w:rPr>
                      <w:color w:val="auto"/>
                      <w:szCs w:val="21"/>
                    </w:rPr>
                  </w:pPr>
                  <w:r>
                    <w:rPr>
                      <w:color w:val="auto"/>
                      <w:szCs w:val="21"/>
                    </w:rPr>
                    <w:t>桶装</w:t>
                  </w:r>
                </w:p>
              </w:tc>
              <w:tc>
                <w:tcPr>
                  <w:tcW w:w="879" w:type="pct"/>
                  <w:vAlign w:val="center"/>
                </w:tcPr>
                <w:p>
                  <w:pPr>
                    <w:pStyle w:val="34"/>
                    <w:spacing w:line="360" w:lineRule="exact"/>
                    <w:ind w:firstLine="210" w:firstLineChars="100"/>
                    <w:jc w:val="both"/>
                    <w:rPr>
                      <w:color w:val="auto"/>
                      <w:szCs w:val="21"/>
                    </w:rPr>
                  </w:pPr>
                  <w:r>
                    <w:rPr>
                      <w:color w:val="auto"/>
                      <w:szCs w:val="21"/>
                    </w:rPr>
                    <w:t>项目拟设置1个面积为10m</w:t>
                  </w:r>
                  <w:r>
                    <w:rPr>
                      <w:color w:val="auto"/>
                      <w:szCs w:val="21"/>
                      <w:vertAlign w:val="superscript"/>
                    </w:rPr>
                    <w:t>2</w:t>
                  </w:r>
                  <w:r>
                    <w:rPr>
                      <w:color w:val="auto"/>
                      <w:szCs w:val="21"/>
                    </w:rPr>
                    <w:t>的危险废物暂存间对其进行分区暂存。</w:t>
                  </w:r>
                </w:p>
              </w:tc>
              <w:tc>
                <w:tcPr>
                  <w:tcW w:w="654" w:type="pct"/>
                  <w:vAlign w:val="center"/>
                </w:tcPr>
                <w:p>
                  <w:pPr>
                    <w:pStyle w:val="34"/>
                    <w:spacing w:line="360" w:lineRule="exact"/>
                    <w:ind w:firstLine="210" w:firstLineChars="100"/>
                    <w:jc w:val="both"/>
                    <w:rPr>
                      <w:color w:val="auto"/>
                      <w:szCs w:val="21"/>
                    </w:rPr>
                  </w:pPr>
                  <w:r>
                    <w:rPr>
                      <w:color w:val="auto"/>
                      <w:szCs w:val="21"/>
                    </w:rPr>
                    <w:t>委托有资质的单位定期清运处置。</w:t>
                  </w:r>
                </w:p>
              </w:tc>
              <w:tc>
                <w:tcPr>
                  <w:tcW w:w="507" w:type="pct"/>
                  <w:vAlign w:val="center"/>
                </w:tcPr>
                <w:p>
                  <w:pPr>
                    <w:pStyle w:val="34"/>
                    <w:widowControl w:val="0"/>
                    <w:spacing w:line="360" w:lineRule="exact"/>
                    <w:rPr>
                      <w:color w:val="auto"/>
                      <w:szCs w:val="21"/>
                    </w:rPr>
                  </w:pPr>
                  <w:r>
                    <w:rPr>
                      <w:color w:val="auto"/>
                      <w:szCs w:val="21"/>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5" w:type="pct"/>
                  <w:vMerge w:val="continue"/>
                  <w:vAlign w:val="center"/>
                </w:tcPr>
                <w:p>
                  <w:pPr>
                    <w:pStyle w:val="34"/>
                    <w:spacing w:line="360" w:lineRule="exact"/>
                    <w:rPr>
                      <w:color w:val="auto"/>
                      <w:szCs w:val="21"/>
                    </w:rPr>
                  </w:pPr>
                </w:p>
              </w:tc>
              <w:tc>
                <w:tcPr>
                  <w:tcW w:w="381" w:type="pct"/>
                  <w:vAlign w:val="center"/>
                </w:tcPr>
                <w:p>
                  <w:pPr>
                    <w:pStyle w:val="34"/>
                    <w:widowControl w:val="0"/>
                    <w:spacing w:line="360" w:lineRule="exact"/>
                    <w:rPr>
                      <w:color w:val="auto"/>
                      <w:szCs w:val="21"/>
                    </w:rPr>
                  </w:pPr>
                  <w:r>
                    <w:rPr>
                      <w:color w:val="auto"/>
                      <w:szCs w:val="21"/>
                    </w:rPr>
                    <w:t>废沾油抹布</w:t>
                  </w:r>
                </w:p>
              </w:tc>
              <w:tc>
                <w:tcPr>
                  <w:tcW w:w="313" w:type="pct"/>
                  <w:vAlign w:val="center"/>
                </w:tcPr>
                <w:p>
                  <w:pPr>
                    <w:pStyle w:val="34"/>
                    <w:spacing w:line="360" w:lineRule="exact"/>
                    <w:rPr>
                      <w:color w:val="auto"/>
                      <w:szCs w:val="21"/>
                    </w:rPr>
                  </w:pPr>
                  <w:r>
                    <w:rPr>
                      <w:color w:val="auto"/>
                      <w:szCs w:val="21"/>
                    </w:rPr>
                    <w:t>豁免的危险废物</w:t>
                  </w:r>
                </w:p>
              </w:tc>
              <w:tc>
                <w:tcPr>
                  <w:tcW w:w="716" w:type="pct"/>
                  <w:vAlign w:val="center"/>
                </w:tcPr>
                <w:p>
                  <w:pPr>
                    <w:pStyle w:val="34"/>
                    <w:widowControl w:val="0"/>
                    <w:spacing w:line="360" w:lineRule="exact"/>
                    <w:rPr>
                      <w:color w:val="auto"/>
                      <w:szCs w:val="21"/>
                    </w:rPr>
                  </w:pPr>
                  <w:r>
                    <w:rPr>
                      <w:color w:val="auto"/>
                      <w:szCs w:val="21"/>
                    </w:rPr>
                    <w:t>900-041-49</w:t>
                  </w:r>
                </w:p>
              </w:tc>
              <w:tc>
                <w:tcPr>
                  <w:tcW w:w="341" w:type="pct"/>
                  <w:vAlign w:val="center"/>
                </w:tcPr>
                <w:p>
                  <w:pPr>
                    <w:pStyle w:val="34"/>
                    <w:widowControl w:val="0"/>
                    <w:spacing w:line="360" w:lineRule="exact"/>
                    <w:rPr>
                      <w:color w:val="auto"/>
                      <w:szCs w:val="21"/>
                    </w:rPr>
                  </w:pPr>
                  <w:r>
                    <w:rPr>
                      <w:color w:val="auto"/>
                      <w:szCs w:val="21"/>
                    </w:rPr>
                    <w:t>固态</w:t>
                  </w:r>
                </w:p>
              </w:tc>
              <w:tc>
                <w:tcPr>
                  <w:tcW w:w="506" w:type="pct"/>
                  <w:vAlign w:val="center"/>
                </w:tcPr>
                <w:p>
                  <w:pPr>
                    <w:pStyle w:val="34"/>
                    <w:widowControl w:val="0"/>
                    <w:spacing w:line="360" w:lineRule="exact"/>
                    <w:rPr>
                      <w:color w:val="auto"/>
                      <w:szCs w:val="21"/>
                    </w:rPr>
                  </w:pPr>
                  <w:r>
                    <w:rPr>
                      <w:color w:val="auto"/>
                      <w:szCs w:val="21"/>
                    </w:rPr>
                    <w:t>0.01</w:t>
                  </w:r>
                </w:p>
              </w:tc>
              <w:tc>
                <w:tcPr>
                  <w:tcW w:w="448" w:type="pct"/>
                  <w:vAlign w:val="center"/>
                </w:tcPr>
                <w:p>
                  <w:pPr>
                    <w:pStyle w:val="34"/>
                    <w:spacing w:line="360" w:lineRule="exact"/>
                    <w:rPr>
                      <w:color w:val="auto"/>
                      <w:szCs w:val="21"/>
                    </w:rPr>
                  </w:pPr>
                  <w:r>
                    <w:rPr>
                      <w:color w:val="auto"/>
                      <w:szCs w:val="21"/>
                    </w:rPr>
                    <w:t>桶装</w:t>
                  </w:r>
                </w:p>
              </w:tc>
              <w:tc>
                <w:tcPr>
                  <w:tcW w:w="879" w:type="pct"/>
                  <w:vAlign w:val="center"/>
                </w:tcPr>
                <w:p>
                  <w:pPr>
                    <w:pStyle w:val="34"/>
                    <w:spacing w:line="360" w:lineRule="exact"/>
                    <w:ind w:firstLine="210" w:firstLineChars="100"/>
                    <w:jc w:val="both"/>
                    <w:rPr>
                      <w:color w:val="auto"/>
                      <w:szCs w:val="21"/>
                    </w:rPr>
                  </w:pPr>
                  <w:r>
                    <w:rPr>
                      <w:color w:val="auto"/>
                      <w:szCs w:val="21"/>
                    </w:rPr>
                    <w:t>使用垃圾桶集中收集。</w:t>
                  </w:r>
                </w:p>
              </w:tc>
              <w:tc>
                <w:tcPr>
                  <w:tcW w:w="654" w:type="pct"/>
                  <w:vAlign w:val="center"/>
                </w:tcPr>
                <w:p>
                  <w:pPr>
                    <w:pStyle w:val="34"/>
                    <w:spacing w:line="360" w:lineRule="exact"/>
                    <w:ind w:firstLine="210" w:firstLineChars="100"/>
                    <w:jc w:val="both"/>
                    <w:rPr>
                      <w:color w:val="auto"/>
                      <w:szCs w:val="21"/>
                    </w:rPr>
                  </w:pPr>
                  <w:r>
                    <w:rPr>
                      <w:color w:val="auto"/>
                      <w:szCs w:val="21"/>
                    </w:rPr>
                    <w:t>委托环卫部门定期清运处置。</w:t>
                  </w:r>
                </w:p>
              </w:tc>
              <w:tc>
                <w:tcPr>
                  <w:tcW w:w="507" w:type="pct"/>
                  <w:vAlign w:val="center"/>
                </w:tcPr>
                <w:p>
                  <w:pPr>
                    <w:pStyle w:val="34"/>
                    <w:widowControl w:val="0"/>
                    <w:spacing w:line="360" w:lineRule="exact"/>
                    <w:rPr>
                      <w:color w:val="auto"/>
                      <w:szCs w:val="21"/>
                    </w:rPr>
                  </w:pPr>
                  <w:r>
                    <w:rPr>
                      <w:color w:val="auto"/>
                      <w:szCs w:val="21"/>
                    </w:rPr>
                    <w:t>0.01</w:t>
                  </w:r>
                </w:p>
              </w:tc>
            </w:tr>
          </w:tbl>
          <w:p>
            <w:pPr>
              <w:pStyle w:val="42"/>
              <w:ind w:firstLine="480"/>
              <w:rPr>
                <w:szCs w:val="24"/>
              </w:rPr>
            </w:pPr>
            <w:r>
              <w:rPr>
                <w:szCs w:val="24"/>
              </w:rPr>
              <w:t>由上表可知，项目产生的一般固体废物、危险废物均可得到合理处置，处置率为100%，对环境影响较小。</w:t>
            </w:r>
          </w:p>
          <w:p>
            <w:pPr>
              <w:pStyle w:val="62"/>
              <w:spacing w:line="360" w:lineRule="auto"/>
              <w:ind w:firstLine="482"/>
              <w:rPr>
                <w:rFonts w:hAnsi="Times New Roman"/>
                <w:b/>
                <w:sz w:val="24"/>
                <w:szCs w:val="24"/>
              </w:rPr>
            </w:pPr>
            <w:r>
              <w:rPr>
                <w:rFonts w:hint="eastAsia" w:hAnsi="Times New Roman"/>
                <w:b/>
                <w:sz w:val="24"/>
                <w:szCs w:val="24"/>
              </w:rPr>
              <w:t>（4）环境管理要求</w:t>
            </w:r>
          </w:p>
          <w:p>
            <w:pPr>
              <w:pStyle w:val="62"/>
              <w:spacing w:line="360" w:lineRule="auto"/>
              <w:ind w:firstLine="482"/>
              <w:rPr>
                <w:rFonts w:hAnsi="Times New Roman"/>
                <w:b/>
                <w:sz w:val="24"/>
                <w:szCs w:val="24"/>
              </w:rPr>
            </w:pPr>
            <w:r>
              <w:rPr>
                <w:rFonts w:hint="eastAsia" w:hAnsi="Times New Roman"/>
                <w:b/>
                <w:sz w:val="24"/>
                <w:szCs w:val="24"/>
              </w:rPr>
              <w:t>①危险废物管理基本要求</w:t>
            </w:r>
          </w:p>
          <w:p>
            <w:pPr>
              <w:pStyle w:val="62"/>
              <w:spacing w:line="360" w:lineRule="auto"/>
              <w:ind w:firstLine="480"/>
              <w:rPr>
                <w:rFonts w:hAnsi="Times New Roman"/>
                <w:sz w:val="24"/>
                <w:szCs w:val="24"/>
              </w:rPr>
            </w:pPr>
            <w:r>
              <w:rPr>
                <w:rFonts w:hint="eastAsia" w:hAnsi="Times New Roman"/>
                <w:sz w:val="24"/>
                <w:szCs w:val="24"/>
              </w:rPr>
              <w:t>危险废物的处置、管理、分类收集、运送与暂时储存、人员培训和职业安全防护必须严格按照《危险废物贮存处置管理规定》执行。</w:t>
            </w:r>
          </w:p>
          <w:p>
            <w:pPr>
              <w:pStyle w:val="62"/>
              <w:spacing w:line="360" w:lineRule="auto"/>
              <w:ind w:firstLine="482"/>
              <w:rPr>
                <w:rFonts w:hAnsi="Times New Roman"/>
                <w:b/>
                <w:sz w:val="24"/>
                <w:szCs w:val="24"/>
              </w:rPr>
            </w:pPr>
            <w:r>
              <w:rPr>
                <w:rFonts w:hint="eastAsia" w:hAnsi="Times New Roman"/>
                <w:b/>
                <w:sz w:val="24"/>
                <w:szCs w:val="24"/>
              </w:rPr>
              <w:t>②危险废物收集要求</w:t>
            </w:r>
          </w:p>
          <w:p>
            <w:pPr>
              <w:pStyle w:val="62"/>
              <w:spacing w:line="360" w:lineRule="auto"/>
              <w:ind w:firstLine="480"/>
              <w:rPr>
                <w:rFonts w:hAnsi="Times New Roman"/>
                <w:sz w:val="24"/>
                <w:szCs w:val="24"/>
              </w:rPr>
            </w:pPr>
            <w:r>
              <w:rPr>
                <w:rFonts w:hint="eastAsia" w:hAnsi="Times New Roman"/>
                <w:sz w:val="24"/>
                <w:szCs w:val="24"/>
              </w:rPr>
              <w:t>⑴危险废物装载容器和包装物张贴标签；收集、贮存、运输、利用、处置危险废物的设施、场所设置危险废物警示标志和危险废物标签，标识标志正确、清晰、完好。</w:t>
            </w:r>
          </w:p>
          <w:p>
            <w:pPr>
              <w:pStyle w:val="62"/>
              <w:spacing w:line="360" w:lineRule="auto"/>
              <w:ind w:firstLine="480"/>
              <w:rPr>
                <w:rFonts w:hAnsi="Times New Roman"/>
                <w:sz w:val="24"/>
                <w:szCs w:val="24"/>
              </w:rPr>
            </w:pPr>
            <w:r>
              <w:rPr>
                <w:rFonts w:hint="eastAsia" w:hAnsi="Times New Roman"/>
                <w:sz w:val="24"/>
                <w:szCs w:val="24"/>
              </w:rPr>
              <w:t>⑵将运营期间危险废物使用收集桶进行收集，标明危废名称，不得在一个收集桶内存放不同种类的危废。</w:t>
            </w:r>
          </w:p>
          <w:p>
            <w:pPr>
              <w:pStyle w:val="62"/>
              <w:spacing w:line="360" w:lineRule="auto"/>
              <w:ind w:firstLine="482"/>
              <w:rPr>
                <w:rFonts w:hAnsi="Times New Roman"/>
                <w:b/>
                <w:sz w:val="24"/>
                <w:szCs w:val="24"/>
              </w:rPr>
            </w:pPr>
            <w:r>
              <w:rPr>
                <w:rFonts w:hint="eastAsia" w:hAnsi="Times New Roman"/>
                <w:b/>
                <w:sz w:val="24"/>
                <w:szCs w:val="24"/>
              </w:rPr>
              <w:t>③危险废物暂存间设置要求</w:t>
            </w:r>
          </w:p>
          <w:p>
            <w:pPr>
              <w:pStyle w:val="62"/>
              <w:spacing w:line="360" w:lineRule="auto"/>
              <w:ind w:firstLine="480"/>
              <w:rPr>
                <w:rFonts w:hAnsi="Times New Roman"/>
                <w:sz w:val="24"/>
                <w:szCs w:val="24"/>
              </w:rPr>
            </w:pPr>
            <w:r>
              <w:rPr>
                <w:rFonts w:hint="eastAsia" w:hAnsi="Times New Roman"/>
                <w:sz w:val="24"/>
                <w:szCs w:val="24"/>
              </w:rPr>
              <w:t>⑴危险废物暂存间分区设置，分别暂存一般固废及危险废物；必须进行防雨、防蛀咬、通风及防晒等处理。</w:t>
            </w:r>
          </w:p>
          <w:p>
            <w:pPr>
              <w:pStyle w:val="62"/>
              <w:spacing w:line="360" w:lineRule="auto"/>
              <w:ind w:firstLine="480"/>
              <w:rPr>
                <w:rFonts w:hAnsi="Times New Roman"/>
                <w:sz w:val="24"/>
                <w:szCs w:val="24"/>
              </w:rPr>
            </w:pPr>
            <w:r>
              <w:rPr>
                <w:rFonts w:hint="eastAsia" w:hAnsi="Times New Roman"/>
                <w:sz w:val="24"/>
                <w:szCs w:val="24"/>
              </w:rPr>
              <w:t>⑵设置安的全照明设施和观察窗口，严格按照相关规定进行使用、存储、管理，并配备足够消防设施（如：干粉灭火器，二氧化碳灭火器，沙等），避免由火灾引起的环境问题。</w:t>
            </w:r>
          </w:p>
          <w:p>
            <w:pPr>
              <w:pStyle w:val="62"/>
              <w:spacing w:line="360" w:lineRule="auto"/>
              <w:ind w:firstLine="480"/>
              <w:rPr>
                <w:rFonts w:hAnsi="Times New Roman"/>
                <w:sz w:val="24"/>
                <w:szCs w:val="24"/>
              </w:rPr>
            </w:pPr>
            <w:r>
              <w:rPr>
                <w:rFonts w:hint="eastAsia" w:hAnsi="Times New Roman"/>
                <w:sz w:val="24"/>
                <w:szCs w:val="24"/>
              </w:rPr>
              <w:t>⑶采取防渗措施，采用水泥+环氧树脂，渗透系数≤10</w:t>
            </w:r>
            <w:r>
              <w:rPr>
                <w:rFonts w:hint="eastAsia" w:hAnsi="Times New Roman"/>
                <w:sz w:val="24"/>
                <w:szCs w:val="24"/>
                <w:vertAlign w:val="superscript"/>
              </w:rPr>
              <w:t>-10</w:t>
            </w:r>
            <w:r>
              <w:rPr>
                <w:rFonts w:hint="eastAsia" w:hAnsi="Times New Roman"/>
                <w:sz w:val="24"/>
                <w:szCs w:val="24"/>
              </w:rPr>
              <w:t>cm/s（保存影像资料）。</w:t>
            </w:r>
          </w:p>
          <w:p>
            <w:pPr>
              <w:pStyle w:val="62"/>
              <w:spacing w:line="360" w:lineRule="auto"/>
              <w:ind w:firstLine="480"/>
              <w:rPr>
                <w:rFonts w:hAnsi="Times New Roman"/>
                <w:sz w:val="24"/>
                <w:szCs w:val="24"/>
              </w:rPr>
            </w:pPr>
            <w:r>
              <w:rPr>
                <w:rFonts w:hint="eastAsia" w:hAnsi="Times New Roman"/>
                <w:sz w:val="24"/>
                <w:szCs w:val="24"/>
              </w:rPr>
              <w:t>⑷地面与裙脚要用坚固、防渗的材料建造，建筑材料必须与危险废物相容。</w:t>
            </w:r>
          </w:p>
          <w:p>
            <w:pPr>
              <w:pStyle w:val="62"/>
              <w:spacing w:line="360" w:lineRule="auto"/>
              <w:ind w:firstLine="480"/>
              <w:rPr>
                <w:rFonts w:hAnsi="Times New Roman"/>
                <w:sz w:val="24"/>
                <w:szCs w:val="24"/>
              </w:rPr>
            </w:pPr>
            <w:r>
              <w:rPr>
                <w:rFonts w:hint="eastAsia" w:hAnsi="Times New Roman"/>
                <w:sz w:val="24"/>
                <w:szCs w:val="24"/>
              </w:rPr>
              <w:t>⑸用以存放装载液体、半固体危险废物容器的地方，必须有耐腐蚀的硬化地面，且表面无裂隙。</w:t>
            </w:r>
          </w:p>
          <w:p>
            <w:pPr>
              <w:pStyle w:val="62"/>
              <w:spacing w:line="360" w:lineRule="auto"/>
              <w:ind w:firstLine="480"/>
              <w:rPr>
                <w:rFonts w:hAnsi="Times New Roman"/>
                <w:sz w:val="24"/>
                <w:szCs w:val="24"/>
              </w:rPr>
            </w:pPr>
            <w:r>
              <w:rPr>
                <w:rFonts w:hint="eastAsia" w:hAnsi="Times New Roman"/>
                <w:sz w:val="24"/>
                <w:szCs w:val="24"/>
              </w:rPr>
              <w:t>⑹按照危险废物特性分类进行收集、贮存。不同种类的危险废物分开存放，有明显间隔，摆放整齐划一，每一类危险废物单独设置标识牌，不存放除危险废物和应急工具以外的物品。</w:t>
            </w:r>
          </w:p>
          <w:p>
            <w:pPr>
              <w:pStyle w:val="62"/>
              <w:spacing w:line="360" w:lineRule="auto"/>
              <w:ind w:firstLine="480"/>
              <w:rPr>
                <w:rFonts w:hAnsi="Times New Roman"/>
                <w:sz w:val="24"/>
                <w:szCs w:val="24"/>
              </w:rPr>
            </w:pPr>
            <w:r>
              <w:rPr>
                <w:rFonts w:hint="eastAsia" w:hAnsi="Times New Roman"/>
                <w:sz w:val="24"/>
                <w:szCs w:val="24"/>
              </w:rPr>
              <w:t>④危险废物暂存间日常管理要求</w:t>
            </w:r>
          </w:p>
          <w:p>
            <w:pPr>
              <w:pStyle w:val="62"/>
              <w:spacing w:line="360" w:lineRule="auto"/>
              <w:ind w:firstLine="480"/>
              <w:rPr>
                <w:rFonts w:hAnsi="Times New Roman"/>
                <w:sz w:val="24"/>
                <w:szCs w:val="24"/>
              </w:rPr>
            </w:pPr>
            <w:r>
              <w:rPr>
                <w:rFonts w:hint="eastAsia" w:hAnsi="Times New Roman"/>
                <w:sz w:val="24"/>
                <w:szCs w:val="24"/>
              </w:rPr>
              <w:t>签订危险废物转移合同，且合同在有效期内。并办理危险废物转移联单，且转移联单上的危险废物种类、数量与实际产生情况相符，至少保存5年。</w:t>
            </w:r>
          </w:p>
          <w:p>
            <w:pPr>
              <w:pStyle w:val="62"/>
              <w:spacing w:line="360" w:lineRule="auto"/>
              <w:ind w:firstLine="482"/>
              <w:rPr>
                <w:rFonts w:hAnsi="Times New Roman"/>
                <w:b/>
                <w:sz w:val="24"/>
                <w:szCs w:val="24"/>
              </w:rPr>
            </w:pPr>
            <w:r>
              <w:rPr>
                <w:rFonts w:hint="eastAsia" w:hAnsi="Times New Roman"/>
                <w:b/>
                <w:sz w:val="24"/>
                <w:szCs w:val="24"/>
              </w:rPr>
              <w:t>4.2.4 电磁环境影响分析</w:t>
            </w:r>
          </w:p>
          <w:p>
            <w:pPr>
              <w:pStyle w:val="62"/>
              <w:spacing w:line="360" w:lineRule="auto"/>
              <w:ind w:firstLine="480"/>
              <w:rPr>
                <w:rFonts w:hAnsi="Times New Roman" w:eastAsiaTheme="minorEastAsia"/>
                <w:sz w:val="24"/>
                <w:szCs w:val="24"/>
              </w:rPr>
            </w:pPr>
            <w:r>
              <w:rPr>
                <w:rFonts w:hAnsi="Times New Roman" w:eastAsiaTheme="minorEastAsia"/>
                <w:sz w:val="24"/>
                <w:szCs w:val="24"/>
              </w:rPr>
              <w:t>根据《环境影响评价计算导则输变电工程》（HJ21-2020）及《电磁环境控制限值》（GB</w:t>
            </w:r>
            <w:r>
              <w:rPr>
                <w:rFonts w:hint="eastAsia" w:hAnsi="Times New Roman" w:eastAsiaTheme="minorEastAsia"/>
                <w:sz w:val="24"/>
                <w:szCs w:val="24"/>
                <w:lang w:eastAsia="zh-CN"/>
              </w:rPr>
              <w:t>****</w:t>
            </w:r>
            <w:r>
              <w:rPr>
                <w:rFonts w:hAnsi="Times New Roman" w:eastAsiaTheme="minorEastAsia"/>
                <w:sz w:val="24"/>
                <w:szCs w:val="24"/>
              </w:rPr>
              <w:t>-2014），100KV及以下输变电项目豁免，本</w:t>
            </w:r>
            <w:r>
              <w:rPr>
                <w:rFonts w:hint="eastAsia" w:hAnsi="Times New Roman" w:eastAsiaTheme="minorEastAsia"/>
                <w:sz w:val="24"/>
                <w:szCs w:val="24"/>
              </w:rPr>
              <w:t>项目光伏发电场主要由“太阳能光伏发电组件阵列+储能式逆变器+电池组+管理软件”组成，不涉及输变电工程、不涉及升压站及降压站等，</w:t>
            </w:r>
            <w:r>
              <w:rPr>
                <w:rFonts w:hAnsi="Times New Roman" w:eastAsiaTheme="minorEastAsia"/>
                <w:sz w:val="24"/>
                <w:szCs w:val="24"/>
              </w:rPr>
              <w:t>无需考虑电磁环境影响。</w:t>
            </w:r>
          </w:p>
          <w:p>
            <w:pPr>
              <w:pStyle w:val="62"/>
              <w:spacing w:line="360" w:lineRule="auto"/>
              <w:ind w:firstLine="482"/>
              <w:rPr>
                <w:rFonts w:hAnsi="Times New Roman"/>
                <w:b/>
                <w:sz w:val="24"/>
                <w:szCs w:val="24"/>
              </w:rPr>
            </w:pPr>
            <w:r>
              <w:rPr>
                <w:rFonts w:hint="eastAsia" w:hAnsi="Times New Roman"/>
                <w:b/>
                <w:sz w:val="24"/>
                <w:szCs w:val="24"/>
              </w:rPr>
              <w:t>4.2.5 环境风险影响分析</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根据《建设项目环境风险评价技术导则》（HJ</w:t>
            </w:r>
            <w:r>
              <w:rPr>
                <w:rFonts w:hint="eastAsia" w:ascii="Times New Roman" w:hAnsi="Times New Roman" w:cs="Times New Roman"/>
                <w:color w:val="auto"/>
                <w:kern w:val="2"/>
                <w:lang w:eastAsia="zh-CN"/>
              </w:rPr>
              <w:t>***</w:t>
            </w:r>
            <w:r>
              <w:rPr>
                <w:rFonts w:ascii="Times New Roman" w:hAnsi="Times New Roman" w:cs="Times New Roman"/>
                <w:color w:val="auto"/>
                <w:kern w:val="2"/>
              </w:rPr>
              <w:t>-2018），环境风险评价主要是针对涉及到的有毒有害和易燃易爆危险物质生产、使用、储存（包括使用管线输运）可能发生的突发性事故（不包括人为破坏及自然灾害引发的事故）进行评价，本项目属于引水工程项目，不属于有毒有害、易燃易爆危险物质，</w:t>
            </w:r>
            <w:r>
              <w:rPr>
                <w:rFonts w:ascii="Times New Roman" w:hAnsi="Times New Roman" w:cs="Times New Roman"/>
                <w:color w:val="auto"/>
              </w:rPr>
              <w:t>根据项目特点，本项目风险物质其危险特性见下表所示。</w:t>
            </w:r>
          </w:p>
          <w:p>
            <w:pPr>
              <w:jc w:val="center"/>
              <w:rPr>
                <w:rFonts w:ascii="Times New Roman" w:hAnsi="Times New Roman" w:cs="Times New Roman"/>
                <w:b/>
                <w:kern w:val="0"/>
                <w:sz w:val="24"/>
              </w:rPr>
            </w:pPr>
            <w:r>
              <w:rPr>
                <w:rFonts w:ascii="Times New Roman" w:hAnsi="Times New Roman" w:cs="Times New Roman"/>
                <w:b/>
              </w:rPr>
              <w:t>表4.2.</w:t>
            </w:r>
            <w:r>
              <w:rPr>
                <w:rFonts w:hint="eastAsia" w:ascii="Times New Roman" w:hAnsi="Times New Roman" w:cs="Times New Roman"/>
                <w:b/>
              </w:rPr>
              <w:t>5</w:t>
            </w:r>
            <w:r>
              <w:rPr>
                <w:rFonts w:ascii="Times New Roman" w:hAnsi="Times New Roman" w:cs="Times New Roman"/>
                <w:b/>
              </w:rPr>
              <w:t>-1  项目涉及的风险物质基本情况一览表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2073"/>
              <w:gridCol w:w="1035"/>
              <w:gridCol w:w="1169"/>
              <w:gridCol w:w="1023"/>
              <w:gridCol w:w="131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pPr>
                    <w:pStyle w:val="34"/>
                    <w:spacing w:line="360" w:lineRule="exact"/>
                    <w:rPr>
                      <w:color w:val="auto"/>
                      <w:szCs w:val="21"/>
                    </w:rPr>
                  </w:pPr>
                  <w:r>
                    <w:rPr>
                      <w:color w:val="auto"/>
                      <w:szCs w:val="21"/>
                    </w:rPr>
                    <w:t>产生环节</w:t>
                  </w:r>
                </w:p>
              </w:tc>
              <w:tc>
                <w:tcPr>
                  <w:tcW w:w="1204" w:type="pct"/>
                  <w:vAlign w:val="center"/>
                </w:tcPr>
                <w:p>
                  <w:pPr>
                    <w:pStyle w:val="34"/>
                    <w:spacing w:line="360" w:lineRule="exact"/>
                    <w:rPr>
                      <w:color w:val="auto"/>
                      <w:szCs w:val="21"/>
                    </w:rPr>
                  </w:pPr>
                  <w:r>
                    <w:rPr>
                      <w:color w:val="auto"/>
                      <w:szCs w:val="21"/>
                    </w:rPr>
                    <w:t>危险物质</w:t>
                  </w:r>
                </w:p>
              </w:tc>
              <w:tc>
                <w:tcPr>
                  <w:tcW w:w="601" w:type="pct"/>
                  <w:vAlign w:val="center"/>
                </w:tcPr>
                <w:p>
                  <w:pPr>
                    <w:pStyle w:val="34"/>
                    <w:spacing w:line="360" w:lineRule="exact"/>
                    <w:rPr>
                      <w:color w:val="auto"/>
                      <w:szCs w:val="21"/>
                    </w:rPr>
                  </w:pPr>
                  <w:r>
                    <w:rPr>
                      <w:color w:val="auto"/>
                      <w:szCs w:val="21"/>
                    </w:rPr>
                    <w:t>年使用/产生量</w:t>
                  </w:r>
                </w:p>
              </w:tc>
              <w:tc>
                <w:tcPr>
                  <w:tcW w:w="679" w:type="pct"/>
                  <w:tcBorders>
                    <w:right w:val="single" w:color="auto" w:sz="4" w:space="0"/>
                  </w:tcBorders>
                  <w:vAlign w:val="center"/>
                </w:tcPr>
                <w:p>
                  <w:pPr>
                    <w:pStyle w:val="34"/>
                    <w:spacing w:line="360" w:lineRule="exact"/>
                    <w:rPr>
                      <w:color w:val="auto"/>
                      <w:szCs w:val="21"/>
                    </w:rPr>
                  </w:pPr>
                  <w:r>
                    <w:rPr>
                      <w:color w:val="auto"/>
                      <w:szCs w:val="21"/>
                    </w:rPr>
                    <w:t>最大储存量</w:t>
                  </w:r>
                </w:p>
              </w:tc>
              <w:tc>
                <w:tcPr>
                  <w:tcW w:w="594" w:type="pct"/>
                  <w:tcBorders>
                    <w:left w:val="single" w:color="auto" w:sz="4" w:space="0"/>
                    <w:right w:val="single" w:color="auto" w:sz="4" w:space="0"/>
                  </w:tcBorders>
                  <w:vAlign w:val="center"/>
                </w:tcPr>
                <w:p>
                  <w:pPr>
                    <w:pStyle w:val="34"/>
                    <w:spacing w:line="360" w:lineRule="exact"/>
                    <w:rPr>
                      <w:color w:val="auto"/>
                      <w:szCs w:val="21"/>
                    </w:rPr>
                  </w:pPr>
                  <w:r>
                    <w:rPr>
                      <w:color w:val="auto"/>
                      <w:szCs w:val="21"/>
                    </w:rPr>
                    <w:t>临界量</w:t>
                  </w:r>
                </w:p>
              </w:tc>
              <w:tc>
                <w:tcPr>
                  <w:tcW w:w="764" w:type="pct"/>
                  <w:tcBorders>
                    <w:left w:val="single" w:color="auto" w:sz="4" w:space="0"/>
                  </w:tcBorders>
                  <w:vAlign w:val="center"/>
                </w:tcPr>
                <w:p>
                  <w:pPr>
                    <w:pStyle w:val="34"/>
                    <w:spacing w:line="360" w:lineRule="exact"/>
                    <w:rPr>
                      <w:color w:val="auto"/>
                      <w:szCs w:val="21"/>
                    </w:rPr>
                  </w:pPr>
                  <w:r>
                    <w:rPr>
                      <w:color w:val="auto"/>
                      <w:szCs w:val="21"/>
                    </w:rPr>
                    <w:t>Q值</w:t>
                  </w:r>
                </w:p>
              </w:tc>
              <w:tc>
                <w:tcPr>
                  <w:tcW w:w="762" w:type="pct"/>
                  <w:vAlign w:val="center"/>
                </w:tcPr>
                <w:p>
                  <w:pPr>
                    <w:pStyle w:val="34"/>
                    <w:spacing w:line="360" w:lineRule="exact"/>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6" w:type="pct"/>
                  <w:vAlign w:val="center"/>
                </w:tcPr>
                <w:p>
                  <w:pPr>
                    <w:pStyle w:val="34"/>
                    <w:spacing w:line="360" w:lineRule="exact"/>
                    <w:rPr>
                      <w:color w:val="auto"/>
                      <w:szCs w:val="21"/>
                    </w:rPr>
                  </w:pPr>
                  <w:r>
                    <w:rPr>
                      <w:color w:val="auto"/>
                      <w:szCs w:val="21"/>
                    </w:rPr>
                    <w:t>暂存</w:t>
                  </w:r>
                </w:p>
              </w:tc>
              <w:tc>
                <w:tcPr>
                  <w:tcW w:w="1204" w:type="pct"/>
                  <w:vAlign w:val="center"/>
                </w:tcPr>
                <w:p>
                  <w:pPr>
                    <w:pStyle w:val="34"/>
                    <w:spacing w:line="360" w:lineRule="exact"/>
                    <w:rPr>
                      <w:color w:val="auto"/>
                      <w:szCs w:val="21"/>
                    </w:rPr>
                  </w:pPr>
                  <w:r>
                    <w:rPr>
                      <w:color w:val="auto"/>
                      <w:szCs w:val="21"/>
                    </w:rPr>
                    <w:t>废机油</w:t>
                  </w:r>
                </w:p>
              </w:tc>
              <w:tc>
                <w:tcPr>
                  <w:tcW w:w="601" w:type="pct"/>
                  <w:vAlign w:val="center"/>
                </w:tcPr>
                <w:p>
                  <w:pPr>
                    <w:pStyle w:val="34"/>
                    <w:spacing w:line="360" w:lineRule="exact"/>
                    <w:rPr>
                      <w:color w:val="auto"/>
                      <w:szCs w:val="21"/>
                    </w:rPr>
                  </w:pPr>
                  <w:r>
                    <w:rPr>
                      <w:color w:val="auto"/>
                      <w:szCs w:val="21"/>
                    </w:rPr>
                    <w:t>0.08t/a</w:t>
                  </w:r>
                </w:p>
              </w:tc>
              <w:tc>
                <w:tcPr>
                  <w:tcW w:w="679" w:type="pct"/>
                  <w:tcBorders>
                    <w:right w:val="single" w:color="auto" w:sz="4" w:space="0"/>
                  </w:tcBorders>
                  <w:vAlign w:val="center"/>
                </w:tcPr>
                <w:p>
                  <w:pPr>
                    <w:pStyle w:val="34"/>
                    <w:spacing w:line="360" w:lineRule="exact"/>
                    <w:rPr>
                      <w:color w:val="auto"/>
                      <w:szCs w:val="21"/>
                    </w:rPr>
                  </w:pPr>
                  <w:r>
                    <w:rPr>
                      <w:color w:val="auto"/>
                      <w:szCs w:val="21"/>
                    </w:rPr>
                    <w:t>0.08t</w:t>
                  </w:r>
                </w:p>
              </w:tc>
              <w:tc>
                <w:tcPr>
                  <w:tcW w:w="594" w:type="pct"/>
                  <w:tcBorders>
                    <w:left w:val="single" w:color="auto" w:sz="4" w:space="0"/>
                    <w:right w:val="single" w:color="auto" w:sz="4" w:space="0"/>
                  </w:tcBorders>
                  <w:vAlign w:val="center"/>
                </w:tcPr>
                <w:p>
                  <w:pPr>
                    <w:pStyle w:val="34"/>
                    <w:spacing w:line="360" w:lineRule="exact"/>
                    <w:rPr>
                      <w:color w:val="auto"/>
                      <w:szCs w:val="21"/>
                    </w:rPr>
                  </w:pPr>
                  <w:r>
                    <w:rPr>
                      <w:color w:val="auto"/>
                      <w:szCs w:val="21"/>
                    </w:rPr>
                    <w:t>2500*</w:t>
                  </w:r>
                </w:p>
              </w:tc>
              <w:tc>
                <w:tcPr>
                  <w:tcW w:w="764" w:type="pct"/>
                  <w:tcBorders>
                    <w:left w:val="single" w:color="auto" w:sz="4" w:space="0"/>
                  </w:tcBorders>
                  <w:vAlign w:val="center"/>
                </w:tcPr>
                <w:p>
                  <w:pPr>
                    <w:pStyle w:val="34"/>
                    <w:spacing w:line="360" w:lineRule="exact"/>
                    <w:rPr>
                      <w:color w:val="auto"/>
                      <w:szCs w:val="21"/>
                    </w:rPr>
                  </w:pPr>
                  <w:r>
                    <w:rPr>
                      <w:color w:val="auto"/>
                      <w:szCs w:val="21"/>
                    </w:rPr>
                    <w:t>0.000032</w:t>
                  </w:r>
                </w:p>
              </w:tc>
              <w:tc>
                <w:tcPr>
                  <w:tcW w:w="762" w:type="pct"/>
                  <w:vAlign w:val="center"/>
                </w:tcPr>
                <w:p>
                  <w:pPr>
                    <w:pStyle w:val="34"/>
                    <w:spacing w:line="360" w:lineRule="exact"/>
                    <w:rPr>
                      <w:color w:val="auto"/>
                      <w:szCs w:val="21"/>
                    </w:rPr>
                  </w:pPr>
                  <w:r>
                    <w:rPr>
                      <w:color w:val="auto"/>
                      <w:szCs w:val="21"/>
                    </w:rPr>
                    <w:t>危险废物暂存间</w:t>
                  </w:r>
                </w:p>
              </w:tc>
            </w:tr>
          </w:tbl>
          <w:p>
            <w:pPr>
              <w:autoSpaceDE w:val="0"/>
              <w:autoSpaceDN w:val="0"/>
              <w:spacing w:line="360" w:lineRule="auto"/>
              <w:ind w:firstLine="480" w:firstLineChars="200"/>
              <w:rPr>
                <w:rFonts w:ascii="Times New Roman" w:hAnsi="Times New Roman" w:cs="Times New Roman"/>
                <w:b/>
                <w:sz w:val="24"/>
              </w:rPr>
            </w:pPr>
            <w:r>
              <w:rPr>
                <w:rFonts w:ascii="Times New Roman" w:hAnsi="Times New Roman" w:cs="Times New Roman"/>
                <w:kern w:val="0"/>
                <w:sz w:val="24"/>
              </w:rPr>
              <w:t>根据上表，按公式Q=</w:t>
            </w:r>
            <w:r>
              <w:rPr>
                <w:rFonts w:ascii="Times New Roman" w:hAnsi="Times New Roman" w:cs="Times New Roman"/>
                <w:kern w:val="0"/>
                <w:sz w:val="24"/>
              </w:rPr>
              <w:drawing>
                <wp:inline distT="0" distB="0" distL="0" distR="0">
                  <wp:extent cx="552450" cy="457200"/>
                  <wp:effectExtent l="0" t="0" r="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552450" cy="457200"/>
                          </a:xfrm>
                          <a:prstGeom prst="rect">
                            <a:avLst/>
                          </a:prstGeom>
                          <a:noFill/>
                          <a:ln>
                            <a:noFill/>
                          </a:ln>
                        </pic:spPr>
                      </pic:pic>
                    </a:graphicData>
                  </a:graphic>
                </wp:inline>
              </w:drawing>
            </w:r>
            <w:r>
              <w:rPr>
                <w:rFonts w:ascii="Times New Roman" w:hAnsi="Times New Roman" w:cs="Times New Roman"/>
                <w:kern w:val="0"/>
                <w:sz w:val="24"/>
              </w:rPr>
              <w:t>……＋</w:t>
            </w:r>
            <w:r>
              <w:rPr>
                <w:rFonts w:ascii="Times New Roman" w:hAnsi="Times New Roman" w:cs="Times New Roman"/>
                <w:kern w:val="0"/>
                <w:sz w:val="24"/>
              </w:rPr>
              <w:drawing>
                <wp:inline distT="0" distB="0" distL="0" distR="0">
                  <wp:extent cx="276225" cy="457200"/>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276225" cy="457200"/>
                          </a:xfrm>
                          <a:prstGeom prst="rect">
                            <a:avLst/>
                          </a:prstGeom>
                          <a:noFill/>
                          <a:ln>
                            <a:noFill/>
                          </a:ln>
                        </pic:spPr>
                      </pic:pic>
                    </a:graphicData>
                  </a:graphic>
                </wp:inline>
              </w:drawing>
            </w:r>
            <w:r>
              <w:rPr>
                <w:rFonts w:ascii="Times New Roman" w:hAnsi="Times New Roman" w:cs="Times New Roman"/>
                <w:kern w:val="0"/>
                <w:sz w:val="24"/>
              </w:rPr>
              <w:t>计算得Q=0.000032＜1，环境风险潜势为Ⅰ，因此本项目仅需要进行简单分析。</w:t>
            </w:r>
          </w:p>
          <w:p>
            <w:pPr>
              <w:pStyle w:val="42"/>
              <w:ind w:firstLine="482"/>
              <w:rPr>
                <w:b/>
                <w:kern w:val="0"/>
                <w:szCs w:val="24"/>
              </w:rPr>
            </w:pPr>
            <w:r>
              <w:rPr>
                <w:b/>
                <w:kern w:val="0"/>
                <w:szCs w:val="24"/>
              </w:rPr>
              <w:t>（2）生产设施风险识别</w:t>
            </w:r>
          </w:p>
          <w:p>
            <w:pPr>
              <w:pStyle w:val="42"/>
              <w:ind w:firstLine="480"/>
              <w:rPr>
                <w:kern w:val="0"/>
                <w:szCs w:val="24"/>
              </w:rPr>
            </w:pPr>
            <w:r>
              <w:rPr>
                <w:kern w:val="0"/>
                <w:szCs w:val="24"/>
              </w:rPr>
              <w:t>结合项目涉及的危险物质分布情况对危险单元进行划分，详见下表。</w:t>
            </w:r>
          </w:p>
          <w:p>
            <w:pPr>
              <w:jc w:val="center"/>
              <w:rPr>
                <w:rFonts w:ascii="Times New Roman" w:hAnsi="Times New Roman" w:cs="Times New Roman"/>
                <w:b/>
                <w:kern w:val="0"/>
                <w:sz w:val="24"/>
              </w:rPr>
            </w:pPr>
            <w:r>
              <w:rPr>
                <w:rFonts w:ascii="Times New Roman" w:hAnsi="Times New Roman" w:cs="Times New Roman"/>
                <w:b/>
              </w:rPr>
              <w:t>表4.2.</w:t>
            </w:r>
            <w:r>
              <w:rPr>
                <w:rFonts w:hint="eastAsia" w:ascii="Times New Roman" w:hAnsi="Times New Roman" w:cs="Times New Roman"/>
                <w:b/>
              </w:rPr>
              <w:t>5</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 xml:space="preserve">  危险单元划分结果一览表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2484"/>
              <w:gridCol w:w="2217"/>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pStyle w:val="34"/>
                    <w:spacing w:line="360" w:lineRule="exact"/>
                    <w:rPr>
                      <w:color w:val="auto"/>
                      <w:szCs w:val="21"/>
                    </w:rPr>
                  </w:pPr>
                  <w:r>
                    <w:rPr>
                      <w:color w:val="auto"/>
                      <w:szCs w:val="21"/>
                    </w:rPr>
                    <w:t>危险源</w:t>
                  </w:r>
                </w:p>
              </w:tc>
              <w:tc>
                <w:tcPr>
                  <w:tcW w:w="1443" w:type="pct"/>
                  <w:vAlign w:val="center"/>
                </w:tcPr>
                <w:p>
                  <w:pPr>
                    <w:pStyle w:val="34"/>
                    <w:spacing w:line="360" w:lineRule="exact"/>
                    <w:rPr>
                      <w:color w:val="auto"/>
                      <w:szCs w:val="21"/>
                    </w:rPr>
                  </w:pPr>
                  <w:r>
                    <w:rPr>
                      <w:color w:val="auto"/>
                      <w:szCs w:val="21"/>
                    </w:rPr>
                    <w:t>危险物质</w:t>
                  </w:r>
                </w:p>
              </w:tc>
              <w:tc>
                <w:tcPr>
                  <w:tcW w:w="1288" w:type="pct"/>
                  <w:vAlign w:val="center"/>
                </w:tcPr>
                <w:p>
                  <w:pPr>
                    <w:pStyle w:val="34"/>
                    <w:spacing w:line="360" w:lineRule="exact"/>
                    <w:rPr>
                      <w:color w:val="auto"/>
                      <w:szCs w:val="21"/>
                    </w:rPr>
                  </w:pPr>
                  <w:r>
                    <w:rPr>
                      <w:color w:val="auto"/>
                      <w:szCs w:val="21"/>
                    </w:rPr>
                    <w:t>可能发生的风险事故</w:t>
                  </w:r>
                </w:p>
              </w:tc>
              <w:tc>
                <w:tcPr>
                  <w:tcW w:w="1178" w:type="pct"/>
                  <w:tcBorders>
                    <w:right w:val="single" w:color="auto" w:sz="4" w:space="0"/>
                  </w:tcBorders>
                  <w:vAlign w:val="center"/>
                </w:tcPr>
                <w:p>
                  <w:pPr>
                    <w:pStyle w:val="34"/>
                    <w:spacing w:line="360" w:lineRule="exact"/>
                    <w:rPr>
                      <w:color w:val="auto"/>
                      <w:szCs w:val="21"/>
                    </w:rPr>
                  </w:pPr>
                  <w:r>
                    <w:rPr>
                      <w:color w:val="auto"/>
                      <w:szCs w:val="21"/>
                    </w:rPr>
                    <w:t>事故出发条件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1" w:type="pct"/>
                  <w:vAlign w:val="center"/>
                </w:tcPr>
                <w:p>
                  <w:pPr>
                    <w:pStyle w:val="34"/>
                    <w:spacing w:line="360" w:lineRule="exact"/>
                    <w:rPr>
                      <w:color w:val="auto"/>
                      <w:szCs w:val="21"/>
                    </w:rPr>
                  </w:pPr>
                  <w:r>
                    <w:rPr>
                      <w:color w:val="auto"/>
                      <w:szCs w:val="21"/>
                    </w:rPr>
                    <w:t>危险废物暂存间</w:t>
                  </w:r>
                </w:p>
              </w:tc>
              <w:tc>
                <w:tcPr>
                  <w:tcW w:w="1443" w:type="pct"/>
                  <w:vAlign w:val="center"/>
                </w:tcPr>
                <w:p>
                  <w:pPr>
                    <w:pStyle w:val="34"/>
                    <w:spacing w:line="360" w:lineRule="exact"/>
                    <w:rPr>
                      <w:color w:val="auto"/>
                      <w:szCs w:val="21"/>
                    </w:rPr>
                  </w:pPr>
                  <w:r>
                    <w:rPr>
                      <w:color w:val="auto"/>
                      <w:szCs w:val="21"/>
                    </w:rPr>
                    <w:t>废机油</w:t>
                  </w:r>
                </w:p>
              </w:tc>
              <w:tc>
                <w:tcPr>
                  <w:tcW w:w="1288" w:type="pct"/>
                  <w:vAlign w:val="center"/>
                </w:tcPr>
                <w:p>
                  <w:pPr>
                    <w:pStyle w:val="34"/>
                    <w:spacing w:line="360" w:lineRule="exact"/>
                    <w:rPr>
                      <w:color w:val="auto"/>
                      <w:szCs w:val="21"/>
                    </w:rPr>
                  </w:pPr>
                  <w:r>
                    <w:rPr>
                      <w:color w:val="auto"/>
                      <w:szCs w:val="21"/>
                    </w:rPr>
                    <w:t>泄漏、火灾</w:t>
                  </w:r>
                </w:p>
              </w:tc>
              <w:tc>
                <w:tcPr>
                  <w:tcW w:w="1178" w:type="pct"/>
                  <w:tcBorders>
                    <w:right w:val="single" w:color="auto" w:sz="4" w:space="0"/>
                  </w:tcBorders>
                  <w:vAlign w:val="center"/>
                </w:tcPr>
                <w:p>
                  <w:pPr>
                    <w:pStyle w:val="34"/>
                    <w:spacing w:line="360" w:lineRule="exact"/>
                    <w:rPr>
                      <w:color w:val="auto"/>
                      <w:szCs w:val="21"/>
                    </w:rPr>
                  </w:pPr>
                  <w:r>
                    <w:rPr>
                      <w:color w:val="auto"/>
                      <w:szCs w:val="21"/>
                    </w:rPr>
                    <w:t>盛装容器破损、遇明火</w:t>
                  </w:r>
                </w:p>
              </w:tc>
            </w:tr>
          </w:tbl>
          <w:p>
            <w:pPr>
              <w:pStyle w:val="42"/>
              <w:ind w:firstLine="482"/>
              <w:rPr>
                <w:b/>
                <w:kern w:val="0"/>
                <w:szCs w:val="24"/>
              </w:rPr>
            </w:pPr>
            <w:r>
              <w:rPr>
                <w:b/>
                <w:kern w:val="0"/>
                <w:szCs w:val="24"/>
              </w:rPr>
              <w:t>（3）环境风险分析</w:t>
            </w:r>
          </w:p>
          <w:p>
            <w:pPr>
              <w:pStyle w:val="42"/>
              <w:ind w:firstLine="480"/>
              <w:rPr>
                <w:kern w:val="0"/>
              </w:rPr>
            </w:pPr>
            <w:r>
              <w:rPr>
                <w:kern w:val="0"/>
              </w:rPr>
              <w:t>根据《建设项目环境风险评价技术导则》（HJ</w:t>
            </w:r>
            <w:r>
              <w:rPr>
                <w:rFonts w:hint="eastAsia"/>
                <w:kern w:val="0"/>
                <w:lang w:eastAsia="zh-CN"/>
              </w:rPr>
              <w:t>***</w:t>
            </w:r>
            <w:r>
              <w:rPr>
                <w:kern w:val="0"/>
              </w:rPr>
              <w:t>-2018），结合拟建项目环境风险识别结果，拟建项目的环境风险类型主要为泄漏和火灾。风险事故情形主要考虑以下情况：</w:t>
            </w:r>
          </w:p>
          <w:p>
            <w:pPr>
              <w:pStyle w:val="42"/>
              <w:ind w:firstLine="480"/>
              <w:rPr>
                <w:kern w:val="0"/>
              </w:rPr>
            </w:pPr>
            <w:r>
              <w:rPr>
                <w:rFonts w:hint="eastAsia" w:ascii="宋体" w:hAnsi="宋体" w:cs="宋体"/>
                <w:kern w:val="0"/>
              </w:rPr>
              <w:t>①</w:t>
            </w:r>
            <w:r>
              <w:rPr>
                <w:kern w:val="0"/>
              </w:rPr>
              <w:t>废机油暂存过程中发生泄漏遇明火引起火灾或爆炸。</w:t>
            </w:r>
          </w:p>
          <w:p>
            <w:pPr>
              <w:pStyle w:val="42"/>
              <w:ind w:firstLine="480"/>
              <w:rPr>
                <w:kern w:val="0"/>
              </w:rPr>
            </w:pPr>
            <w:r>
              <w:rPr>
                <w:rFonts w:hint="eastAsia" w:ascii="宋体" w:hAnsi="宋体" w:cs="宋体"/>
                <w:kern w:val="0"/>
              </w:rPr>
              <w:t>②</w:t>
            </w:r>
            <w:r>
              <w:rPr>
                <w:kern w:val="0"/>
              </w:rPr>
              <w:t>原辅材料及产品遇明火引起火灾。</w:t>
            </w:r>
          </w:p>
          <w:p>
            <w:pPr>
              <w:pStyle w:val="42"/>
              <w:ind w:firstLine="480"/>
              <w:rPr>
                <w:kern w:val="0"/>
              </w:rPr>
            </w:pPr>
            <w:r>
              <w:rPr>
                <w:kern w:val="0"/>
              </w:rPr>
              <w:t>废机油主要存储于危险废物暂存间内，储存量较小，且危险废物暂存间内按照要求进行了防渗，并设置防火、禁火等安全标志，因此废机油发生泄漏的可能性较小，对环境的影响较小。</w:t>
            </w:r>
          </w:p>
          <w:p>
            <w:pPr>
              <w:pStyle w:val="42"/>
              <w:ind w:firstLine="482"/>
              <w:rPr>
                <w:b/>
                <w:kern w:val="0"/>
                <w:szCs w:val="24"/>
              </w:rPr>
            </w:pPr>
            <w:r>
              <w:rPr>
                <w:b/>
                <w:kern w:val="0"/>
                <w:szCs w:val="24"/>
              </w:rPr>
              <w:t>（4）环境风险防范措施及应急措施</w:t>
            </w:r>
          </w:p>
          <w:p>
            <w:pPr>
              <w:spacing w:line="360" w:lineRule="auto"/>
              <w:ind w:firstLine="480" w:firstLineChars="200"/>
              <w:rPr>
                <w:rFonts w:ascii="Times New Roman" w:hAnsi="Times New Roman" w:cs="Times New Roman"/>
                <w:kern w:val="0"/>
                <w:sz w:val="24"/>
              </w:rPr>
            </w:pPr>
            <w:r>
              <w:rPr>
                <w:rFonts w:hint="eastAsia" w:ascii="宋体" w:hAnsi="宋体" w:eastAsia="宋体" w:cs="宋体"/>
                <w:kern w:val="0"/>
                <w:sz w:val="24"/>
              </w:rPr>
              <w:t>⑴</w:t>
            </w:r>
            <w:r>
              <w:rPr>
                <w:rFonts w:ascii="Times New Roman" w:hAnsi="Times New Roman" w:cs="Times New Roman"/>
                <w:kern w:val="0"/>
                <w:sz w:val="24"/>
              </w:rPr>
              <w:t>对废机油采用专用容器收集后存放于危险废物暂存间；</w:t>
            </w:r>
          </w:p>
          <w:p>
            <w:pPr>
              <w:spacing w:line="360" w:lineRule="auto"/>
              <w:ind w:firstLine="480" w:firstLineChars="200"/>
              <w:rPr>
                <w:rFonts w:ascii="Times New Roman" w:hAnsi="Times New Roman" w:cs="Times New Roman"/>
                <w:kern w:val="0"/>
                <w:sz w:val="24"/>
              </w:rPr>
            </w:pPr>
            <w:r>
              <w:rPr>
                <w:rFonts w:hint="eastAsia" w:ascii="宋体" w:hAnsi="宋体" w:eastAsia="宋体" w:cs="宋体"/>
                <w:kern w:val="0"/>
                <w:sz w:val="24"/>
              </w:rPr>
              <w:t>⑵</w:t>
            </w:r>
            <w:r>
              <w:rPr>
                <w:rFonts w:ascii="Times New Roman" w:hAnsi="Times New Roman" w:cs="Times New Roman"/>
                <w:kern w:val="0"/>
                <w:sz w:val="24"/>
              </w:rPr>
              <w:t>危险废物暂存间采取三防措施，并设置禁火标识牌等；</w:t>
            </w:r>
          </w:p>
          <w:p>
            <w:pPr>
              <w:spacing w:line="360" w:lineRule="auto"/>
              <w:ind w:firstLine="480" w:firstLineChars="200"/>
              <w:rPr>
                <w:rFonts w:ascii="Times New Roman" w:hAnsi="Times New Roman" w:cs="Times New Roman"/>
                <w:kern w:val="0"/>
                <w:sz w:val="24"/>
              </w:rPr>
            </w:pPr>
            <w:r>
              <w:rPr>
                <w:rFonts w:hint="eastAsia" w:ascii="宋体" w:hAnsi="宋体" w:eastAsia="宋体" w:cs="宋体"/>
                <w:kern w:val="0"/>
                <w:sz w:val="24"/>
              </w:rPr>
              <w:t>⑶</w:t>
            </w:r>
            <w:r>
              <w:rPr>
                <w:rFonts w:ascii="Times New Roman" w:hAnsi="Times New Roman" w:cs="Times New Roman"/>
                <w:kern w:val="0"/>
                <w:sz w:val="24"/>
              </w:rPr>
              <w:t>加强对危废管理，定期检查收纳容器，与有资质单位签订协议，确保危废能得到妥善处置，建立台账制度；</w:t>
            </w:r>
          </w:p>
          <w:p>
            <w:pPr>
              <w:spacing w:line="360" w:lineRule="auto"/>
              <w:ind w:firstLine="480" w:firstLineChars="200"/>
              <w:rPr>
                <w:rFonts w:ascii="Times New Roman" w:hAnsi="Times New Roman" w:cs="Times New Roman"/>
                <w:kern w:val="0"/>
                <w:sz w:val="24"/>
              </w:rPr>
            </w:pPr>
            <w:r>
              <w:rPr>
                <w:rFonts w:hint="eastAsia" w:ascii="宋体" w:hAnsi="宋体" w:eastAsia="宋体" w:cs="宋体"/>
                <w:kern w:val="0"/>
                <w:sz w:val="24"/>
              </w:rPr>
              <w:t>⑷</w:t>
            </w:r>
            <w:r>
              <w:rPr>
                <w:rFonts w:ascii="Times New Roman" w:hAnsi="Times New Roman" w:cs="Times New Roman"/>
                <w:kern w:val="0"/>
                <w:sz w:val="24"/>
              </w:rPr>
              <w:t>建立健全安全、环境管理体系及高效的安全生产机构，一旦发生事故，要做到快速、高效、安全处置。</w:t>
            </w:r>
          </w:p>
          <w:p>
            <w:pPr>
              <w:spacing w:line="360" w:lineRule="auto"/>
              <w:ind w:firstLine="480" w:firstLineChars="200"/>
              <w:rPr>
                <w:rFonts w:ascii="Times New Roman" w:hAnsi="Times New Roman" w:cs="Times New Roman"/>
                <w:kern w:val="0"/>
                <w:sz w:val="24"/>
              </w:rPr>
            </w:pPr>
            <w:r>
              <w:rPr>
                <w:rFonts w:hint="eastAsia" w:ascii="宋体" w:hAnsi="宋体" w:eastAsia="宋体" w:cs="宋体"/>
                <w:kern w:val="0"/>
                <w:sz w:val="24"/>
              </w:rPr>
              <w:t>⑸</w:t>
            </w:r>
            <w:r>
              <w:rPr>
                <w:rFonts w:ascii="Times New Roman" w:hAnsi="Times New Roman" w:cs="Times New Roman"/>
                <w:kern w:val="0"/>
                <w:sz w:val="24"/>
              </w:rPr>
              <w:t>危险废物暂存间内设置围堰或收集沟及收集井，保证废机油泄漏时能够有效收集。</w:t>
            </w:r>
          </w:p>
          <w:p>
            <w:pPr>
              <w:spacing w:line="360" w:lineRule="auto"/>
              <w:ind w:firstLine="481" w:firstLineChars="200"/>
              <w:rPr>
                <w:rFonts w:ascii="Times New Roman" w:hAnsi="Times New Roman" w:cs="Times New Roman"/>
                <w:b/>
                <w:kern w:val="0"/>
                <w:sz w:val="24"/>
              </w:rPr>
            </w:pPr>
            <w:r>
              <w:rPr>
                <w:rFonts w:ascii="Times New Roman" w:hAnsi="Times New Roman" w:cs="Times New Roman"/>
                <w:b/>
                <w:kern w:val="0"/>
                <w:sz w:val="24"/>
              </w:rPr>
              <w:t>（5）环境风险结论</w:t>
            </w:r>
          </w:p>
          <w:p>
            <w:pPr>
              <w:adjustRightInd w:val="0"/>
              <w:spacing w:line="360" w:lineRule="auto"/>
              <w:ind w:firstLine="480" w:firstLineChars="200"/>
              <w:rPr>
                <w:rFonts w:ascii="Times New Roman" w:hAnsi="Times New Roman" w:cs="Times New Roman"/>
                <w:sz w:val="24"/>
              </w:rPr>
            </w:pPr>
            <w:r>
              <w:rPr>
                <w:rFonts w:ascii="Times New Roman" w:hAnsi="Times New Roman" w:cs="Times New Roman"/>
                <w:sz w:val="24"/>
              </w:rPr>
              <w:t>为了在发生突发环境事件时，能够及时、有序、高效地实施抢险救援工作，最大限度地减少人员伤亡和财产损失，尽快恢复正常工作秩序。</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项目光伏泵房内配备4只手提式干粉灭火器。泵站平时无人值守，周围200m范围内空旷平坦，没有村庄，假如发生火灾，其次生污染物产生量很小，短期内可扩散稀释，对周围环境影响不大。</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在严格落实应急措施后，可将风险发生的概率和影响后果降到最低限度。一旦发生事故，及时采取应急措施，可将对大气和地下水的影响降到最低限度，其风险水平可以被接受。</w:t>
            </w:r>
          </w:p>
          <w:p>
            <w:pPr>
              <w:pStyle w:val="62"/>
              <w:spacing w:line="360" w:lineRule="auto"/>
              <w:ind w:firstLine="482"/>
              <w:rPr>
                <w:rFonts w:hAnsi="Times New Roman"/>
                <w:b/>
                <w:sz w:val="24"/>
                <w:szCs w:val="24"/>
              </w:rPr>
            </w:pPr>
            <w:r>
              <w:rPr>
                <w:rFonts w:hint="eastAsia" w:hAnsi="Times New Roman"/>
                <w:b/>
                <w:sz w:val="24"/>
                <w:szCs w:val="24"/>
              </w:rPr>
              <w:t>4.2.6运营期生态环境影响分析</w:t>
            </w:r>
          </w:p>
          <w:p>
            <w:pPr>
              <w:pStyle w:val="15"/>
              <w:spacing w:line="360" w:lineRule="auto"/>
              <w:ind w:firstLine="481" w:firstLineChars="200"/>
              <w:rPr>
                <w:rFonts w:ascii="Times New Roman" w:hAnsi="Times New Roman" w:cs="Times New Roman"/>
                <w:b/>
                <w:color w:val="auto"/>
                <w:kern w:val="2"/>
              </w:rPr>
            </w:pPr>
            <w:r>
              <w:rPr>
                <w:rFonts w:hint="eastAsia" w:ascii="Times New Roman" w:hAnsi="Times New Roman" w:cs="Times New Roman"/>
                <w:b/>
                <w:color w:val="auto"/>
                <w:kern w:val="2"/>
              </w:rPr>
              <w:t>（1）对当地植物的影响</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项目运营期对植被的影响主要体现在电池面板架设后，在地面产生的阴影对地面植被生长的影响。该项目受阴影影响区域内植被受到的日照减少，该区域内的植被将受到一定程度的影响。本项目光伏组件下方将种植农作物，光伏支架采用固定支架形式，其他区域结合地形实际情况布置间距。采取以上措施后，能最大限度的减少工程建设对光伏区域植被的影响，不会对区域外植被造成破坏影响，对地表植被影响较小。</w:t>
            </w:r>
          </w:p>
          <w:p>
            <w:pPr>
              <w:pStyle w:val="15"/>
              <w:spacing w:line="360" w:lineRule="auto"/>
              <w:ind w:firstLine="481" w:firstLineChars="200"/>
              <w:rPr>
                <w:rFonts w:ascii="Times New Roman" w:hAnsi="Times New Roman" w:cs="Times New Roman"/>
                <w:b/>
                <w:color w:val="auto"/>
                <w:kern w:val="2"/>
              </w:rPr>
            </w:pPr>
            <w:r>
              <w:rPr>
                <w:rFonts w:hint="eastAsia" w:ascii="Times New Roman" w:hAnsi="Times New Roman" w:cs="Times New Roman"/>
                <w:b/>
                <w:color w:val="auto"/>
                <w:kern w:val="2"/>
              </w:rPr>
              <w:t>（2）对当地动物的影响</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项目建成后，项目区域设置围栏，以及光伏列阵的支架占用部分地面，将减少地面动物的活动区域，但围栏遮挡以及支架使用的面积较小，影响范围小；本项目声源少，噪声值较低，噪声源产生的噪声经光伏组件隔声和距离衰减后，不会对地面上动物的日常迁徙及鸟类正常活动造成影响；现场维护和检修等工作均在昼间进行，避免影响周边动物夜间正常活动。电站运行噪声可能会使对声环境敏感的动物迁移至远离光伏电站处，但光伏电站运行噪声影响范围主要为站界外几十米范围内的区域，影响范围较小。因此，项目运营不会对项目所在区域内野生动物的日常迁徙和活动造成明显影响。</w:t>
            </w:r>
          </w:p>
          <w:p>
            <w:pPr>
              <w:pStyle w:val="15"/>
              <w:spacing w:line="360" w:lineRule="auto"/>
              <w:ind w:firstLine="481" w:firstLineChars="200"/>
              <w:rPr>
                <w:rFonts w:ascii="Times New Roman" w:hAnsi="Times New Roman" w:cs="Times New Roman"/>
                <w:b/>
                <w:color w:val="auto"/>
                <w:kern w:val="2"/>
              </w:rPr>
            </w:pPr>
            <w:r>
              <w:rPr>
                <w:rFonts w:hint="eastAsia" w:ascii="Times New Roman" w:hAnsi="Times New Roman" w:cs="Times New Roman"/>
                <w:b/>
                <w:color w:val="auto"/>
                <w:kern w:val="2"/>
              </w:rPr>
              <w:t>（3）水土流失影响</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项目投入运行后，其水土流失防护工程也完成并开始发挥作用，可有效控制项目建设引起的水土流失。光伏板区域采取种植农作物，有保持水土的功效，但是项目部分区域采用植物措施，临时占地范围内的植被恢复一般在3年内才能逐步稳定，达到较好的水土保持效果。在水土保持工程和植物措施有效发挥作用后，项目区内的水土流失可得到完全控制，项目建设区的水土流失可达到轻度以下水平，工程建设造成的水土流失可得到基本治理，并使工程占地区域内水土流失状况得到明显改善。因此，项目运营期不会引起不良的水土流失。</w:t>
            </w:r>
          </w:p>
          <w:p>
            <w:pPr>
              <w:pStyle w:val="15"/>
              <w:spacing w:line="360" w:lineRule="auto"/>
              <w:ind w:firstLine="481" w:firstLineChars="200"/>
              <w:rPr>
                <w:rFonts w:ascii="Times New Roman" w:hAnsi="Times New Roman" w:cs="Times New Roman"/>
                <w:b/>
                <w:color w:val="auto"/>
                <w:kern w:val="2"/>
              </w:rPr>
            </w:pPr>
            <w:r>
              <w:rPr>
                <w:rFonts w:hint="eastAsia" w:ascii="Times New Roman" w:hAnsi="Times New Roman" w:cs="Times New Roman"/>
                <w:b/>
                <w:color w:val="auto"/>
                <w:kern w:val="2"/>
              </w:rPr>
              <w:t>（4）区域景观生态影响分析</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项目实施后，将安装大量的太阳能电池组件，占地面积较大，且颜色、样式单一，改变了原有的生态景观，将造成区域视觉景观单一化。项目在设计光伏组件的布局时，在满足设计要求的同时，将尽量依山势布置，加上太阳能光伏板朝向天空，安装倾角不会面向地面，在视觉上不面向人眼，光伏板不会反光，以减少对景观在形态上的影响。由于本工程位于山区，远离城镇，处于山顶，不易看见光伏板，且项目区域无特殊景点，因此，项目的建设对区域景观影响较小。</w:t>
            </w:r>
          </w:p>
          <w:p>
            <w:pPr>
              <w:pStyle w:val="15"/>
              <w:spacing w:line="360" w:lineRule="auto"/>
              <w:ind w:firstLine="481" w:firstLineChars="200"/>
              <w:jc w:val="both"/>
              <w:rPr>
                <w:rFonts w:ascii="Times New Roman" w:hAnsi="Times New Roman" w:cs="Times New Roman"/>
                <w:b/>
                <w:color w:val="auto"/>
                <w:kern w:val="2"/>
              </w:rPr>
            </w:pPr>
            <w:r>
              <w:rPr>
                <w:rFonts w:hint="eastAsia" w:ascii="Times New Roman" w:hAnsi="Times New Roman" w:cs="Times New Roman"/>
                <w:b/>
                <w:color w:val="auto"/>
                <w:kern w:val="2"/>
              </w:rPr>
              <w:t>（5）光伏板的影响分析</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项目光伏方阵可以减少阳光对土地的暴晒，能够降低土壤温度，从而减少土地水分的蒸发损失；光伏方阵可以减少风对土地的侵蚀，避免了土地的直接吹拂，减少了地面风速，能够有效减少土地水分挥发损失。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选址选线环境合理性分析</w:t>
            </w:r>
          </w:p>
        </w:tc>
        <w:tc>
          <w:tcPr>
            <w:tcW w:w="8834" w:type="dxa"/>
            <w:vAlign w:val="center"/>
          </w:tcPr>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4.3 项目选线合理性分析</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本项目位于</w:t>
            </w:r>
            <w:r>
              <w:rPr>
                <w:rFonts w:hint="eastAsia" w:ascii="Times New Roman" w:hAnsi="Times New Roman" w:cs="Times New Roman"/>
                <w:color w:val="auto"/>
              </w:rPr>
              <w:t>云南省东川区拖布卡镇象鼻村，项目灌区附近无自流灌溉水源供给，只能采用提水灌溉，项目水源点确定为白鹤滩水库上游的金沙江，提水位置为东川区拖布卡镇象鼻村昆明市东川区金沙江河段中提水（提水位置：</w:t>
            </w:r>
            <w:r>
              <w:rPr>
                <w:rFonts w:ascii="Times New Roman" w:hAnsi="Times New Roman" w:cs="Times New Roman"/>
                <w:color w:val="auto"/>
              </w:rPr>
              <w:t>东经10</w:t>
            </w:r>
            <w:r>
              <w:rPr>
                <w:rFonts w:hint="eastAsia" w:ascii="Times New Roman" w:hAnsi="Times New Roman" w:cs="Times New Roman"/>
                <w:color w:val="auto"/>
              </w:rPr>
              <w:t>2</w:t>
            </w:r>
            <w:r>
              <w:rPr>
                <w:rFonts w:ascii="Times New Roman" w:hAnsi="Times New Roman" w:cs="Times New Roman"/>
                <w:color w:val="auto"/>
              </w:rPr>
              <w:t>°</w:t>
            </w:r>
            <w:r>
              <w:rPr>
                <w:rFonts w:hint="eastAsia" w:ascii="Times New Roman" w:hAnsi="Times New Roman" w:cs="Times New Roman"/>
                <w:color w:val="auto"/>
              </w:rPr>
              <w:t>59</w:t>
            </w:r>
            <w:r>
              <w:rPr>
                <w:rFonts w:ascii="Times New Roman" w:hAnsi="Times New Roman" w:cs="Times New Roman"/>
                <w:color w:val="auto"/>
              </w:rPr>
              <w:t>′</w:t>
            </w:r>
            <w:r>
              <w:rPr>
                <w:rFonts w:hint="eastAsia" w:ascii="Times New Roman" w:hAnsi="Times New Roman" w:cs="Times New Roman"/>
                <w:color w:val="auto"/>
              </w:rPr>
              <w:t>50.047</w:t>
            </w:r>
            <w:r>
              <w:rPr>
                <w:rFonts w:ascii="Times New Roman" w:hAnsi="Times New Roman" w:cs="Times New Roman"/>
                <w:color w:val="auto"/>
              </w:rPr>
              <w:t>″，北纬</w:t>
            </w:r>
            <w:r>
              <w:rPr>
                <w:rFonts w:hint="eastAsia" w:ascii="Times New Roman" w:hAnsi="Times New Roman" w:cs="Times New Roman"/>
                <w:color w:val="auto"/>
              </w:rPr>
              <w:t>26</w:t>
            </w:r>
            <w:r>
              <w:rPr>
                <w:rFonts w:ascii="Times New Roman" w:hAnsi="Times New Roman" w:cs="Times New Roman"/>
                <w:color w:val="auto"/>
              </w:rPr>
              <w:t>°</w:t>
            </w:r>
            <w:r>
              <w:rPr>
                <w:rFonts w:hint="eastAsia" w:ascii="Times New Roman" w:hAnsi="Times New Roman" w:cs="Times New Roman"/>
                <w:color w:val="auto"/>
              </w:rPr>
              <w:t>27</w:t>
            </w:r>
            <w:r>
              <w:rPr>
                <w:rFonts w:ascii="Times New Roman" w:hAnsi="Times New Roman" w:cs="Times New Roman"/>
                <w:color w:val="auto"/>
              </w:rPr>
              <w:t>′</w:t>
            </w:r>
            <w:r>
              <w:rPr>
                <w:rFonts w:hint="eastAsia" w:ascii="Times New Roman" w:hAnsi="Times New Roman" w:cs="Times New Roman"/>
                <w:color w:val="auto"/>
              </w:rPr>
              <w:t>2.287</w:t>
            </w:r>
            <w:r>
              <w:rPr>
                <w:rFonts w:ascii="Times New Roman" w:hAnsi="Times New Roman" w:cs="Times New Roman"/>
                <w:color w:val="auto"/>
              </w:rPr>
              <w:t>″</w:t>
            </w:r>
            <w:r>
              <w:rPr>
                <w:rFonts w:hint="eastAsia" w:ascii="Times New Roman" w:hAnsi="Times New Roman" w:cs="Times New Roman"/>
                <w:color w:val="auto"/>
              </w:rPr>
              <w:t>）。</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项目提水管道所经过地区、光伏泵站、水池所在地区，不属于水土流失严重、生态脆弱地区，不再泥石流易发区、崩塌滑坡危险区以及易引起严重水土流失和生态恶化的地区，不涉及和影响防洪安全、水资源安全稳定问题，不涉及自然保护区、风景名胜区等敏感区域。根据</w:t>
            </w:r>
            <w:r>
              <w:rPr>
                <w:rFonts w:hint="eastAsia" w:hAnsi="Times New Roman"/>
                <w:color w:val="auto"/>
              </w:rPr>
              <w:t>昆明市东川区自然资源局出具的文件（具体见附件），项目范围与生态保护红线无冲突，不占用永久基本农田，因此项目建设符合生态保护红线规定要求。</w:t>
            </w:r>
          </w:p>
          <w:p>
            <w:pPr>
              <w:pStyle w:val="62"/>
              <w:spacing w:line="360" w:lineRule="auto"/>
              <w:ind w:firstLine="482"/>
              <w:rPr>
                <w:rFonts w:hAnsi="Times New Roman"/>
                <w:b/>
                <w:sz w:val="24"/>
                <w:szCs w:val="24"/>
              </w:rPr>
            </w:pPr>
            <w:r>
              <w:rPr>
                <w:rFonts w:hint="eastAsia" w:hAnsi="Times New Roman"/>
                <w:b/>
                <w:sz w:val="24"/>
                <w:szCs w:val="24"/>
              </w:rPr>
              <w:t>（1）光伏泵站选址选线环境合理性分析</w:t>
            </w:r>
          </w:p>
          <w:p>
            <w:pPr>
              <w:pStyle w:val="15"/>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kern w:val="2"/>
              </w:rPr>
              <w:t>项目光伏泵站位于</w:t>
            </w:r>
            <w:r>
              <w:rPr>
                <w:rFonts w:hint="eastAsia" w:ascii="Times New Roman" w:hAnsi="Times New Roman" w:cs="Times New Roman"/>
                <w:color w:val="auto"/>
              </w:rPr>
              <w:t>东川区拖布卡镇象鼻村</w:t>
            </w:r>
            <w:r>
              <w:rPr>
                <w:rFonts w:hint="eastAsia" w:hAnsi="Times New Roman"/>
                <w:color w:val="auto"/>
              </w:rPr>
              <w:t>（位置：</w:t>
            </w:r>
            <w:r>
              <w:rPr>
                <w:rFonts w:ascii="Times New Roman" w:hAnsi="Times New Roman" w:cs="Times New Roman"/>
                <w:color w:val="auto"/>
              </w:rPr>
              <w:t>东经10</w:t>
            </w:r>
            <w:r>
              <w:rPr>
                <w:rFonts w:hint="eastAsia" w:ascii="Times New Roman" w:hAnsi="Times New Roman" w:cs="Times New Roman"/>
                <w:color w:val="auto"/>
              </w:rPr>
              <w:t>3</w:t>
            </w:r>
            <w:r>
              <w:rPr>
                <w:rFonts w:ascii="Times New Roman" w:hAnsi="Times New Roman" w:cs="Times New Roman"/>
                <w:color w:val="auto"/>
              </w:rPr>
              <w:t>°</w:t>
            </w:r>
            <w:r>
              <w:rPr>
                <w:rFonts w:hint="eastAsia" w:ascii="Times New Roman" w:hAnsi="Times New Roman" w:cs="Times New Roman"/>
                <w:color w:val="auto"/>
              </w:rPr>
              <w:t>0</w:t>
            </w:r>
            <w:r>
              <w:rPr>
                <w:rFonts w:ascii="Times New Roman" w:hAnsi="Times New Roman" w:cs="Times New Roman"/>
                <w:color w:val="auto"/>
              </w:rPr>
              <w:t>′</w:t>
            </w:r>
            <w:r>
              <w:rPr>
                <w:rFonts w:hint="eastAsia" w:ascii="Times New Roman" w:hAnsi="Times New Roman" w:cs="Times New Roman"/>
                <w:color w:val="auto"/>
              </w:rPr>
              <w:t>0.591</w:t>
            </w:r>
            <w:r>
              <w:rPr>
                <w:rFonts w:ascii="Times New Roman" w:hAnsi="Times New Roman" w:cs="Times New Roman"/>
                <w:color w:val="auto"/>
              </w:rPr>
              <w:t>″，北纬</w:t>
            </w:r>
            <w:r>
              <w:rPr>
                <w:rFonts w:hint="eastAsia" w:ascii="Times New Roman" w:hAnsi="Times New Roman" w:cs="Times New Roman"/>
                <w:color w:val="auto"/>
              </w:rPr>
              <w:t>26</w:t>
            </w:r>
            <w:r>
              <w:rPr>
                <w:rFonts w:ascii="Times New Roman" w:hAnsi="Times New Roman" w:cs="Times New Roman"/>
                <w:color w:val="auto"/>
              </w:rPr>
              <w:t>°</w:t>
            </w:r>
            <w:r>
              <w:rPr>
                <w:rFonts w:hint="eastAsia" w:ascii="Times New Roman" w:hAnsi="Times New Roman" w:cs="Times New Roman"/>
                <w:color w:val="auto"/>
              </w:rPr>
              <w:t>27</w:t>
            </w:r>
            <w:r>
              <w:rPr>
                <w:rFonts w:ascii="Times New Roman" w:hAnsi="Times New Roman" w:cs="Times New Roman"/>
                <w:color w:val="auto"/>
              </w:rPr>
              <w:t>′</w:t>
            </w:r>
            <w:r>
              <w:rPr>
                <w:rFonts w:hint="eastAsia" w:ascii="Times New Roman" w:hAnsi="Times New Roman" w:cs="Times New Roman"/>
                <w:color w:val="auto"/>
              </w:rPr>
              <w:t>5.068</w:t>
            </w:r>
            <w:r>
              <w:rPr>
                <w:rFonts w:ascii="Times New Roman" w:hAnsi="Times New Roman" w:cs="Times New Roman"/>
                <w:color w:val="auto"/>
              </w:rPr>
              <w:t>″</w:t>
            </w:r>
            <w:r>
              <w:rPr>
                <w:rFonts w:hint="eastAsia" w:hAnsi="Times New Roman"/>
                <w:color w:val="auto"/>
              </w:rPr>
              <w:t>）</w:t>
            </w:r>
            <w:r>
              <w:rPr>
                <w:rFonts w:hint="eastAsia" w:ascii="Times New Roman" w:hAnsi="Times New Roman" w:cs="Times New Roman"/>
                <w:color w:val="auto"/>
              </w:rPr>
              <w:t>，一级泵站位于象鼻村正南向金沙江顺流右侧；二级泵站位于项目区域金沙江右侧河岸，</w:t>
            </w:r>
            <w:r>
              <w:rPr>
                <w:rFonts w:hint="eastAsia"/>
                <w:color w:val="auto"/>
              </w:rPr>
              <w:t>二级泵站均为平地上</w:t>
            </w:r>
            <w:r>
              <w:rPr>
                <w:rFonts w:hint="eastAsia" w:ascii="Times New Roman" w:hAnsi="Times New Roman" w:cs="Times New Roman"/>
                <w:color w:val="auto"/>
                <w:kern w:val="2"/>
              </w:rPr>
              <w:t>，</w:t>
            </w:r>
            <w:r>
              <w:rPr>
                <w:rFonts w:ascii="Times New Roman" w:hAnsi="Times New Roman" w:cs="Times New Roman"/>
                <w:color w:val="auto"/>
                <w:kern w:val="2"/>
              </w:rPr>
              <w:t>选点位置宽阔，较为平整，满足光伏板及其光伏组件的摆放条件，取水和交通都较为方便，不占用基本农田，土地平整量较小，对生态环境影响较小，边坡基本稳定，从环境保护角度，选址是合理的。二级泵站旁侧新建</w:t>
            </w:r>
            <w:r>
              <w:rPr>
                <w:rFonts w:hint="eastAsia" w:ascii="Times New Roman" w:hAnsi="Times New Roman" w:cs="Times New Roman"/>
                <w:color w:val="auto"/>
                <w:kern w:val="2"/>
              </w:rPr>
              <w:t>200m</w:t>
            </w:r>
            <w:r>
              <w:rPr>
                <w:rFonts w:hint="eastAsia" w:ascii="Times New Roman" w:hAnsi="Times New Roman" w:cs="Times New Roman"/>
                <w:color w:val="auto"/>
                <w:kern w:val="2"/>
                <w:vertAlign w:val="superscript"/>
              </w:rPr>
              <w:t>3</w:t>
            </w:r>
            <w:r>
              <w:rPr>
                <w:rFonts w:hint="eastAsia" w:ascii="Times New Roman" w:hAnsi="Times New Roman" w:cs="Times New Roman"/>
                <w:color w:val="auto"/>
                <w:kern w:val="2"/>
              </w:rPr>
              <w:t>取水池1座（圆形结构，内径9.0m，净高3.5m钢筋混凝土结构），</w:t>
            </w:r>
            <w:r>
              <w:rPr>
                <w:rFonts w:ascii="Times New Roman" w:hAnsi="Times New Roman" w:cs="Times New Roman"/>
                <w:color w:val="auto"/>
                <w:kern w:val="2"/>
              </w:rPr>
              <w:t>取水方便，交通便利，且光伏板平均日照时间长，供电保障率高站址附近地势较为平坦，地势稳定，不在滑坡体、泥沙流影响范围内，地下水埋深大，地基承载力较高，不占用基本农田，减少了土石方开挖，从环境保护角度，选址是合理的。</w:t>
            </w:r>
          </w:p>
          <w:p>
            <w:pPr>
              <w:pStyle w:val="62"/>
              <w:spacing w:line="360" w:lineRule="auto"/>
              <w:ind w:firstLine="480"/>
              <w:rPr>
                <w:rFonts w:hAnsi="Times New Roman" w:eastAsiaTheme="minorEastAsia"/>
                <w:sz w:val="24"/>
                <w:szCs w:val="24"/>
              </w:rPr>
            </w:pPr>
            <w:r>
              <w:rPr>
                <w:rFonts w:hAnsi="Times New Roman" w:eastAsiaTheme="minorEastAsia"/>
                <w:sz w:val="24"/>
                <w:szCs w:val="24"/>
              </w:rPr>
              <w:t>一级泵站至二级泵站布置DN150高压软管47m、φ150×4.5mm热镀螺旋焊管55m，共102m。</w:t>
            </w:r>
            <w:r>
              <w:rPr>
                <w:rFonts w:hAnsi="Times New Roman"/>
                <w:sz w:val="24"/>
                <w:szCs w:val="24"/>
              </w:rPr>
              <w:t>项目一级泵站设计流量为90m</w:t>
            </w:r>
            <w:r>
              <w:rPr>
                <w:rFonts w:hAnsi="Times New Roman"/>
                <w:sz w:val="24"/>
                <w:szCs w:val="24"/>
                <w:vertAlign w:val="superscript"/>
              </w:rPr>
              <w:t>3</w:t>
            </w:r>
            <w:r>
              <w:rPr>
                <w:rFonts w:hAnsi="Times New Roman"/>
                <w:sz w:val="24"/>
                <w:szCs w:val="24"/>
              </w:rPr>
              <w:t>/h，</w:t>
            </w:r>
            <w:r>
              <w:rPr>
                <w:rFonts w:hint="eastAsia" w:hAnsi="Times New Roman" w:eastAsiaTheme="minorEastAsia"/>
                <w:sz w:val="24"/>
                <w:szCs w:val="24"/>
              </w:rPr>
              <w:t>标高832.34m，</w:t>
            </w:r>
            <w:r>
              <w:rPr>
                <w:rFonts w:hAnsi="Times New Roman"/>
                <w:sz w:val="24"/>
                <w:szCs w:val="24"/>
              </w:rPr>
              <w:t>通过布置2台深井潜水泵置于浮箱下取水，抽水至二级泵站200m</w:t>
            </w:r>
            <w:r>
              <w:rPr>
                <w:rFonts w:hAnsi="Times New Roman"/>
                <w:sz w:val="24"/>
                <w:szCs w:val="24"/>
                <w:vertAlign w:val="superscript"/>
              </w:rPr>
              <w:t>3</w:t>
            </w:r>
            <w:r>
              <w:rPr>
                <w:rFonts w:hAnsi="Times New Roman"/>
                <w:sz w:val="24"/>
                <w:szCs w:val="24"/>
              </w:rPr>
              <w:t>的蓄水池，设计流量为76m</w:t>
            </w:r>
            <w:r>
              <w:rPr>
                <w:rFonts w:hAnsi="Times New Roman"/>
                <w:sz w:val="24"/>
                <w:szCs w:val="24"/>
                <w:vertAlign w:val="superscript"/>
              </w:rPr>
              <w:t>3</w:t>
            </w:r>
            <w:r>
              <w:rPr>
                <w:rFonts w:hAnsi="Times New Roman"/>
                <w:sz w:val="24"/>
                <w:szCs w:val="24"/>
              </w:rPr>
              <w:t>/h，</w:t>
            </w:r>
            <w:r>
              <w:rPr>
                <w:rFonts w:hint="eastAsia" w:hAnsi="Times New Roman" w:eastAsiaTheme="minorEastAsia"/>
                <w:sz w:val="24"/>
                <w:szCs w:val="24"/>
              </w:rPr>
              <w:t>标高1929.34m，高差为1097m。</w:t>
            </w:r>
            <w:r>
              <w:rPr>
                <w:rFonts w:hAnsi="Times New Roman"/>
                <w:sz w:val="24"/>
                <w:szCs w:val="24"/>
              </w:rPr>
              <w:t>再通过二级泵站的4台柱塞泵从200m</w:t>
            </w:r>
            <w:r>
              <w:rPr>
                <w:rFonts w:hAnsi="Times New Roman"/>
                <w:sz w:val="24"/>
                <w:szCs w:val="24"/>
                <w:vertAlign w:val="superscript"/>
              </w:rPr>
              <w:t>3</w:t>
            </w:r>
            <w:r>
              <w:rPr>
                <w:rFonts w:hAnsi="Times New Roman"/>
                <w:sz w:val="24"/>
                <w:szCs w:val="24"/>
              </w:rPr>
              <w:t>取水池取水，</w:t>
            </w:r>
            <w:r>
              <w:rPr>
                <w:rFonts w:hint="eastAsia" w:hAnsi="Times New Roman"/>
                <w:sz w:val="24"/>
                <w:szCs w:val="24"/>
              </w:rPr>
              <w:t>通过加压管道提水至300m</w:t>
            </w:r>
            <w:r>
              <w:rPr>
                <w:rFonts w:hint="eastAsia" w:hAnsi="Times New Roman"/>
                <w:sz w:val="24"/>
                <w:szCs w:val="24"/>
                <w:vertAlign w:val="superscript"/>
              </w:rPr>
              <w:t>3</w:t>
            </w:r>
            <w:r>
              <w:rPr>
                <w:rFonts w:hint="eastAsia" w:hAnsi="Times New Roman"/>
                <w:sz w:val="24"/>
                <w:szCs w:val="24"/>
              </w:rPr>
              <w:t>的0#高位水池和200m</w:t>
            </w:r>
            <w:r>
              <w:rPr>
                <w:rFonts w:hint="eastAsia" w:hAnsi="Times New Roman"/>
                <w:sz w:val="24"/>
                <w:szCs w:val="24"/>
                <w:vertAlign w:val="superscript"/>
              </w:rPr>
              <w:t>3</w:t>
            </w:r>
            <w:r>
              <w:rPr>
                <w:rFonts w:hint="eastAsia" w:hAnsi="Times New Roman"/>
                <w:sz w:val="24"/>
                <w:szCs w:val="24"/>
              </w:rPr>
              <w:t>的1#蓄水池。</w:t>
            </w:r>
            <w:r>
              <w:rPr>
                <w:rFonts w:hAnsi="Times New Roman" w:eastAsiaTheme="minorEastAsia"/>
                <w:sz w:val="24"/>
                <w:szCs w:val="24"/>
              </w:rPr>
              <w:t>管道沿线现状边坡基本稳定，基础持力层主要为残破积层含砾粉质黏土和强风化基岩，承载能力较好，能够满足管道、镇墩、支墩基础要求。二级泵站由一级泵站出水池提水至新建蓄水池，二级泵站提水主管沿线未见基岩出露，地表分布第四系残破积层，力学强度及承载力满足基础持力层要求，管道沿线现状边坡稳定性较好，地下水埋藏较深，对基础施工无影响。管线全部采用明管铺设，减少土石方开挖及植被的损毁，从环境保护角度分析，项目光伏泵站选线是合理的。</w:t>
            </w:r>
          </w:p>
          <w:p>
            <w:pPr>
              <w:pStyle w:val="62"/>
              <w:spacing w:line="360" w:lineRule="auto"/>
              <w:ind w:firstLine="482"/>
              <w:rPr>
                <w:rFonts w:hAnsi="Times New Roman"/>
                <w:b/>
                <w:sz w:val="24"/>
                <w:szCs w:val="24"/>
              </w:rPr>
            </w:pPr>
            <w:r>
              <w:rPr>
                <w:rFonts w:hint="eastAsia" w:hAnsi="Times New Roman"/>
                <w:b/>
                <w:sz w:val="24"/>
                <w:szCs w:val="24"/>
              </w:rPr>
              <w:t>（2）光伏发电场选址选线环境合理性分析</w:t>
            </w:r>
          </w:p>
          <w:p>
            <w:pPr>
              <w:pStyle w:val="62"/>
              <w:spacing w:line="360" w:lineRule="auto"/>
              <w:ind w:firstLine="480"/>
              <w:rPr>
                <w:rFonts w:hAnsi="Times New Roman"/>
                <w:sz w:val="24"/>
                <w:szCs w:val="24"/>
              </w:rPr>
            </w:pPr>
            <w:r>
              <w:rPr>
                <w:rFonts w:hint="eastAsia" w:hAnsi="Times New Roman"/>
                <w:sz w:val="24"/>
                <w:szCs w:val="24"/>
              </w:rPr>
              <w:t>本项目光伏发电场位于项目区域金沙江右侧河岸，占地面积约13.94亩，布置面积9300.78m</w:t>
            </w:r>
            <w:r>
              <w:rPr>
                <w:rFonts w:hint="eastAsia" w:hAnsi="Times New Roman"/>
                <w:sz w:val="24"/>
                <w:szCs w:val="24"/>
                <w:vertAlign w:val="superscript"/>
              </w:rPr>
              <w:t>2</w:t>
            </w:r>
            <w:r>
              <w:rPr>
                <w:rFonts w:hint="eastAsia" w:hAnsi="Times New Roman"/>
                <w:sz w:val="24"/>
                <w:szCs w:val="24"/>
              </w:rPr>
              <w:t>。一级泵站配置潜水泵2台，二级泵站配置4台柱塞泵、潜水泵浮船（3m×4m）1套，总装机功率为830kW。</w:t>
            </w:r>
          </w:p>
          <w:p>
            <w:pPr>
              <w:pStyle w:val="62"/>
              <w:spacing w:line="360" w:lineRule="auto"/>
              <w:ind w:firstLine="480"/>
              <w:rPr>
                <w:rFonts w:hAnsi="Times New Roman"/>
                <w:sz w:val="24"/>
                <w:szCs w:val="24"/>
              </w:rPr>
            </w:pPr>
            <w:r>
              <w:rPr>
                <w:rFonts w:hint="eastAsia" w:hAnsi="Times New Roman"/>
                <w:sz w:val="24"/>
                <w:szCs w:val="24"/>
              </w:rPr>
              <w:t>项目光伏发电场主要由“太阳能光伏发电组件阵列+储能式逆变器+电池组+管理软件”组成，不涉及输变电工程、不涉及升压站及降压站等。</w:t>
            </w:r>
          </w:p>
          <w:p>
            <w:pPr>
              <w:pStyle w:val="62"/>
              <w:spacing w:line="360" w:lineRule="auto"/>
              <w:ind w:firstLine="480"/>
              <w:rPr>
                <w:rFonts w:hAnsi="Times New Roman"/>
                <w:sz w:val="24"/>
                <w:szCs w:val="24"/>
              </w:rPr>
            </w:pPr>
            <w:r>
              <w:rPr>
                <w:rFonts w:hint="eastAsia" w:hAnsi="Times New Roman"/>
                <w:sz w:val="24"/>
                <w:szCs w:val="24"/>
              </w:rPr>
              <w:t>项目光伏发电场所在位置有利于太阳能能源的稳定输出，适宜建光伏发电系统，太阳能资源稳定度属很稳定级别。项目占地范围内不占用基本农田等生态敏感区，地形开阔平坦，周围无高大建筑物，不会产生遮光等不利于光伏发电的情况可最大程度发挥太阳能资源优势。</w:t>
            </w:r>
            <w:r>
              <w:rPr>
                <w:rFonts w:hAnsi="Times New Roman" w:eastAsiaTheme="minorEastAsia"/>
                <w:sz w:val="24"/>
                <w:szCs w:val="24"/>
              </w:rPr>
              <w:t>从环境保护角度分析，项目光伏发电场选址是合理的。</w:t>
            </w:r>
          </w:p>
          <w:p>
            <w:pPr>
              <w:pStyle w:val="62"/>
              <w:spacing w:line="360" w:lineRule="auto"/>
              <w:ind w:firstLine="482"/>
              <w:rPr>
                <w:rFonts w:hAnsi="Times New Roman"/>
                <w:b/>
                <w:sz w:val="24"/>
                <w:szCs w:val="24"/>
              </w:rPr>
            </w:pPr>
            <w:r>
              <w:rPr>
                <w:rFonts w:hint="eastAsia" w:hAnsi="Times New Roman"/>
                <w:b/>
                <w:sz w:val="24"/>
                <w:szCs w:val="24"/>
              </w:rPr>
              <w:t>（3）提水管道选址选线环境合理性分析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项目新建提水管道</w:t>
            </w:r>
            <w:r>
              <w:rPr>
                <w:rFonts w:hint="eastAsia" w:ascii="Times New Roman" w:hAnsi="Times New Roman" w:cs="Times New Roman"/>
                <w:sz w:val="24"/>
                <w:szCs w:val="24"/>
              </w:rPr>
              <w:t>3条，分别为供水主管、配水主管及配水支管。</w:t>
            </w:r>
          </w:p>
          <w:p>
            <w:pPr>
              <w:pStyle w:val="62"/>
              <w:spacing w:line="360" w:lineRule="auto"/>
              <w:ind w:firstLine="480"/>
              <w:rPr>
                <w:rFonts w:hAnsi="Times New Roman"/>
                <w:b/>
                <w:sz w:val="24"/>
                <w:szCs w:val="24"/>
              </w:rPr>
            </w:pPr>
            <w:r>
              <w:rPr>
                <w:rFonts w:hint="eastAsia" w:hAnsi="Times New Roman"/>
                <w:sz w:val="24"/>
                <w:szCs w:val="24"/>
              </w:rPr>
              <w:t>其中供水主管总长4757.3m，</w:t>
            </w:r>
            <w:r>
              <w:rPr>
                <w:rFonts w:hAnsi="Times New Roman"/>
                <w:sz w:val="24"/>
                <w:szCs w:val="24"/>
              </w:rPr>
              <w:t>起点坐标东经103°</w:t>
            </w:r>
            <w:r>
              <w:rPr>
                <w:rFonts w:hint="eastAsia" w:hAnsi="Times New Roman"/>
                <w:sz w:val="24"/>
                <w:szCs w:val="24"/>
              </w:rPr>
              <w:t>0</w:t>
            </w:r>
            <w:r>
              <w:rPr>
                <w:rFonts w:hAnsi="Times New Roman"/>
                <w:sz w:val="24"/>
                <w:szCs w:val="24"/>
              </w:rPr>
              <w:t>′</w:t>
            </w:r>
            <w:r>
              <w:rPr>
                <w:rFonts w:hint="eastAsia" w:hAnsi="Times New Roman"/>
                <w:sz w:val="24"/>
                <w:szCs w:val="24"/>
              </w:rPr>
              <w:t>0.700</w:t>
            </w:r>
            <w:r>
              <w:rPr>
                <w:rFonts w:hAnsi="Times New Roman"/>
                <w:sz w:val="24"/>
                <w:szCs w:val="24"/>
              </w:rPr>
              <w:t>″，北纬</w:t>
            </w:r>
            <w:r>
              <w:rPr>
                <w:rFonts w:hint="eastAsia" w:hAnsi="Times New Roman"/>
                <w:sz w:val="24"/>
                <w:szCs w:val="24"/>
              </w:rPr>
              <w:t>26</w:t>
            </w:r>
            <w:r>
              <w:rPr>
                <w:rFonts w:hAnsi="Times New Roman"/>
                <w:sz w:val="24"/>
                <w:szCs w:val="24"/>
              </w:rPr>
              <w:t>°</w:t>
            </w:r>
            <w:r>
              <w:rPr>
                <w:rFonts w:hint="eastAsia" w:hAnsi="Times New Roman"/>
                <w:sz w:val="24"/>
                <w:szCs w:val="24"/>
              </w:rPr>
              <w:t>27</w:t>
            </w:r>
            <w:r>
              <w:rPr>
                <w:rFonts w:hAnsi="Times New Roman"/>
                <w:sz w:val="24"/>
                <w:szCs w:val="24"/>
              </w:rPr>
              <w:t>′</w:t>
            </w:r>
            <w:r>
              <w:rPr>
                <w:rFonts w:hint="eastAsia" w:hAnsi="Times New Roman"/>
                <w:sz w:val="24"/>
                <w:szCs w:val="24"/>
              </w:rPr>
              <w:t>9.791</w:t>
            </w:r>
            <w:r>
              <w:rPr>
                <w:rFonts w:hAnsi="Times New Roman"/>
                <w:sz w:val="24"/>
                <w:szCs w:val="24"/>
              </w:rPr>
              <w:t>″。</w:t>
            </w:r>
            <w:r>
              <w:rPr>
                <w:rFonts w:hint="eastAsia" w:hAnsi="Times New Roman"/>
                <w:sz w:val="24"/>
                <w:szCs w:val="24"/>
              </w:rPr>
              <w:t>大致呈东北走向，起点为二级岸边地面泵站200m</w:t>
            </w:r>
            <w:r>
              <w:rPr>
                <w:rFonts w:hint="eastAsia" w:hAnsi="Times New Roman"/>
                <w:sz w:val="24"/>
                <w:szCs w:val="24"/>
                <w:vertAlign w:val="superscript"/>
              </w:rPr>
              <w:t>3</w:t>
            </w:r>
            <w:r>
              <w:rPr>
                <w:rFonts w:hint="eastAsia" w:hAnsi="Times New Roman"/>
                <w:sz w:val="24"/>
                <w:szCs w:val="24"/>
              </w:rPr>
              <w:t>的取水池，途经老黑岩、小凹子、张家湾，终点至小坪子300m</w:t>
            </w:r>
            <w:r>
              <w:rPr>
                <w:rFonts w:hint="eastAsia" w:hAnsi="Times New Roman"/>
                <w:sz w:val="24"/>
                <w:szCs w:val="24"/>
                <w:vertAlign w:val="superscript"/>
              </w:rPr>
              <w:t>3</w:t>
            </w:r>
            <w:r>
              <w:rPr>
                <w:rFonts w:hint="eastAsia" w:hAnsi="Times New Roman"/>
                <w:sz w:val="24"/>
                <w:szCs w:val="24"/>
              </w:rPr>
              <w:t>的0#高位水池</w:t>
            </w:r>
            <w:r>
              <w:rPr>
                <w:rFonts w:hAnsi="Times New Roman"/>
                <w:sz w:val="24"/>
                <w:szCs w:val="24"/>
              </w:rPr>
              <w:t>。</w:t>
            </w:r>
            <w:r>
              <w:rPr>
                <w:rFonts w:hint="eastAsia" w:hAnsi="Times New Roman"/>
                <w:sz w:val="24"/>
                <w:szCs w:val="24"/>
              </w:rPr>
              <w:t>终</w:t>
            </w:r>
            <w:r>
              <w:rPr>
                <w:rFonts w:hAnsi="Times New Roman"/>
                <w:sz w:val="24"/>
                <w:szCs w:val="24"/>
              </w:rPr>
              <w:t>点坐标东经103°</w:t>
            </w:r>
            <w:r>
              <w:rPr>
                <w:rFonts w:hint="eastAsia" w:hAnsi="Times New Roman"/>
                <w:sz w:val="24"/>
                <w:szCs w:val="24"/>
              </w:rPr>
              <w:t>1</w:t>
            </w:r>
            <w:r>
              <w:rPr>
                <w:rFonts w:hAnsi="Times New Roman"/>
                <w:sz w:val="24"/>
                <w:szCs w:val="24"/>
              </w:rPr>
              <w:t>′</w:t>
            </w:r>
            <w:r>
              <w:rPr>
                <w:rFonts w:hint="eastAsia" w:hAnsi="Times New Roman"/>
                <w:sz w:val="24"/>
                <w:szCs w:val="24"/>
              </w:rPr>
              <w:t>29.690</w:t>
            </w:r>
            <w:r>
              <w:rPr>
                <w:rFonts w:hAnsi="Times New Roman"/>
                <w:sz w:val="24"/>
                <w:szCs w:val="24"/>
              </w:rPr>
              <w:t>″，北纬</w:t>
            </w:r>
            <w:r>
              <w:rPr>
                <w:rFonts w:hint="eastAsia" w:hAnsi="Times New Roman"/>
                <w:sz w:val="24"/>
                <w:szCs w:val="24"/>
              </w:rPr>
              <w:t>26</w:t>
            </w:r>
            <w:r>
              <w:rPr>
                <w:rFonts w:hAnsi="Times New Roman"/>
                <w:sz w:val="24"/>
                <w:szCs w:val="24"/>
              </w:rPr>
              <w:t>°</w:t>
            </w:r>
            <w:r>
              <w:rPr>
                <w:rFonts w:hint="eastAsia" w:hAnsi="Times New Roman"/>
                <w:sz w:val="24"/>
                <w:szCs w:val="24"/>
              </w:rPr>
              <w:t>27</w:t>
            </w:r>
            <w:r>
              <w:rPr>
                <w:rFonts w:hAnsi="Times New Roman"/>
                <w:sz w:val="24"/>
                <w:szCs w:val="24"/>
              </w:rPr>
              <w:t>′</w:t>
            </w:r>
            <w:r>
              <w:rPr>
                <w:rFonts w:hint="eastAsia" w:hAnsi="Times New Roman"/>
                <w:sz w:val="24"/>
                <w:szCs w:val="24"/>
              </w:rPr>
              <w:t>56.758</w:t>
            </w:r>
            <w:r>
              <w:rPr>
                <w:rFonts w:hAnsi="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配水主管总长2940m，</w:t>
            </w:r>
            <w:r>
              <w:rPr>
                <w:rFonts w:ascii="Times New Roman" w:hAnsi="Times New Roman" w:cs="Times New Roman"/>
                <w:sz w:val="24"/>
                <w:szCs w:val="24"/>
              </w:rPr>
              <w:t>起点坐标东经103°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28.685</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49.728</w:t>
            </w:r>
            <w:r>
              <w:rPr>
                <w:rFonts w:ascii="Times New Roman" w:hAnsi="Times New Roman" w:cs="Times New Roman"/>
                <w:sz w:val="24"/>
                <w:szCs w:val="24"/>
              </w:rPr>
              <w:t>″。</w:t>
            </w:r>
            <w:r>
              <w:rPr>
                <w:rFonts w:hint="eastAsia" w:ascii="Times New Roman" w:hAnsi="Times New Roman" w:cs="Times New Roman"/>
                <w:sz w:val="24"/>
                <w:szCs w:val="24"/>
              </w:rPr>
              <w:t>大致呈东西走向，起点为小坪子300m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的0#高位水池，途径小坪子后沿布格公路东西向走向，经赵家村、象鼻村，终点至金家包200m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55.606</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3.110</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配水支管7380m，其中地间配水支管DN100热镀锌钢管长4896m，地间配水支管DN50热镀锌钢管长2484m。分别沿供水主管、配水主管呈东北、东南走向。配水支管主要沿供水主管、配水主管及200m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的1#蓄水池布置，共6根支管，分配至2#~8#蓄水池、小海子已建坝塘、小坪子已建蓄水池。</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提水管道线路走向和位置符合灌区配水管网的总体规划要求，做到了尽可能沿已建的道路边侧铺设，少占农田，避让树木，少毁植被，减少了水土流失。因此，从环境保护角度评价，提水管道选线是合理的。</w:t>
            </w:r>
          </w:p>
          <w:p>
            <w:pPr>
              <w:pStyle w:val="62"/>
              <w:spacing w:line="360" w:lineRule="auto"/>
              <w:ind w:firstLine="482"/>
              <w:rPr>
                <w:rFonts w:hAnsi="Times New Roman"/>
                <w:b/>
                <w:sz w:val="24"/>
                <w:szCs w:val="24"/>
              </w:rPr>
            </w:pPr>
            <w:r>
              <w:rPr>
                <w:rFonts w:hint="eastAsia" w:hAnsi="Times New Roman"/>
                <w:b/>
                <w:sz w:val="24"/>
                <w:szCs w:val="24"/>
              </w:rPr>
              <w:t>（4）水池选址选线环境合理性分析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根据项目灌区分布位置和面积等，本工程共新建了</w:t>
            </w:r>
            <w:r>
              <w:rPr>
                <w:rFonts w:hint="eastAsia" w:ascii="Times New Roman" w:hAnsi="Times New Roman" w:cs="Times New Roman"/>
                <w:sz w:val="24"/>
                <w:szCs w:val="24"/>
              </w:rPr>
              <w:t>10座</w:t>
            </w:r>
            <w:r>
              <w:rPr>
                <w:rFonts w:ascii="Times New Roman" w:hAnsi="Times New Roman" w:cs="Times New Roman"/>
                <w:sz w:val="24"/>
                <w:szCs w:val="24"/>
              </w:rPr>
              <w:t>水池，其中</w:t>
            </w:r>
            <w:r>
              <w:rPr>
                <w:rFonts w:hint="eastAsia" w:ascii="Times New Roman" w:hAnsi="Times New Roman" w:cs="Times New Roman"/>
                <w:sz w:val="24"/>
                <w:szCs w:val="24"/>
              </w:rPr>
              <w:t>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取水池1座、300m</w:t>
            </w:r>
            <w:r>
              <w:rPr>
                <w:rFonts w:hint="eastAsia" w:ascii="Times New Roman" w:hAnsi="Times New Roman" w:cs="Times New Roman"/>
                <w:sz w:val="24"/>
                <w:szCs w:val="24"/>
                <w:vertAlign w:val="superscript"/>
              </w:rPr>
              <w:t>3</w:t>
            </w:r>
            <w:r>
              <w:rPr>
                <w:rFonts w:ascii="Times New Roman" w:hAnsi="Times New Roman" w:cs="Times New Roman"/>
                <w:sz w:val="24"/>
                <w:szCs w:val="24"/>
              </w:rPr>
              <w:t>的0#</w:t>
            </w:r>
            <w:r>
              <w:rPr>
                <w:rFonts w:hint="eastAsia" w:ascii="Times New Roman" w:hAnsi="Times New Roman" w:cs="Times New Roman"/>
                <w:sz w:val="24"/>
                <w:szCs w:val="24"/>
              </w:rPr>
              <w:t>高位水池1座、200m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蓄水池8座（1#~8#）。</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依据水工布置，水池一般布置于缓坡地段以及山地平缓地段，地形坡度5～15°左右，沿线水池位置未分布断层，水池周边地形较平缓，无滑坡、崩塌、泥石流等不良物理地质现象分布，不存在边坡稳定问题，地下水埋深深，施工不受地下水影响。因此，水池所在区域无明显环境制约因素，不会对周围环境造成明显的不利影响，项目水池选址合理可行。</w:t>
            </w:r>
          </w:p>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4.4 项目施工选址环境影响程度分析</w:t>
            </w:r>
          </w:p>
          <w:p>
            <w:pPr>
              <w:pStyle w:val="62"/>
              <w:spacing w:line="360" w:lineRule="auto"/>
              <w:ind w:firstLine="480"/>
              <w:rPr>
                <w:rFonts w:hAnsi="Times New Roman"/>
                <w:sz w:val="24"/>
                <w:szCs w:val="24"/>
              </w:rPr>
            </w:pPr>
            <w:r>
              <w:rPr>
                <w:rFonts w:hAnsi="Times New Roman"/>
                <w:sz w:val="24"/>
                <w:szCs w:val="24"/>
              </w:rPr>
              <w:t>该项目为</w:t>
            </w:r>
            <w:r>
              <w:rPr>
                <w:rFonts w:hint="eastAsia" w:hAnsi="Times New Roman"/>
                <w:sz w:val="24"/>
                <w:szCs w:val="24"/>
              </w:rPr>
              <w:t>引水</w:t>
            </w:r>
            <w:r>
              <w:rPr>
                <w:rFonts w:hAnsi="Times New Roman"/>
                <w:sz w:val="24"/>
                <w:szCs w:val="24"/>
              </w:rPr>
              <w:t>工程项目，对施工期间破坏的各种植被、临时占用的植被及施工迹地按照水土保持措施通过实施生态恢复措施使其逐步得到恢复。项目施工时间短，对项目的建设随着施工期的结束而结束，项目施工期间对环境影响程度较小。项目建设完成后有利于</w:t>
            </w:r>
            <w:r>
              <w:rPr>
                <w:rFonts w:hint="eastAsia" w:hAnsi="Times New Roman"/>
                <w:sz w:val="24"/>
                <w:szCs w:val="24"/>
              </w:rPr>
              <w:t>改变目前的灌溉条件，能有效提高象鼻村以工代赈灌区水资源利用效率和灌溉保证率，有利于减轻水资源短缺给农业生产造成的损失，保证作物稳产、高产。</w:t>
            </w:r>
            <w:r>
              <w:rPr>
                <w:rFonts w:hAnsi="Times New Roman"/>
                <w:sz w:val="24"/>
                <w:szCs w:val="24"/>
              </w:rPr>
              <w:t>综上，项目的建设对环境影响程度较小。选址合理可行。</w:t>
            </w: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0" w:firstLineChars="0"/>
              <w:rPr>
                <w:rFonts w:hAnsi="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五、主要生态环境保护措施</w:t>
      </w:r>
    </w:p>
    <w:tbl>
      <w:tblPr>
        <w:tblStyle w:val="2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施工期生态环境保护措施</w:t>
            </w:r>
          </w:p>
        </w:tc>
        <w:tc>
          <w:tcPr>
            <w:tcW w:w="8834" w:type="dxa"/>
            <w:vAlign w:val="center"/>
          </w:tcPr>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5.1 施工期环境保护措施</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5.1.1 施工期生态保护措施</w:t>
            </w:r>
          </w:p>
          <w:p>
            <w:pPr>
              <w:pStyle w:val="62"/>
              <w:spacing w:line="360" w:lineRule="auto"/>
              <w:ind w:firstLine="480"/>
              <w:rPr>
                <w:rFonts w:hAnsi="Times New Roman"/>
                <w:sz w:val="24"/>
                <w:szCs w:val="24"/>
              </w:rPr>
            </w:pPr>
            <w:r>
              <w:rPr>
                <w:rFonts w:hAnsi="Times New Roman"/>
                <w:sz w:val="24"/>
                <w:szCs w:val="24"/>
              </w:rPr>
              <w:t>项目属于</w:t>
            </w:r>
            <w:r>
              <w:rPr>
                <w:rFonts w:hint="eastAsia" w:hAnsi="Times New Roman"/>
                <w:sz w:val="24"/>
                <w:szCs w:val="24"/>
              </w:rPr>
              <w:t>引水</w:t>
            </w:r>
            <w:r>
              <w:rPr>
                <w:rFonts w:hAnsi="Times New Roman"/>
                <w:sz w:val="24"/>
                <w:szCs w:val="24"/>
              </w:rPr>
              <w:t>工程项目，项目建设的能</w:t>
            </w:r>
            <w:r>
              <w:rPr>
                <w:rFonts w:hint="eastAsia" w:hAnsi="Times New Roman"/>
                <w:sz w:val="24"/>
                <w:szCs w:val="24"/>
              </w:rPr>
              <w:t>改变目前的灌溉条件，能有效提高象鼻村以工代赈灌区水资源利用效率和灌溉保证率，有利于减轻水资源短缺给农业生产造成的损失，保证作物稳产、高产。</w:t>
            </w:r>
            <w:r>
              <w:rPr>
                <w:rFonts w:hAnsi="Times New Roman"/>
                <w:sz w:val="24"/>
                <w:szCs w:val="24"/>
              </w:rPr>
              <w:t>根据生态环境影响分析可知，该项目的建设不会对重点保护野生植物造成影响，不涉及涉及生态修复，不涉及环境敏感区；根据《环境影响评价技术导则 生态环境影》（HJ19-2022）的要求，结合项目的实际情况，该项目采取的生态保护措施如下：</w:t>
            </w:r>
          </w:p>
          <w:p>
            <w:pPr>
              <w:spacing w:line="360" w:lineRule="auto"/>
              <w:ind w:firstLine="481" w:firstLineChars="200"/>
              <w:rPr>
                <w:rFonts w:ascii="Times New Roman" w:hAnsi="Times New Roman" w:cs="Times New Roman"/>
                <w:b/>
                <w:sz w:val="24"/>
              </w:rPr>
            </w:pPr>
            <w:r>
              <w:rPr>
                <w:rFonts w:ascii="Times New Roman" w:hAnsi="Times New Roman" w:cs="Times New Roman"/>
                <w:b/>
                <w:sz w:val="24"/>
              </w:rPr>
              <w:t>（1）土地利用影响保护措施</w:t>
            </w:r>
          </w:p>
          <w:p>
            <w:pPr>
              <w:pStyle w:val="62"/>
              <w:spacing w:line="360" w:lineRule="auto"/>
              <w:ind w:firstLine="480"/>
              <w:rPr>
                <w:rFonts w:hAnsi="Times New Roman"/>
                <w:sz w:val="24"/>
                <w:szCs w:val="24"/>
              </w:rPr>
            </w:pPr>
            <w:r>
              <w:rPr>
                <w:rFonts w:hint="eastAsia" w:ascii="宋体" w:cs="宋体"/>
                <w:sz w:val="24"/>
                <w:szCs w:val="24"/>
              </w:rPr>
              <w:t>①</w:t>
            </w:r>
            <w:r>
              <w:rPr>
                <w:rFonts w:hAnsi="Times New Roman"/>
                <w:sz w:val="24"/>
                <w:szCs w:val="24"/>
              </w:rPr>
              <w:t>项目施工占用土地，工程施工中应严格按设计开挖，不得随意扩大开挖范围，尽量减少对土地的毁坏。</w:t>
            </w:r>
          </w:p>
          <w:p>
            <w:pPr>
              <w:pStyle w:val="62"/>
              <w:spacing w:line="360" w:lineRule="auto"/>
              <w:ind w:firstLine="480"/>
              <w:rPr>
                <w:rFonts w:hAnsi="Times New Roman"/>
                <w:sz w:val="24"/>
                <w:szCs w:val="24"/>
              </w:rPr>
            </w:pPr>
            <w:r>
              <w:rPr>
                <w:rFonts w:hint="eastAsia" w:ascii="宋体" w:cs="宋体"/>
                <w:sz w:val="24"/>
                <w:szCs w:val="24"/>
              </w:rPr>
              <w:t>②</w:t>
            </w:r>
            <w:r>
              <w:rPr>
                <w:rFonts w:hAnsi="Times New Roman"/>
                <w:sz w:val="24"/>
                <w:szCs w:val="24"/>
              </w:rPr>
              <w:t>加强对施工人员进行生态环境保护的宣传教育，禁止盗伐树木、花草。对施工区裸露地面，施工完毕后及时进行生态恢复。</w:t>
            </w:r>
          </w:p>
          <w:p>
            <w:pPr>
              <w:pStyle w:val="62"/>
              <w:spacing w:line="360" w:lineRule="auto"/>
              <w:ind w:firstLine="480"/>
              <w:rPr>
                <w:rFonts w:hAnsi="Times New Roman"/>
                <w:sz w:val="24"/>
                <w:szCs w:val="24"/>
              </w:rPr>
            </w:pPr>
            <w:r>
              <w:rPr>
                <w:rFonts w:hint="eastAsia" w:ascii="宋体" w:cs="宋体"/>
                <w:sz w:val="24"/>
                <w:szCs w:val="24"/>
              </w:rPr>
              <w:t>③</w:t>
            </w:r>
            <w:r>
              <w:rPr>
                <w:rFonts w:hAnsi="Times New Roman"/>
                <w:sz w:val="24"/>
                <w:szCs w:val="24"/>
              </w:rPr>
              <w:t>进行护林防火安全教育，不得在林区、草地吸烟及使用明火。</w:t>
            </w:r>
          </w:p>
          <w:p>
            <w:pPr>
              <w:pStyle w:val="62"/>
              <w:spacing w:line="360" w:lineRule="auto"/>
              <w:ind w:firstLine="480"/>
              <w:rPr>
                <w:rFonts w:hAnsi="Times New Roman"/>
                <w:sz w:val="24"/>
                <w:szCs w:val="24"/>
              </w:rPr>
            </w:pPr>
            <w:r>
              <w:rPr>
                <w:rFonts w:hint="eastAsia" w:ascii="宋体" w:cs="宋体"/>
                <w:sz w:val="24"/>
                <w:szCs w:val="24"/>
              </w:rPr>
              <w:t>④</w:t>
            </w:r>
            <w:r>
              <w:rPr>
                <w:rFonts w:hAnsi="Times New Roman"/>
                <w:sz w:val="24"/>
                <w:szCs w:val="24"/>
              </w:rPr>
              <w:t>施工生产区必须在工程完工后，立即进行平整覆土种树、植草，以尽快恢复植被。</w:t>
            </w:r>
          </w:p>
          <w:p>
            <w:pPr>
              <w:pStyle w:val="62"/>
              <w:spacing w:line="360" w:lineRule="auto"/>
              <w:ind w:firstLine="480"/>
              <w:rPr>
                <w:rFonts w:hAnsi="Times New Roman"/>
                <w:sz w:val="24"/>
                <w:szCs w:val="24"/>
              </w:rPr>
            </w:pPr>
            <w:r>
              <w:rPr>
                <w:rFonts w:hint="eastAsia" w:ascii="宋体" w:cs="宋体"/>
                <w:sz w:val="24"/>
                <w:szCs w:val="24"/>
              </w:rPr>
              <w:t>⑤</w:t>
            </w:r>
            <w:r>
              <w:rPr>
                <w:rFonts w:hAnsi="Times New Roman"/>
                <w:sz w:val="24"/>
                <w:szCs w:val="24"/>
              </w:rPr>
              <w:t>永久占地的生态恢复重点是做好绿化美化工作，加强永久占地两侧植物的保护。在两岸植被种植时尽量塑造近自然水域形态和亲水岸线，尽量避免采取完全硬化措施。</w:t>
            </w:r>
          </w:p>
          <w:p>
            <w:pPr>
              <w:spacing w:line="360" w:lineRule="auto"/>
              <w:ind w:firstLine="481" w:firstLineChars="200"/>
              <w:rPr>
                <w:rFonts w:ascii="Times New Roman" w:hAnsi="Times New Roman" w:cs="Times New Roman"/>
                <w:b/>
                <w:sz w:val="24"/>
              </w:rPr>
            </w:pPr>
            <w:r>
              <w:rPr>
                <w:rFonts w:hint="eastAsia" w:ascii="Times New Roman" w:hAnsi="Times New Roman" w:cs="Times New Roman"/>
                <w:b/>
                <w:sz w:val="24"/>
              </w:rPr>
              <w:t>（2）对植被、植物的保护措施</w:t>
            </w:r>
          </w:p>
          <w:p>
            <w:pPr>
              <w:pStyle w:val="62"/>
              <w:spacing w:line="360" w:lineRule="auto"/>
              <w:ind w:firstLine="480"/>
              <w:rPr>
                <w:rFonts w:hAnsi="Times New Roman"/>
                <w:sz w:val="24"/>
                <w:szCs w:val="24"/>
              </w:rPr>
            </w:pPr>
            <w:r>
              <w:rPr>
                <w:rFonts w:hAnsi="Times New Roman"/>
                <w:sz w:val="24"/>
                <w:szCs w:val="24"/>
              </w:rPr>
              <w:t>为了减少工程占地对植被的破坏，对项目占地范围内的植被表层土壤进行剥离，待工程结束后用于植被恢复和复耕覆土。项目在施工生产区各设置1个临时表土堆场，用于堆放本区内的表土。光伏泵站</w:t>
            </w:r>
            <w:r>
              <w:rPr>
                <w:rFonts w:hint="eastAsia" w:hAnsi="Times New Roman"/>
                <w:sz w:val="24"/>
                <w:szCs w:val="24"/>
              </w:rPr>
              <w:t>工程</w:t>
            </w:r>
            <w:r>
              <w:rPr>
                <w:rFonts w:hAnsi="Times New Roman"/>
                <w:sz w:val="24"/>
                <w:szCs w:val="24"/>
              </w:rPr>
              <w:t>剥离的表土</w:t>
            </w:r>
            <w:r>
              <w:rPr>
                <w:rFonts w:hint="eastAsia" w:hAnsi="Times New Roman"/>
                <w:sz w:val="24"/>
                <w:szCs w:val="24"/>
              </w:rPr>
              <w:t>2510</w:t>
            </w:r>
            <w:r>
              <w:rPr>
                <w:rFonts w:hAnsi="Times New Roman"/>
                <w:sz w:val="24"/>
                <w:szCs w:val="24"/>
              </w:rPr>
              <w:t>m</w:t>
            </w:r>
            <w:r>
              <w:rPr>
                <w:rFonts w:hAnsi="Times New Roman"/>
                <w:sz w:val="24"/>
                <w:szCs w:val="24"/>
                <w:vertAlign w:val="superscript"/>
              </w:rPr>
              <w:t>3</w:t>
            </w:r>
            <w:r>
              <w:rPr>
                <w:rFonts w:hAnsi="Times New Roman"/>
                <w:sz w:val="24"/>
                <w:szCs w:val="24"/>
              </w:rPr>
              <w:t>，</w:t>
            </w:r>
            <w:r>
              <w:rPr>
                <w:rFonts w:hint="eastAsia" w:hAnsi="Times New Roman"/>
                <w:sz w:val="24"/>
                <w:szCs w:val="24"/>
              </w:rPr>
              <w:t>1#施工生产区</w:t>
            </w:r>
            <w:r>
              <w:rPr>
                <w:rFonts w:hAnsi="Times New Roman"/>
                <w:sz w:val="24"/>
                <w:szCs w:val="24"/>
              </w:rPr>
              <w:t>剥离的表土</w:t>
            </w:r>
            <w:r>
              <w:rPr>
                <w:rFonts w:hint="eastAsia" w:hAnsi="Times New Roman"/>
                <w:sz w:val="24"/>
                <w:szCs w:val="24"/>
              </w:rPr>
              <w:t>170</w:t>
            </w:r>
            <w:r>
              <w:rPr>
                <w:rFonts w:hAnsi="Times New Roman"/>
                <w:sz w:val="24"/>
                <w:szCs w:val="24"/>
              </w:rPr>
              <w:t>m</w:t>
            </w:r>
            <w:r>
              <w:rPr>
                <w:rFonts w:hAnsi="Times New Roman"/>
                <w:sz w:val="24"/>
                <w:szCs w:val="24"/>
                <w:vertAlign w:val="superscript"/>
              </w:rPr>
              <w:t>3</w:t>
            </w:r>
            <w:r>
              <w:rPr>
                <w:rFonts w:hAnsi="Times New Roman"/>
                <w:sz w:val="24"/>
                <w:szCs w:val="24"/>
              </w:rPr>
              <w:t>，临时堆存于</w:t>
            </w:r>
            <w:r>
              <w:rPr>
                <w:rFonts w:hint="eastAsia" w:hAnsi="Times New Roman"/>
                <w:sz w:val="24"/>
                <w:szCs w:val="24"/>
              </w:rPr>
              <w:t>1#临时表土堆场，1#临时</w:t>
            </w:r>
            <w:r>
              <w:rPr>
                <w:rFonts w:hAnsi="Times New Roman"/>
                <w:sz w:val="24"/>
                <w:szCs w:val="24"/>
              </w:rPr>
              <w:t>表土堆场平均堆高3m，堆土坡比1:2；</w:t>
            </w:r>
            <w:r>
              <w:rPr>
                <w:rFonts w:hint="eastAsia" w:hAnsi="Times New Roman"/>
                <w:sz w:val="24"/>
                <w:szCs w:val="24"/>
              </w:rPr>
              <w:t>2#施工生产区、3#施工生产区</w:t>
            </w:r>
            <w:r>
              <w:rPr>
                <w:rFonts w:hAnsi="Times New Roman"/>
                <w:sz w:val="24"/>
                <w:szCs w:val="24"/>
              </w:rPr>
              <w:t>剥离的表土分别为</w:t>
            </w:r>
            <w:r>
              <w:rPr>
                <w:rFonts w:hint="eastAsia" w:hAnsi="Times New Roman"/>
                <w:sz w:val="24"/>
                <w:szCs w:val="24"/>
              </w:rPr>
              <w:t>70</w:t>
            </w:r>
            <w:r>
              <w:rPr>
                <w:rFonts w:hAnsi="Times New Roman"/>
                <w:sz w:val="24"/>
                <w:szCs w:val="24"/>
              </w:rPr>
              <w:t>m</w:t>
            </w:r>
            <w:r>
              <w:rPr>
                <w:rFonts w:hAnsi="Times New Roman"/>
                <w:sz w:val="24"/>
                <w:szCs w:val="24"/>
                <w:vertAlign w:val="superscript"/>
              </w:rPr>
              <w:t>3</w:t>
            </w:r>
            <w:r>
              <w:rPr>
                <w:rFonts w:hAnsi="Times New Roman"/>
                <w:sz w:val="24"/>
                <w:szCs w:val="24"/>
              </w:rPr>
              <w:t>，分别堆放于</w:t>
            </w:r>
            <w:r>
              <w:rPr>
                <w:rFonts w:hint="eastAsia" w:hAnsi="Times New Roman"/>
                <w:sz w:val="24"/>
                <w:szCs w:val="24"/>
              </w:rPr>
              <w:t>2#、3#临时表土堆场，</w:t>
            </w:r>
            <w:r>
              <w:rPr>
                <w:rFonts w:hAnsi="Times New Roman"/>
                <w:sz w:val="24"/>
                <w:szCs w:val="24"/>
              </w:rPr>
              <w:t>表土堆场平均堆高3m，堆土坡比1:2。</w:t>
            </w:r>
          </w:p>
          <w:p>
            <w:pPr>
              <w:pStyle w:val="62"/>
              <w:spacing w:line="360" w:lineRule="auto"/>
              <w:ind w:firstLine="480"/>
              <w:rPr>
                <w:rFonts w:hAnsi="Times New Roman"/>
                <w:sz w:val="24"/>
                <w:szCs w:val="24"/>
              </w:rPr>
            </w:pPr>
            <w:r>
              <w:rPr>
                <w:rFonts w:hint="eastAsia" w:hAnsi="Times New Roman"/>
                <w:sz w:val="24"/>
                <w:szCs w:val="24"/>
              </w:rPr>
              <w:t>对光伏方阵空地和未利用地等不扰动区域加强管理，严格控制施工扰动范围，太阳能电池板等设备安装控制在扰动范围内，禁止对光伏方阵空地不扰动区域的植被造成破坏。太阳能电池板正下方部分宜布置喜阴的低小植物、农作物或草坪，且尽量保留原有的植被，选种可选择当地容易成活的常见植被，不能引进外来物种。根据项目可行性研究报告，本项目在光伏发电区可种植油用紫茎泽兰、鬼针草等当地常见植被。</w:t>
            </w:r>
          </w:p>
          <w:p>
            <w:pPr>
              <w:pStyle w:val="62"/>
              <w:spacing w:line="360" w:lineRule="auto"/>
              <w:ind w:firstLine="480"/>
              <w:rPr>
                <w:rFonts w:hAnsi="Times New Roman"/>
                <w:sz w:val="24"/>
                <w:szCs w:val="24"/>
              </w:rPr>
            </w:pPr>
            <w:r>
              <w:rPr>
                <w:rFonts w:hAnsi="Times New Roman"/>
                <w:sz w:val="24"/>
                <w:szCs w:val="24"/>
              </w:rPr>
              <w:t>施工单位应严格按征地范围施工，严禁擅自扩大施工场地，减少不必要的地表扰动和植被破坏。对施工区的高大乔木，能避让的尽量避让，减少工程建设对植被植物的影响。加强对施工人员的环境宣传教育，爱护植被，严禁砍伐征地范围外的林木植被，最大限度减轻生态影响。</w:t>
            </w:r>
          </w:p>
          <w:p>
            <w:pPr>
              <w:spacing w:line="360" w:lineRule="auto"/>
              <w:ind w:firstLine="481" w:firstLineChars="200"/>
              <w:rPr>
                <w:rFonts w:ascii="Times New Roman" w:hAnsi="Times New Roman" w:cs="Times New Roman"/>
                <w:b/>
                <w:sz w:val="24"/>
              </w:rPr>
            </w:pPr>
            <w:r>
              <w:rPr>
                <w:rFonts w:hint="eastAsia" w:ascii="Times New Roman" w:hAnsi="Times New Roman" w:cs="Times New Roman"/>
                <w:b/>
                <w:sz w:val="24"/>
              </w:rPr>
              <w:t>（3）对动物的保护措施</w:t>
            </w:r>
          </w:p>
          <w:p>
            <w:pPr>
              <w:pStyle w:val="15"/>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严格控制施工占地范围，保护动物生存环境。施工结束后及时对施工迹地进行复耕及植被恢复。通过环境保护法律知识普及、在施工区设置野生动物保护警示牌等措施，树立施工人员环保意识。严禁施工人员猎杀、购买和食用野生动物。</w:t>
            </w:r>
          </w:p>
          <w:p>
            <w:pPr>
              <w:spacing w:line="360" w:lineRule="auto"/>
              <w:ind w:firstLine="481" w:firstLineChars="200"/>
              <w:rPr>
                <w:rFonts w:ascii="Times New Roman" w:hAnsi="Times New Roman" w:cs="Times New Roman"/>
                <w:b/>
                <w:sz w:val="24"/>
              </w:rPr>
            </w:pPr>
            <w:r>
              <w:rPr>
                <w:rFonts w:ascii="Times New Roman" w:hAnsi="Times New Roman" w:cs="Times New Roman"/>
                <w:b/>
                <w:sz w:val="24"/>
              </w:rPr>
              <w:t>（</w:t>
            </w:r>
            <w:r>
              <w:rPr>
                <w:rFonts w:hint="eastAsia" w:ascii="Times New Roman" w:hAnsi="Times New Roman" w:cs="Times New Roman"/>
                <w:b/>
                <w:sz w:val="24"/>
              </w:rPr>
              <w:t>4</w:t>
            </w:r>
            <w:r>
              <w:rPr>
                <w:rFonts w:ascii="Times New Roman" w:hAnsi="Times New Roman" w:cs="Times New Roman"/>
                <w:b/>
                <w:sz w:val="24"/>
              </w:rPr>
              <w:t>）水土流失保护措施</w:t>
            </w:r>
          </w:p>
          <w:p>
            <w:pPr>
              <w:pStyle w:val="62"/>
              <w:spacing w:line="360" w:lineRule="auto"/>
              <w:ind w:firstLine="480"/>
              <w:rPr>
                <w:rFonts w:hAnsi="Times New Roman"/>
                <w:sz w:val="24"/>
                <w:szCs w:val="24"/>
              </w:rPr>
            </w:pPr>
            <w:r>
              <w:rPr>
                <w:rFonts w:hAnsi="Times New Roman"/>
                <w:sz w:val="24"/>
                <w:szCs w:val="24"/>
              </w:rPr>
              <w:t>昆明市东川区拖布卡镇属于“金沙江下游国家级水土流失重点治理区”，根据《生产建设项目水土流失防治标准》（GB50434-2018），水土流失防治标准执行西南岩溶区一级标准。根据《土壤侵蚀分类分级标准》（SL</w:t>
            </w:r>
            <w:r>
              <w:rPr>
                <w:rFonts w:hint="eastAsia" w:hAnsi="Times New Roman"/>
                <w:sz w:val="24"/>
                <w:szCs w:val="24"/>
                <w:lang w:eastAsia="zh-CN"/>
              </w:rPr>
              <w:t>***</w:t>
            </w:r>
            <w:r>
              <w:rPr>
                <w:rFonts w:hAnsi="Times New Roman"/>
                <w:sz w:val="24"/>
                <w:szCs w:val="24"/>
              </w:rPr>
              <w:t>-2007），项目区属以水力侵蚀为主的西南土石山区，水土流失允许流失量值为500t/（km</w:t>
            </w:r>
            <w:r>
              <w:rPr>
                <w:rFonts w:hAnsi="Times New Roman"/>
                <w:sz w:val="24"/>
                <w:szCs w:val="24"/>
                <w:vertAlign w:val="superscript"/>
              </w:rPr>
              <w:t>2</w:t>
            </w:r>
            <w:r>
              <w:rPr>
                <w:rFonts w:hAnsi="Times New Roman"/>
                <w:sz w:val="24"/>
                <w:szCs w:val="24"/>
              </w:rPr>
              <w:t>·a）。结合项目区地形地貌、项目建设实际情况等，对各防治目标值进行修正，防治目标：水土流失治理度为97%，水土流失控制比1.0；植被恢复度9</w:t>
            </w:r>
            <w:r>
              <w:rPr>
                <w:rFonts w:hint="eastAsia" w:hAnsi="Times New Roman"/>
                <w:sz w:val="24"/>
                <w:szCs w:val="24"/>
              </w:rPr>
              <w:t>9</w:t>
            </w:r>
            <w:r>
              <w:rPr>
                <w:rFonts w:hAnsi="Times New Roman"/>
                <w:sz w:val="24"/>
                <w:szCs w:val="24"/>
              </w:rPr>
              <w:t>%。</w:t>
            </w:r>
          </w:p>
          <w:p>
            <w:pPr>
              <w:pStyle w:val="62"/>
              <w:spacing w:line="360" w:lineRule="auto"/>
              <w:ind w:firstLine="480"/>
              <w:rPr>
                <w:rFonts w:hAnsi="Times New Roman"/>
                <w:sz w:val="24"/>
                <w:szCs w:val="24"/>
              </w:rPr>
            </w:pPr>
            <w:r>
              <w:rPr>
                <w:rFonts w:hAnsi="Times New Roman"/>
                <w:sz w:val="24"/>
                <w:szCs w:val="24"/>
              </w:rPr>
              <w:t>整个区域水土流失防治按照“三同时”制度进行，对整个工程区面上进行防治，工程区内排水进行规划有序排放，隔段布设沉砂池；在施工期对有肥力的表层土进行剥离并集中堆存，同时在施工区域设置截、排水沟等排水设施，工程结束后可采取复耕及植被恢复措施。针对各分区功能地块的特点，逐一有针对性的设置独立封闭的水土保持体系。</w:t>
            </w:r>
          </w:p>
          <w:p>
            <w:pPr>
              <w:pStyle w:val="62"/>
              <w:spacing w:line="360" w:lineRule="auto"/>
              <w:ind w:firstLine="480"/>
              <w:rPr>
                <w:rFonts w:hAnsi="Times New Roman"/>
                <w:sz w:val="24"/>
                <w:szCs w:val="24"/>
              </w:rPr>
            </w:pPr>
            <w:r>
              <w:rPr>
                <w:rFonts w:hint="eastAsia" w:ascii="宋体" w:cs="宋体"/>
                <w:sz w:val="24"/>
                <w:szCs w:val="24"/>
              </w:rPr>
              <w:t>①</w:t>
            </w:r>
            <w:r>
              <w:rPr>
                <w:rFonts w:hAnsi="Times New Roman"/>
                <w:sz w:val="24"/>
                <w:szCs w:val="24"/>
              </w:rPr>
              <w:t>水土保持措施包括工程措施及植物措施，具体包括对项目工程区、施工生产区采取工程措施及植物措施，其中工程措施为对河道工程区工程措施包括设置排水沟，对各区域表土进行单独收集并全部用于覆土，对施工生产区的旱地进行复耕；植物措施为</w:t>
            </w:r>
            <w:r>
              <w:rPr>
                <w:rFonts w:hAnsi="Times New Roman" w:eastAsiaTheme="minorEastAsia"/>
                <w:sz w:val="24"/>
                <w:szCs w:val="24"/>
              </w:rPr>
              <w:t>种植林草。</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施工结束后，对施工生产区及临时占地及时进行土地平整，上覆表土能复耕的恢复成耕地，不宜复耕的采取植被恢复措施种植林草，按照“因地制宜、突出重点，适地适树，绿化美化与水土流失治理相结合”等原则，选取耐旱、耐贫瘠、繁殖容易、根系发达、保水固土能力强、抗病虫能力强、景观效果好、与周围植被和景观协调性好的乡土树草种。根据以上原则和当地立地条件，选取的乔木为旱冬瓜，草种为狗牙根、白车轴草。旱冬瓜株行距按3m×3m，穴径30cm，穴深30cm，种植密度2500株/hm</w:t>
            </w:r>
            <w:r>
              <w:rPr>
                <w:rFonts w:ascii="Times New Roman" w:hAnsi="Times New Roman" w:cs="Times New Roman"/>
                <w:color w:val="auto"/>
                <w:kern w:val="2"/>
                <w:vertAlign w:val="superscript"/>
              </w:rPr>
              <w:t>2</w:t>
            </w:r>
            <w:r>
              <w:rPr>
                <w:rFonts w:ascii="Times New Roman" w:hAnsi="Times New Roman" w:cs="Times New Roman"/>
                <w:color w:val="auto"/>
                <w:kern w:val="2"/>
              </w:rPr>
              <w:t>。狗牙根、白车轴草撒播密度为80kg/hm</w:t>
            </w:r>
            <w:r>
              <w:rPr>
                <w:rFonts w:ascii="Times New Roman" w:hAnsi="Times New Roman" w:cs="Times New Roman"/>
                <w:color w:val="auto"/>
                <w:kern w:val="2"/>
                <w:vertAlign w:val="superscript"/>
              </w:rPr>
              <w:t>2</w:t>
            </w:r>
            <w:r>
              <w:rPr>
                <w:rFonts w:ascii="Times New Roman" w:hAnsi="Times New Roman" w:cs="Times New Roman"/>
                <w:color w:val="auto"/>
                <w:kern w:val="2"/>
              </w:rPr>
              <w:t>。绿化覆土来自于对本区原表层土进行剥离，栽植前需进行全面整地后在绿化覆土（覆土20cm-40cm），最后进行要进行穴状整地，以便于栽植旱冬瓜。造林后应避免人为破坏，以促进幼树的生长发育；一年抚育一次，连续抚育三年。养护主要是定期浇水、拆除覆盖物并除草，严防人畜践踏等。草本植物养护主要是定期浇水、拆除覆盖物并除草，严防人畜践踏等。</w:t>
            </w:r>
          </w:p>
          <w:p>
            <w:pPr>
              <w:pStyle w:val="62"/>
              <w:spacing w:line="360" w:lineRule="auto"/>
              <w:ind w:firstLine="480"/>
              <w:rPr>
                <w:rFonts w:hAnsi="Times New Roman"/>
                <w:sz w:val="24"/>
                <w:szCs w:val="24"/>
              </w:rPr>
            </w:pPr>
            <w:r>
              <w:rPr>
                <w:rFonts w:hint="eastAsia" w:ascii="宋体" w:cs="宋体"/>
                <w:sz w:val="24"/>
                <w:szCs w:val="24"/>
              </w:rPr>
              <w:t>②</w:t>
            </w:r>
            <w:r>
              <w:rPr>
                <w:rFonts w:hAnsi="Times New Roman"/>
                <w:sz w:val="24"/>
                <w:szCs w:val="24"/>
              </w:rPr>
              <w:t>在施工结束后对废弃的施工</w:t>
            </w:r>
            <w:r>
              <w:rPr>
                <w:rFonts w:hint="eastAsia" w:hAnsi="Times New Roman"/>
                <w:sz w:val="24"/>
                <w:szCs w:val="24"/>
              </w:rPr>
              <w:t>生产区</w:t>
            </w:r>
            <w:r>
              <w:rPr>
                <w:rFonts w:hAnsi="Times New Roman"/>
                <w:sz w:val="24"/>
                <w:szCs w:val="24"/>
              </w:rPr>
              <w:t>进行迹地清理，采取土地整治措施和进行复耕。</w:t>
            </w:r>
          </w:p>
          <w:p>
            <w:pPr>
              <w:pStyle w:val="62"/>
              <w:spacing w:line="360" w:lineRule="auto"/>
              <w:ind w:firstLine="480"/>
              <w:rPr>
                <w:rFonts w:hAnsi="Times New Roman"/>
                <w:sz w:val="24"/>
                <w:szCs w:val="24"/>
              </w:rPr>
            </w:pPr>
            <w:r>
              <w:rPr>
                <w:rFonts w:hint="eastAsia" w:ascii="宋体" w:cs="宋体"/>
                <w:sz w:val="24"/>
                <w:szCs w:val="24"/>
              </w:rPr>
              <w:t>③</w:t>
            </w:r>
            <w:r>
              <w:rPr>
                <w:rFonts w:hAnsi="Times New Roman"/>
                <w:sz w:val="24"/>
                <w:szCs w:val="24"/>
              </w:rPr>
              <w:t>对施工生产区提出施工前表土剥离，临时表土堆场的临时覆盖及临时拦挡，施工结束后进行植被恢复。</w:t>
            </w:r>
          </w:p>
          <w:p>
            <w:pPr>
              <w:spacing w:line="360" w:lineRule="auto"/>
              <w:ind w:firstLine="481" w:firstLineChars="200"/>
              <w:rPr>
                <w:rFonts w:ascii="Times New Roman" w:hAnsi="Times New Roman" w:cs="Times New Roman"/>
                <w:b/>
                <w:sz w:val="24"/>
              </w:rPr>
            </w:pPr>
            <w:r>
              <w:rPr>
                <w:rFonts w:ascii="Times New Roman" w:hAnsi="Times New Roman" w:cs="Times New Roman"/>
                <w:b/>
                <w:sz w:val="24"/>
              </w:rPr>
              <w:t>（</w:t>
            </w:r>
            <w:r>
              <w:rPr>
                <w:rFonts w:hint="eastAsia" w:ascii="Times New Roman" w:hAnsi="Times New Roman" w:cs="Times New Roman"/>
                <w:b/>
                <w:sz w:val="24"/>
              </w:rPr>
              <w:t>5</w:t>
            </w:r>
            <w:r>
              <w:rPr>
                <w:rFonts w:ascii="Times New Roman" w:hAnsi="Times New Roman" w:cs="Times New Roman"/>
                <w:b/>
                <w:sz w:val="24"/>
              </w:rPr>
              <w:t>）水生生物保护措施</w:t>
            </w:r>
          </w:p>
          <w:p>
            <w:pPr>
              <w:pStyle w:val="15"/>
              <w:spacing w:line="360" w:lineRule="auto"/>
              <w:ind w:firstLine="480" w:firstLineChars="200"/>
              <w:jc w:val="both"/>
              <w:rPr>
                <w:rFonts w:ascii="Times New Roman" w:hAnsi="Times New Roman" w:cs="Times New Roman"/>
                <w:color w:val="auto"/>
              </w:rPr>
            </w:pPr>
            <w:r>
              <w:rPr>
                <w:rFonts w:ascii="Times New Roman" w:hAnsi="Times New Roman" w:eastAsia="宋体" w:cs="Times New Roman"/>
                <w:color w:val="auto"/>
                <w:kern w:val="2"/>
              </w:rPr>
              <w:t>项目</w:t>
            </w:r>
            <w:r>
              <w:rPr>
                <w:rFonts w:hint="eastAsia" w:ascii="Times New Roman" w:hAnsi="Times New Roman" w:cs="Times New Roman"/>
                <w:color w:val="auto"/>
              </w:rPr>
              <w:t>一级取水泵站所设置的主要为浮箱、潜水泵及软管，不用开挖及回填。</w:t>
            </w:r>
            <w:r>
              <w:rPr>
                <w:rFonts w:hAnsi="Times New Roman"/>
                <w:color w:val="auto"/>
              </w:rPr>
              <w:t>项目的施工</w:t>
            </w:r>
            <w:r>
              <w:rPr>
                <w:rFonts w:ascii="Times New Roman" w:hAnsi="Times New Roman" w:eastAsia="宋体" w:cs="Times New Roman"/>
                <w:color w:val="auto"/>
                <w:kern w:val="2"/>
              </w:rPr>
              <w:t>对水生生态的影响不大。</w:t>
            </w:r>
          </w:p>
          <w:p>
            <w:pPr>
              <w:spacing w:line="360" w:lineRule="auto"/>
              <w:ind w:firstLine="481" w:firstLineChars="200"/>
              <w:rPr>
                <w:rFonts w:ascii="Times New Roman" w:hAnsi="Times New Roman" w:cs="Times New Roman"/>
                <w:b/>
                <w:sz w:val="24"/>
              </w:rPr>
            </w:pPr>
            <w:r>
              <w:rPr>
                <w:rFonts w:ascii="Times New Roman" w:hAnsi="Times New Roman" w:cs="Times New Roman"/>
                <w:b/>
                <w:sz w:val="24"/>
              </w:rPr>
              <w:t>（</w:t>
            </w:r>
            <w:r>
              <w:rPr>
                <w:rFonts w:hint="eastAsia" w:ascii="Times New Roman" w:hAnsi="Times New Roman" w:cs="Times New Roman"/>
                <w:b/>
                <w:sz w:val="24"/>
              </w:rPr>
              <w:t>6</w:t>
            </w:r>
            <w:r>
              <w:rPr>
                <w:rFonts w:ascii="Times New Roman" w:hAnsi="Times New Roman" w:cs="Times New Roman"/>
                <w:b/>
                <w:sz w:val="24"/>
              </w:rPr>
              <w:t>）施工迹地生态恢复方案</w:t>
            </w:r>
          </w:p>
          <w:p>
            <w:pPr>
              <w:pStyle w:val="62"/>
              <w:spacing w:line="360" w:lineRule="auto"/>
              <w:ind w:firstLine="480"/>
              <w:rPr>
                <w:rFonts w:hAnsi="Times New Roman"/>
                <w:sz w:val="24"/>
                <w:szCs w:val="24"/>
              </w:rPr>
            </w:pPr>
            <w:r>
              <w:rPr>
                <w:rFonts w:hAnsi="Times New Roman"/>
                <w:sz w:val="24"/>
                <w:szCs w:val="24"/>
              </w:rPr>
              <w:t>针对施工占用、压损的迹地应采取如下措施：</w:t>
            </w:r>
          </w:p>
          <w:p>
            <w:pPr>
              <w:pStyle w:val="62"/>
              <w:spacing w:line="360" w:lineRule="auto"/>
              <w:ind w:firstLine="480"/>
              <w:rPr>
                <w:rFonts w:hAnsi="Times New Roman"/>
                <w:sz w:val="24"/>
                <w:szCs w:val="24"/>
              </w:rPr>
            </w:pPr>
            <w:r>
              <w:rPr>
                <w:rFonts w:hint="eastAsia" w:ascii="宋体" w:cs="宋体"/>
                <w:sz w:val="24"/>
                <w:szCs w:val="24"/>
              </w:rPr>
              <w:t>①</w:t>
            </w:r>
            <w:r>
              <w:rPr>
                <w:rFonts w:hAnsi="Times New Roman"/>
                <w:sz w:val="24"/>
                <w:szCs w:val="24"/>
              </w:rPr>
              <w:t>施工过程中应严格控制施工迹地，严禁占用征地范围外的土地，做好施工期植被保护工作；</w:t>
            </w:r>
          </w:p>
          <w:p>
            <w:pPr>
              <w:pStyle w:val="62"/>
              <w:spacing w:line="360" w:lineRule="auto"/>
              <w:ind w:firstLine="480"/>
              <w:rPr>
                <w:rFonts w:hAnsi="Times New Roman"/>
                <w:sz w:val="24"/>
                <w:szCs w:val="24"/>
              </w:rPr>
            </w:pPr>
            <w:r>
              <w:rPr>
                <w:rFonts w:hint="eastAsia" w:ascii="宋体" w:cs="宋体"/>
                <w:sz w:val="24"/>
                <w:szCs w:val="24"/>
              </w:rPr>
              <w:t>②</w:t>
            </w:r>
            <w:r>
              <w:rPr>
                <w:rFonts w:hAnsi="Times New Roman"/>
                <w:sz w:val="24"/>
                <w:szCs w:val="24"/>
              </w:rPr>
              <w:t>施工结束后应对临时沉淀池、施工生产区等设施拆除；</w:t>
            </w:r>
          </w:p>
          <w:p>
            <w:pPr>
              <w:pStyle w:val="62"/>
              <w:spacing w:line="360" w:lineRule="auto"/>
              <w:ind w:firstLine="480"/>
              <w:rPr>
                <w:rFonts w:hAnsi="Times New Roman"/>
                <w:sz w:val="24"/>
                <w:szCs w:val="24"/>
              </w:rPr>
            </w:pPr>
            <w:r>
              <w:rPr>
                <w:rFonts w:hint="eastAsia" w:ascii="宋体" w:cs="宋体"/>
                <w:sz w:val="24"/>
                <w:szCs w:val="24"/>
              </w:rPr>
              <w:t>③</w:t>
            </w:r>
            <w:r>
              <w:rPr>
                <w:rFonts w:hAnsi="Times New Roman"/>
                <w:sz w:val="24"/>
                <w:szCs w:val="24"/>
              </w:rPr>
              <w:t>施工结束后应对施工迹地进行清理、按照水土保持措施通过实施生态恢复措施使其逐步得到恢复。</w:t>
            </w:r>
          </w:p>
          <w:p>
            <w:pPr>
              <w:pStyle w:val="62"/>
              <w:spacing w:line="360" w:lineRule="auto"/>
              <w:ind w:firstLine="482"/>
              <w:rPr>
                <w:rFonts w:hAnsi="Times New Roman"/>
                <w:b/>
                <w:sz w:val="24"/>
                <w:szCs w:val="24"/>
              </w:rPr>
            </w:pPr>
            <w:r>
              <w:rPr>
                <w:rFonts w:hint="eastAsia" w:hAnsi="Times New Roman"/>
                <w:b/>
                <w:sz w:val="24"/>
                <w:szCs w:val="24"/>
              </w:rPr>
              <w:t>（7）生态减缓措施</w:t>
            </w:r>
          </w:p>
          <w:p>
            <w:pPr>
              <w:pStyle w:val="62"/>
              <w:spacing w:line="360" w:lineRule="auto"/>
              <w:ind w:firstLine="480"/>
              <w:rPr>
                <w:rFonts w:hAnsi="Times New Roman"/>
                <w:sz w:val="24"/>
                <w:szCs w:val="24"/>
              </w:rPr>
            </w:pPr>
            <w:r>
              <w:rPr>
                <w:rFonts w:hint="eastAsia" w:ascii="宋体" w:cs="宋体"/>
                <w:sz w:val="24"/>
                <w:szCs w:val="24"/>
              </w:rPr>
              <w:t>①</w:t>
            </w:r>
            <w:r>
              <w:rPr>
                <w:rFonts w:hAnsi="Times New Roman"/>
                <w:sz w:val="24"/>
                <w:szCs w:val="24"/>
              </w:rPr>
              <w:t>施工活动集中在一定范围内进行，防止肆意扩大施工范围，减少施工对动植物的影响范围，施工过程中尽量保护好原有的自然植被。</w:t>
            </w:r>
          </w:p>
          <w:p>
            <w:pPr>
              <w:pStyle w:val="62"/>
              <w:spacing w:line="360" w:lineRule="auto"/>
              <w:ind w:firstLine="480"/>
              <w:rPr>
                <w:rFonts w:hAnsi="Times New Roman"/>
                <w:sz w:val="24"/>
                <w:szCs w:val="24"/>
              </w:rPr>
            </w:pPr>
            <w:r>
              <w:rPr>
                <w:rFonts w:hint="eastAsia" w:ascii="宋体" w:cs="宋体"/>
                <w:sz w:val="24"/>
                <w:szCs w:val="24"/>
              </w:rPr>
              <w:t>②</w:t>
            </w:r>
            <w:r>
              <w:rPr>
                <w:rFonts w:hAnsi="Times New Roman"/>
                <w:sz w:val="24"/>
                <w:szCs w:val="24"/>
              </w:rPr>
              <w:t>施工时序应避开植物生长期和动物繁殖期，减少对动植物的影响。</w:t>
            </w:r>
          </w:p>
          <w:p>
            <w:pPr>
              <w:pStyle w:val="62"/>
              <w:spacing w:line="360" w:lineRule="auto"/>
              <w:ind w:firstLine="480"/>
              <w:rPr>
                <w:rFonts w:hAnsi="Times New Roman"/>
                <w:sz w:val="24"/>
                <w:szCs w:val="24"/>
              </w:rPr>
            </w:pPr>
            <w:r>
              <w:rPr>
                <w:rFonts w:hint="eastAsia" w:ascii="宋体" w:cs="宋体"/>
                <w:sz w:val="24"/>
                <w:szCs w:val="24"/>
              </w:rPr>
              <w:t>③</w:t>
            </w:r>
            <w:r>
              <w:rPr>
                <w:rFonts w:hAnsi="Times New Roman"/>
                <w:sz w:val="24"/>
                <w:szCs w:val="24"/>
              </w:rPr>
              <w:t>施工期禁止施工人员猎取当地野生动物，如鸟类、蛇、蛙等。</w:t>
            </w:r>
          </w:p>
          <w:p>
            <w:pPr>
              <w:pStyle w:val="62"/>
              <w:spacing w:line="360" w:lineRule="auto"/>
              <w:ind w:firstLine="480"/>
              <w:rPr>
                <w:rFonts w:hAnsi="Times New Roman"/>
                <w:sz w:val="24"/>
                <w:szCs w:val="24"/>
              </w:rPr>
            </w:pPr>
            <w:r>
              <w:rPr>
                <w:rFonts w:hint="eastAsia" w:hAnsi="Times New Roman"/>
                <w:sz w:val="24"/>
                <w:szCs w:val="24"/>
              </w:rPr>
              <w:t>④</w:t>
            </w:r>
            <w:r>
              <w:rPr>
                <w:rFonts w:hAnsi="Times New Roman"/>
                <w:sz w:val="24"/>
                <w:szCs w:val="24"/>
              </w:rPr>
              <w:t>施工期不得在征地范围以外区域进行取土、采石等破坏生态环境的施工活动。</w:t>
            </w:r>
          </w:p>
          <w:p>
            <w:pPr>
              <w:pStyle w:val="62"/>
              <w:spacing w:line="360" w:lineRule="auto"/>
              <w:ind w:firstLine="480"/>
              <w:rPr>
                <w:rFonts w:hAnsi="Times New Roman"/>
                <w:sz w:val="24"/>
                <w:szCs w:val="24"/>
              </w:rPr>
            </w:pPr>
            <w:r>
              <w:rPr>
                <w:rFonts w:hint="eastAsia" w:ascii="宋体" w:cs="宋体"/>
                <w:sz w:val="24"/>
                <w:szCs w:val="24"/>
              </w:rPr>
              <w:t>⑤</w:t>
            </w:r>
            <w:r>
              <w:rPr>
                <w:rFonts w:hAnsi="Times New Roman"/>
                <w:sz w:val="24"/>
                <w:szCs w:val="24"/>
              </w:rPr>
              <w:t>合理布置施工场地，选用先进的施工工艺，尽量减少占地面积，减少植被破坏；减少建筑垃圾和生活垃圾的产生，及时清除多余的土石方，运走生活垃圾，以减轻对植被的占压、干扰和破坏。</w:t>
            </w:r>
          </w:p>
          <w:p>
            <w:pPr>
              <w:pStyle w:val="62"/>
              <w:spacing w:line="360" w:lineRule="auto"/>
              <w:ind w:firstLine="480"/>
              <w:rPr>
                <w:rFonts w:hAnsi="Times New Roman"/>
                <w:sz w:val="24"/>
                <w:szCs w:val="24"/>
              </w:rPr>
            </w:pPr>
            <w:r>
              <w:rPr>
                <w:rFonts w:hint="eastAsia" w:ascii="宋体" w:cs="宋体"/>
                <w:sz w:val="24"/>
                <w:szCs w:val="24"/>
              </w:rPr>
              <w:t>⑥</w:t>
            </w:r>
            <w:r>
              <w:rPr>
                <w:rFonts w:hAnsi="Times New Roman"/>
                <w:sz w:val="24"/>
                <w:szCs w:val="24"/>
              </w:rPr>
              <w:t>施工单位在施工前，应当制定植被保护和恢复方案。施工完成后，对搭建的临时设施予以清除，恢复原有的地表状态。</w:t>
            </w:r>
          </w:p>
          <w:p>
            <w:pPr>
              <w:pStyle w:val="62"/>
              <w:spacing w:line="360" w:lineRule="auto"/>
              <w:ind w:firstLine="480"/>
              <w:rPr>
                <w:rFonts w:hAnsi="Times New Roman"/>
                <w:sz w:val="24"/>
                <w:szCs w:val="24"/>
              </w:rPr>
            </w:pPr>
            <w:r>
              <w:rPr>
                <w:rFonts w:hint="eastAsia" w:ascii="宋体" w:cs="宋体"/>
                <w:sz w:val="24"/>
                <w:szCs w:val="24"/>
              </w:rPr>
              <w:t>⑦</w:t>
            </w:r>
            <w:r>
              <w:rPr>
                <w:rFonts w:hAnsi="Times New Roman"/>
                <w:sz w:val="24"/>
                <w:szCs w:val="24"/>
              </w:rPr>
              <w:t>施工结束后，应及时对临时占地进行植被恢复或复耕，若进行植被恢复尽量选用灌-草相结合的方式进行绿化，绿化树种选择应在“适地适树”的原则下，尽量以当地的优良乡土树种为主，适当引进新的优良树种、草种，保证绿化栽</w:t>
            </w:r>
            <w:r>
              <w:rPr>
                <w:rFonts w:hint="eastAsia" w:hAnsi="Times New Roman"/>
                <w:sz w:val="24"/>
                <w:szCs w:val="24"/>
              </w:rPr>
              <w:t>植的成活率。复耕则因地制宜种植一些经济作物，严禁抛荒土地。</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5.1.2 环境空气保护措施</w:t>
            </w:r>
          </w:p>
          <w:p>
            <w:pPr>
              <w:pStyle w:val="62"/>
              <w:spacing w:line="360" w:lineRule="auto"/>
              <w:ind w:firstLine="480"/>
              <w:rPr>
                <w:rFonts w:hAnsi="Times New Roman"/>
                <w:sz w:val="24"/>
                <w:szCs w:val="24"/>
              </w:rPr>
            </w:pPr>
            <w:r>
              <w:rPr>
                <w:rFonts w:hAnsi="Times New Roman"/>
                <w:sz w:val="24"/>
                <w:szCs w:val="24"/>
              </w:rPr>
              <w:t>根据大气环境影响分析可知，施工期间的废气主要为施工扬尘和施工机械、车辆废气，其中扬尘包括施工场地扬尘、混凝土系统扬尘、临时表土堆场扬尘和运输扬尘。项目拟采取的措施如下。</w:t>
            </w:r>
          </w:p>
          <w:p>
            <w:pPr>
              <w:pStyle w:val="62"/>
              <w:spacing w:line="360" w:lineRule="auto"/>
              <w:ind w:firstLine="480"/>
              <w:rPr>
                <w:rFonts w:hAnsi="Times New Roman"/>
                <w:sz w:val="24"/>
                <w:szCs w:val="24"/>
              </w:rPr>
            </w:pPr>
            <w:r>
              <w:rPr>
                <w:rFonts w:hint="eastAsia" w:ascii="宋体" w:cs="宋体"/>
                <w:sz w:val="24"/>
                <w:szCs w:val="24"/>
              </w:rPr>
              <w:t>①</w:t>
            </w:r>
            <w:r>
              <w:rPr>
                <w:rFonts w:hAnsi="Times New Roman"/>
                <w:sz w:val="24"/>
                <w:szCs w:val="24"/>
              </w:rPr>
              <w:t>施工期拟对施工生产区、混凝土系统人工装料过程采取洒水抑尘措施。</w:t>
            </w:r>
          </w:p>
          <w:p>
            <w:pPr>
              <w:pStyle w:val="62"/>
              <w:spacing w:line="360" w:lineRule="auto"/>
              <w:ind w:firstLine="480"/>
              <w:rPr>
                <w:rFonts w:hAnsi="Times New Roman"/>
                <w:sz w:val="24"/>
                <w:szCs w:val="24"/>
              </w:rPr>
            </w:pPr>
            <w:r>
              <w:rPr>
                <w:rFonts w:hint="eastAsia" w:ascii="宋体" w:cs="宋体"/>
                <w:sz w:val="24"/>
                <w:szCs w:val="24"/>
              </w:rPr>
              <w:t>②</w:t>
            </w:r>
            <w:r>
              <w:rPr>
                <w:rFonts w:hAnsi="Times New Roman"/>
                <w:sz w:val="24"/>
                <w:szCs w:val="24"/>
              </w:rPr>
              <w:t>临时表土堆场采用防尘网对其进行覆盖，并采取洒水降尘。</w:t>
            </w:r>
          </w:p>
          <w:p>
            <w:pPr>
              <w:pStyle w:val="62"/>
              <w:spacing w:line="360" w:lineRule="auto"/>
              <w:ind w:firstLine="480"/>
              <w:rPr>
                <w:rFonts w:hAnsi="Times New Roman"/>
                <w:sz w:val="24"/>
                <w:szCs w:val="24"/>
              </w:rPr>
            </w:pPr>
            <w:r>
              <w:rPr>
                <w:rFonts w:hint="eastAsia" w:ascii="宋体" w:cs="宋体"/>
                <w:sz w:val="24"/>
                <w:szCs w:val="24"/>
              </w:rPr>
              <w:t>③</w:t>
            </w:r>
            <w:r>
              <w:rPr>
                <w:rFonts w:hAnsi="Times New Roman"/>
                <w:sz w:val="24"/>
                <w:szCs w:val="24"/>
              </w:rPr>
              <w:t>为减轻施工运输期间产生的扬尘对周围村子的影响，运输车辆不得过度装载并需对运输车辆进行加盖篷布，防止运输过程中施工材料的洒落。必要时适当对运输道路进行洒水。</w:t>
            </w:r>
          </w:p>
          <w:p>
            <w:pPr>
              <w:pStyle w:val="62"/>
              <w:spacing w:line="360" w:lineRule="auto"/>
              <w:ind w:firstLine="480"/>
              <w:rPr>
                <w:rFonts w:hAnsi="Times New Roman"/>
                <w:sz w:val="24"/>
                <w:szCs w:val="24"/>
              </w:rPr>
            </w:pPr>
            <w:r>
              <w:rPr>
                <w:rFonts w:hint="eastAsia" w:ascii="宋体" w:cs="宋体"/>
                <w:sz w:val="24"/>
                <w:szCs w:val="24"/>
              </w:rPr>
              <w:t>④</w:t>
            </w:r>
            <w:r>
              <w:rPr>
                <w:rFonts w:hAnsi="Times New Roman"/>
                <w:sz w:val="24"/>
                <w:szCs w:val="24"/>
              </w:rPr>
              <w:t>项目施工期间施工生产区四周设置临时围护。</w:t>
            </w:r>
          </w:p>
          <w:p>
            <w:pPr>
              <w:pStyle w:val="62"/>
              <w:spacing w:line="360" w:lineRule="auto"/>
              <w:ind w:firstLine="480"/>
              <w:rPr>
                <w:rFonts w:hAnsi="Times New Roman"/>
                <w:sz w:val="24"/>
                <w:szCs w:val="24"/>
              </w:rPr>
            </w:pPr>
            <w:r>
              <w:rPr>
                <w:rFonts w:hint="eastAsia" w:ascii="宋体" w:cs="宋体"/>
                <w:sz w:val="24"/>
                <w:szCs w:val="24"/>
              </w:rPr>
              <w:t>⑤</w:t>
            </w:r>
            <w:r>
              <w:rPr>
                <w:rFonts w:hAnsi="Times New Roman"/>
                <w:sz w:val="24"/>
                <w:szCs w:val="24"/>
              </w:rPr>
              <w:t>尽量选用低能耗、低污染排放的施工机械和车辆。</w:t>
            </w:r>
          </w:p>
          <w:p>
            <w:pPr>
              <w:pStyle w:val="62"/>
              <w:spacing w:line="360" w:lineRule="auto"/>
              <w:ind w:firstLine="480"/>
              <w:rPr>
                <w:rFonts w:hAnsi="Times New Roman"/>
                <w:sz w:val="24"/>
                <w:szCs w:val="24"/>
              </w:rPr>
            </w:pPr>
            <w:r>
              <w:rPr>
                <w:rFonts w:hAnsi="Times New Roman"/>
                <w:sz w:val="24"/>
                <w:szCs w:val="24"/>
              </w:rPr>
              <w:t>采取上述措施后，可有效降低扬尘对大气环境的影响，且随着施工期的结束，施工对环境的影响结束，因此项目施工扬尘对环境影响较小。</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5.1.3 地表水保护措施</w:t>
            </w:r>
          </w:p>
          <w:p>
            <w:pPr>
              <w:pStyle w:val="62"/>
              <w:spacing w:line="360" w:lineRule="auto"/>
              <w:ind w:firstLine="480"/>
              <w:rPr>
                <w:rFonts w:hAnsi="Times New Roman"/>
                <w:sz w:val="24"/>
                <w:szCs w:val="24"/>
              </w:rPr>
            </w:pPr>
            <w:r>
              <w:rPr>
                <w:rFonts w:hAnsi="Times New Roman"/>
                <w:sz w:val="24"/>
                <w:szCs w:val="24"/>
              </w:rPr>
              <w:t>根据废水环境影响分析可知，施工期产生的废水包括设备清洗废水、雨天地表径流。项目拟采取的措施如下。</w:t>
            </w:r>
          </w:p>
          <w:p>
            <w:pPr>
              <w:pStyle w:val="62"/>
              <w:spacing w:line="360" w:lineRule="auto"/>
              <w:ind w:firstLine="480"/>
              <w:rPr>
                <w:rFonts w:hAnsi="Times New Roman"/>
                <w:sz w:val="24"/>
                <w:szCs w:val="24"/>
              </w:rPr>
            </w:pPr>
            <w:r>
              <w:rPr>
                <w:rFonts w:hint="eastAsia" w:ascii="宋体" w:cs="宋体"/>
                <w:sz w:val="24"/>
                <w:szCs w:val="24"/>
              </w:rPr>
              <w:t>①</w:t>
            </w:r>
            <w:r>
              <w:rPr>
                <w:rFonts w:hAnsi="Times New Roman"/>
                <w:sz w:val="24"/>
                <w:szCs w:val="24"/>
              </w:rPr>
              <w:t>分别在每个施工生产区配套设置有效容积均为</w:t>
            </w:r>
            <w:r>
              <w:rPr>
                <w:rFonts w:hint="eastAsia" w:hAnsi="Times New Roman"/>
                <w:sz w:val="24"/>
                <w:szCs w:val="24"/>
              </w:rPr>
              <w:t>4</w:t>
            </w:r>
            <w:r>
              <w:rPr>
                <w:rFonts w:hAnsi="Times New Roman"/>
                <w:sz w:val="24"/>
                <w:szCs w:val="24"/>
              </w:rPr>
              <w:t>m</w:t>
            </w:r>
            <w:r>
              <w:rPr>
                <w:rFonts w:hint="eastAsia" w:hAnsi="Times New Roman"/>
                <w:sz w:val="24"/>
                <w:szCs w:val="24"/>
                <w:vertAlign w:val="superscript"/>
              </w:rPr>
              <w:t>3</w:t>
            </w:r>
            <w:r>
              <w:rPr>
                <w:rFonts w:hAnsi="Times New Roman"/>
                <w:sz w:val="24"/>
                <w:szCs w:val="24"/>
              </w:rPr>
              <w:t>/个临时沉淀池，对设备清洗废水进行收集沉淀处理后回用于施工</w:t>
            </w:r>
            <w:r>
              <w:rPr>
                <w:rFonts w:hint="eastAsia" w:hAnsi="Times New Roman"/>
                <w:sz w:val="24"/>
                <w:szCs w:val="24"/>
              </w:rPr>
              <w:t>生产区</w:t>
            </w:r>
            <w:r>
              <w:rPr>
                <w:rFonts w:hAnsi="Times New Roman"/>
                <w:sz w:val="24"/>
                <w:szCs w:val="24"/>
              </w:rPr>
              <w:t>及道路洒水抑尘，不外排。</w:t>
            </w:r>
          </w:p>
          <w:p>
            <w:pPr>
              <w:pStyle w:val="62"/>
              <w:spacing w:line="360" w:lineRule="auto"/>
              <w:ind w:firstLine="480"/>
              <w:rPr>
                <w:rFonts w:hAnsi="Times New Roman"/>
                <w:sz w:val="24"/>
                <w:szCs w:val="24"/>
              </w:rPr>
            </w:pPr>
            <w:r>
              <w:rPr>
                <w:rFonts w:hint="eastAsia" w:ascii="宋体" w:cs="宋体"/>
                <w:sz w:val="24"/>
                <w:szCs w:val="24"/>
              </w:rPr>
              <w:t>②</w:t>
            </w:r>
            <w:r>
              <w:rPr>
                <w:rFonts w:hAnsi="Times New Roman"/>
                <w:sz w:val="24"/>
                <w:szCs w:val="24"/>
              </w:rPr>
              <w:t>施工期拟在</w:t>
            </w:r>
            <w:r>
              <w:rPr>
                <w:rFonts w:hint="eastAsia"/>
                <w:sz w:val="24"/>
                <w:szCs w:val="24"/>
              </w:rPr>
              <w:t>1#、2#、3#</w:t>
            </w:r>
            <w:r>
              <w:rPr>
                <w:rFonts w:hAnsi="Times New Roman"/>
                <w:sz w:val="24"/>
                <w:szCs w:val="24"/>
              </w:rPr>
              <w:t>施工</w:t>
            </w:r>
            <w:r>
              <w:rPr>
                <w:rFonts w:hint="eastAsia" w:hAnsi="Times New Roman"/>
                <w:sz w:val="24"/>
                <w:szCs w:val="24"/>
              </w:rPr>
              <w:t>生产区</w:t>
            </w:r>
            <w:r>
              <w:rPr>
                <w:rFonts w:hAnsi="Times New Roman"/>
                <w:sz w:val="24"/>
                <w:szCs w:val="24"/>
              </w:rPr>
              <w:t>内设置临时截洪沟及临时沉砂池，引排施工场地雨天产生的地表径流水，降低其带来的水土流失。</w:t>
            </w:r>
          </w:p>
          <w:p>
            <w:pPr>
              <w:pStyle w:val="62"/>
              <w:spacing w:line="360" w:lineRule="auto"/>
              <w:ind w:firstLine="480"/>
              <w:rPr>
                <w:rFonts w:hAnsi="Times New Roman"/>
                <w:sz w:val="24"/>
                <w:szCs w:val="24"/>
              </w:rPr>
            </w:pPr>
            <w:r>
              <w:rPr>
                <w:rFonts w:hint="eastAsia" w:hAnsi="Times New Roman"/>
                <w:sz w:val="24"/>
                <w:szCs w:val="24"/>
              </w:rPr>
              <w:t>施工期结束后，临时沉淀池均回填，恢复临时占地。</w:t>
            </w:r>
            <w:r>
              <w:rPr>
                <w:rFonts w:hAnsi="Times New Roman"/>
                <w:sz w:val="24"/>
                <w:szCs w:val="24"/>
              </w:rPr>
              <w:t>采取上述措施后，项目施工期废水不外排，对地表水体影响较小。</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5.1.4 噪声环境保护措施</w:t>
            </w:r>
          </w:p>
          <w:p>
            <w:pPr>
              <w:pStyle w:val="62"/>
              <w:spacing w:line="360" w:lineRule="auto"/>
              <w:ind w:firstLine="480"/>
              <w:rPr>
                <w:rFonts w:hAnsi="Times New Roman"/>
                <w:sz w:val="24"/>
                <w:szCs w:val="24"/>
              </w:rPr>
            </w:pPr>
            <w:r>
              <w:rPr>
                <w:rFonts w:hAnsi="Times New Roman"/>
                <w:sz w:val="24"/>
                <w:szCs w:val="24"/>
              </w:rPr>
              <w:t>根据噪声环境影响分析可知，施工期噪声主要为施工期各种施工机械和运输车辆产生的噪声。该项目主要从噪声源、传播途径等采取噪声防治措施；具体如下：</w:t>
            </w:r>
          </w:p>
          <w:p>
            <w:pPr>
              <w:pStyle w:val="62"/>
              <w:spacing w:line="360" w:lineRule="auto"/>
              <w:ind w:firstLine="480"/>
              <w:rPr>
                <w:rFonts w:hAnsi="Times New Roman"/>
                <w:sz w:val="24"/>
                <w:szCs w:val="24"/>
              </w:rPr>
            </w:pPr>
            <w:r>
              <w:rPr>
                <w:rFonts w:hAnsi="Times New Roman"/>
                <w:sz w:val="24"/>
                <w:szCs w:val="24"/>
              </w:rPr>
              <w:fldChar w:fldCharType="begin"/>
            </w:r>
            <w:r>
              <w:rPr>
                <w:rFonts w:hAnsi="Times New Roman"/>
                <w:sz w:val="24"/>
                <w:szCs w:val="24"/>
              </w:rPr>
              <w:instrText xml:space="preserve"> = 1 \* GB3 </w:instrText>
            </w:r>
            <w:r>
              <w:rPr>
                <w:rFonts w:hAnsi="Times New Roman"/>
                <w:sz w:val="24"/>
                <w:szCs w:val="24"/>
              </w:rPr>
              <w:fldChar w:fldCharType="separate"/>
            </w:r>
            <w:r>
              <w:rPr>
                <w:rFonts w:hint="eastAsia" w:ascii="宋体" w:cs="宋体"/>
                <w:sz w:val="24"/>
                <w:szCs w:val="24"/>
              </w:rPr>
              <w:t>①</w:t>
            </w:r>
            <w:r>
              <w:rPr>
                <w:rFonts w:hAnsi="Times New Roman"/>
                <w:sz w:val="24"/>
                <w:szCs w:val="24"/>
              </w:rPr>
              <w:fldChar w:fldCharType="end"/>
            </w:r>
            <w:r>
              <w:rPr>
                <w:rFonts w:hAnsi="Times New Roman"/>
                <w:sz w:val="24"/>
                <w:szCs w:val="24"/>
              </w:rPr>
              <w:t>施工场地设置高度为2.5m围挡；</w:t>
            </w:r>
          </w:p>
          <w:p>
            <w:pPr>
              <w:pStyle w:val="62"/>
              <w:spacing w:line="360" w:lineRule="auto"/>
              <w:ind w:firstLine="480"/>
              <w:rPr>
                <w:rFonts w:hAnsi="Times New Roman"/>
                <w:sz w:val="24"/>
                <w:szCs w:val="24"/>
              </w:rPr>
            </w:pPr>
            <w:r>
              <w:rPr>
                <w:rFonts w:hAnsi="Times New Roman"/>
                <w:sz w:val="24"/>
                <w:szCs w:val="24"/>
              </w:rPr>
              <w:fldChar w:fldCharType="begin"/>
            </w:r>
            <w:r>
              <w:rPr>
                <w:rFonts w:hAnsi="Times New Roman"/>
                <w:sz w:val="24"/>
                <w:szCs w:val="24"/>
              </w:rPr>
              <w:instrText xml:space="preserve"> = 2 \* GB3 </w:instrText>
            </w:r>
            <w:r>
              <w:rPr>
                <w:rFonts w:hAnsi="Times New Roman"/>
                <w:sz w:val="24"/>
                <w:szCs w:val="24"/>
              </w:rPr>
              <w:fldChar w:fldCharType="separate"/>
            </w:r>
            <w:r>
              <w:rPr>
                <w:rFonts w:hint="eastAsia" w:ascii="宋体" w:cs="宋体"/>
                <w:sz w:val="24"/>
                <w:szCs w:val="24"/>
              </w:rPr>
              <w:t>②</w:t>
            </w:r>
            <w:r>
              <w:rPr>
                <w:rFonts w:hAnsi="Times New Roman"/>
                <w:sz w:val="24"/>
                <w:szCs w:val="24"/>
              </w:rPr>
              <w:fldChar w:fldCharType="end"/>
            </w:r>
            <w:r>
              <w:rPr>
                <w:rFonts w:hAnsi="Times New Roman"/>
                <w:sz w:val="24"/>
                <w:szCs w:val="24"/>
              </w:rPr>
              <w:t>产噪大的设备远离居民点。</w:t>
            </w:r>
          </w:p>
          <w:p>
            <w:pPr>
              <w:pStyle w:val="62"/>
              <w:spacing w:line="360" w:lineRule="auto"/>
              <w:ind w:firstLine="480"/>
              <w:rPr>
                <w:rFonts w:hAnsi="Times New Roman"/>
                <w:sz w:val="24"/>
                <w:szCs w:val="24"/>
              </w:rPr>
            </w:pPr>
            <w:r>
              <w:rPr>
                <w:rFonts w:hAnsi="Times New Roman"/>
                <w:sz w:val="24"/>
                <w:szCs w:val="24"/>
              </w:rPr>
              <w:fldChar w:fldCharType="begin"/>
            </w:r>
            <w:r>
              <w:rPr>
                <w:rFonts w:hAnsi="Times New Roman"/>
                <w:sz w:val="24"/>
                <w:szCs w:val="24"/>
              </w:rPr>
              <w:instrText xml:space="preserve"> = 3 \* GB3 </w:instrText>
            </w:r>
            <w:r>
              <w:rPr>
                <w:rFonts w:hAnsi="Times New Roman"/>
                <w:sz w:val="24"/>
                <w:szCs w:val="24"/>
              </w:rPr>
              <w:fldChar w:fldCharType="separate"/>
            </w:r>
            <w:r>
              <w:rPr>
                <w:rFonts w:hint="eastAsia" w:ascii="宋体" w:cs="宋体"/>
                <w:sz w:val="24"/>
                <w:szCs w:val="24"/>
              </w:rPr>
              <w:t>③</w:t>
            </w:r>
            <w:r>
              <w:rPr>
                <w:rFonts w:hAnsi="Times New Roman"/>
                <w:sz w:val="24"/>
                <w:szCs w:val="24"/>
              </w:rPr>
              <w:fldChar w:fldCharType="end"/>
            </w:r>
            <w:r>
              <w:rPr>
                <w:rFonts w:hAnsi="Times New Roman"/>
                <w:sz w:val="24"/>
                <w:szCs w:val="24"/>
              </w:rPr>
              <w:t>建设方应严格按照施工规范加以控制。选用低噪声机械，产噪较大的设备必须安排在白天使用，并进行隔声及减振处理；</w:t>
            </w:r>
          </w:p>
          <w:p>
            <w:pPr>
              <w:pStyle w:val="62"/>
              <w:spacing w:line="360" w:lineRule="auto"/>
              <w:ind w:firstLine="480"/>
              <w:rPr>
                <w:rFonts w:hAnsi="Times New Roman"/>
                <w:sz w:val="24"/>
                <w:szCs w:val="24"/>
              </w:rPr>
            </w:pPr>
            <w:r>
              <w:rPr>
                <w:rFonts w:hAnsi="Times New Roman"/>
                <w:sz w:val="24"/>
                <w:szCs w:val="24"/>
              </w:rPr>
              <w:fldChar w:fldCharType="begin"/>
            </w:r>
            <w:r>
              <w:rPr>
                <w:rFonts w:hAnsi="Times New Roman"/>
                <w:sz w:val="24"/>
                <w:szCs w:val="24"/>
              </w:rPr>
              <w:instrText xml:space="preserve"> = 4 \* GB3 </w:instrText>
            </w:r>
            <w:r>
              <w:rPr>
                <w:rFonts w:hAnsi="Times New Roman"/>
                <w:sz w:val="24"/>
                <w:szCs w:val="24"/>
              </w:rPr>
              <w:fldChar w:fldCharType="separate"/>
            </w:r>
            <w:r>
              <w:rPr>
                <w:rFonts w:hint="eastAsia" w:ascii="宋体" w:cs="宋体"/>
                <w:sz w:val="24"/>
                <w:szCs w:val="24"/>
              </w:rPr>
              <w:t>④</w:t>
            </w:r>
            <w:r>
              <w:rPr>
                <w:rFonts w:hAnsi="Times New Roman"/>
                <w:sz w:val="24"/>
                <w:szCs w:val="24"/>
              </w:rPr>
              <w:fldChar w:fldCharType="end"/>
            </w:r>
            <w:r>
              <w:rPr>
                <w:rFonts w:hAnsi="Times New Roman"/>
                <w:sz w:val="24"/>
                <w:szCs w:val="24"/>
              </w:rPr>
              <w:t>科学合理地安排施工步骤，优化施工方式，如分段进行混凝土浇灌等措施，尽量减短噪声持续排放的时间；项目在进行物料运输时，应合理安排运输时间，选择最佳的进厂道路，避免在夜间及交通拥挤时段进行，减缓交通噪声对保护目标的影响；</w:t>
            </w:r>
          </w:p>
          <w:p>
            <w:pPr>
              <w:pStyle w:val="62"/>
              <w:spacing w:line="360" w:lineRule="auto"/>
              <w:ind w:firstLine="480"/>
              <w:rPr>
                <w:rFonts w:hAnsi="Times New Roman"/>
                <w:sz w:val="24"/>
                <w:szCs w:val="24"/>
              </w:rPr>
            </w:pPr>
            <w:r>
              <w:rPr>
                <w:rFonts w:hAnsi="Times New Roman"/>
                <w:sz w:val="24"/>
                <w:szCs w:val="24"/>
              </w:rPr>
              <w:fldChar w:fldCharType="begin"/>
            </w:r>
            <w:r>
              <w:rPr>
                <w:rFonts w:hAnsi="Times New Roman"/>
                <w:sz w:val="24"/>
                <w:szCs w:val="24"/>
              </w:rPr>
              <w:instrText xml:space="preserve"> = 5 \* GB3 </w:instrText>
            </w:r>
            <w:r>
              <w:rPr>
                <w:rFonts w:hAnsi="Times New Roman"/>
                <w:sz w:val="24"/>
                <w:szCs w:val="24"/>
              </w:rPr>
              <w:fldChar w:fldCharType="separate"/>
            </w:r>
            <w:r>
              <w:rPr>
                <w:rFonts w:hint="eastAsia" w:ascii="宋体" w:cs="宋体"/>
                <w:sz w:val="24"/>
                <w:szCs w:val="24"/>
              </w:rPr>
              <w:t>⑤</w:t>
            </w:r>
            <w:r>
              <w:rPr>
                <w:rFonts w:hAnsi="Times New Roman"/>
                <w:sz w:val="24"/>
                <w:szCs w:val="24"/>
              </w:rPr>
              <w:fldChar w:fldCharType="end"/>
            </w:r>
            <w:r>
              <w:rPr>
                <w:rFonts w:hAnsi="Times New Roman"/>
                <w:sz w:val="24"/>
                <w:szCs w:val="24"/>
              </w:rPr>
              <w:t>在施工机械设备与基础或连接部位之间采用弹簧减震、橡胶减震、管道减震、阻尼减震技术，可减少动量，降低噪声。</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通过采取上述措施后，有效地减小施工噪声对周围环境的影响，措施可行。</w:t>
            </w:r>
          </w:p>
          <w:p>
            <w:pPr>
              <w:spacing w:line="360" w:lineRule="auto"/>
              <w:ind w:firstLine="481" w:firstLineChars="200"/>
              <w:rPr>
                <w:rFonts w:ascii="Times New Roman" w:hAnsi="Times New Roman" w:cs="Times New Roman"/>
                <w:b/>
                <w:sz w:val="24"/>
                <w:szCs w:val="24"/>
              </w:rPr>
            </w:pPr>
            <w:r>
              <w:rPr>
                <w:rFonts w:ascii="Times New Roman" w:hAnsi="Times New Roman" w:cs="Times New Roman"/>
                <w:b/>
                <w:sz w:val="24"/>
                <w:szCs w:val="24"/>
              </w:rPr>
              <w:t>5.1.5 固体废物保护措施</w:t>
            </w:r>
          </w:p>
          <w:p>
            <w:pPr>
              <w:pStyle w:val="62"/>
              <w:spacing w:line="360" w:lineRule="auto"/>
              <w:ind w:firstLine="480"/>
              <w:rPr>
                <w:rFonts w:hAnsi="Times New Roman"/>
                <w:sz w:val="24"/>
                <w:szCs w:val="24"/>
              </w:rPr>
            </w:pPr>
            <w:r>
              <w:rPr>
                <w:rFonts w:hAnsi="Times New Roman"/>
                <w:sz w:val="24"/>
                <w:szCs w:val="24"/>
              </w:rPr>
              <w:t>根据固体废物环境影响分析可知，施工期产生的固体废物主要包括表土及土石方、建筑垃圾、搅拌机残留废料、沉淀池污泥。具体采取的措施如下：</w:t>
            </w:r>
          </w:p>
          <w:p>
            <w:pPr>
              <w:pStyle w:val="62"/>
              <w:spacing w:line="360" w:lineRule="auto"/>
              <w:ind w:firstLine="480"/>
              <w:rPr>
                <w:rFonts w:hAnsi="Times New Roman"/>
                <w:sz w:val="24"/>
                <w:szCs w:val="24"/>
              </w:rPr>
            </w:pPr>
            <w:r>
              <w:rPr>
                <w:rFonts w:hint="eastAsia" w:ascii="宋体" w:cs="宋体"/>
                <w:sz w:val="24"/>
                <w:szCs w:val="24"/>
              </w:rPr>
              <w:t>①</w:t>
            </w:r>
            <w:r>
              <w:rPr>
                <w:rFonts w:hAnsi="Times New Roman"/>
                <w:sz w:val="24"/>
                <w:szCs w:val="24"/>
              </w:rPr>
              <w:t>项目拟设置3个临时表土堆场，将施工开挖产生的表土暂存后，用于植被复耕覆土，其中1#临时表土堆场位于</w:t>
            </w:r>
            <w:r>
              <w:rPr>
                <w:rFonts w:hint="eastAsia" w:hAnsi="Times New Roman"/>
                <w:sz w:val="24"/>
                <w:szCs w:val="24"/>
              </w:rPr>
              <w:t>1#施工生产区，占地面积400m</w:t>
            </w:r>
            <w:r>
              <w:rPr>
                <w:rFonts w:hint="eastAsia" w:hAnsi="Times New Roman"/>
                <w:sz w:val="24"/>
                <w:szCs w:val="24"/>
                <w:vertAlign w:val="superscript"/>
              </w:rPr>
              <w:t>2</w:t>
            </w:r>
            <w:r>
              <w:rPr>
                <w:rFonts w:hint="eastAsia" w:hAnsi="Times New Roman"/>
                <w:sz w:val="24"/>
                <w:szCs w:val="24"/>
              </w:rPr>
              <w:t>，</w:t>
            </w:r>
            <w:r>
              <w:rPr>
                <w:rFonts w:hAnsi="Times New Roman"/>
                <w:sz w:val="24"/>
                <w:szCs w:val="24"/>
              </w:rPr>
              <w:t>最大堆高为3m，设计堆土量0.</w:t>
            </w:r>
            <w:r>
              <w:rPr>
                <w:rFonts w:hint="eastAsia" w:hAnsi="Times New Roman"/>
                <w:sz w:val="24"/>
                <w:szCs w:val="24"/>
              </w:rPr>
              <w:t>12</w:t>
            </w:r>
            <w:r>
              <w:rPr>
                <w:rFonts w:hAnsi="Times New Roman"/>
                <w:sz w:val="24"/>
                <w:szCs w:val="24"/>
              </w:rPr>
              <w:t>万m</w:t>
            </w:r>
            <w:r>
              <w:rPr>
                <w:rFonts w:hint="eastAsia" w:hAnsi="Times New Roman"/>
                <w:sz w:val="24"/>
                <w:szCs w:val="24"/>
                <w:vertAlign w:val="superscript"/>
              </w:rPr>
              <w:t>3</w:t>
            </w:r>
            <w:r>
              <w:rPr>
                <w:rFonts w:hAnsi="Times New Roman"/>
                <w:sz w:val="24"/>
                <w:szCs w:val="24"/>
              </w:rPr>
              <w:t>；2#临时表土堆场位于</w:t>
            </w:r>
            <w:r>
              <w:rPr>
                <w:rFonts w:hint="eastAsia" w:hAnsi="Times New Roman"/>
                <w:sz w:val="24"/>
                <w:szCs w:val="24"/>
              </w:rPr>
              <w:t>2#施工生产区，占地面积100m</w:t>
            </w:r>
            <w:r>
              <w:rPr>
                <w:rFonts w:hint="eastAsia" w:hAnsi="Times New Roman"/>
                <w:sz w:val="24"/>
                <w:szCs w:val="24"/>
                <w:vertAlign w:val="superscript"/>
              </w:rPr>
              <w:t>2</w:t>
            </w:r>
            <w:r>
              <w:rPr>
                <w:rFonts w:hint="eastAsia" w:hAnsi="Times New Roman"/>
                <w:sz w:val="24"/>
                <w:szCs w:val="24"/>
              </w:rPr>
              <w:t>，</w:t>
            </w:r>
            <w:r>
              <w:rPr>
                <w:rFonts w:hAnsi="Times New Roman"/>
                <w:sz w:val="24"/>
                <w:szCs w:val="24"/>
              </w:rPr>
              <w:t>最大堆高为3m，设计堆土量0.</w:t>
            </w:r>
            <w:r>
              <w:rPr>
                <w:rFonts w:hint="eastAsia" w:hAnsi="Times New Roman"/>
                <w:sz w:val="24"/>
                <w:szCs w:val="24"/>
              </w:rPr>
              <w:t>03</w:t>
            </w:r>
            <w:r>
              <w:rPr>
                <w:rFonts w:hAnsi="Times New Roman"/>
                <w:sz w:val="24"/>
                <w:szCs w:val="24"/>
              </w:rPr>
              <w:t>万m</w:t>
            </w:r>
            <w:r>
              <w:rPr>
                <w:rFonts w:hint="eastAsia" w:hAnsi="Times New Roman"/>
                <w:sz w:val="24"/>
                <w:szCs w:val="24"/>
                <w:vertAlign w:val="superscript"/>
              </w:rPr>
              <w:t>3</w:t>
            </w:r>
            <w:r>
              <w:rPr>
                <w:rFonts w:hAnsi="Times New Roman"/>
                <w:sz w:val="24"/>
                <w:szCs w:val="24"/>
              </w:rPr>
              <w:t>；</w:t>
            </w:r>
            <w:r>
              <w:rPr>
                <w:rFonts w:hint="eastAsia" w:hAnsi="Times New Roman"/>
                <w:sz w:val="24"/>
                <w:szCs w:val="24"/>
              </w:rPr>
              <w:t>3</w:t>
            </w:r>
            <w:r>
              <w:rPr>
                <w:rFonts w:hAnsi="Times New Roman"/>
                <w:sz w:val="24"/>
                <w:szCs w:val="24"/>
              </w:rPr>
              <w:t>#临时表土堆场位于</w:t>
            </w:r>
            <w:r>
              <w:rPr>
                <w:rFonts w:hint="eastAsia" w:hAnsi="Times New Roman"/>
                <w:sz w:val="24"/>
                <w:szCs w:val="24"/>
              </w:rPr>
              <w:t>3#施工生产区，占地面积100m</w:t>
            </w:r>
            <w:r>
              <w:rPr>
                <w:rFonts w:hint="eastAsia" w:hAnsi="Times New Roman"/>
                <w:sz w:val="24"/>
                <w:szCs w:val="24"/>
                <w:vertAlign w:val="superscript"/>
              </w:rPr>
              <w:t>2</w:t>
            </w:r>
            <w:r>
              <w:rPr>
                <w:rFonts w:hint="eastAsia" w:hAnsi="Times New Roman"/>
                <w:sz w:val="24"/>
                <w:szCs w:val="24"/>
              </w:rPr>
              <w:t>，</w:t>
            </w:r>
            <w:r>
              <w:rPr>
                <w:rFonts w:hAnsi="Times New Roman"/>
                <w:sz w:val="24"/>
                <w:szCs w:val="24"/>
              </w:rPr>
              <w:t>最大堆高为3m，设计堆土量0.</w:t>
            </w:r>
            <w:r>
              <w:rPr>
                <w:rFonts w:hint="eastAsia" w:hAnsi="Times New Roman"/>
                <w:sz w:val="24"/>
                <w:szCs w:val="24"/>
              </w:rPr>
              <w:t>03</w:t>
            </w:r>
            <w:r>
              <w:rPr>
                <w:rFonts w:hAnsi="Times New Roman"/>
                <w:sz w:val="24"/>
                <w:szCs w:val="24"/>
              </w:rPr>
              <w:t>万m</w:t>
            </w:r>
            <w:r>
              <w:rPr>
                <w:rFonts w:hint="eastAsia" w:hAnsi="Times New Roman"/>
                <w:sz w:val="24"/>
                <w:szCs w:val="24"/>
                <w:vertAlign w:val="superscript"/>
              </w:rPr>
              <w:t>3</w:t>
            </w:r>
            <w:r>
              <w:rPr>
                <w:rFonts w:hAnsi="Times New Roman"/>
                <w:sz w:val="24"/>
                <w:szCs w:val="24"/>
              </w:rPr>
              <w:t>。在临时堆土坡脚采用编织袋装土挡护，编织袋挡护用土使用剥离的土壤，待使用完毕后拆除作为后续的植复耕覆土。</w:t>
            </w:r>
          </w:p>
          <w:p>
            <w:pPr>
              <w:pStyle w:val="62"/>
              <w:spacing w:line="360" w:lineRule="auto"/>
              <w:ind w:firstLine="480"/>
              <w:rPr>
                <w:rFonts w:hAnsi="Times New Roman"/>
                <w:sz w:val="24"/>
                <w:szCs w:val="24"/>
              </w:rPr>
            </w:pPr>
            <w:r>
              <w:rPr>
                <w:rFonts w:hint="eastAsia" w:ascii="宋体" w:cs="宋体"/>
                <w:sz w:val="24"/>
                <w:szCs w:val="24"/>
              </w:rPr>
              <w:t>②</w:t>
            </w:r>
            <w:r>
              <w:rPr>
                <w:rFonts w:hAnsi="Times New Roman"/>
                <w:sz w:val="24"/>
                <w:szCs w:val="24"/>
              </w:rPr>
              <w:t>建筑垃圾包括混凝土块、废木材、废钢材等，严格相关部门的要求，对其进行分类收集，其中废钢材收集后外售废品收购站，其他不能回收部分运至管理部门指定地点进行合理处置。</w:t>
            </w:r>
          </w:p>
          <w:p>
            <w:pPr>
              <w:pStyle w:val="62"/>
              <w:spacing w:line="360" w:lineRule="auto"/>
              <w:ind w:firstLine="480"/>
              <w:rPr>
                <w:rFonts w:hAnsi="Times New Roman"/>
                <w:sz w:val="24"/>
                <w:szCs w:val="24"/>
              </w:rPr>
            </w:pPr>
            <w:r>
              <w:rPr>
                <w:rFonts w:hint="eastAsia" w:ascii="宋体" w:cs="宋体"/>
                <w:sz w:val="24"/>
                <w:szCs w:val="24"/>
              </w:rPr>
              <w:t>③</w:t>
            </w:r>
            <w:r>
              <w:rPr>
                <w:rFonts w:hAnsi="Times New Roman"/>
                <w:sz w:val="24"/>
                <w:szCs w:val="24"/>
              </w:rPr>
              <w:t>搅拌机残留废料运至管理部门指定地点进行合理处置。</w:t>
            </w:r>
          </w:p>
          <w:p>
            <w:pPr>
              <w:pStyle w:val="62"/>
              <w:spacing w:line="360" w:lineRule="auto"/>
              <w:ind w:firstLine="480"/>
              <w:rPr>
                <w:rFonts w:hAnsi="Times New Roman"/>
                <w:sz w:val="24"/>
                <w:szCs w:val="24"/>
              </w:rPr>
            </w:pPr>
            <w:r>
              <w:rPr>
                <w:rFonts w:hint="eastAsia" w:ascii="宋体" w:cs="宋体"/>
                <w:sz w:val="24"/>
                <w:szCs w:val="24"/>
              </w:rPr>
              <w:t>④</w:t>
            </w:r>
            <w:r>
              <w:rPr>
                <w:rFonts w:hAnsi="Times New Roman"/>
                <w:sz w:val="24"/>
                <w:szCs w:val="24"/>
              </w:rPr>
              <w:t>沉淀池污泥用于绿化覆土和道路建设。处置率为100%，对环境影响较小。</w:t>
            </w:r>
          </w:p>
          <w:p>
            <w:pPr>
              <w:pStyle w:val="62"/>
              <w:spacing w:line="360" w:lineRule="auto"/>
              <w:ind w:firstLine="480"/>
              <w:rPr>
                <w:rFonts w:hAnsi="Times New Roman"/>
                <w:sz w:val="24"/>
                <w:szCs w:val="24"/>
              </w:rPr>
            </w:pPr>
            <w:r>
              <w:rPr>
                <w:rFonts w:hAnsi="Times New Roman"/>
                <w:sz w:val="24"/>
                <w:szCs w:val="24"/>
              </w:rPr>
              <w:t>采取上述措施后，项目施工期产生的固体废物处置率为100%，对环境影响较小。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运营期生态环境保护措施</w:t>
            </w:r>
          </w:p>
        </w:tc>
        <w:tc>
          <w:tcPr>
            <w:tcW w:w="8834" w:type="dxa"/>
          </w:tcPr>
          <w:p>
            <w:pPr>
              <w:autoSpaceDE w:val="0"/>
              <w:autoSpaceDN w:val="0"/>
              <w:spacing w:line="360" w:lineRule="auto"/>
              <w:ind w:firstLine="240" w:firstLineChars="100"/>
              <w:rPr>
                <w:rFonts w:ascii="Times New Roman" w:hAnsi="Times New Roman" w:cs="Times New Roman"/>
                <w:b/>
                <w:sz w:val="24"/>
                <w:szCs w:val="24"/>
              </w:rPr>
            </w:pPr>
            <w:r>
              <w:rPr>
                <w:rFonts w:ascii="Times New Roman" w:hAnsi="Times New Roman" w:cs="Times New Roman"/>
                <w:b/>
                <w:sz w:val="24"/>
                <w:szCs w:val="24"/>
              </w:rPr>
              <w:t>5.2 运营期环境保护措施</w:t>
            </w:r>
          </w:p>
          <w:p>
            <w:pPr>
              <w:pStyle w:val="15"/>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本工程为非污染生态型项目。项目建成后，</w:t>
            </w:r>
            <w:r>
              <w:rPr>
                <w:rFonts w:hint="eastAsia" w:hAnsi="Times New Roman"/>
                <w:color w:val="auto"/>
              </w:rPr>
              <w:t>能改变目前的灌溉条件，能有效提高象鼻村以工代赈灌区水资源利用效率和灌溉保证率，有利于减轻水资源短缺给农业生产造成的损失，保证作物稳产、高产，</w:t>
            </w:r>
            <w:r>
              <w:rPr>
                <w:rFonts w:ascii="Times New Roman" w:hAnsi="Times New Roman" w:eastAsia="宋体" w:cs="Times New Roman"/>
                <w:color w:val="auto"/>
                <w:kern w:val="2"/>
              </w:rPr>
              <w:t>对区域生态环境有较好的改善作用。</w:t>
            </w:r>
          </w:p>
          <w:p>
            <w:pPr>
              <w:pStyle w:val="15"/>
              <w:spacing w:line="360" w:lineRule="auto"/>
              <w:ind w:firstLine="481" w:firstLineChars="200"/>
              <w:jc w:val="both"/>
              <w:rPr>
                <w:rFonts w:ascii="Times New Roman" w:hAnsi="Times New Roman" w:cs="Times New Roman"/>
                <w:b/>
                <w:color w:val="auto"/>
                <w:kern w:val="2"/>
              </w:rPr>
            </w:pPr>
            <w:r>
              <w:rPr>
                <w:rFonts w:hint="eastAsia" w:ascii="Times New Roman" w:hAnsi="Times New Roman" w:cs="Times New Roman"/>
                <w:b/>
                <w:color w:val="auto"/>
                <w:kern w:val="2"/>
              </w:rPr>
              <w:t xml:space="preserve">5.2.1 </w:t>
            </w:r>
            <w:r>
              <w:rPr>
                <w:rFonts w:ascii="Times New Roman" w:hAnsi="Times New Roman" w:cs="Times New Roman"/>
                <w:b/>
                <w:color w:val="auto"/>
                <w:kern w:val="2"/>
              </w:rPr>
              <w:t>对地表水保护措施</w:t>
            </w:r>
          </w:p>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运营期光伏泵站太阳能光伏面板冲洗含大量灰尘，导致悬浮物浓度较大，不处理会对接纳的水体造成一定影响。针</w:t>
            </w:r>
            <w:r>
              <w:rPr>
                <w:rFonts w:ascii="Times New Roman" w:hAnsi="Times New Roman" w:cs="Times New Roman"/>
                <w:color w:val="auto"/>
              </w:rPr>
              <w:t>对光伏面板组件清洗废水经过面板下面的排水沟进入场地内的沉淀池，每次可产生</w:t>
            </w:r>
            <w:r>
              <w:rPr>
                <w:rFonts w:hint="eastAsia" w:ascii="Times New Roman" w:hAnsi="Times New Roman" w:cs="Times New Roman"/>
                <w:color w:val="auto"/>
              </w:rPr>
              <w:t>6.64</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冲洗废水，场地内设置有效容积为</w:t>
            </w:r>
            <w:r>
              <w:rPr>
                <w:rFonts w:hint="eastAsia" w:ascii="Times New Roman" w:hAnsi="Times New Roman" w:cs="Times New Roman"/>
                <w:color w:val="auto"/>
              </w:rPr>
              <w:t>7</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沉淀池。冲洗废水除了少量泥沙外不含其它污染物，经过24</w:t>
            </w:r>
            <w:r>
              <w:rPr>
                <w:rFonts w:hint="eastAsia" w:ascii="Times New Roman" w:hAnsi="Times New Roman" w:cs="Times New Roman"/>
                <w:color w:val="auto"/>
              </w:rPr>
              <w:t>h</w:t>
            </w:r>
            <w:r>
              <w:rPr>
                <w:rFonts w:ascii="Times New Roman" w:hAnsi="Times New Roman" w:cs="Times New Roman"/>
                <w:color w:val="auto"/>
              </w:rPr>
              <w:t>静置沉淀后用于泵站周围场地的洒水降尘，不外排，因此不会对水环境造成影响。</w:t>
            </w:r>
          </w:p>
          <w:p>
            <w:pPr>
              <w:pStyle w:val="15"/>
              <w:spacing w:line="360" w:lineRule="auto"/>
              <w:ind w:firstLine="481" w:firstLineChars="200"/>
              <w:jc w:val="both"/>
              <w:rPr>
                <w:rFonts w:ascii="Times New Roman" w:hAnsi="Times New Roman" w:cs="Times New Roman"/>
                <w:b/>
                <w:color w:val="auto"/>
                <w:kern w:val="2"/>
              </w:rPr>
            </w:pPr>
            <w:r>
              <w:rPr>
                <w:rFonts w:hint="eastAsia" w:ascii="Times New Roman" w:hAnsi="Times New Roman" w:cs="Times New Roman"/>
                <w:b/>
                <w:color w:val="auto"/>
                <w:kern w:val="2"/>
              </w:rPr>
              <w:t xml:space="preserve">5.2.2 </w:t>
            </w:r>
            <w:r>
              <w:rPr>
                <w:rFonts w:ascii="Times New Roman" w:hAnsi="Times New Roman" w:cs="Times New Roman"/>
                <w:b/>
                <w:color w:val="auto"/>
                <w:kern w:val="2"/>
              </w:rPr>
              <w:t>对声环境保护措施</w:t>
            </w:r>
          </w:p>
          <w:p>
            <w:pPr>
              <w:pStyle w:val="15"/>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运营期噪声来自于光伏泵站内水泵、逆变器。</w:t>
            </w:r>
            <w:r>
              <w:rPr>
                <w:rFonts w:ascii="Times New Roman" w:hAnsi="Times New Roman" w:cs="Times New Roman"/>
                <w:color w:val="auto"/>
                <w:kern w:val="2"/>
              </w:rPr>
              <w:t>水泵噪声声级为85</w:t>
            </w:r>
            <w:r>
              <w:rPr>
                <w:rFonts w:hint="eastAsia" w:ascii="Times New Roman" w:hAnsi="Times New Roman" w:cs="Times New Roman"/>
                <w:color w:val="auto"/>
                <w:kern w:val="2"/>
              </w:rPr>
              <w:t>dB（A）</w:t>
            </w:r>
            <w:r>
              <w:rPr>
                <w:rFonts w:ascii="Times New Roman" w:hAnsi="Times New Roman" w:cs="Times New Roman"/>
                <w:color w:val="auto"/>
                <w:kern w:val="2"/>
              </w:rPr>
              <w:t>、逆变器噪声级65</w:t>
            </w:r>
            <w:r>
              <w:rPr>
                <w:rFonts w:hint="eastAsia" w:ascii="Times New Roman" w:hAnsi="Times New Roman" w:cs="Times New Roman"/>
                <w:color w:val="auto"/>
                <w:kern w:val="2"/>
              </w:rPr>
              <w:t>dB（A）</w:t>
            </w:r>
            <w:r>
              <w:rPr>
                <w:rFonts w:ascii="Times New Roman" w:hAnsi="Times New Roman" w:cs="Times New Roman"/>
                <w:color w:val="auto"/>
                <w:kern w:val="2"/>
              </w:rPr>
              <w:t>。水泵放置在泵房内，逆变器设置于平台。水泵噪声经过10m距离衰减后声级只有65</w:t>
            </w:r>
            <w:r>
              <w:rPr>
                <w:rFonts w:hint="eastAsia" w:ascii="Times New Roman" w:hAnsi="Times New Roman" w:cs="Times New Roman"/>
                <w:color w:val="auto"/>
                <w:kern w:val="2"/>
              </w:rPr>
              <w:t>dB（A）</w:t>
            </w:r>
            <w:r>
              <w:rPr>
                <w:rFonts w:ascii="Times New Roman" w:hAnsi="Times New Roman" w:cs="Times New Roman"/>
                <w:color w:val="auto"/>
                <w:kern w:val="2"/>
              </w:rPr>
              <w:t>，经过18m距离衰减后声级只有60</w:t>
            </w:r>
            <w:r>
              <w:rPr>
                <w:rFonts w:hint="eastAsia" w:ascii="Times New Roman" w:hAnsi="Times New Roman" w:cs="Times New Roman"/>
                <w:color w:val="auto"/>
                <w:kern w:val="2"/>
              </w:rPr>
              <w:t>dB（A）</w:t>
            </w:r>
            <w:r>
              <w:rPr>
                <w:rFonts w:ascii="Times New Roman" w:hAnsi="Times New Roman" w:cs="Times New Roman"/>
                <w:color w:val="auto"/>
                <w:kern w:val="2"/>
              </w:rPr>
              <w:t>，满足声环境质量标准2类区昼间60</w:t>
            </w:r>
            <w:r>
              <w:rPr>
                <w:rFonts w:hint="eastAsia" w:ascii="Times New Roman" w:hAnsi="Times New Roman" w:cs="Times New Roman"/>
                <w:color w:val="auto"/>
                <w:kern w:val="2"/>
              </w:rPr>
              <w:t>dB（A）</w:t>
            </w:r>
            <w:r>
              <w:rPr>
                <w:rFonts w:ascii="Times New Roman" w:hAnsi="Times New Roman" w:cs="Times New Roman"/>
                <w:color w:val="auto"/>
                <w:kern w:val="2"/>
              </w:rPr>
              <w:t>的限值要求（水泵只在白天运行，夜间不运行）。逆变器则经过6m距离衰减后声级只有49</w:t>
            </w:r>
            <w:r>
              <w:rPr>
                <w:rFonts w:hint="eastAsia" w:ascii="Times New Roman" w:hAnsi="Times New Roman" w:cs="Times New Roman"/>
                <w:color w:val="auto"/>
                <w:kern w:val="2"/>
              </w:rPr>
              <w:t>dB（A）</w:t>
            </w:r>
            <w:r>
              <w:rPr>
                <w:rFonts w:ascii="Times New Roman" w:hAnsi="Times New Roman" w:cs="Times New Roman"/>
                <w:color w:val="auto"/>
                <w:kern w:val="2"/>
              </w:rPr>
              <w:t>，满足声环境标准2类区夜间50</w:t>
            </w:r>
            <w:r>
              <w:rPr>
                <w:rFonts w:hint="eastAsia" w:ascii="Times New Roman" w:hAnsi="Times New Roman" w:cs="Times New Roman"/>
                <w:color w:val="auto"/>
                <w:kern w:val="2"/>
              </w:rPr>
              <w:t>dB（A）</w:t>
            </w:r>
            <w:r>
              <w:rPr>
                <w:rFonts w:ascii="Times New Roman" w:hAnsi="Times New Roman" w:cs="Times New Roman"/>
                <w:color w:val="auto"/>
                <w:kern w:val="2"/>
              </w:rPr>
              <w:t>的限值要求。</w:t>
            </w:r>
            <w:r>
              <w:rPr>
                <w:rFonts w:ascii="Times New Roman" w:hAnsi="Times New Roman" w:cs="Times New Roman"/>
                <w:color w:val="auto"/>
              </w:rPr>
              <w:t>光伏泵站周边</w:t>
            </w:r>
            <w:r>
              <w:rPr>
                <w:rFonts w:hint="eastAsia" w:ascii="Times New Roman" w:hAnsi="Times New Roman" w:cs="Times New Roman"/>
                <w:color w:val="auto"/>
              </w:rPr>
              <w:t>50</w:t>
            </w:r>
            <w:r>
              <w:rPr>
                <w:rFonts w:ascii="Times New Roman" w:hAnsi="Times New Roman" w:cs="Times New Roman"/>
                <w:color w:val="auto"/>
              </w:rPr>
              <w:t>m范围内都无居民点等敏感目标，因此，项目也无需考虑运营期声环境保护措施。</w:t>
            </w:r>
          </w:p>
          <w:p>
            <w:pPr>
              <w:pStyle w:val="15"/>
              <w:spacing w:line="360" w:lineRule="auto"/>
              <w:ind w:firstLine="481" w:firstLineChars="200"/>
              <w:jc w:val="both"/>
              <w:rPr>
                <w:rFonts w:ascii="Times New Roman" w:hAnsi="Times New Roman" w:cs="Times New Roman"/>
                <w:b/>
                <w:color w:val="auto"/>
                <w:kern w:val="2"/>
              </w:rPr>
            </w:pPr>
            <w:r>
              <w:rPr>
                <w:rFonts w:hint="eastAsia" w:ascii="Times New Roman" w:hAnsi="Times New Roman" w:cs="Times New Roman"/>
                <w:b/>
                <w:color w:val="auto"/>
                <w:kern w:val="2"/>
              </w:rPr>
              <w:t xml:space="preserve">5.2.3 </w:t>
            </w:r>
            <w:r>
              <w:rPr>
                <w:rFonts w:ascii="Times New Roman" w:hAnsi="Times New Roman" w:cs="Times New Roman"/>
                <w:b/>
                <w:color w:val="auto"/>
                <w:kern w:val="2"/>
              </w:rPr>
              <w:t>对大气环境保护措施</w:t>
            </w:r>
          </w:p>
          <w:p>
            <w:pPr>
              <w:pStyle w:val="62"/>
              <w:spacing w:line="360" w:lineRule="auto"/>
              <w:ind w:firstLine="480"/>
              <w:rPr>
                <w:rFonts w:hAnsi="Times New Roman"/>
                <w:sz w:val="24"/>
                <w:szCs w:val="24"/>
              </w:rPr>
            </w:pPr>
            <w:r>
              <w:rPr>
                <w:rFonts w:hAnsi="Times New Roman"/>
                <w:sz w:val="24"/>
                <w:szCs w:val="24"/>
              </w:rPr>
              <w:t>运营期水泵的动力来自于光伏发电电能，不存在空气污染，无需防护。</w:t>
            </w:r>
          </w:p>
          <w:p>
            <w:pPr>
              <w:pStyle w:val="15"/>
              <w:spacing w:line="360" w:lineRule="auto"/>
              <w:ind w:firstLine="481" w:firstLineChars="200"/>
              <w:jc w:val="both"/>
              <w:rPr>
                <w:rFonts w:ascii="Times New Roman" w:hAnsi="Times New Roman" w:cs="Times New Roman"/>
                <w:b/>
                <w:color w:val="auto"/>
                <w:kern w:val="2"/>
              </w:rPr>
            </w:pPr>
            <w:r>
              <w:rPr>
                <w:rFonts w:hint="eastAsia" w:ascii="Times New Roman" w:hAnsi="Times New Roman" w:cs="Times New Roman"/>
                <w:b/>
                <w:color w:val="auto"/>
                <w:kern w:val="2"/>
              </w:rPr>
              <w:t xml:space="preserve">5.2.4 </w:t>
            </w:r>
            <w:r>
              <w:rPr>
                <w:rFonts w:ascii="Times New Roman" w:hAnsi="Times New Roman" w:cs="Times New Roman"/>
                <w:b/>
                <w:color w:val="auto"/>
                <w:kern w:val="2"/>
              </w:rPr>
              <w:t>对固体废物环境保护措施</w:t>
            </w:r>
          </w:p>
          <w:p>
            <w:pPr>
              <w:pStyle w:val="15"/>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项目在运营期光伏电站生产运营过程将会产生一定量的损坏的组件及电路板；</w:t>
            </w:r>
            <w:r>
              <w:rPr>
                <w:rFonts w:hint="eastAsia" w:hAnsi="Times New Roman"/>
                <w:color w:val="auto"/>
              </w:rPr>
              <w:t>项目运营期将不定期对光伏泵站设备进行维护，维护过程中将产生少量废机油及废弃沾油抹布。</w:t>
            </w:r>
            <w:r>
              <w:rPr>
                <w:rFonts w:ascii="Times New Roman" w:hAnsi="Times New Roman" w:cs="Times New Roman"/>
                <w:color w:val="auto"/>
              </w:rPr>
              <w:t>项目拟设置1个面积为10m</w:t>
            </w:r>
            <w:r>
              <w:rPr>
                <w:rFonts w:ascii="Times New Roman" w:hAnsi="Times New Roman" w:cs="Times New Roman"/>
                <w:color w:val="auto"/>
                <w:vertAlign w:val="superscript"/>
              </w:rPr>
              <w:t>2</w:t>
            </w:r>
            <w:r>
              <w:rPr>
                <w:rFonts w:ascii="Times New Roman" w:hAnsi="Times New Roman" w:cs="Times New Roman"/>
                <w:color w:val="auto"/>
              </w:rPr>
              <w:t>的危险废物暂存间对其进行分区暂存，损坏的组件及电路板收集后由厂家定期回收；</w:t>
            </w:r>
            <w:r>
              <w:rPr>
                <w:rFonts w:hint="eastAsia" w:ascii="Times New Roman" w:hAnsi="Times New Roman" w:cs="Times New Roman"/>
                <w:color w:val="auto"/>
              </w:rPr>
              <w:t>废机油进行分类暂存后，委托有资质的单位进行清运处置。废沾油抹布使用垃圾桶集中收集。委托环卫部门定期清运处置。</w:t>
            </w:r>
          </w:p>
          <w:p>
            <w:pPr>
              <w:pStyle w:val="15"/>
              <w:spacing w:line="360" w:lineRule="auto"/>
              <w:ind w:firstLine="481" w:firstLineChars="200"/>
              <w:jc w:val="both"/>
              <w:rPr>
                <w:rFonts w:ascii="Times New Roman" w:hAnsi="Times New Roman" w:cs="Times New Roman"/>
                <w:b/>
                <w:color w:val="auto"/>
                <w:kern w:val="2"/>
              </w:rPr>
            </w:pPr>
            <w:r>
              <w:rPr>
                <w:rFonts w:hint="eastAsia" w:ascii="Times New Roman" w:hAnsi="Times New Roman" w:cs="Times New Roman"/>
                <w:b/>
                <w:color w:val="auto"/>
                <w:kern w:val="2"/>
              </w:rPr>
              <w:t xml:space="preserve">5.2.5 </w:t>
            </w:r>
            <w:r>
              <w:rPr>
                <w:rFonts w:ascii="Times New Roman" w:hAnsi="Times New Roman" w:cs="Times New Roman"/>
                <w:b/>
                <w:color w:val="auto"/>
                <w:kern w:val="2"/>
              </w:rPr>
              <w:t>对</w:t>
            </w:r>
            <w:r>
              <w:rPr>
                <w:rFonts w:hint="eastAsia" w:ascii="Times New Roman" w:hAnsi="Times New Roman" w:cs="Times New Roman"/>
                <w:b/>
                <w:color w:val="auto"/>
                <w:kern w:val="2"/>
              </w:rPr>
              <w:t>电磁</w:t>
            </w:r>
            <w:r>
              <w:rPr>
                <w:rFonts w:ascii="Times New Roman" w:hAnsi="Times New Roman" w:cs="Times New Roman"/>
                <w:b/>
                <w:color w:val="auto"/>
                <w:kern w:val="2"/>
              </w:rPr>
              <w:t>环境保护措施</w:t>
            </w:r>
          </w:p>
          <w:p>
            <w:pPr>
              <w:pStyle w:val="62"/>
              <w:spacing w:line="360" w:lineRule="auto"/>
              <w:ind w:firstLine="480"/>
              <w:rPr>
                <w:rFonts w:hAnsi="Times New Roman" w:eastAsiaTheme="minorEastAsia"/>
                <w:sz w:val="24"/>
                <w:szCs w:val="24"/>
              </w:rPr>
            </w:pPr>
            <w:r>
              <w:rPr>
                <w:rFonts w:hAnsi="Times New Roman" w:eastAsiaTheme="minorEastAsia"/>
                <w:sz w:val="24"/>
                <w:szCs w:val="24"/>
              </w:rPr>
              <w:t>根据《环境影响评价计算导则输变电工程》（HJ21-2020）及《电磁环境控制限值》（GB</w:t>
            </w:r>
            <w:r>
              <w:rPr>
                <w:rFonts w:hint="eastAsia" w:hAnsi="Times New Roman" w:eastAsiaTheme="minorEastAsia"/>
                <w:sz w:val="24"/>
                <w:szCs w:val="24"/>
                <w:lang w:eastAsia="zh-CN"/>
              </w:rPr>
              <w:t>****</w:t>
            </w:r>
            <w:r>
              <w:rPr>
                <w:rFonts w:hAnsi="Times New Roman" w:eastAsiaTheme="minorEastAsia"/>
                <w:sz w:val="24"/>
                <w:szCs w:val="24"/>
              </w:rPr>
              <w:t>-2014），100KV及以下输变电项目豁免，本</w:t>
            </w:r>
            <w:r>
              <w:rPr>
                <w:rFonts w:hint="eastAsia" w:hAnsi="Times New Roman" w:eastAsiaTheme="minorEastAsia"/>
                <w:sz w:val="24"/>
                <w:szCs w:val="24"/>
              </w:rPr>
              <w:t>项目光伏发电场主要由“太阳能光伏发电组件阵列+储能式逆变器+电池组+管理软件”组成，不涉及输变电工程、不涉及升压站及降压站等，</w:t>
            </w:r>
            <w:r>
              <w:rPr>
                <w:rFonts w:hAnsi="Times New Roman" w:eastAsiaTheme="minorEastAsia"/>
                <w:sz w:val="24"/>
                <w:szCs w:val="24"/>
              </w:rPr>
              <w:t>无需考虑电磁环境影响。</w:t>
            </w:r>
          </w:p>
          <w:p>
            <w:pPr>
              <w:pStyle w:val="15"/>
              <w:spacing w:line="360" w:lineRule="auto"/>
              <w:ind w:firstLine="481" w:firstLineChars="200"/>
              <w:jc w:val="both"/>
              <w:rPr>
                <w:rFonts w:ascii="Times New Roman" w:hAnsi="Times New Roman" w:cs="Times New Roman"/>
                <w:b/>
                <w:color w:val="auto"/>
                <w:kern w:val="2"/>
              </w:rPr>
            </w:pPr>
            <w:r>
              <w:rPr>
                <w:rFonts w:hint="eastAsia" w:ascii="Times New Roman" w:hAnsi="Times New Roman" w:cs="Times New Roman"/>
                <w:b/>
                <w:color w:val="auto"/>
                <w:kern w:val="2"/>
              </w:rPr>
              <w:t xml:space="preserve">5.2.6 </w:t>
            </w:r>
            <w:r>
              <w:rPr>
                <w:rFonts w:ascii="Times New Roman" w:hAnsi="Times New Roman" w:cs="Times New Roman"/>
                <w:b/>
                <w:color w:val="auto"/>
                <w:kern w:val="2"/>
              </w:rPr>
              <w:t>对</w:t>
            </w:r>
            <w:r>
              <w:rPr>
                <w:rFonts w:hint="eastAsia" w:ascii="Times New Roman" w:hAnsi="Times New Roman" w:cs="Times New Roman"/>
                <w:b/>
                <w:color w:val="auto"/>
                <w:kern w:val="2"/>
              </w:rPr>
              <w:t>环境风险</w:t>
            </w:r>
            <w:r>
              <w:rPr>
                <w:rFonts w:ascii="Times New Roman" w:hAnsi="Times New Roman" w:cs="Times New Roman"/>
                <w:b/>
                <w:color w:val="auto"/>
                <w:kern w:val="2"/>
              </w:rPr>
              <w:t>保护措施</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（1）在项目区配备适量的消防沙、吸油棉、铲子等环境应急物资及灭火器等消防应急设备。</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（2）在项目内设置醒目的杜绝明火、禁止吸烟等标志、标语，禁止火源进入项目内。</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（3）产生的废机油应委托有资质单位进行合法处置，严禁私自处置，做好危险废物转移的申请、检查和档案管理工作。</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（4）加强对项目风险源的日常管理和检查，预防风险事故的发生。</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（5）危险废物暂存间须进行防渗处理，按重点防渗区进行建设，防渗技术要求为：等效黏土防渗层K≤1×10-</w:t>
            </w:r>
            <w:r>
              <w:rPr>
                <w:rFonts w:hint="eastAsia" w:ascii="Times New Roman" w:hAnsi="Times New Roman" w:cs="Times New Roman"/>
                <w:color w:val="auto"/>
                <w:kern w:val="2"/>
                <w:vertAlign w:val="superscript"/>
              </w:rPr>
              <w:t>10</w:t>
            </w:r>
            <w:r>
              <w:rPr>
                <w:rFonts w:hint="eastAsia" w:ascii="Times New Roman" w:hAnsi="Times New Roman" w:cs="Times New Roman"/>
                <w:color w:val="auto"/>
                <w:kern w:val="2"/>
              </w:rPr>
              <w:t>cm/s。</w:t>
            </w:r>
          </w:p>
          <w:p>
            <w:pPr>
              <w:pStyle w:val="15"/>
              <w:spacing w:line="360" w:lineRule="auto"/>
              <w:ind w:firstLine="481" w:firstLineChars="200"/>
              <w:jc w:val="both"/>
              <w:rPr>
                <w:rFonts w:ascii="Times New Roman" w:hAnsi="Times New Roman" w:cs="Times New Roman"/>
                <w:b/>
                <w:color w:val="auto"/>
                <w:kern w:val="2"/>
              </w:rPr>
            </w:pPr>
            <w:r>
              <w:rPr>
                <w:rFonts w:hint="eastAsia" w:ascii="Times New Roman" w:hAnsi="Times New Roman" w:cs="Times New Roman"/>
                <w:b/>
                <w:color w:val="auto"/>
                <w:kern w:val="2"/>
              </w:rPr>
              <w:t xml:space="preserve">5.2.7 </w:t>
            </w:r>
            <w:r>
              <w:rPr>
                <w:rFonts w:ascii="Times New Roman" w:hAnsi="Times New Roman" w:cs="Times New Roman"/>
                <w:b/>
                <w:color w:val="auto"/>
                <w:kern w:val="2"/>
              </w:rPr>
              <w:t>对</w:t>
            </w:r>
            <w:r>
              <w:rPr>
                <w:rFonts w:hint="eastAsia" w:ascii="Times New Roman" w:hAnsi="Times New Roman" w:cs="Times New Roman"/>
                <w:b/>
                <w:color w:val="auto"/>
                <w:kern w:val="2"/>
              </w:rPr>
              <w:t>生态环境</w:t>
            </w:r>
            <w:r>
              <w:rPr>
                <w:rFonts w:ascii="Times New Roman" w:hAnsi="Times New Roman" w:cs="Times New Roman"/>
                <w:b/>
                <w:color w:val="auto"/>
                <w:kern w:val="2"/>
              </w:rPr>
              <w:t>保护措施</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（1）对太阳能电池板、逆变器等场所周围空地进行人工绿化。绿化可考虑选取乡土树种为主，易于存活。</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（2）禁止违法开荒耕地种植农作物，只允许在项目征地范围内种植，不破项目范围外的植被。</w:t>
            </w:r>
          </w:p>
          <w:p>
            <w:pPr>
              <w:pStyle w:val="15"/>
              <w:spacing w:line="360" w:lineRule="auto"/>
              <w:ind w:firstLine="480" w:firstLineChars="200"/>
              <w:rPr>
                <w:rFonts w:ascii="Times New Roman" w:hAnsi="Times New Roman" w:cs="Times New Roman"/>
                <w:color w:val="auto"/>
                <w:kern w:val="2"/>
              </w:rPr>
            </w:pPr>
            <w:r>
              <w:rPr>
                <w:rFonts w:hint="eastAsia" w:ascii="Times New Roman" w:hAnsi="Times New Roman" w:cs="Times New Roman"/>
                <w:color w:val="auto"/>
                <w:kern w:val="2"/>
              </w:rPr>
              <w:t>（3）保护当地的野生动物，禁止人为捕杀；禁止引入外来有害生物。</w:t>
            </w:r>
          </w:p>
          <w:p>
            <w:pPr>
              <w:pStyle w:val="15"/>
              <w:spacing w:line="360" w:lineRule="auto"/>
              <w:ind w:firstLine="480" w:firstLineChars="200"/>
              <w:jc w:val="both"/>
              <w:rPr>
                <w:rFonts w:ascii="Times New Roman" w:hAnsi="Times New Roman" w:cs="Times New Roman"/>
                <w:color w:val="auto"/>
                <w:kern w:val="2"/>
              </w:rPr>
            </w:pPr>
            <w:r>
              <w:rPr>
                <w:rFonts w:hint="eastAsia" w:ascii="Times New Roman" w:hAnsi="Times New Roman" w:cs="Times New Roman"/>
                <w:color w:val="auto"/>
                <w:kern w:val="2"/>
              </w:rPr>
              <w:t>（4）光伏周围建设好截排水沟，空闲地多种植本地树种，减少区域水土流失。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其他</w:t>
            </w:r>
          </w:p>
        </w:tc>
        <w:tc>
          <w:tcPr>
            <w:tcW w:w="8834" w:type="dxa"/>
            <w:vAlign w:val="center"/>
          </w:tcPr>
          <w:p>
            <w:pPr>
              <w:pStyle w:val="21"/>
              <w:spacing w:line="360" w:lineRule="auto"/>
              <w:ind w:left="0" w:leftChars="0" w:firstLine="240" w:firstLineChars="100"/>
              <w:rPr>
                <w:b/>
                <w:sz w:val="24"/>
                <w:szCs w:val="24"/>
              </w:rPr>
            </w:pPr>
            <w:r>
              <w:rPr>
                <w:rFonts w:hint="eastAsia"/>
                <w:b/>
                <w:sz w:val="24"/>
                <w:szCs w:val="24"/>
              </w:rPr>
              <w:t>5.3 监测计划</w:t>
            </w:r>
          </w:p>
          <w:p>
            <w:pPr>
              <w:spacing w:line="360" w:lineRule="auto"/>
              <w:ind w:firstLine="480" w:firstLineChars="200"/>
              <w:rPr>
                <w:b/>
                <w:sz w:val="24"/>
              </w:rPr>
            </w:pPr>
            <w:r>
              <w:rPr>
                <w:rFonts w:hint="eastAsia"/>
                <w:sz w:val="24"/>
              </w:rPr>
              <w:t>项目环境监测委托</w:t>
            </w:r>
            <w:r>
              <w:rPr>
                <w:sz w:val="24"/>
              </w:rPr>
              <w:t>有资质的单位监测，</w:t>
            </w:r>
            <w:r>
              <w:rPr>
                <w:rFonts w:hint="eastAsia"/>
                <w:sz w:val="24"/>
              </w:rPr>
              <w:t>主要内容见下表。</w:t>
            </w:r>
          </w:p>
          <w:p>
            <w:pPr>
              <w:ind w:firstLine="421" w:firstLineChars="200"/>
              <w:jc w:val="center"/>
              <w:rPr>
                <w:rFonts w:ascii="Times New Roman" w:hAnsi="Times New Roman" w:cs="Times New Roman"/>
                <w:b/>
                <w:kern w:val="0"/>
              </w:rPr>
            </w:pPr>
            <w:r>
              <w:rPr>
                <w:rFonts w:ascii="Times New Roman" w:hAnsi="Times New Roman" w:cs="Times New Roman"/>
                <w:b/>
                <w:kern w:val="0"/>
              </w:rPr>
              <w:t>表</w:t>
            </w:r>
            <w:r>
              <w:rPr>
                <w:rFonts w:hint="eastAsia" w:ascii="Times New Roman" w:hAnsi="Times New Roman" w:cs="Times New Roman"/>
                <w:b/>
                <w:kern w:val="0"/>
              </w:rPr>
              <w:t>5.3-1  环境监测</w:t>
            </w:r>
            <w:r>
              <w:rPr>
                <w:rFonts w:ascii="Times New Roman" w:hAnsi="Times New Roman" w:cs="Times New Roman"/>
                <w:b/>
                <w:kern w:val="0"/>
              </w:rPr>
              <w:t>计划一览表</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9"/>
              <w:gridCol w:w="2127"/>
              <w:gridCol w:w="1776"/>
              <w:gridCol w:w="1256"/>
              <w:gridCol w:w="22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4"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监测内容</w:t>
                  </w:r>
                </w:p>
              </w:tc>
              <w:tc>
                <w:tcPr>
                  <w:tcW w:w="1236"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监测项目</w:t>
                  </w:r>
                </w:p>
              </w:tc>
              <w:tc>
                <w:tcPr>
                  <w:tcW w:w="1032"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监测布点</w:t>
                  </w:r>
                </w:p>
              </w:tc>
              <w:tc>
                <w:tcPr>
                  <w:tcW w:w="730"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监测时间</w:t>
                  </w:r>
                </w:p>
              </w:tc>
              <w:tc>
                <w:tcPr>
                  <w:tcW w:w="1328"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执行标准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4"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噪声</w:t>
                  </w:r>
                </w:p>
              </w:tc>
              <w:tc>
                <w:tcPr>
                  <w:tcW w:w="1236"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连续等效A声级</w:t>
                  </w:r>
                </w:p>
              </w:tc>
              <w:tc>
                <w:tcPr>
                  <w:tcW w:w="1032"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泵站厂界</w:t>
                  </w:r>
                </w:p>
              </w:tc>
              <w:tc>
                <w:tcPr>
                  <w:tcW w:w="730"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验收时监测1次。</w:t>
                  </w:r>
                </w:p>
              </w:tc>
              <w:tc>
                <w:tcPr>
                  <w:tcW w:w="1328"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《工业企业厂界环境噪声排放标准》（GB</w:t>
                  </w:r>
                  <w:r>
                    <w:rPr>
                      <w:rFonts w:hint="eastAsia" w:ascii="Times New Roman" w:hAnsi="Times New Roman" w:cs="Times New Roman"/>
                      <w:lang w:eastAsia="zh-CN"/>
                    </w:rPr>
                    <w:t>*****</w:t>
                  </w:r>
                  <w:r>
                    <w:rPr>
                      <w:rFonts w:ascii="Times New Roman" w:hAnsi="Times New Roman" w:cs="Times New Roman"/>
                    </w:rPr>
                    <w:t>-2008）2类标准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4"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废水</w:t>
                  </w:r>
                </w:p>
              </w:tc>
              <w:tc>
                <w:tcPr>
                  <w:tcW w:w="1236"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hint="eastAsia" w:ascii="Times New Roman" w:hAnsi="Times New Roman" w:cs="Times New Roman"/>
                    </w:rPr>
                    <w:t>pH、</w:t>
                  </w:r>
                  <w:r>
                    <w:rPr>
                      <w:rFonts w:ascii="Times New Roman" w:hAnsi="Times New Roman" w:cs="Times New Roman"/>
                    </w:rPr>
                    <w:t>BOD</w:t>
                  </w:r>
                  <w:r>
                    <w:rPr>
                      <w:rFonts w:ascii="Times New Roman" w:hAnsi="Times New Roman" w:cs="Times New Roman"/>
                      <w:vertAlign w:val="subscript"/>
                    </w:rPr>
                    <w:t>5</w:t>
                  </w:r>
                  <w:r>
                    <w:rPr>
                      <w:rFonts w:ascii="Times New Roman" w:hAnsi="Times New Roman" w:cs="Times New Roman"/>
                    </w:rPr>
                    <w:t>、</w:t>
                  </w:r>
                  <w:r>
                    <w:rPr>
                      <w:rFonts w:hint="eastAsia" w:ascii="Times New Roman" w:hAnsi="Times New Roman" w:cs="Times New Roman"/>
                    </w:rPr>
                    <w:t>SS、</w:t>
                  </w:r>
                  <w:r>
                    <w:rPr>
                      <w:rFonts w:ascii="Times New Roman" w:hAnsi="Times New Roman" w:cs="Times New Roman"/>
                    </w:rPr>
                    <w:t>氨氮、阴离子表面活性、溶解氧、总氯等</w:t>
                  </w:r>
                </w:p>
              </w:tc>
              <w:tc>
                <w:tcPr>
                  <w:tcW w:w="1032"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沉淀池出口</w:t>
                  </w:r>
                </w:p>
              </w:tc>
              <w:tc>
                <w:tcPr>
                  <w:tcW w:w="730"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验收时监测1次。正常运行后每年监测1次</w:t>
                  </w:r>
                </w:p>
              </w:tc>
              <w:tc>
                <w:tcPr>
                  <w:tcW w:w="1328"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《城市污水再生利用城市杂用水水质》（GB/T</w:t>
                  </w:r>
                  <w:r>
                    <w:rPr>
                      <w:rFonts w:hint="eastAsia" w:ascii="Times New Roman" w:hAnsi="Times New Roman" w:cs="Times New Roman"/>
                      <w:lang w:eastAsia="zh-CN"/>
                    </w:rPr>
                    <w:t>*****</w:t>
                  </w:r>
                  <w:r>
                    <w:rPr>
                      <w:rFonts w:ascii="Times New Roman" w:hAnsi="Times New Roman" w:cs="Times New Roman"/>
                    </w:rPr>
                    <w:t>-2020）中绿化标准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674"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生态监测</w:t>
                  </w:r>
                </w:p>
              </w:tc>
              <w:tc>
                <w:tcPr>
                  <w:tcW w:w="1236"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陆生植物的分布及生态植被植物恢复情况</w:t>
                  </w:r>
                </w:p>
              </w:tc>
              <w:tc>
                <w:tcPr>
                  <w:tcW w:w="1032"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光伏场区光伏板空地、临时施工生产区</w:t>
                  </w:r>
                </w:p>
              </w:tc>
              <w:tc>
                <w:tcPr>
                  <w:tcW w:w="730"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验收时调查1次</w:t>
                  </w:r>
                </w:p>
              </w:tc>
              <w:tc>
                <w:tcPr>
                  <w:tcW w:w="1328"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74"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地表水</w:t>
                  </w:r>
                </w:p>
              </w:tc>
              <w:tc>
                <w:tcPr>
                  <w:tcW w:w="1236"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kern w:val="24"/>
                    </w:rPr>
                    <w:t>pH、SS、COD、氨氮、总磷、总氮、石油类、阴离子表面活性剂</w:t>
                  </w:r>
                </w:p>
              </w:tc>
              <w:tc>
                <w:tcPr>
                  <w:tcW w:w="1032"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Times New Roman" w:hAnsi="Times New Roman" w:cs="Times New Roman"/>
                    </w:rPr>
                  </w:pPr>
                  <w:r>
                    <w:rPr>
                      <w:rFonts w:ascii="Times New Roman" w:hAnsi="Times New Roman" w:cs="Times New Roman"/>
                    </w:rPr>
                    <w:t>昆明市东川区金沙江段，项目区的上游500米、下游500米</w:t>
                  </w:r>
                </w:p>
              </w:tc>
              <w:tc>
                <w:tcPr>
                  <w:tcW w:w="730"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施工期间监测1次</w:t>
                  </w:r>
                </w:p>
              </w:tc>
              <w:tc>
                <w:tcPr>
                  <w:tcW w:w="1328"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Times New Roman" w:hAnsi="Times New Roman" w:cs="Times New Roman"/>
                    </w:rPr>
                  </w:pPr>
                  <w:r>
                    <w:rPr>
                      <w:rFonts w:ascii="Times New Roman" w:hAnsi="Times New Roman" w:cs="Times New Roman"/>
                    </w:rPr>
                    <w:t>《地表水环境质量标准》（GB</w:t>
                  </w:r>
                  <w:r>
                    <w:rPr>
                      <w:rFonts w:hint="eastAsia" w:ascii="Times New Roman" w:hAnsi="Times New Roman" w:cs="Times New Roman"/>
                      <w:lang w:eastAsia="zh-CN"/>
                    </w:rPr>
                    <w:t>****</w:t>
                  </w:r>
                  <w:r>
                    <w:rPr>
                      <w:rFonts w:ascii="Times New Roman" w:hAnsi="Times New Roman" w:cs="Times New Roman"/>
                    </w:rPr>
                    <w:t>-2002）Ⅲ类标准</w:t>
                  </w:r>
                </w:p>
              </w:tc>
            </w:tr>
          </w:tbl>
          <w:p>
            <w:pPr>
              <w:pStyle w:val="15"/>
              <w:spacing w:line="360" w:lineRule="auto"/>
              <w:ind w:firstLine="480" w:firstLineChars="200"/>
              <w:jc w:val="both"/>
              <w:rPr>
                <w:rFonts w:ascii="Times New Roman" w:hAnsi="Times New Roman" w:cs="Times New Roman"/>
                <w:color w:val="auto"/>
                <w:kern w:val="2"/>
              </w:rPr>
            </w:pPr>
            <w:r>
              <w:rPr>
                <w:rFonts w:ascii="Times New Roman" w:hAnsi="Times New Roman" w:cs="Times New Roman"/>
                <w:color w:val="auto"/>
                <w:kern w:val="2"/>
              </w:rPr>
              <w:t>项目应加强</w:t>
            </w:r>
            <w:r>
              <w:rPr>
                <w:rFonts w:hint="eastAsia" w:ascii="Times New Roman" w:hAnsi="Times New Roman" w:cs="Times New Roman"/>
                <w:color w:val="auto"/>
                <w:kern w:val="2"/>
              </w:rPr>
              <w:t>提水</w:t>
            </w:r>
            <w:r>
              <w:rPr>
                <w:rFonts w:ascii="Times New Roman" w:hAnsi="Times New Roman" w:cs="Times New Roman"/>
                <w:color w:val="auto"/>
                <w:kern w:val="2"/>
              </w:rPr>
              <w:t>管道巡视、巡查，定期对管道及其附属设施进行检修检查，发现损坏部件及时更换。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环保投资</w:t>
            </w:r>
          </w:p>
        </w:tc>
        <w:tc>
          <w:tcPr>
            <w:tcW w:w="8834" w:type="dxa"/>
            <w:vAlign w:val="center"/>
          </w:tcPr>
          <w:p>
            <w:pPr>
              <w:autoSpaceDE w:val="0"/>
              <w:autoSpaceDN w:val="0"/>
              <w:spacing w:line="360" w:lineRule="auto"/>
              <w:ind w:firstLine="240" w:firstLineChars="100"/>
              <w:rPr>
                <w:rFonts w:ascii="Times New Roman" w:hAnsi="Times New Roman" w:cs="Times New Roman"/>
                <w:b/>
                <w:sz w:val="24"/>
                <w:szCs w:val="24"/>
              </w:rPr>
            </w:pPr>
            <w:r>
              <w:rPr>
                <w:rFonts w:hint="eastAsia" w:ascii="Times New Roman" w:hAnsi="Times New Roman" w:cs="Times New Roman"/>
                <w:b/>
                <w:sz w:val="24"/>
                <w:szCs w:val="24"/>
              </w:rPr>
              <w:t>5.4 环保投资</w:t>
            </w:r>
          </w:p>
          <w:p>
            <w:pPr>
              <w:pStyle w:val="62"/>
              <w:spacing w:line="360" w:lineRule="auto"/>
              <w:ind w:firstLine="480"/>
              <w:rPr>
                <w:rFonts w:hAnsi="Times New Roman"/>
                <w:sz w:val="24"/>
                <w:szCs w:val="24"/>
              </w:rPr>
            </w:pPr>
            <w:r>
              <w:rPr>
                <w:rFonts w:hAnsi="Times New Roman"/>
                <w:sz w:val="24"/>
                <w:szCs w:val="24"/>
              </w:rPr>
              <w:t>项目总投资</w:t>
            </w:r>
            <w:r>
              <w:rPr>
                <w:rFonts w:hint="eastAsia" w:hAnsi="Times New Roman"/>
                <w:sz w:val="24"/>
                <w:szCs w:val="24"/>
              </w:rPr>
              <w:t>1686.78</w:t>
            </w:r>
            <w:r>
              <w:rPr>
                <w:rFonts w:hAnsi="Times New Roman"/>
                <w:sz w:val="24"/>
                <w:szCs w:val="24"/>
              </w:rPr>
              <w:t>万元，其中基建环保投资为</w:t>
            </w:r>
            <w:r>
              <w:rPr>
                <w:rFonts w:hint="eastAsia" w:hAnsi="Times New Roman"/>
                <w:sz w:val="24"/>
                <w:szCs w:val="24"/>
              </w:rPr>
              <w:t>92.6</w:t>
            </w:r>
            <w:r>
              <w:rPr>
                <w:rFonts w:hAnsi="Times New Roman"/>
                <w:sz w:val="24"/>
                <w:szCs w:val="24"/>
              </w:rPr>
              <w:t>万元，占总投资的</w:t>
            </w:r>
            <w:r>
              <w:rPr>
                <w:rFonts w:hint="eastAsia" w:hAnsi="Times New Roman"/>
                <w:sz w:val="24"/>
                <w:szCs w:val="24"/>
              </w:rPr>
              <w:t>5.49</w:t>
            </w:r>
            <w:r>
              <w:rPr>
                <w:rFonts w:hAnsi="Times New Roman"/>
                <w:sz w:val="24"/>
                <w:szCs w:val="24"/>
              </w:rPr>
              <w:t>%。</w:t>
            </w:r>
          </w:p>
          <w:p>
            <w:pPr>
              <w:pStyle w:val="36"/>
              <w:spacing w:beforeLines="0"/>
              <w:rPr>
                <w:rFonts w:hAnsi="Times New Roman" w:eastAsiaTheme="minorEastAsia"/>
                <w:sz w:val="21"/>
                <w:szCs w:val="21"/>
              </w:rPr>
            </w:pPr>
            <w:r>
              <w:rPr>
                <w:rFonts w:hAnsi="Times New Roman" w:eastAsiaTheme="minorEastAsia"/>
                <w:sz w:val="21"/>
                <w:szCs w:val="21"/>
              </w:rPr>
              <w:t>表</w:t>
            </w:r>
            <w:r>
              <w:rPr>
                <w:rFonts w:hint="eastAsia" w:hAnsi="Times New Roman" w:eastAsiaTheme="minorEastAsia"/>
                <w:sz w:val="21"/>
                <w:szCs w:val="21"/>
              </w:rPr>
              <w:t>5</w:t>
            </w:r>
            <w:r>
              <w:rPr>
                <w:rFonts w:hAnsi="Times New Roman" w:eastAsiaTheme="minorEastAsia"/>
                <w:sz w:val="21"/>
                <w:szCs w:val="21"/>
              </w:rPr>
              <w:t>.</w:t>
            </w:r>
            <w:r>
              <w:rPr>
                <w:rFonts w:hint="eastAsia" w:hAnsi="Times New Roman" w:eastAsiaTheme="minorEastAsia"/>
                <w:sz w:val="21"/>
                <w:szCs w:val="21"/>
              </w:rPr>
              <w:t>4</w:t>
            </w:r>
            <w:r>
              <w:rPr>
                <w:rFonts w:hAnsi="Times New Roman" w:eastAsiaTheme="minorEastAsia"/>
                <w:sz w:val="21"/>
                <w:szCs w:val="21"/>
              </w:rPr>
              <w:t>-1  项目环保投资一览表 单位：万元</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787"/>
              <w:gridCol w:w="4822"/>
              <w:gridCol w:w="131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51" w:type="pct"/>
                  <w:gridSpan w:val="2"/>
                  <w:vAlign w:val="center"/>
                </w:tcPr>
                <w:p>
                  <w:pPr>
                    <w:spacing w:line="360" w:lineRule="exact"/>
                    <w:jc w:val="center"/>
                    <w:rPr>
                      <w:rFonts w:ascii="Times New Roman" w:hAnsi="Times New Roman" w:cs="Times New Roman"/>
                      <w:bCs/>
                    </w:rPr>
                  </w:pPr>
                  <w:r>
                    <w:rPr>
                      <w:rFonts w:ascii="Times New Roman" w:hAnsi="Times New Roman" w:cs="Times New Roman"/>
                      <w:bCs/>
                    </w:rPr>
                    <w:t>项目</w:t>
                  </w:r>
                </w:p>
              </w:tc>
              <w:tc>
                <w:tcPr>
                  <w:tcW w:w="2801" w:type="pct"/>
                  <w:vAlign w:val="center"/>
                </w:tcPr>
                <w:p>
                  <w:pPr>
                    <w:spacing w:line="360" w:lineRule="exact"/>
                    <w:jc w:val="center"/>
                    <w:rPr>
                      <w:rFonts w:ascii="Times New Roman" w:hAnsi="Times New Roman" w:cs="Times New Roman"/>
                      <w:bCs/>
                    </w:rPr>
                  </w:pPr>
                  <w:r>
                    <w:rPr>
                      <w:rFonts w:ascii="Times New Roman" w:hAnsi="Times New Roman" w:cs="Times New Roman"/>
                      <w:bCs/>
                    </w:rPr>
                    <w:t>治理措施</w:t>
                  </w:r>
                </w:p>
              </w:tc>
              <w:tc>
                <w:tcPr>
                  <w:tcW w:w="764" w:type="pct"/>
                  <w:vAlign w:val="center"/>
                </w:tcPr>
                <w:p>
                  <w:pPr>
                    <w:spacing w:line="360" w:lineRule="exact"/>
                    <w:jc w:val="center"/>
                    <w:rPr>
                      <w:rFonts w:ascii="Times New Roman" w:hAnsi="Times New Roman" w:cs="Times New Roman"/>
                      <w:bCs/>
                    </w:rPr>
                  </w:pPr>
                  <w:r>
                    <w:rPr>
                      <w:rFonts w:ascii="Times New Roman" w:hAnsi="Times New Roman" w:cs="Times New Roman"/>
                      <w:bCs/>
                    </w:rPr>
                    <w:t>投资（万元）</w:t>
                  </w:r>
                </w:p>
              </w:tc>
              <w:tc>
                <w:tcPr>
                  <w:tcW w:w="684" w:type="pct"/>
                  <w:vAlign w:val="center"/>
                </w:tcPr>
                <w:p>
                  <w:pPr>
                    <w:spacing w:line="360" w:lineRule="exact"/>
                    <w:jc w:val="center"/>
                    <w:rPr>
                      <w:rFonts w:ascii="Times New Roman" w:hAnsi="Times New Roman" w:cs="Times New Roman"/>
                      <w:bCs/>
                    </w:rPr>
                  </w:pPr>
                  <w:r>
                    <w:rPr>
                      <w:rFonts w:ascii="Times New Roman" w:hAnsi="Times New Roman" w:cs="Times New Roman"/>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457"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废气</w:t>
                  </w:r>
                </w:p>
              </w:tc>
              <w:tc>
                <w:tcPr>
                  <w:tcW w:w="2801" w:type="pct"/>
                  <w:vAlign w:val="center"/>
                </w:tcPr>
                <w:p>
                  <w:pPr>
                    <w:tabs>
                      <w:tab w:val="left" w:pos="1638"/>
                    </w:tabs>
                    <w:spacing w:line="360" w:lineRule="exact"/>
                    <w:jc w:val="center"/>
                    <w:rPr>
                      <w:rFonts w:ascii="Times New Roman" w:hAnsi="Times New Roman" w:cs="Times New Roman"/>
                    </w:rPr>
                  </w:pPr>
                  <w:r>
                    <w:rPr>
                      <w:rFonts w:ascii="Times New Roman" w:hAnsi="Times New Roman" w:cs="Times New Roman"/>
                    </w:rPr>
                    <w:t>施工场地洒水抑尘、材料土工布覆盖</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4</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continue"/>
                  <w:vAlign w:val="center"/>
                </w:tcPr>
                <w:p>
                  <w:pPr>
                    <w:spacing w:line="360" w:lineRule="exact"/>
                    <w:jc w:val="center"/>
                    <w:rPr>
                      <w:rFonts w:ascii="Times New Roman" w:hAnsi="Times New Roman" w:cs="Times New Roman"/>
                    </w:rPr>
                  </w:pPr>
                </w:p>
              </w:tc>
              <w:tc>
                <w:tcPr>
                  <w:tcW w:w="2801" w:type="pct"/>
                  <w:vAlign w:val="center"/>
                </w:tcPr>
                <w:p>
                  <w:pPr>
                    <w:tabs>
                      <w:tab w:val="left" w:pos="1638"/>
                    </w:tabs>
                    <w:spacing w:line="360" w:lineRule="exact"/>
                    <w:jc w:val="center"/>
                    <w:rPr>
                      <w:rFonts w:ascii="Times New Roman" w:hAnsi="Times New Roman" w:cs="Times New Roman"/>
                    </w:rPr>
                  </w:pPr>
                  <w:r>
                    <w:rPr>
                      <w:rFonts w:ascii="Times New Roman" w:hAnsi="Times New Roman" w:cs="Times New Roman"/>
                    </w:rPr>
                    <w:t>2.5m高的遮挡</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3</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continue"/>
                  <w:vAlign w:val="center"/>
                </w:tcPr>
                <w:p>
                  <w:pPr>
                    <w:spacing w:line="360" w:lineRule="exact"/>
                    <w:jc w:val="center"/>
                    <w:rPr>
                      <w:rFonts w:ascii="Times New Roman" w:hAnsi="Times New Roman" w:cs="Times New Roman"/>
                    </w:rPr>
                  </w:pPr>
                </w:p>
              </w:tc>
              <w:tc>
                <w:tcPr>
                  <w:tcW w:w="2801" w:type="pct"/>
                  <w:vAlign w:val="center"/>
                </w:tcPr>
                <w:p>
                  <w:pPr>
                    <w:tabs>
                      <w:tab w:val="left" w:pos="1638"/>
                    </w:tabs>
                    <w:spacing w:line="360" w:lineRule="exact"/>
                    <w:jc w:val="center"/>
                    <w:rPr>
                      <w:rFonts w:ascii="Times New Roman" w:hAnsi="Times New Roman" w:cs="Times New Roman"/>
                    </w:rPr>
                  </w:pPr>
                  <w:r>
                    <w:rPr>
                      <w:rFonts w:ascii="Times New Roman" w:hAnsi="Times New Roman" w:cs="Times New Roman"/>
                    </w:rPr>
                    <w:t>运输车辆篷布覆盖</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1</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2801" w:type="pct"/>
                  <w:vAlign w:val="center"/>
                </w:tcPr>
                <w:p>
                  <w:pPr>
                    <w:tabs>
                      <w:tab w:val="left" w:pos="1638"/>
                    </w:tabs>
                    <w:spacing w:line="360" w:lineRule="exact"/>
                    <w:jc w:val="center"/>
                    <w:rPr>
                      <w:rFonts w:ascii="Times New Roman" w:hAnsi="Times New Roman" w:cs="Times New Roman"/>
                    </w:rPr>
                  </w:pPr>
                  <w:r>
                    <w:rPr>
                      <w:rFonts w:hint="eastAsia" w:ascii="Times New Roman" w:hAnsi="Times New Roman" w:cs="Times New Roman"/>
                      <w:bCs/>
                      <w:kern w:val="0"/>
                    </w:rPr>
                    <w:t>3</w:t>
                  </w:r>
                  <w:r>
                    <w:rPr>
                      <w:rFonts w:ascii="Times New Roman" w:hAnsi="Times New Roman" w:cs="Times New Roman"/>
                      <w:bCs/>
                      <w:kern w:val="0"/>
                    </w:rPr>
                    <w:t>个</w:t>
                  </w:r>
                  <w:r>
                    <w:rPr>
                      <w:rFonts w:hint="eastAsia" w:ascii="Times New Roman" w:hAnsi="Times New Roman" w:cs="Times New Roman"/>
                      <w:bCs/>
                      <w:kern w:val="0"/>
                    </w:rPr>
                    <w:t>4</w:t>
                  </w:r>
                  <w:r>
                    <w:rPr>
                      <w:rFonts w:ascii="Times New Roman" w:hAnsi="Times New Roman" w:cs="Times New Roman"/>
                      <w:bCs/>
                      <w:kern w:val="0"/>
                    </w:rPr>
                    <w:t>m</w:t>
                  </w:r>
                  <w:r>
                    <w:rPr>
                      <w:rFonts w:ascii="Times New Roman" w:hAnsi="Times New Roman" w:cs="Times New Roman"/>
                      <w:bCs/>
                      <w:kern w:val="0"/>
                      <w:vertAlign w:val="superscript"/>
                    </w:rPr>
                    <w:t>3</w:t>
                  </w:r>
                  <w:r>
                    <w:rPr>
                      <w:rFonts w:ascii="Times New Roman" w:hAnsi="Times New Roman" w:cs="Times New Roman"/>
                      <w:bCs/>
                      <w:kern w:val="0"/>
                    </w:rPr>
                    <w:t>的临时沉淀池</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8</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continue"/>
                  <w:vAlign w:val="center"/>
                </w:tcPr>
                <w:p>
                  <w:pPr>
                    <w:spacing w:line="360" w:lineRule="exact"/>
                    <w:jc w:val="center"/>
                    <w:rPr>
                      <w:rFonts w:ascii="Times New Roman" w:hAnsi="Times New Roman" w:cs="Times New Roman"/>
                    </w:rPr>
                  </w:pPr>
                </w:p>
              </w:tc>
              <w:tc>
                <w:tcPr>
                  <w:tcW w:w="2801" w:type="pct"/>
                  <w:vAlign w:val="center"/>
                </w:tcPr>
                <w:p>
                  <w:pPr>
                    <w:tabs>
                      <w:tab w:val="left" w:pos="1638"/>
                    </w:tabs>
                    <w:spacing w:line="360" w:lineRule="exact"/>
                    <w:jc w:val="center"/>
                    <w:rPr>
                      <w:rFonts w:ascii="Times New Roman" w:hAnsi="Times New Roman" w:cs="Times New Roman"/>
                      <w:bCs/>
                      <w:kern w:val="0"/>
                    </w:rPr>
                  </w:pPr>
                  <w:r>
                    <w:rPr>
                      <w:rFonts w:hint="eastAsia" w:ascii="Times New Roman" w:hAnsi="Times New Roman" w:cs="Times New Roman"/>
                      <w:bCs/>
                      <w:kern w:val="0"/>
                    </w:rPr>
                    <w:t>1</w:t>
                  </w:r>
                  <w:r>
                    <w:rPr>
                      <w:rFonts w:ascii="Times New Roman" w:hAnsi="Times New Roman" w:cs="Times New Roman"/>
                      <w:bCs/>
                      <w:kern w:val="0"/>
                    </w:rPr>
                    <w:t>个</w:t>
                  </w:r>
                  <w:r>
                    <w:rPr>
                      <w:rFonts w:hint="eastAsia" w:ascii="Times New Roman" w:hAnsi="Times New Roman" w:cs="Times New Roman"/>
                      <w:bCs/>
                      <w:kern w:val="0"/>
                    </w:rPr>
                    <w:t>1</w:t>
                  </w:r>
                  <w:r>
                    <w:rPr>
                      <w:rFonts w:ascii="Times New Roman" w:hAnsi="Times New Roman" w:cs="Times New Roman"/>
                      <w:bCs/>
                      <w:kern w:val="0"/>
                    </w:rPr>
                    <w:t>m</w:t>
                  </w:r>
                  <w:r>
                    <w:rPr>
                      <w:rFonts w:ascii="Times New Roman" w:hAnsi="Times New Roman" w:cs="Times New Roman"/>
                      <w:bCs/>
                      <w:kern w:val="0"/>
                      <w:vertAlign w:val="superscript"/>
                    </w:rPr>
                    <w:t>3</w:t>
                  </w:r>
                  <w:r>
                    <w:rPr>
                      <w:rFonts w:ascii="Times New Roman" w:hAnsi="Times New Roman" w:cs="Times New Roman"/>
                      <w:bCs/>
                      <w:kern w:val="0"/>
                    </w:rPr>
                    <w:t>的临时沉砂池、</w:t>
                  </w:r>
                  <w:r>
                    <w:rPr>
                      <w:rFonts w:hint="eastAsia" w:ascii="Times New Roman" w:hAnsi="Times New Roman" w:cs="Times New Roman"/>
                      <w:bCs/>
                      <w:kern w:val="0"/>
                    </w:rPr>
                    <w:t>2</w:t>
                  </w:r>
                  <w:r>
                    <w:rPr>
                      <w:rFonts w:ascii="Times New Roman" w:hAnsi="Times New Roman" w:cs="Times New Roman"/>
                      <w:bCs/>
                      <w:kern w:val="0"/>
                    </w:rPr>
                    <w:t>个</w:t>
                  </w:r>
                  <w:r>
                    <w:rPr>
                      <w:rFonts w:hint="eastAsia" w:ascii="Times New Roman" w:hAnsi="Times New Roman" w:cs="Times New Roman"/>
                      <w:bCs/>
                      <w:kern w:val="0"/>
                    </w:rPr>
                    <w:t>0.5</w:t>
                  </w:r>
                  <w:r>
                    <w:rPr>
                      <w:rFonts w:ascii="Times New Roman" w:hAnsi="Times New Roman" w:cs="Times New Roman"/>
                      <w:bCs/>
                      <w:kern w:val="0"/>
                    </w:rPr>
                    <w:t>m</w:t>
                  </w:r>
                  <w:r>
                    <w:rPr>
                      <w:rFonts w:ascii="Times New Roman" w:hAnsi="Times New Roman" w:cs="Times New Roman"/>
                      <w:bCs/>
                      <w:kern w:val="0"/>
                      <w:vertAlign w:val="superscript"/>
                    </w:rPr>
                    <w:t>3</w:t>
                  </w:r>
                  <w:r>
                    <w:rPr>
                      <w:rFonts w:ascii="Times New Roman" w:hAnsi="Times New Roman" w:cs="Times New Roman"/>
                      <w:bCs/>
                      <w:kern w:val="0"/>
                    </w:rPr>
                    <w:t>的临时沉砂池、</w:t>
                  </w:r>
                  <w:r>
                    <w:rPr>
                      <w:rFonts w:hint="eastAsia" w:ascii="Times New Roman" w:hAnsi="Times New Roman" w:cs="Times New Roman"/>
                      <w:bCs/>
                      <w:kern w:val="0"/>
                    </w:rPr>
                    <w:t>截排水沟820m</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4</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Align w:val="center"/>
                </w:tcPr>
                <w:p>
                  <w:pPr>
                    <w:spacing w:line="360" w:lineRule="exact"/>
                    <w:jc w:val="center"/>
                    <w:rPr>
                      <w:rFonts w:ascii="Times New Roman" w:hAnsi="Times New Roman" w:cs="Times New Roman"/>
                    </w:rPr>
                  </w:pPr>
                  <w:r>
                    <w:rPr>
                      <w:rFonts w:ascii="Times New Roman" w:hAnsi="Times New Roman" w:cs="Times New Roman"/>
                    </w:rPr>
                    <w:t>噪声</w:t>
                  </w:r>
                </w:p>
              </w:tc>
              <w:tc>
                <w:tcPr>
                  <w:tcW w:w="2801"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lang w:val="zh-CN"/>
                    </w:rPr>
                    <w:t>合理安排施工时段、选用低噪声设备、加强施工场地噪声管理、厂界围挡</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bCs/>
                      <w:kern w:val="0"/>
                    </w:rPr>
                    <w:t>0.1</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固废</w:t>
                  </w:r>
                </w:p>
              </w:tc>
              <w:tc>
                <w:tcPr>
                  <w:tcW w:w="2801" w:type="pct"/>
                  <w:vAlign w:val="center"/>
                </w:tcPr>
                <w:p>
                  <w:pPr>
                    <w:adjustRightInd w:val="0"/>
                    <w:snapToGrid w:val="0"/>
                    <w:spacing w:line="360" w:lineRule="exact"/>
                    <w:jc w:val="center"/>
                    <w:rPr>
                      <w:rFonts w:ascii="Times New Roman" w:hAnsi="Times New Roman" w:cs="Times New Roman"/>
                    </w:rPr>
                  </w:pPr>
                  <w:r>
                    <w:rPr>
                      <w:rFonts w:ascii="Times New Roman" w:hAnsi="Times New Roman" w:cs="Times New Roman"/>
                    </w:rPr>
                    <w:t>建筑材料、垃圾收集清运</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bCs/>
                      <w:kern w:val="0"/>
                    </w:rPr>
                    <w:t>0.4</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continue"/>
                  <w:vAlign w:val="center"/>
                </w:tcPr>
                <w:p>
                  <w:pPr>
                    <w:spacing w:line="360" w:lineRule="exact"/>
                    <w:jc w:val="center"/>
                    <w:rPr>
                      <w:rFonts w:ascii="Times New Roman" w:hAnsi="Times New Roman" w:cs="Times New Roman"/>
                    </w:rPr>
                  </w:pPr>
                </w:p>
              </w:tc>
              <w:tc>
                <w:tcPr>
                  <w:tcW w:w="2801" w:type="pct"/>
                  <w:vAlign w:val="center"/>
                </w:tcPr>
                <w:p>
                  <w:pPr>
                    <w:adjustRightInd w:val="0"/>
                    <w:snapToGrid w:val="0"/>
                    <w:spacing w:line="360" w:lineRule="exact"/>
                    <w:jc w:val="center"/>
                    <w:rPr>
                      <w:rFonts w:ascii="Times New Roman" w:hAnsi="Times New Roman" w:cs="Times New Roman"/>
                    </w:rPr>
                  </w:pPr>
                  <w:r>
                    <w:rPr>
                      <w:rFonts w:hint="eastAsia" w:ascii="Times New Roman" w:hAnsi="Times New Roman" w:cs="Times New Roman"/>
                    </w:rPr>
                    <w:t>3个临时表土堆场</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6</w:t>
                  </w:r>
                </w:p>
              </w:tc>
              <w:tc>
                <w:tcPr>
                  <w:tcW w:w="684" w:type="pct"/>
                  <w:vAlign w:val="center"/>
                </w:tcPr>
                <w:p>
                  <w:pPr>
                    <w:adjustRightInd w:val="0"/>
                    <w:snapToGrid w:val="0"/>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Align w:val="center"/>
                </w:tcPr>
                <w:p>
                  <w:pPr>
                    <w:spacing w:line="360" w:lineRule="exact"/>
                    <w:jc w:val="center"/>
                    <w:rPr>
                      <w:rFonts w:ascii="Times New Roman" w:hAnsi="Times New Roman" w:cs="Times New Roman"/>
                    </w:rPr>
                  </w:pPr>
                  <w:r>
                    <w:rPr>
                      <w:rFonts w:ascii="Times New Roman" w:hAnsi="Times New Roman" w:cs="Times New Roman"/>
                    </w:rPr>
                    <w:t>生态</w:t>
                  </w:r>
                </w:p>
              </w:tc>
              <w:tc>
                <w:tcPr>
                  <w:tcW w:w="2801" w:type="pct"/>
                  <w:vAlign w:val="center"/>
                </w:tcPr>
                <w:p>
                  <w:pPr>
                    <w:pStyle w:val="34"/>
                    <w:spacing w:line="360" w:lineRule="exact"/>
                    <w:ind w:firstLine="210" w:firstLineChars="100"/>
                    <w:jc w:val="both"/>
                    <w:rPr>
                      <w:color w:val="auto"/>
                      <w:szCs w:val="21"/>
                    </w:rPr>
                  </w:pPr>
                  <w:r>
                    <w:rPr>
                      <w:rFonts w:hAnsi="宋体"/>
                      <w:color w:val="auto"/>
                      <w:szCs w:val="21"/>
                    </w:rPr>
                    <w:t>各区域表土进行单独收集并全部用于覆土，对占用的临时施工生产区（</w:t>
                  </w:r>
                  <w:r>
                    <w:rPr>
                      <w:rFonts w:hint="eastAsia" w:hAnsi="宋体"/>
                      <w:color w:val="auto"/>
                      <w:szCs w:val="21"/>
                    </w:rPr>
                    <w:t>4.14亩</w:t>
                  </w:r>
                  <w:r>
                    <w:rPr>
                      <w:rFonts w:hAnsi="宋体"/>
                      <w:color w:val="auto"/>
                      <w:szCs w:val="21"/>
                    </w:rPr>
                    <w:t>）的旱地进行复耕</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62.5</w:t>
                  </w:r>
                </w:p>
              </w:tc>
              <w:tc>
                <w:tcPr>
                  <w:tcW w:w="684" w:type="pct"/>
                  <w:vAlign w:val="center"/>
                </w:tcPr>
                <w:p>
                  <w:pPr>
                    <w:adjustRightInd w:val="0"/>
                    <w:snapToGrid w:val="0"/>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4"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457" w:type="pc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2801" w:type="pct"/>
                  <w:vAlign w:val="center"/>
                </w:tcPr>
                <w:p>
                  <w:pPr>
                    <w:pStyle w:val="8"/>
                    <w:spacing w:line="360" w:lineRule="exact"/>
                    <w:ind w:firstLine="0"/>
                    <w:jc w:val="center"/>
                    <w:rPr>
                      <w:sz w:val="21"/>
                      <w:szCs w:val="21"/>
                    </w:rPr>
                  </w:pPr>
                  <w:r>
                    <w:rPr>
                      <w:sz w:val="21"/>
                      <w:szCs w:val="21"/>
                    </w:rPr>
                    <w:t>1个</w:t>
                  </w:r>
                  <w:r>
                    <w:rPr>
                      <w:rFonts w:hint="eastAsia"/>
                      <w:sz w:val="21"/>
                      <w:szCs w:val="21"/>
                    </w:rPr>
                    <w:t>7</w:t>
                  </w:r>
                  <w:r>
                    <w:rPr>
                      <w:sz w:val="21"/>
                      <w:szCs w:val="21"/>
                    </w:rPr>
                    <w:t>m</w:t>
                  </w:r>
                  <w:r>
                    <w:rPr>
                      <w:sz w:val="21"/>
                      <w:szCs w:val="21"/>
                      <w:vertAlign w:val="superscript"/>
                    </w:rPr>
                    <w:t>3</w:t>
                  </w:r>
                  <w:r>
                    <w:rPr>
                      <w:sz w:val="21"/>
                      <w:szCs w:val="21"/>
                    </w:rPr>
                    <w:t>的沉淀池</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3.5</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Align w:val="center"/>
                </w:tcPr>
                <w:p>
                  <w:pPr>
                    <w:spacing w:line="360" w:lineRule="exact"/>
                    <w:jc w:val="center"/>
                    <w:rPr>
                      <w:rFonts w:ascii="Times New Roman" w:hAnsi="Times New Roman" w:cs="Times New Roman"/>
                    </w:rPr>
                  </w:pPr>
                  <w:r>
                    <w:rPr>
                      <w:rFonts w:ascii="Times New Roman" w:hAnsi="Times New Roman" w:cs="Times New Roman"/>
                    </w:rPr>
                    <w:t>其他</w:t>
                  </w:r>
                </w:p>
              </w:tc>
              <w:tc>
                <w:tcPr>
                  <w:tcW w:w="2801" w:type="pct"/>
                  <w:vAlign w:val="center"/>
                </w:tcPr>
                <w:p>
                  <w:pPr>
                    <w:pStyle w:val="8"/>
                    <w:spacing w:line="360" w:lineRule="exact"/>
                    <w:ind w:firstLine="0"/>
                    <w:jc w:val="center"/>
                    <w:rPr>
                      <w:sz w:val="21"/>
                      <w:szCs w:val="21"/>
                    </w:rPr>
                  </w:pPr>
                  <w:r>
                    <w:rPr>
                      <w:sz w:val="21"/>
                      <w:szCs w:val="21"/>
                    </w:rPr>
                    <w:t>标识牌</w:t>
                  </w:r>
                </w:p>
              </w:tc>
              <w:tc>
                <w:tcPr>
                  <w:tcW w:w="764" w:type="pct"/>
                  <w:vAlign w:val="center"/>
                </w:tcPr>
                <w:p>
                  <w:pPr>
                    <w:spacing w:line="360" w:lineRule="exact"/>
                    <w:jc w:val="center"/>
                    <w:rPr>
                      <w:rFonts w:ascii="Times New Roman" w:hAnsi="Times New Roman" w:cs="Times New Roman"/>
                    </w:rPr>
                  </w:pPr>
                  <w:r>
                    <w:rPr>
                      <w:rFonts w:ascii="Times New Roman" w:hAnsi="Times New Roman" w:cs="Times New Roman"/>
                    </w:rPr>
                    <w:t>0.1</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4" w:type="pct"/>
                  <w:vMerge w:val="continue"/>
                  <w:vAlign w:val="center"/>
                </w:tcPr>
                <w:p>
                  <w:pPr>
                    <w:spacing w:line="360" w:lineRule="exact"/>
                    <w:jc w:val="center"/>
                    <w:rPr>
                      <w:rFonts w:ascii="Times New Roman" w:hAnsi="Times New Roman" w:cs="Times New Roman"/>
                    </w:rPr>
                  </w:pPr>
                </w:p>
              </w:tc>
              <w:tc>
                <w:tcPr>
                  <w:tcW w:w="3258" w:type="pct"/>
                  <w:gridSpan w:val="2"/>
                  <w:vAlign w:val="center"/>
                </w:tcPr>
                <w:p>
                  <w:pPr>
                    <w:spacing w:line="360" w:lineRule="exact"/>
                    <w:jc w:val="center"/>
                    <w:rPr>
                      <w:rFonts w:ascii="Times New Roman" w:hAnsi="Times New Roman" w:cs="Times New Roman"/>
                    </w:rPr>
                  </w:pPr>
                  <w:r>
                    <w:rPr>
                      <w:rFonts w:hint="eastAsia" w:ascii="Times New Roman" w:hAnsi="Times New Roman" w:cs="Times New Roman"/>
                    </w:rPr>
                    <w:t>环评、监测、验收及环保设施运行维护费用</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10</w:t>
                  </w:r>
                  <w:r>
                    <w:rPr>
                      <w:rFonts w:ascii="Times New Roman" w:hAnsi="Times New Roman" w:cs="Times New Roman"/>
                    </w:rPr>
                    <w:t>万元/a</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4" w:type="pct"/>
                  <w:vMerge w:val="continue"/>
                  <w:vAlign w:val="center"/>
                </w:tcPr>
                <w:p>
                  <w:pPr>
                    <w:spacing w:line="360" w:lineRule="exact"/>
                    <w:jc w:val="center"/>
                    <w:rPr>
                      <w:rFonts w:ascii="Times New Roman" w:hAnsi="Times New Roman" w:cs="Times New Roman"/>
                    </w:rPr>
                  </w:pPr>
                </w:p>
              </w:tc>
              <w:tc>
                <w:tcPr>
                  <w:tcW w:w="3258" w:type="pct"/>
                  <w:gridSpan w:val="2"/>
                  <w:vAlign w:val="center"/>
                </w:tcPr>
                <w:p>
                  <w:pPr>
                    <w:spacing w:line="360" w:lineRule="exact"/>
                    <w:jc w:val="center"/>
                    <w:rPr>
                      <w:rFonts w:ascii="Times New Roman" w:hAnsi="Times New Roman" w:cs="Times New Roman"/>
                    </w:rPr>
                  </w:pPr>
                  <w:r>
                    <w:rPr>
                      <w:rFonts w:ascii="Times New Roman" w:hAnsi="Times New Roman" w:cs="Times New Roman"/>
                    </w:rPr>
                    <w:t>合计</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92.6</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w:t>
                  </w: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tc>
      </w:tr>
    </w:tbl>
    <w:p>
      <w:pPr>
        <w:spacing w:line="360" w:lineRule="auto"/>
        <w:jc w:val="left"/>
        <w:outlineLvl w:val="0"/>
        <w:rPr>
          <w:rFonts w:ascii="Times New Roman" w:hAnsi="Times New Roman" w:cs="Times New Roman"/>
          <w:b/>
          <w:sz w:val="28"/>
          <w:szCs w:val="20"/>
        </w:rPr>
      </w:pPr>
      <w:r>
        <w:rPr>
          <w:rFonts w:ascii="Times New Roman" w:hAnsi="Times New Roman" w:cs="Times New Roman"/>
          <w:b/>
          <w:sz w:val="28"/>
          <w:szCs w:val="20"/>
        </w:rPr>
        <w:t>六、生态环境保护措施监督检查清单</w:t>
      </w:r>
    </w:p>
    <w:tbl>
      <w:tblPr>
        <w:tblStyle w:val="24"/>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544"/>
        <w:gridCol w:w="1559"/>
        <w:gridCol w:w="2126"/>
        <w:gridCol w:w="1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06" w:type="dxa"/>
            <w:vMerge w:val="restart"/>
            <w:tcBorders>
              <w:tl2br w:val="single" w:color="auto" w:sz="4" w:space="0"/>
            </w:tcBorders>
            <w:vAlign w:val="center"/>
          </w:tcPr>
          <w:p>
            <w:pPr>
              <w:pStyle w:val="34"/>
              <w:spacing w:line="360" w:lineRule="exact"/>
              <w:rPr>
                <w:rFonts w:hAnsi="宋体"/>
                <w:color w:val="auto"/>
                <w:sz w:val="24"/>
                <w:szCs w:val="24"/>
              </w:rPr>
            </w:pPr>
            <w:bookmarkStart w:id="5" w:name="_Toc18689"/>
            <w:r>
              <w:rPr>
                <w:rFonts w:hAnsi="宋体"/>
                <w:color w:val="auto"/>
                <w:sz w:val="24"/>
                <w:szCs w:val="24"/>
              </w:rPr>
              <w:t>内容</w:t>
            </w:r>
            <w:bookmarkEnd w:id="5"/>
          </w:p>
          <w:p>
            <w:pPr>
              <w:pStyle w:val="34"/>
              <w:spacing w:line="360" w:lineRule="exact"/>
              <w:jc w:val="both"/>
              <w:rPr>
                <w:rFonts w:hAnsi="宋体"/>
                <w:color w:val="auto"/>
                <w:sz w:val="24"/>
                <w:szCs w:val="24"/>
              </w:rPr>
            </w:pPr>
            <w:bookmarkStart w:id="6" w:name="_Toc1167"/>
            <w:r>
              <w:rPr>
                <w:rFonts w:hAnsi="宋体"/>
                <w:color w:val="auto"/>
                <w:sz w:val="24"/>
                <w:szCs w:val="24"/>
              </w:rPr>
              <w:t>要素</w:t>
            </w:r>
            <w:bookmarkEnd w:id="6"/>
          </w:p>
        </w:tc>
        <w:tc>
          <w:tcPr>
            <w:tcW w:w="5103" w:type="dxa"/>
            <w:gridSpan w:val="2"/>
            <w:vAlign w:val="center"/>
          </w:tcPr>
          <w:p>
            <w:pPr>
              <w:pStyle w:val="34"/>
              <w:spacing w:line="360" w:lineRule="exact"/>
              <w:rPr>
                <w:rFonts w:hAnsi="宋体"/>
                <w:color w:val="auto"/>
                <w:sz w:val="24"/>
                <w:szCs w:val="24"/>
              </w:rPr>
            </w:pPr>
            <w:bookmarkStart w:id="7" w:name="_Toc23591"/>
            <w:r>
              <w:rPr>
                <w:rFonts w:hAnsi="宋体"/>
                <w:color w:val="auto"/>
                <w:sz w:val="24"/>
                <w:szCs w:val="24"/>
              </w:rPr>
              <w:t>施工期</w:t>
            </w:r>
            <w:bookmarkEnd w:id="7"/>
          </w:p>
        </w:tc>
        <w:tc>
          <w:tcPr>
            <w:tcW w:w="3447" w:type="dxa"/>
            <w:gridSpan w:val="2"/>
            <w:vAlign w:val="center"/>
          </w:tcPr>
          <w:p>
            <w:pPr>
              <w:pStyle w:val="34"/>
              <w:spacing w:line="360" w:lineRule="exact"/>
              <w:rPr>
                <w:rFonts w:hAnsi="宋体"/>
                <w:color w:val="auto"/>
                <w:sz w:val="24"/>
                <w:szCs w:val="24"/>
              </w:rPr>
            </w:pPr>
            <w:bookmarkStart w:id="8" w:name="_Toc31428"/>
            <w:r>
              <w:rPr>
                <w:rFonts w:hAnsi="宋体"/>
                <w:color w:val="auto"/>
                <w:sz w:val="24"/>
                <w:szCs w:val="24"/>
              </w:rPr>
              <w:t>运营期</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06" w:type="dxa"/>
            <w:vMerge w:val="continue"/>
            <w:vAlign w:val="center"/>
          </w:tcPr>
          <w:p>
            <w:pPr>
              <w:pStyle w:val="34"/>
              <w:spacing w:line="360" w:lineRule="exact"/>
              <w:rPr>
                <w:rFonts w:hAnsi="宋体"/>
                <w:color w:val="auto"/>
                <w:sz w:val="24"/>
                <w:szCs w:val="24"/>
              </w:rPr>
            </w:pPr>
          </w:p>
        </w:tc>
        <w:tc>
          <w:tcPr>
            <w:tcW w:w="3544" w:type="dxa"/>
            <w:vAlign w:val="center"/>
          </w:tcPr>
          <w:p>
            <w:pPr>
              <w:pStyle w:val="34"/>
              <w:spacing w:line="360" w:lineRule="exact"/>
              <w:rPr>
                <w:rFonts w:hAnsi="宋体"/>
                <w:color w:val="auto"/>
                <w:sz w:val="24"/>
                <w:szCs w:val="24"/>
              </w:rPr>
            </w:pPr>
            <w:bookmarkStart w:id="9" w:name="_Toc8748"/>
            <w:r>
              <w:rPr>
                <w:rFonts w:hAnsi="宋体"/>
                <w:color w:val="auto"/>
                <w:sz w:val="24"/>
                <w:szCs w:val="24"/>
              </w:rPr>
              <w:t>环境保护措施</w:t>
            </w:r>
            <w:bookmarkEnd w:id="9"/>
          </w:p>
        </w:tc>
        <w:tc>
          <w:tcPr>
            <w:tcW w:w="1559" w:type="dxa"/>
            <w:vAlign w:val="center"/>
          </w:tcPr>
          <w:p>
            <w:pPr>
              <w:pStyle w:val="34"/>
              <w:spacing w:line="360" w:lineRule="exact"/>
              <w:rPr>
                <w:rFonts w:hAnsi="宋体"/>
                <w:color w:val="auto"/>
                <w:sz w:val="24"/>
                <w:szCs w:val="24"/>
              </w:rPr>
            </w:pPr>
            <w:bookmarkStart w:id="10" w:name="_Toc2026"/>
            <w:r>
              <w:rPr>
                <w:rFonts w:hAnsi="宋体"/>
                <w:color w:val="auto"/>
                <w:sz w:val="24"/>
                <w:szCs w:val="24"/>
              </w:rPr>
              <w:t>验收要求</w:t>
            </w:r>
            <w:bookmarkEnd w:id="10"/>
          </w:p>
        </w:tc>
        <w:tc>
          <w:tcPr>
            <w:tcW w:w="2126" w:type="dxa"/>
            <w:vAlign w:val="center"/>
          </w:tcPr>
          <w:p>
            <w:pPr>
              <w:pStyle w:val="34"/>
              <w:spacing w:line="360" w:lineRule="exact"/>
              <w:rPr>
                <w:rFonts w:hAnsi="宋体"/>
                <w:color w:val="auto"/>
                <w:sz w:val="24"/>
                <w:szCs w:val="24"/>
              </w:rPr>
            </w:pPr>
            <w:bookmarkStart w:id="11" w:name="_Toc20923"/>
            <w:r>
              <w:rPr>
                <w:rFonts w:hAnsi="宋体"/>
                <w:color w:val="auto"/>
                <w:sz w:val="24"/>
                <w:szCs w:val="24"/>
              </w:rPr>
              <w:t>环境保护措施</w:t>
            </w:r>
            <w:bookmarkEnd w:id="11"/>
          </w:p>
        </w:tc>
        <w:tc>
          <w:tcPr>
            <w:tcW w:w="1321" w:type="dxa"/>
            <w:vAlign w:val="center"/>
          </w:tcPr>
          <w:p>
            <w:pPr>
              <w:pStyle w:val="34"/>
              <w:spacing w:line="360" w:lineRule="exact"/>
              <w:rPr>
                <w:rFonts w:hAnsi="宋体"/>
                <w:color w:val="auto"/>
                <w:sz w:val="24"/>
                <w:szCs w:val="24"/>
              </w:rPr>
            </w:pPr>
            <w:bookmarkStart w:id="12" w:name="_Toc5721"/>
            <w:r>
              <w:rPr>
                <w:rFonts w:hAnsi="宋体"/>
                <w:color w:val="auto"/>
                <w:sz w:val="24"/>
                <w:szCs w:val="24"/>
              </w:rPr>
              <w:t>验收要求</w:t>
            </w:r>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pStyle w:val="34"/>
              <w:spacing w:line="360" w:lineRule="exact"/>
              <w:rPr>
                <w:rFonts w:hAnsi="宋体"/>
                <w:color w:val="auto"/>
                <w:sz w:val="24"/>
                <w:szCs w:val="24"/>
              </w:rPr>
            </w:pPr>
            <w:r>
              <w:rPr>
                <w:rFonts w:hAnsi="宋体"/>
                <w:color w:val="auto"/>
                <w:sz w:val="24"/>
                <w:szCs w:val="24"/>
              </w:rPr>
              <w:t>陆生生态</w:t>
            </w:r>
          </w:p>
        </w:tc>
        <w:tc>
          <w:tcPr>
            <w:tcW w:w="3544" w:type="dxa"/>
            <w:vAlign w:val="center"/>
          </w:tcPr>
          <w:p>
            <w:pPr>
              <w:pStyle w:val="34"/>
              <w:spacing w:line="360" w:lineRule="exact"/>
              <w:ind w:firstLine="240" w:firstLineChars="100"/>
              <w:jc w:val="both"/>
              <w:rPr>
                <w:rFonts w:hAnsi="宋体"/>
                <w:color w:val="auto"/>
                <w:sz w:val="24"/>
                <w:szCs w:val="24"/>
              </w:rPr>
            </w:pPr>
            <w:r>
              <w:rPr>
                <w:rFonts w:hAnsi="宋体"/>
                <w:color w:val="auto"/>
                <w:sz w:val="24"/>
                <w:szCs w:val="24"/>
              </w:rPr>
              <w:t>工程临时占地多为人工植被，占地类型较为简单，建设单位在项目完成后应对施工区临时占地进行植被恢复，施工迹地按照原占地类型进行了植被绿化及复耕</w:t>
            </w:r>
            <w:r>
              <w:rPr>
                <w:rFonts w:hint="eastAsia" w:hAnsi="宋体"/>
                <w:color w:val="auto"/>
                <w:sz w:val="24"/>
                <w:szCs w:val="24"/>
              </w:rPr>
              <w:t>。</w:t>
            </w:r>
            <w:r>
              <w:rPr>
                <w:rFonts w:hAnsi="宋体"/>
                <w:bCs w:val="0"/>
                <w:snapToGrid/>
                <w:color w:val="auto"/>
                <w:sz w:val="24"/>
                <w:szCs w:val="24"/>
              </w:rPr>
              <w:t>严格控制施工用地，不得破坏施工用地以外的植被和猎杀野生动物。</w:t>
            </w:r>
          </w:p>
        </w:tc>
        <w:tc>
          <w:tcPr>
            <w:tcW w:w="1559" w:type="dxa"/>
            <w:vAlign w:val="center"/>
          </w:tcPr>
          <w:p>
            <w:pPr>
              <w:snapToGrid w:val="0"/>
              <w:spacing w:line="360" w:lineRule="exact"/>
              <w:jc w:val="center"/>
              <w:rPr>
                <w:rFonts w:hAnsi="宋体"/>
                <w:sz w:val="24"/>
                <w:szCs w:val="24"/>
              </w:rPr>
            </w:pPr>
            <w:r>
              <w:rPr>
                <w:rFonts w:hAnsi="宋体"/>
                <w:sz w:val="24"/>
                <w:szCs w:val="24"/>
              </w:rPr>
              <w:t>满足生态保护要求</w:t>
            </w:r>
          </w:p>
        </w:tc>
        <w:tc>
          <w:tcPr>
            <w:tcW w:w="2126" w:type="dxa"/>
            <w:vAlign w:val="center"/>
          </w:tcPr>
          <w:p>
            <w:pPr>
              <w:snapToGrid w:val="0"/>
              <w:spacing w:line="36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①</w:t>
            </w:r>
            <w:r>
              <w:rPr>
                <w:rFonts w:ascii="Times New Roman" w:hAnsi="Times New Roman" w:cs="Times New Roman"/>
                <w:sz w:val="24"/>
                <w:szCs w:val="24"/>
              </w:rPr>
              <w:t>对太阳能电池板、逆变器等场所周围空地进行人工绿化。绿化可考虑选取乡土树种为主，易于存活。</w:t>
            </w:r>
          </w:p>
          <w:p>
            <w:pPr>
              <w:snapToGrid w:val="0"/>
              <w:spacing w:line="36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②</w:t>
            </w:r>
            <w:r>
              <w:rPr>
                <w:rFonts w:ascii="Times New Roman" w:hAnsi="Times New Roman" w:cs="Times New Roman"/>
                <w:sz w:val="24"/>
                <w:szCs w:val="24"/>
              </w:rPr>
              <w:t>禁止违法开荒耕地种植农作物，只允许在项目征地范围内种植，不破项目范围外的植被。</w:t>
            </w:r>
          </w:p>
          <w:p>
            <w:pPr>
              <w:snapToGrid w:val="0"/>
              <w:spacing w:line="36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③</w:t>
            </w:r>
            <w:r>
              <w:rPr>
                <w:rFonts w:ascii="Times New Roman" w:hAnsi="Times New Roman" w:cs="Times New Roman"/>
                <w:sz w:val="24"/>
                <w:szCs w:val="24"/>
              </w:rPr>
              <w:t>保护当地的野生动物，禁止人为捕杀；禁止引入外来有害生物。</w:t>
            </w:r>
          </w:p>
          <w:p>
            <w:pPr>
              <w:snapToGrid w:val="0"/>
              <w:spacing w:line="360" w:lineRule="exact"/>
              <w:ind w:firstLine="240" w:firstLineChars="100"/>
              <w:rPr>
                <w:rFonts w:hAnsi="宋体"/>
                <w:sz w:val="24"/>
                <w:szCs w:val="24"/>
              </w:rPr>
            </w:pPr>
            <w:r>
              <w:rPr>
                <w:rFonts w:hint="eastAsia" w:ascii="Times New Roman" w:hAnsi="Times New Roman" w:cs="Times New Roman"/>
                <w:sz w:val="24"/>
                <w:szCs w:val="24"/>
              </w:rPr>
              <w:t>④</w:t>
            </w:r>
            <w:r>
              <w:rPr>
                <w:rFonts w:ascii="Times New Roman" w:hAnsi="Times New Roman" w:cs="Times New Roman"/>
                <w:sz w:val="24"/>
                <w:szCs w:val="24"/>
              </w:rPr>
              <w:t>光伏周围建设好截排水沟，空闲地多种植本地树种，减少区域水土流失。</w:t>
            </w:r>
          </w:p>
        </w:tc>
        <w:tc>
          <w:tcPr>
            <w:tcW w:w="1321" w:type="dxa"/>
            <w:vAlign w:val="center"/>
          </w:tcPr>
          <w:p>
            <w:pPr>
              <w:snapToGrid w:val="0"/>
              <w:spacing w:line="360" w:lineRule="exact"/>
              <w:jc w:val="center"/>
              <w:rPr>
                <w:rFonts w:hAnsi="宋体"/>
                <w:sz w:val="24"/>
                <w:szCs w:val="24"/>
              </w:rPr>
            </w:pPr>
            <w:r>
              <w:rPr>
                <w:rFonts w:hint="eastAsia" w:hAnsi="宋体"/>
                <w:sz w:val="24"/>
                <w:szCs w:val="24"/>
              </w:rPr>
              <w:t>植被恢复效果达到要求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pStyle w:val="34"/>
              <w:spacing w:line="360" w:lineRule="exact"/>
              <w:rPr>
                <w:rFonts w:hAnsi="宋体"/>
                <w:color w:val="auto"/>
                <w:sz w:val="24"/>
                <w:szCs w:val="24"/>
              </w:rPr>
            </w:pPr>
            <w:r>
              <w:rPr>
                <w:rFonts w:hAnsi="宋体"/>
                <w:color w:val="auto"/>
                <w:sz w:val="24"/>
                <w:szCs w:val="24"/>
              </w:rPr>
              <w:t>水生生态</w:t>
            </w:r>
          </w:p>
        </w:tc>
        <w:tc>
          <w:tcPr>
            <w:tcW w:w="3544" w:type="dxa"/>
            <w:vAlign w:val="center"/>
          </w:tcPr>
          <w:p>
            <w:pPr>
              <w:pStyle w:val="34"/>
              <w:spacing w:line="360" w:lineRule="exact"/>
              <w:ind w:firstLine="240" w:firstLineChars="100"/>
              <w:jc w:val="both"/>
              <w:rPr>
                <w:rFonts w:hAnsi="宋体"/>
                <w:color w:val="auto"/>
                <w:sz w:val="24"/>
                <w:szCs w:val="24"/>
                <w:lang w:val="en-US"/>
              </w:rPr>
            </w:pPr>
            <w:r>
              <w:rPr>
                <w:rFonts w:hint="eastAsia" w:hAnsi="宋体"/>
                <w:color w:val="auto"/>
                <w:sz w:val="24"/>
                <w:szCs w:val="24"/>
                <w:lang w:val="en-US"/>
              </w:rPr>
              <w:t>项目一级取水泵站所设置的主要为浮箱、潜水泵及软管，不用开挖及回填。项目的施工对水生生态的影响不大。</w:t>
            </w:r>
          </w:p>
        </w:tc>
        <w:tc>
          <w:tcPr>
            <w:tcW w:w="1559" w:type="dxa"/>
            <w:vAlign w:val="center"/>
          </w:tcPr>
          <w:p>
            <w:pPr>
              <w:snapToGrid w:val="0"/>
              <w:spacing w:line="360" w:lineRule="exact"/>
              <w:jc w:val="center"/>
              <w:rPr>
                <w:rFonts w:hAnsi="宋体"/>
                <w:sz w:val="24"/>
                <w:szCs w:val="24"/>
              </w:rPr>
            </w:pPr>
            <w:r>
              <w:rPr>
                <w:rFonts w:hAnsi="宋体"/>
                <w:sz w:val="24"/>
                <w:szCs w:val="24"/>
              </w:rPr>
              <w:t>满足生态保护要求</w:t>
            </w:r>
          </w:p>
        </w:tc>
        <w:tc>
          <w:tcPr>
            <w:tcW w:w="2126" w:type="dxa"/>
            <w:vAlign w:val="center"/>
          </w:tcPr>
          <w:p>
            <w:pPr>
              <w:snapToGrid w:val="0"/>
              <w:spacing w:line="360" w:lineRule="exact"/>
              <w:jc w:val="center"/>
              <w:rPr>
                <w:rFonts w:hAnsi="宋体"/>
                <w:sz w:val="24"/>
                <w:szCs w:val="24"/>
              </w:rPr>
            </w:pPr>
            <w:r>
              <w:rPr>
                <w:rFonts w:hint="eastAsia" w:hAnsi="宋体"/>
                <w:sz w:val="24"/>
                <w:szCs w:val="24"/>
              </w:rPr>
              <w:t>--</w:t>
            </w:r>
          </w:p>
        </w:tc>
        <w:tc>
          <w:tcPr>
            <w:tcW w:w="1321" w:type="dxa"/>
            <w:vAlign w:val="center"/>
          </w:tcPr>
          <w:p>
            <w:pPr>
              <w:snapToGrid w:val="0"/>
              <w:spacing w:line="360" w:lineRule="exact"/>
              <w:jc w:val="center"/>
              <w:rPr>
                <w:rFonts w:hAnsi="宋体"/>
                <w:sz w:val="24"/>
                <w:szCs w:val="24"/>
              </w:rPr>
            </w:pPr>
            <w:r>
              <w:rPr>
                <w:rFonts w:hint="eastAsia" w:hAnsi="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pStyle w:val="34"/>
              <w:spacing w:line="360" w:lineRule="exact"/>
              <w:rPr>
                <w:color w:val="auto"/>
                <w:sz w:val="24"/>
                <w:szCs w:val="24"/>
              </w:rPr>
            </w:pPr>
            <w:r>
              <w:rPr>
                <w:rFonts w:hAnsi="宋体"/>
                <w:color w:val="auto"/>
                <w:sz w:val="24"/>
                <w:szCs w:val="24"/>
              </w:rPr>
              <w:t>地表水环境</w:t>
            </w:r>
          </w:p>
        </w:tc>
        <w:tc>
          <w:tcPr>
            <w:tcW w:w="3544" w:type="dxa"/>
            <w:vAlign w:val="center"/>
          </w:tcPr>
          <w:p>
            <w:pPr>
              <w:pStyle w:val="34"/>
              <w:spacing w:line="360" w:lineRule="exact"/>
              <w:ind w:firstLine="240" w:firstLineChars="100"/>
              <w:rPr>
                <w:rFonts w:hAnsi="宋体"/>
                <w:color w:val="auto"/>
                <w:sz w:val="24"/>
                <w:szCs w:val="24"/>
                <w:lang w:val="en-US"/>
              </w:rPr>
            </w:pPr>
            <w:r>
              <w:rPr>
                <w:rFonts w:hint="eastAsia" w:hAnsi="宋体"/>
                <w:color w:val="auto"/>
                <w:sz w:val="24"/>
                <w:szCs w:val="24"/>
                <w:lang w:val="en-US"/>
              </w:rPr>
              <w:t>①分别在每个施工生产区配套设置有效容积均为4m</w:t>
            </w:r>
            <w:r>
              <w:rPr>
                <w:rFonts w:hint="eastAsia" w:hAnsi="宋体"/>
                <w:color w:val="auto"/>
                <w:sz w:val="24"/>
                <w:szCs w:val="24"/>
                <w:vertAlign w:val="superscript"/>
                <w:lang w:val="en-US"/>
              </w:rPr>
              <w:t>3</w:t>
            </w:r>
            <w:r>
              <w:rPr>
                <w:rFonts w:hint="eastAsia" w:hAnsi="宋体"/>
                <w:color w:val="auto"/>
                <w:sz w:val="24"/>
                <w:szCs w:val="24"/>
                <w:lang w:val="en-US"/>
              </w:rPr>
              <w:t>/个临时沉淀池，对设备清洗废水进行收集沉淀处理后回用于施工生产区及道路洒水抑尘，不外排。</w:t>
            </w:r>
          </w:p>
          <w:p>
            <w:pPr>
              <w:pStyle w:val="34"/>
              <w:spacing w:line="360" w:lineRule="exact"/>
              <w:ind w:firstLine="240" w:firstLineChars="100"/>
              <w:jc w:val="both"/>
              <w:rPr>
                <w:rFonts w:hAnsi="宋体"/>
                <w:color w:val="auto"/>
                <w:sz w:val="24"/>
                <w:szCs w:val="24"/>
                <w:lang w:val="en-US"/>
              </w:rPr>
            </w:pPr>
            <w:r>
              <w:rPr>
                <w:rFonts w:hint="eastAsia" w:hAnsi="宋体"/>
                <w:color w:val="auto"/>
                <w:sz w:val="24"/>
                <w:szCs w:val="24"/>
                <w:lang w:val="en-US"/>
              </w:rPr>
              <w:t>②施工期拟在</w:t>
            </w:r>
            <w:r>
              <w:rPr>
                <w:rFonts w:hint="eastAsia"/>
                <w:color w:val="auto"/>
                <w:sz w:val="24"/>
                <w:szCs w:val="24"/>
              </w:rPr>
              <w:t>1#、2#、3#</w:t>
            </w:r>
            <w:r>
              <w:rPr>
                <w:rFonts w:hint="eastAsia" w:hAnsi="宋体"/>
                <w:color w:val="auto"/>
                <w:sz w:val="24"/>
                <w:szCs w:val="24"/>
                <w:lang w:val="en-US"/>
              </w:rPr>
              <w:t>施工生产区内设置临时截洪沟及临时沉砂池，引排施工场地雨天产生的地表径流水，降低其带来的水土流失。</w:t>
            </w:r>
          </w:p>
        </w:tc>
        <w:tc>
          <w:tcPr>
            <w:tcW w:w="1559" w:type="dxa"/>
            <w:vAlign w:val="center"/>
          </w:tcPr>
          <w:p>
            <w:pPr>
              <w:snapToGrid w:val="0"/>
              <w:spacing w:line="360" w:lineRule="exact"/>
              <w:jc w:val="center"/>
              <w:rPr>
                <w:rFonts w:hAnsi="宋体"/>
                <w:sz w:val="24"/>
                <w:szCs w:val="24"/>
              </w:rPr>
            </w:pPr>
            <w:r>
              <w:rPr>
                <w:rFonts w:hint="eastAsia" w:hAnsi="宋体"/>
                <w:sz w:val="24"/>
                <w:szCs w:val="24"/>
              </w:rPr>
              <w:t>不外排</w:t>
            </w:r>
          </w:p>
        </w:tc>
        <w:tc>
          <w:tcPr>
            <w:tcW w:w="2126" w:type="dxa"/>
            <w:vAlign w:val="center"/>
          </w:tcPr>
          <w:p>
            <w:pPr>
              <w:snapToGrid w:val="0"/>
              <w:spacing w:line="360" w:lineRule="exact"/>
              <w:ind w:firstLine="240" w:firstLineChars="100"/>
              <w:rPr>
                <w:rFonts w:ascii="Times New Roman" w:hAnsi="Times New Roman" w:cs="Times New Roman"/>
                <w:sz w:val="24"/>
                <w:szCs w:val="24"/>
              </w:rPr>
            </w:pPr>
            <w:r>
              <w:rPr>
                <w:rFonts w:hint="eastAsia" w:ascii="Times New Roman" w:hAnsi="Times New Roman" w:cs="Times New Roman"/>
                <w:sz w:val="24"/>
                <w:szCs w:val="24"/>
              </w:rPr>
              <w:t>项目运营期二级泵站拟设置1个7m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沉淀池，产生的冲洗废水经沉淀后用于光伏泵站周围场地的洒水降尘，不外排。</w:t>
            </w:r>
          </w:p>
        </w:tc>
        <w:tc>
          <w:tcPr>
            <w:tcW w:w="1321" w:type="dxa"/>
            <w:vAlign w:val="center"/>
          </w:tcPr>
          <w:p>
            <w:pPr>
              <w:snapToGrid w:val="0"/>
              <w:spacing w:line="360" w:lineRule="exact"/>
              <w:jc w:val="center"/>
              <w:rPr>
                <w:rFonts w:hAnsi="宋体"/>
                <w:sz w:val="24"/>
                <w:szCs w:val="24"/>
              </w:rPr>
            </w:pPr>
            <w:r>
              <w:rPr>
                <w:rFonts w:hint="eastAsia" w:hAnsi="宋体"/>
                <w:sz w:val="24"/>
                <w:szCs w:val="24"/>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pStyle w:val="34"/>
              <w:spacing w:line="360" w:lineRule="exact"/>
              <w:rPr>
                <w:color w:val="auto"/>
                <w:sz w:val="24"/>
                <w:szCs w:val="24"/>
              </w:rPr>
            </w:pPr>
            <w:r>
              <w:rPr>
                <w:color w:val="auto"/>
                <w:sz w:val="24"/>
                <w:szCs w:val="24"/>
              </w:rPr>
              <w:t>地下水及土壤环境</w:t>
            </w:r>
          </w:p>
        </w:tc>
        <w:tc>
          <w:tcPr>
            <w:tcW w:w="3544" w:type="dxa"/>
            <w:vAlign w:val="center"/>
          </w:tcPr>
          <w:p>
            <w:pPr>
              <w:pStyle w:val="34"/>
              <w:spacing w:line="360" w:lineRule="exact"/>
              <w:ind w:firstLine="240" w:firstLineChars="100"/>
              <w:jc w:val="both"/>
              <w:rPr>
                <w:rFonts w:hAnsi="宋体"/>
                <w:color w:val="auto"/>
                <w:sz w:val="24"/>
                <w:szCs w:val="24"/>
              </w:rPr>
            </w:pPr>
            <w:r>
              <w:rPr>
                <w:rFonts w:hint="eastAsia" w:hAnsi="宋体"/>
                <w:color w:val="auto"/>
                <w:sz w:val="24"/>
                <w:szCs w:val="24"/>
              </w:rPr>
              <w:t>--</w:t>
            </w:r>
          </w:p>
        </w:tc>
        <w:tc>
          <w:tcPr>
            <w:tcW w:w="1559" w:type="dxa"/>
            <w:vAlign w:val="center"/>
          </w:tcPr>
          <w:p>
            <w:pPr>
              <w:snapToGrid w:val="0"/>
              <w:spacing w:line="360" w:lineRule="exact"/>
              <w:jc w:val="center"/>
              <w:rPr>
                <w:rFonts w:hAnsi="宋体"/>
                <w:sz w:val="24"/>
                <w:szCs w:val="24"/>
              </w:rPr>
            </w:pPr>
            <w:r>
              <w:rPr>
                <w:rFonts w:hint="eastAsia" w:hAnsi="宋体"/>
                <w:sz w:val="24"/>
                <w:szCs w:val="24"/>
              </w:rPr>
              <w:t>--</w:t>
            </w:r>
          </w:p>
        </w:tc>
        <w:tc>
          <w:tcPr>
            <w:tcW w:w="2126" w:type="dxa"/>
            <w:vAlign w:val="center"/>
          </w:tcPr>
          <w:p>
            <w:pPr>
              <w:snapToGrid w:val="0"/>
              <w:spacing w:line="360" w:lineRule="exact"/>
              <w:jc w:val="center"/>
              <w:rPr>
                <w:rFonts w:hAnsi="宋体"/>
                <w:sz w:val="24"/>
                <w:szCs w:val="24"/>
              </w:rPr>
            </w:pPr>
            <w:r>
              <w:rPr>
                <w:rFonts w:hint="eastAsia" w:hAnsi="宋体"/>
                <w:sz w:val="24"/>
                <w:szCs w:val="24"/>
              </w:rPr>
              <w:t>--</w:t>
            </w:r>
          </w:p>
        </w:tc>
        <w:tc>
          <w:tcPr>
            <w:tcW w:w="1321" w:type="dxa"/>
            <w:vAlign w:val="center"/>
          </w:tcPr>
          <w:p>
            <w:pPr>
              <w:snapToGrid w:val="0"/>
              <w:spacing w:line="360" w:lineRule="exact"/>
              <w:jc w:val="center"/>
              <w:rPr>
                <w:rFonts w:hAnsi="宋体"/>
                <w:sz w:val="24"/>
                <w:szCs w:val="24"/>
              </w:rPr>
            </w:pPr>
            <w:r>
              <w:rPr>
                <w:rFonts w:hint="eastAsia" w:hAnsi="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snapToGrid w:val="0"/>
              <w:spacing w:line="360" w:lineRule="exact"/>
              <w:jc w:val="center"/>
              <w:rPr>
                <w:sz w:val="24"/>
                <w:szCs w:val="24"/>
              </w:rPr>
            </w:pPr>
            <w:r>
              <w:rPr>
                <w:sz w:val="24"/>
                <w:szCs w:val="24"/>
              </w:rPr>
              <w:t>声环境</w:t>
            </w:r>
          </w:p>
        </w:tc>
        <w:tc>
          <w:tcPr>
            <w:tcW w:w="3544" w:type="dxa"/>
            <w:vAlign w:val="center"/>
          </w:tcPr>
          <w:p>
            <w:pPr>
              <w:pStyle w:val="34"/>
              <w:spacing w:line="360" w:lineRule="exact"/>
              <w:ind w:firstLine="240" w:firstLineChars="100"/>
              <w:jc w:val="both"/>
              <w:rPr>
                <w:rFonts w:hAnsi="宋体"/>
                <w:color w:val="auto"/>
                <w:sz w:val="24"/>
                <w:szCs w:val="24"/>
              </w:rPr>
            </w:pPr>
            <w:r>
              <w:rPr>
                <w:rFonts w:hAnsi="宋体"/>
                <w:color w:val="auto"/>
                <w:sz w:val="24"/>
                <w:szCs w:val="24"/>
              </w:rPr>
              <w:fldChar w:fldCharType="begin"/>
            </w:r>
            <w:r>
              <w:rPr>
                <w:rFonts w:hAnsi="宋体"/>
                <w:color w:val="auto"/>
                <w:sz w:val="24"/>
                <w:szCs w:val="24"/>
              </w:rPr>
              <w:instrText xml:space="preserve"> = 1 \* GB3 </w:instrText>
            </w:r>
            <w:r>
              <w:rPr>
                <w:rFonts w:hAnsi="宋体"/>
                <w:color w:val="auto"/>
                <w:sz w:val="24"/>
                <w:szCs w:val="24"/>
              </w:rPr>
              <w:fldChar w:fldCharType="separate"/>
            </w:r>
            <w:r>
              <w:rPr>
                <w:rFonts w:hint="eastAsia" w:hAnsi="宋体"/>
                <w:color w:val="auto"/>
                <w:sz w:val="24"/>
                <w:szCs w:val="24"/>
              </w:rPr>
              <w:t>①</w:t>
            </w:r>
            <w:r>
              <w:rPr>
                <w:rFonts w:hAnsi="宋体"/>
                <w:color w:val="auto"/>
                <w:sz w:val="24"/>
                <w:szCs w:val="24"/>
              </w:rPr>
              <w:fldChar w:fldCharType="end"/>
            </w:r>
            <w:r>
              <w:rPr>
                <w:rFonts w:hAnsi="宋体"/>
                <w:color w:val="auto"/>
                <w:sz w:val="24"/>
                <w:szCs w:val="24"/>
              </w:rPr>
              <w:t>施工场地设置高度为2.5m围挡；</w:t>
            </w:r>
          </w:p>
          <w:p>
            <w:pPr>
              <w:pStyle w:val="34"/>
              <w:spacing w:line="360" w:lineRule="exact"/>
              <w:ind w:firstLine="240" w:firstLineChars="100"/>
              <w:jc w:val="both"/>
              <w:rPr>
                <w:rFonts w:hAnsi="宋体"/>
                <w:color w:val="auto"/>
                <w:sz w:val="24"/>
                <w:szCs w:val="24"/>
              </w:rPr>
            </w:pPr>
            <w:r>
              <w:rPr>
                <w:rFonts w:hAnsi="宋体"/>
                <w:color w:val="auto"/>
                <w:sz w:val="24"/>
                <w:szCs w:val="24"/>
              </w:rPr>
              <w:fldChar w:fldCharType="begin"/>
            </w:r>
            <w:r>
              <w:rPr>
                <w:rFonts w:hAnsi="宋体"/>
                <w:color w:val="auto"/>
                <w:sz w:val="24"/>
                <w:szCs w:val="24"/>
              </w:rPr>
              <w:instrText xml:space="preserve"> = 2 \* GB3 </w:instrText>
            </w:r>
            <w:r>
              <w:rPr>
                <w:rFonts w:hAnsi="宋体"/>
                <w:color w:val="auto"/>
                <w:sz w:val="24"/>
                <w:szCs w:val="24"/>
              </w:rPr>
              <w:fldChar w:fldCharType="separate"/>
            </w:r>
            <w:r>
              <w:rPr>
                <w:rFonts w:hint="eastAsia" w:hAnsi="宋体"/>
                <w:color w:val="auto"/>
                <w:sz w:val="24"/>
                <w:szCs w:val="24"/>
              </w:rPr>
              <w:t>②</w:t>
            </w:r>
            <w:r>
              <w:rPr>
                <w:rFonts w:hAnsi="宋体"/>
                <w:color w:val="auto"/>
                <w:sz w:val="24"/>
                <w:szCs w:val="24"/>
              </w:rPr>
              <w:fldChar w:fldCharType="end"/>
            </w:r>
            <w:r>
              <w:rPr>
                <w:rFonts w:hAnsi="宋体"/>
                <w:color w:val="auto"/>
                <w:sz w:val="24"/>
                <w:szCs w:val="24"/>
              </w:rPr>
              <w:t>产噪大的设备远离居民点。</w:t>
            </w:r>
          </w:p>
          <w:p>
            <w:pPr>
              <w:pStyle w:val="34"/>
              <w:spacing w:line="360" w:lineRule="exact"/>
              <w:ind w:firstLine="240" w:firstLineChars="100"/>
              <w:jc w:val="both"/>
              <w:rPr>
                <w:rFonts w:hAnsi="宋体"/>
                <w:color w:val="auto"/>
                <w:sz w:val="24"/>
                <w:szCs w:val="24"/>
              </w:rPr>
            </w:pPr>
            <w:r>
              <w:rPr>
                <w:rFonts w:hAnsi="宋体"/>
                <w:color w:val="auto"/>
                <w:sz w:val="24"/>
                <w:szCs w:val="24"/>
              </w:rPr>
              <w:fldChar w:fldCharType="begin"/>
            </w:r>
            <w:r>
              <w:rPr>
                <w:rFonts w:hAnsi="宋体"/>
                <w:color w:val="auto"/>
                <w:sz w:val="24"/>
                <w:szCs w:val="24"/>
              </w:rPr>
              <w:instrText xml:space="preserve"> = 3 \* GB3 </w:instrText>
            </w:r>
            <w:r>
              <w:rPr>
                <w:rFonts w:hAnsi="宋体"/>
                <w:color w:val="auto"/>
                <w:sz w:val="24"/>
                <w:szCs w:val="24"/>
              </w:rPr>
              <w:fldChar w:fldCharType="separate"/>
            </w:r>
            <w:r>
              <w:rPr>
                <w:rFonts w:hint="eastAsia" w:hAnsi="宋体"/>
                <w:color w:val="auto"/>
                <w:sz w:val="24"/>
                <w:szCs w:val="24"/>
              </w:rPr>
              <w:t>③</w:t>
            </w:r>
            <w:r>
              <w:rPr>
                <w:rFonts w:hAnsi="宋体"/>
                <w:color w:val="auto"/>
                <w:sz w:val="24"/>
                <w:szCs w:val="24"/>
              </w:rPr>
              <w:fldChar w:fldCharType="end"/>
            </w:r>
            <w:r>
              <w:rPr>
                <w:rFonts w:hAnsi="宋体"/>
                <w:color w:val="auto"/>
                <w:sz w:val="24"/>
                <w:szCs w:val="24"/>
              </w:rPr>
              <w:t>建设方应严格按照施工规范加以控制。选用低噪声机械，产噪较大的设备必须安排在白天使用，并进行隔声及减振处理；</w:t>
            </w:r>
          </w:p>
          <w:p>
            <w:pPr>
              <w:pStyle w:val="34"/>
              <w:spacing w:line="360" w:lineRule="exact"/>
              <w:ind w:firstLine="240" w:firstLineChars="100"/>
              <w:jc w:val="both"/>
              <w:rPr>
                <w:rFonts w:hAnsi="宋体"/>
                <w:color w:val="auto"/>
                <w:sz w:val="24"/>
                <w:szCs w:val="24"/>
              </w:rPr>
            </w:pPr>
            <w:r>
              <w:rPr>
                <w:rFonts w:hAnsi="宋体"/>
                <w:color w:val="auto"/>
                <w:sz w:val="24"/>
                <w:szCs w:val="24"/>
              </w:rPr>
              <w:fldChar w:fldCharType="begin"/>
            </w:r>
            <w:r>
              <w:rPr>
                <w:rFonts w:hAnsi="宋体"/>
                <w:color w:val="auto"/>
                <w:sz w:val="24"/>
                <w:szCs w:val="24"/>
              </w:rPr>
              <w:instrText xml:space="preserve"> = 4 \* GB3 </w:instrText>
            </w:r>
            <w:r>
              <w:rPr>
                <w:rFonts w:hAnsi="宋体"/>
                <w:color w:val="auto"/>
                <w:sz w:val="24"/>
                <w:szCs w:val="24"/>
              </w:rPr>
              <w:fldChar w:fldCharType="separate"/>
            </w:r>
            <w:r>
              <w:rPr>
                <w:rFonts w:hint="eastAsia" w:hAnsi="宋体"/>
                <w:color w:val="auto"/>
                <w:sz w:val="24"/>
                <w:szCs w:val="24"/>
              </w:rPr>
              <w:t>④</w:t>
            </w:r>
            <w:r>
              <w:rPr>
                <w:rFonts w:hAnsi="宋体"/>
                <w:color w:val="auto"/>
                <w:sz w:val="24"/>
                <w:szCs w:val="24"/>
              </w:rPr>
              <w:fldChar w:fldCharType="end"/>
            </w:r>
            <w:r>
              <w:rPr>
                <w:rFonts w:hAnsi="宋体"/>
                <w:color w:val="auto"/>
                <w:sz w:val="24"/>
                <w:szCs w:val="24"/>
              </w:rPr>
              <w:t>科学合理地安排施工步骤，优化施工方式，如分段进行混凝土浇灌等措施，尽量减短噪声持续排放的时间；项目在进行物料运输时，应合理安排运输时间，选择最佳的进厂道路，避免在夜间及交通拥挤时段进行，减缓交通噪声对保护目标的影响；</w:t>
            </w:r>
          </w:p>
          <w:p>
            <w:pPr>
              <w:pStyle w:val="34"/>
              <w:spacing w:line="360" w:lineRule="exact"/>
              <w:ind w:firstLine="240" w:firstLineChars="100"/>
              <w:jc w:val="both"/>
              <w:rPr>
                <w:color w:val="auto"/>
                <w:sz w:val="24"/>
                <w:szCs w:val="24"/>
              </w:rPr>
            </w:pPr>
            <w:r>
              <w:rPr>
                <w:rFonts w:hAnsi="宋体"/>
                <w:color w:val="auto"/>
                <w:sz w:val="24"/>
                <w:szCs w:val="24"/>
              </w:rPr>
              <w:fldChar w:fldCharType="begin"/>
            </w:r>
            <w:r>
              <w:rPr>
                <w:rFonts w:hAnsi="宋体"/>
                <w:color w:val="auto"/>
                <w:sz w:val="24"/>
                <w:szCs w:val="24"/>
              </w:rPr>
              <w:instrText xml:space="preserve"> = 5 \* GB3 </w:instrText>
            </w:r>
            <w:r>
              <w:rPr>
                <w:rFonts w:hAnsi="宋体"/>
                <w:color w:val="auto"/>
                <w:sz w:val="24"/>
                <w:szCs w:val="24"/>
              </w:rPr>
              <w:fldChar w:fldCharType="separate"/>
            </w:r>
            <w:r>
              <w:rPr>
                <w:rFonts w:hint="eastAsia" w:hAnsi="宋体"/>
                <w:color w:val="auto"/>
                <w:sz w:val="24"/>
                <w:szCs w:val="24"/>
              </w:rPr>
              <w:t>⑤</w:t>
            </w:r>
            <w:r>
              <w:rPr>
                <w:rFonts w:hAnsi="宋体"/>
                <w:color w:val="auto"/>
                <w:sz w:val="24"/>
                <w:szCs w:val="24"/>
              </w:rPr>
              <w:fldChar w:fldCharType="end"/>
            </w:r>
            <w:r>
              <w:rPr>
                <w:rFonts w:hAnsi="宋体"/>
                <w:color w:val="auto"/>
                <w:sz w:val="24"/>
                <w:szCs w:val="24"/>
              </w:rPr>
              <w:t>在施工机械设备与基础或连接部位之间采用弹簧减震、橡胶减震、管道减震、阻尼减震技术，可减少动量，降低噪声。</w:t>
            </w:r>
          </w:p>
        </w:tc>
        <w:tc>
          <w:tcPr>
            <w:tcW w:w="1559" w:type="dxa"/>
            <w:vAlign w:val="center"/>
          </w:tcPr>
          <w:p>
            <w:pPr>
              <w:pStyle w:val="34"/>
              <w:spacing w:line="360" w:lineRule="exact"/>
              <w:rPr>
                <w:color w:val="auto"/>
                <w:sz w:val="24"/>
                <w:szCs w:val="24"/>
              </w:rPr>
            </w:pPr>
            <w:r>
              <w:rPr>
                <w:rFonts w:hint="eastAsia" w:hAnsi="宋体"/>
                <w:color w:val="auto"/>
                <w:sz w:val="24"/>
                <w:szCs w:val="24"/>
              </w:rPr>
              <w:t>达到</w:t>
            </w:r>
            <w:r>
              <w:rPr>
                <w:rFonts w:hAnsi="宋体"/>
                <w:color w:val="auto"/>
                <w:sz w:val="24"/>
                <w:szCs w:val="24"/>
              </w:rPr>
              <w:t>《建筑施工场界环境噪声排放标准》（GB</w:t>
            </w:r>
            <w:r>
              <w:rPr>
                <w:rFonts w:hint="eastAsia" w:hAnsi="宋体"/>
                <w:color w:val="auto"/>
                <w:sz w:val="24"/>
                <w:szCs w:val="24"/>
                <w:lang w:eastAsia="zh-CN"/>
              </w:rPr>
              <w:t>*****</w:t>
            </w:r>
            <w:r>
              <w:rPr>
                <w:rFonts w:hAnsi="宋体"/>
                <w:color w:val="auto"/>
                <w:sz w:val="24"/>
                <w:szCs w:val="24"/>
              </w:rPr>
              <w:t>-2011）要求</w:t>
            </w:r>
          </w:p>
        </w:tc>
        <w:tc>
          <w:tcPr>
            <w:tcW w:w="2126" w:type="dxa"/>
            <w:vAlign w:val="center"/>
          </w:tcPr>
          <w:p>
            <w:pPr>
              <w:ind w:firstLine="240" w:firstLineChars="100"/>
              <w:rPr>
                <w:rFonts w:ascii="Times New Roman" w:hAnsi="Times New Roman" w:cs="Times New Roman"/>
                <w:sz w:val="24"/>
                <w:szCs w:val="24"/>
              </w:rPr>
            </w:pPr>
            <w:r>
              <w:rPr>
                <w:rFonts w:ascii="Times New Roman" w:hAnsi="Times New Roman" w:cs="Times New Roman"/>
                <w:sz w:val="24"/>
                <w:szCs w:val="24"/>
              </w:rPr>
              <w:t>选用低噪声设备，采取设置绿化带隔声等措施，并加强设备维护。</w:t>
            </w:r>
          </w:p>
        </w:tc>
        <w:tc>
          <w:tcPr>
            <w:tcW w:w="1321" w:type="dxa"/>
            <w:vAlign w:val="center"/>
          </w:tcPr>
          <w:p>
            <w:pPr>
              <w:ind w:firstLine="240" w:firstLineChars="100"/>
              <w:rPr>
                <w:rFonts w:ascii="Times New Roman" w:hAnsi="Times New Roman" w:cs="Times New Roman"/>
                <w:sz w:val="24"/>
                <w:szCs w:val="24"/>
              </w:rPr>
            </w:pPr>
            <w:r>
              <w:rPr>
                <w:rFonts w:ascii="Times New Roman" w:hAnsi="Times New Roman" w:cs="Times New Roman"/>
                <w:sz w:val="24"/>
                <w:szCs w:val="24"/>
              </w:rPr>
              <w:t>达到《工业企业厂界环境噪声排放标准》（GB</w:t>
            </w:r>
            <w:r>
              <w:rPr>
                <w:rFonts w:hint="eastAsia" w:ascii="Times New Roman" w:hAnsi="Times New Roman" w:cs="Times New Roman"/>
                <w:sz w:val="24"/>
                <w:szCs w:val="24"/>
                <w:lang w:eastAsia="zh-CN"/>
              </w:rPr>
              <w:t>*****</w:t>
            </w:r>
            <w:r>
              <w:rPr>
                <w:rFonts w:ascii="Times New Roman" w:hAnsi="Times New Roman" w:cs="Times New Roman"/>
                <w:sz w:val="24"/>
                <w:szCs w:val="24"/>
              </w:rPr>
              <w:t>-2008）</w:t>
            </w:r>
            <w:r>
              <w:rPr>
                <w:rFonts w:hint="eastAsia" w:ascii="Times New Roman" w:hAnsi="Times New Roman" w:cs="Times New Roman"/>
                <w:sz w:val="24"/>
                <w:szCs w:val="24"/>
              </w:rPr>
              <w:t>2</w:t>
            </w:r>
            <w:r>
              <w:rPr>
                <w:rFonts w:ascii="Times New Roman" w:hAnsi="Times New Roman" w:cs="Times New Roman"/>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napToGrid w:val="0"/>
              <w:spacing w:line="360" w:lineRule="exact"/>
              <w:jc w:val="center"/>
              <w:rPr>
                <w:sz w:val="24"/>
                <w:szCs w:val="24"/>
              </w:rPr>
            </w:pPr>
            <w:r>
              <w:rPr>
                <w:sz w:val="24"/>
                <w:szCs w:val="24"/>
              </w:rPr>
              <w:t>振动</w:t>
            </w:r>
          </w:p>
        </w:tc>
        <w:tc>
          <w:tcPr>
            <w:tcW w:w="3544" w:type="dxa"/>
            <w:vAlign w:val="center"/>
          </w:tcPr>
          <w:p>
            <w:pPr>
              <w:snapToGrid w:val="0"/>
              <w:spacing w:line="360" w:lineRule="exact"/>
              <w:jc w:val="center"/>
              <w:rPr>
                <w:sz w:val="24"/>
                <w:szCs w:val="24"/>
              </w:rPr>
            </w:pPr>
            <w:r>
              <w:rPr>
                <w:rFonts w:hint="eastAsia"/>
                <w:sz w:val="24"/>
                <w:szCs w:val="24"/>
              </w:rPr>
              <w:t>--</w:t>
            </w:r>
          </w:p>
        </w:tc>
        <w:tc>
          <w:tcPr>
            <w:tcW w:w="1559" w:type="dxa"/>
            <w:vAlign w:val="center"/>
          </w:tcPr>
          <w:p>
            <w:pPr>
              <w:snapToGrid w:val="0"/>
              <w:spacing w:line="360" w:lineRule="exact"/>
              <w:jc w:val="center"/>
              <w:rPr>
                <w:sz w:val="24"/>
                <w:szCs w:val="24"/>
              </w:rPr>
            </w:pPr>
            <w:r>
              <w:rPr>
                <w:rFonts w:hint="eastAsia"/>
                <w:sz w:val="24"/>
                <w:szCs w:val="24"/>
              </w:rPr>
              <w:t>--</w:t>
            </w:r>
          </w:p>
        </w:tc>
        <w:tc>
          <w:tcPr>
            <w:tcW w:w="2126" w:type="dxa"/>
            <w:vAlign w:val="center"/>
          </w:tcPr>
          <w:p>
            <w:pPr>
              <w:snapToGrid w:val="0"/>
              <w:spacing w:line="360" w:lineRule="exact"/>
              <w:jc w:val="center"/>
              <w:rPr>
                <w:sz w:val="24"/>
                <w:szCs w:val="24"/>
              </w:rPr>
            </w:pPr>
            <w:r>
              <w:rPr>
                <w:rFonts w:hint="eastAsia"/>
                <w:sz w:val="24"/>
                <w:szCs w:val="24"/>
              </w:rPr>
              <w:t>--</w:t>
            </w:r>
          </w:p>
        </w:tc>
        <w:tc>
          <w:tcPr>
            <w:tcW w:w="1321" w:type="dxa"/>
            <w:vAlign w:val="center"/>
          </w:tcPr>
          <w:p>
            <w:pPr>
              <w:snapToGrid w:val="0"/>
              <w:spacing w:line="360" w:lineRule="exact"/>
              <w:jc w:val="center"/>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snapToGrid w:val="0"/>
              <w:spacing w:line="360" w:lineRule="exact"/>
              <w:jc w:val="center"/>
              <w:rPr>
                <w:sz w:val="24"/>
                <w:szCs w:val="24"/>
              </w:rPr>
            </w:pPr>
            <w:r>
              <w:rPr>
                <w:sz w:val="24"/>
                <w:szCs w:val="24"/>
              </w:rPr>
              <w:t>大气环境</w:t>
            </w:r>
          </w:p>
        </w:tc>
        <w:tc>
          <w:tcPr>
            <w:tcW w:w="3544" w:type="dxa"/>
            <w:vAlign w:val="center"/>
          </w:tcPr>
          <w:p>
            <w:pPr>
              <w:pStyle w:val="34"/>
              <w:spacing w:line="360" w:lineRule="exact"/>
              <w:ind w:firstLine="240" w:firstLineChars="100"/>
              <w:jc w:val="both"/>
              <w:rPr>
                <w:rFonts w:hAnsi="宋体"/>
                <w:color w:val="auto"/>
                <w:sz w:val="24"/>
                <w:szCs w:val="24"/>
              </w:rPr>
            </w:pPr>
            <w:r>
              <w:rPr>
                <w:rFonts w:hint="eastAsia" w:hAnsi="宋体"/>
                <w:color w:val="auto"/>
                <w:sz w:val="24"/>
                <w:szCs w:val="24"/>
              </w:rPr>
              <w:t>①施工期拟对施工生产区、混凝土系统人工装料过程采取洒水抑尘措施。</w:t>
            </w:r>
          </w:p>
          <w:p>
            <w:pPr>
              <w:pStyle w:val="34"/>
              <w:spacing w:line="360" w:lineRule="exact"/>
              <w:ind w:firstLine="240" w:firstLineChars="100"/>
              <w:jc w:val="both"/>
              <w:rPr>
                <w:rFonts w:hAnsi="宋体"/>
                <w:color w:val="auto"/>
                <w:sz w:val="24"/>
                <w:szCs w:val="24"/>
              </w:rPr>
            </w:pPr>
            <w:r>
              <w:rPr>
                <w:rFonts w:hint="eastAsia" w:hAnsi="宋体"/>
                <w:color w:val="auto"/>
                <w:sz w:val="24"/>
                <w:szCs w:val="24"/>
              </w:rPr>
              <w:t>②临时表土堆场采用防尘网对其进行覆盖，并采取洒水降尘。</w:t>
            </w:r>
          </w:p>
          <w:p>
            <w:pPr>
              <w:pStyle w:val="34"/>
              <w:spacing w:line="360" w:lineRule="exact"/>
              <w:ind w:firstLine="240" w:firstLineChars="100"/>
              <w:jc w:val="both"/>
              <w:rPr>
                <w:rFonts w:hAnsi="宋体"/>
                <w:color w:val="auto"/>
                <w:sz w:val="24"/>
                <w:szCs w:val="24"/>
              </w:rPr>
            </w:pPr>
            <w:r>
              <w:rPr>
                <w:rFonts w:hint="eastAsia" w:hAnsi="宋体"/>
                <w:color w:val="auto"/>
                <w:sz w:val="24"/>
                <w:szCs w:val="24"/>
              </w:rPr>
              <w:t>③为减轻施工运输期间产生的扬尘对周围村子的影响，运输车辆不得过度装载并需对运输车辆进行加盖篷布，防止运输过程中施工材料的洒落。必要时适当对运输道路进行洒水。</w:t>
            </w:r>
          </w:p>
          <w:p>
            <w:pPr>
              <w:pStyle w:val="34"/>
              <w:spacing w:line="360" w:lineRule="exact"/>
              <w:ind w:firstLine="240" w:firstLineChars="100"/>
              <w:jc w:val="both"/>
              <w:rPr>
                <w:rFonts w:hAnsi="宋体"/>
                <w:color w:val="auto"/>
                <w:sz w:val="24"/>
                <w:szCs w:val="24"/>
              </w:rPr>
            </w:pPr>
            <w:r>
              <w:rPr>
                <w:rFonts w:hint="eastAsia" w:hAnsi="宋体"/>
                <w:color w:val="auto"/>
                <w:sz w:val="24"/>
                <w:szCs w:val="24"/>
              </w:rPr>
              <w:t>④项目施工期间施工生产区四周设置临时围护。</w:t>
            </w:r>
          </w:p>
          <w:p>
            <w:pPr>
              <w:pStyle w:val="34"/>
              <w:spacing w:line="360" w:lineRule="exact"/>
              <w:ind w:firstLine="240" w:firstLineChars="100"/>
              <w:jc w:val="both"/>
              <w:rPr>
                <w:rFonts w:hAnsi="宋体"/>
                <w:color w:val="auto"/>
                <w:sz w:val="24"/>
                <w:szCs w:val="24"/>
                <w:lang w:val="en-US"/>
              </w:rPr>
            </w:pPr>
            <w:r>
              <w:rPr>
                <w:rFonts w:hint="eastAsia" w:hAnsi="宋体"/>
                <w:color w:val="auto"/>
                <w:sz w:val="24"/>
                <w:szCs w:val="24"/>
              </w:rPr>
              <w:t>⑤尽量选用低能耗、低污染排放的施工机械和车辆。</w:t>
            </w:r>
          </w:p>
        </w:tc>
        <w:tc>
          <w:tcPr>
            <w:tcW w:w="1559" w:type="dxa"/>
            <w:vAlign w:val="center"/>
          </w:tcPr>
          <w:p>
            <w:pPr>
              <w:pStyle w:val="34"/>
              <w:spacing w:line="360" w:lineRule="exact"/>
              <w:rPr>
                <w:rFonts w:hAnsi="宋体"/>
                <w:color w:val="auto"/>
                <w:sz w:val="24"/>
                <w:szCs w:val="24"/>
              </w:rPr>
            </w:pPr>
            <w:r>
              <w:rPr>
                <w:rFonts w:hint="eastAsia" w:hAnsi="宋体"/>
                <w:color w:val="auto"/>
                <w:sz w:val="24"/>
                <w:szCs w:val="24"/>
              </w:rPr>
              <w:t>对环境影响较小</w:t>
            </w:r>
          </w:p>
        </w:tc>
        <w:tc>
          <w:tcPr>
            <w:tcW w:w="2126" w:type="dxa"/>
            <w:vAlign w:val="center"/>
          </w:tcPr>
          <w:p>
            <w:pPr>
              <w:snapToGrid w:val="0"/>
              <w:spacing w:line="360" w:lineRule="exact"/>
              <w:jc w:val="center"/>
              <w:rPr>
                <w:sz w:val="24"/>
                <w:szCs w:val="24"/>
              </w:rPr>
            </w:pPr>
            <w:r>
              <w:rPr>
                <w:rFonts w:hint="eastAsia"/>
                <w:sz w:val="24"/>
                <w:szCs w:val="24"/>
              </w:rPr>
              <w:t>--</w:t>
            </w:r>
          </w:p>
        </w:tc>
        <w:tc>
          <w:tcPr>
            <w:tcW w:w="1321" w:type="dxa"/>
            <w:vAlign w:val="center"/>
          </w:tcPr>
          <w:p>
            <w:pPr>
              <w:snapToGrid w:val="0"/>
              <w:spacing w:line="360" w:lineRule="exact"/>
              <w:jc w:val="center"/>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snapToGrid w:val="0"/>
              <w:spacing w:line="360" w:lineRule="exact"/>
              <w:jc w:val="center"/>
              <w:rPr>
                <w:sz w:val="24"/>
                <w:szCs w:val="24"/>
              </w:rPr>
            </w:pPr>
            <w:r>
              <w:rPr>
                <w:sz w:val="24"/>
                <w:szCs w:val="24"/>
              </w:rPr>
              <w:t>固体废物</w:t>
            </w:r>
          </w:p>
        </w:tc>
        <w:tc>
          <w:tcPr>
            <w:tcW w:w="3544" w:type="dxa"/>
            <w:vAlign w:val="center"/>
          </w:tcPr>
          <w:p>
            <w:pPr>
              <w:pStyle w:val="34"/>
              <w:spacing w:line="360" w:lineRule="exact"/>
              <w:ind w:firstLine="240" w:firstLineChars="100"/>
              <w:jc w:val="both"/>
              <w:rPr>
                <w:rFonts w:hAnsi="宋体"/>
                <w:color w:val="auto"/>
                <w:sz w:val="24"/>
                <w:szCs w:val="24"/>
              </w:rPr>
            </w:pPr>
            <w:r>
              <w:rPr>
                <w:rFonts w:hint="eastAsia" w:hAnsi="宋体"/>
                <w:color w:val="auto"/>
                <w:sz w:val="24"/>
                <w:szCs w:val="24"/>
              </w:rPr>
              <w:t>①项目拟设置3个临时表土堆场，将施工开挖产生的表土暂存后，用于植被复耕覆土，其中1#临时表土堆场位于1#施工生产区，占地面积400m</w:t>
            </w:r>
            <w:r>
              <w:rPr>
                <w:rFonts w:hint="eastAsia" w:hAnsi="宋体"/>
                <w:color w:val="auto"/>
                <w:sz w:val="24"/>
                <w:szCs w:val="24"/>
                <w:vertAlign w:val="superscript"/>
              </w:rPr>
              <w:t>2</w:t>
            </w:r>
            <w:r>
              <w:rPr>
                <w:rFonts w:hint="eastAsia" w:hAnsi="宋体"/>
                <w:color w:val="auto"/>
                <w:sz w:val="24"/>
                <w:szCs w:val="24"/>
              </w:rPr>
              <w:t>，最大堆高为3m，设计堆土量0.12万m</w:t>
            </w:r>
            <w:r>
              <w:rPr>
                <w:rFonts w:hint="eastAsia" w:hAnsi="宋体"/>
                <w:color w:val="auto"/>
                <w:sz w:val="24"/>
                <w:szCs w:val="24"/>
                <w:vertAlign w:val="superscript"/>
              </w:rPr>
              <w:t>3</w:t>
            </w:r>
            <w:r>
              <w:rPr>
                <w:rFonts w:hint="eastAsia" w:hAnsi="宋体"/>
                <w:color w:val="auto"/>
                <w:sz w:val="24"/>
                <w:szCs w:val="24"/>
              </w:rPr>
              <w:t>；2#临时表土堆场位于2#施工生产区，占地面积100m</w:t>
            </w:r>
            <w:r>
              <w:rPr>
                <w:rFonts w:hint="eastAsia" w:hAnsi="宋体"/>
                <w:color w:val="auto"/>
                <w:sz w:val="24"/>
                <w:szCs w:val="24"/>
                <w:vertAlign w:val="superscript"/>
              </w:rPr>
              <w:t>2</w:t>
            </w:r>
            <w:r>
              <w:rPr>
                <w:rFonts w:hint="eastAsia" w:hAnsi="宋体"/>
                <w:color w:val="auto"/>
                <w:sz w:val="24"/>
                <w:szCs w:val="24"/>
              </w:rPr>
              <w:t>，最大堆高为3m，设计堆土量0.03万m</w:t>
            </w:r>
            <w:r>
              <w:rPr>
                <w:rFonts w:hint="eastAsia" w:hAnsi="宋体"/>
                <w:color w:val="auto"/>
                <w:sz w:val="24"/>
                <w:szCs w:val="24"/>
                <w:vertAlign w:val="superscript"/>
              </w:rPr>
              <w:t>3</w:t>
            </w:r>
            <w:r>
              <w:rPr>
                <w:rFonts w:hint="eastAsia" w:hAnsi="宋体"/>
                <w:color w:val="auto"/>
                <w:sz w:val="24"/>
                <w:szCs w:val="24"/>
              </w:rPr>
              <w:t>；3#临时表土堆场位于3#施工生产区，占地面积100m</w:t>
            </w:r>
            <w:r>
              <w:rPr>
                <w:rFonts w:hint="eastAsia" w:hAnsi="宋体"/>
                <w:color w:val="auto"/>
                <w:sz w:val="24"/>
                <w:szCs w:val="24"/>
                <w:vertAlign w:val="superscript"/>
              </w:rPr>
              <w:t>2</w:t>
            </w:r>
            <w:r>
              <w:rPr>
                <w:rFonts w:hint="eastAsia" w:hAnsi="宋体"/>
                <w:color w:val="auto"/>
                <w:sz w:val="24"/>
                <w:szCs w:val="24"/>
              </w:rPr>
              <w:t>，最大堆高为3m，设计堆土量0.03万m</w:t>
            </w:r>
            <w:r>
              <w:rPr>
                <w:rFonts w:hint="eastAsia" w:hAnsi="宋体"/>
                <w:color w:val="auto"/>
                <w:sz w:val="24"/>
                <w:szCs w:val="24"/>
                <w:vertAlign w:val="superscript"/>
              </w:rPr>
              <w:t>3</w:t>
            </w:r>
            <w:r>
              <w:rPr>
                <w:rFonts w:hint="eastAsia" w:hAnsi="宋体"/>
                <w:color w:val="auto"/>
                <w:sz w:val="24"/>
                <w:szCs w:val="24"/>
              </w:rPr>
              <w:t>。在临时堆土坡脚采用编织袋装土挡护，编织袋挡护用土使用剥离的土壤，待使用完毕后拆除作为后续的植复耕覆土。</w:t>
            </w:r>
          </w:p>
          <w:p>
            <w:pPr>
              <w:pStyle w:val="34"/>
              <w:spacing w:line="360" w:lineRule="exact"/>
              <w:ind w:firstLine="240" w:firstLineChars="100"/>
              <w:jc w:val="both"/>
              <w:rPr>
                <w:rFonts w:hAnsi="宋体"/>
                <w:color w:val="auto"/>
                <w:sz w:val="24"/>
                <w:szCs w:val="24"/>
              </w:rPr>
            </w:pPr>
            <w:r>
              <w:rPr>
                <w:rFonts w:hint="eastAsia" w:hAnsi="宋体"/>
                <w:color w:val="auto"/>
                <w:sz w:val="24"/>
                <w:szCs w:val="24"/>
              </w:rPr>
              <w:t>②建筑垃圾包括混凝土块、废木材、废钢材等，严格相关部门的要求，对其进行分类收集，其中废钢材收集后外售废品收购站，其他不能回收部分运至管理部门指定地点进行合理处置。</w:t>
            </w:r>
          </w:p>
          <w:p>
            <w:pPr>
              <w:pStyle w:val="34"/>
              <w:spacing w:line="360" w:lineRule="exact"/>
              <w:ind w:firstLine="240" w:firstLineChars="100"/>
              <w:jc w:val="both"/>
              <w:rPr>
                <w:rFonts w:hAnsi="宋体"/>
                <w:color w:val="auto"/>
                <w:sz w:val="24"/>
                <w:szCs w:val="24"/>
              </w:rPr>
            </w:pPr>
            <w:r>
              <w:rPr>
                <w:rFonts w:hint="eastAsia" w:hAnsi="宋体"/>
                <w:color w:val="auto"/>
                <w:sz w:val="24"/>
                <w:szCs w:val="24"/>
              </w:rPr>
              <w:t>③搅拌机残留废料运至管理部门指定地点进行合理处置。</w:t>
            </w:r>
          </w:p>
          <w:p>
            <w:pPr>
              <w:pStyle w:val="34"/>
              <w:spacing w:line="360" w:lineRule="exact"/>
              <w:ind w:firstLine="240" w:firstLineChars="100"/>
              <w:jc w:val="both"/>
              <w:rPr>
                <w:color w:val="auto"/>
                <w:sz w:val="24"/>
                <w:szCs w:val="24"/>
              </w:rPr>
            </w:pPr>
            <w:r>
              <w:rPr>
                <w:rFonts w:hint="eastAsia" w:hAnsi="宋体"/>
                <w:color w:val="auto"/>
                <w:sz w:val="24"/>
                <w:szCs w:val="24"/>
              </w:rPr>
              <w:t>④沉淀池污泥用于绿化覆土和道路建设。</w:t>
            </w:r>
          </w:p>
        </w:tc>
        <w:tc>
          <w:tcPr>
            <w:tcW w:w="1559" w:type="dxa"/>
            <w:vAlign w:val="center"/>
          </w:tcPr>
          <w:p>
            <w:pPr>
              <w:pStyle w:val="34"/>
              <w:spacing w:line="360" w:lineRule="exact"/>
              <w:rPr>
                <w:color w:val="auto"/>
                <w:sz w:val="24"/>
                <w:szCs w:val="24"/>
              </w:rPr>
            </w:pPr>
            <w:r>
              <w:rPr>
                <w:rFonts w:hAnsi="宋体"/>
                <w:color w:val="auto"/>
                <w:sz w:val="24"/>
                <w:szCs w:val="24"/>
              </w:rPr>
              <w:t>处置率100%</w:t>
            </w:r>
          </w:p>
        </w:tc>
        <w:tc>
          <w:tcPr>
            <w:tcW w:w="2126" w:type="dxa"/>
            <w:vAlign w:val="center"/>
          </w:tcPr>
          <w:p>
            <w:pPr>
              <w:snapToGrid w:val="0"/>
              <w:spacing w:line="360" w:lineRule="exact"/>
              <w:ind w:firstLine="240" w:firstLineChars="100"/>
              <w:rPr>
                <w:rFonts w:ascii="Times New Roman" w:hAnsi="Times New Roman" w:cs="Times New Roman"/>
                <w:sz w:val="24"/>
                <w:szCs w:val="24"/>
              </w:rPr>
            </w:pPr>
            <w:r>
              <w:rPr>
                <w:rFonts w:ascii="Times New Roman" w:hAnsi="Times New Roman" w:cs="Times New Roman"/>
                <w:sz w:val="24"/>
                <w:szCs w:val="24"/>
              </w:rPr>
              <w:t>项目拟设置1个面积为10m</w:t>
            </w:r>
            <w:r>
              <w:rPr>
                <w:rFonts w:ascii="Times New Roman" w:hAnsi="Times New Roman" w:cs="Times New Roman"/>
                <w:sz w:val="24"/>
                <w:szCs w:val="24"/>
                <w:vertAlign w:val="superscript"/>
              </w:rPr>
              <w:t>2</w:t>
            </w:r>
            <w:r>
              <w:rPr>
                <w:rFonts w:ascii="Times New Roman" w:hAnsi="Times New Roman" w:cs="Times New Roman"/>
                <w:sz w:val="24"/>
                <w:szCs w:val="24"/>
              </w:rPr>
              <w:t>的危险废物暂存间对其进行分区暂存，损坏的组件及电路板收集后由厂家定期回收；废机油进行分类暂存后，委托有资质的单位进行清运处置。废沾油抹布使用垃圾桶集中收集。委托环卫部门定期清运处置。</w:t>
            </w:r>
          </w:p>
        </w:tc>
        <w:tc>
          <w:tcPr>
            <w:tcW w:w="1321" w:type="dxa"/>
            <w:vAlign w:val="center"/>
          </w:tcPr>
          <w:p>
            <w:pPr>
              <w:snapToGrid w:val="0"/>
              <w:spacing w:line="360" w:lineRule="exact"/>
              <w:jc w:val="center"/>
              <w:rPr>
                <w:rFonts w:ascii="Times New Roman" w:hAnsi="Times New Roman" w:cs="Times New Roman"/>
                <w:sz w:val="24"/>
                <w:szCs w:val="24"/>
              </w:rPr>
            </w:pPr>
            <w:r>
              <w:rPr>
                <w:rFonts w:ascii="Times New Roman" w:hAnsi="Times New Roman" w:cs="Times New Roman"/>
                <w:sz w:val="24"/>
                <w:szCs w:val="24"/>
              </w:rPr>
              <w:t>处置率100%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napToGrid w:val="0"/>
              <w:spacing w:line="360" w:lineRule="exact"/>
              <w:jc w:val="center"/>
              <w:rPr>
                <w:sz w:val="24"/>
                <w:szCs w:val="24"/>
              </w:rPr>
            </w:pPr>
            <w:r>
              <w:rPr>
                <w:sz w:val="24"/>
                <w:szCs w:val="24"/>
              </w:rPr>
              <w:t>电磁环境</w:t>
            </w:r>
          </w:p>
        </w:tc>
        <w:tc>
          <w:tcPr>
            <w:tcW w:w="3544" w:type="dxa"/>
            <w:vAlign w:val="center"/>
          </w:tcPr>
          <w:p>
            <w:pPr>
              <w:snapToGrid w:val="0"/>
              <w:spacing w:line="360" w:lineRule="exact"/>
              <w:jc w:val="center"/>
              <w:rPr>
                <w:sz w:val="24"/>
                <w:szCs w:val="24"/>
              </w:rPr>
            </w:pPr>
            <w:r>
              <w:rPr>
                <w:rFonts w:hint="eastAsia"/>
                <w:sz w:val="24"/>
                <w:szCs w:val="24"/>
              </w:rPr>
              <w:t>--</w:t>
            </w:r>
          </w:p>
        </w:tc>
        <w:tc>
          <w:tcPr>
            <w:tcW w:w="1559" w:type="dxa"/>
            <w:vAlign w:val="center"/>
          </w:tcPr>
          <w:p>
            <w:pPr>
              <w:snapToGrid w:val="0"/>
              <w:spacing w:line="360" w:lineRule="exact"/>
              <w:jc w:val="center"/>
              <w:rPr>
                <w:sz w:val="24"/>
                <w:szCs w:val="24"/>
              </w:rPr>
            </w:pPr>
            <w:r>
              <w:rPr>
                <w:rFonts w:hint="eastAsia"/>
                <w:sz w:val="24"/>
                <w:szCs w:val="24"/>
              </w:rPr>
              <w:t>--</w:t>
            </w:r>
          </w:p>
        </w:tc>
        <w:tc>
          <w:tcPr>
            <w:tcW w:w="2126" w:type="dxa"/>
            <w:vAlign w:val="center"/>
          </w:tcPr>
          <w:p>
            <w:pPr>
              <w:snapToGrid w:val="0"/>
              <w:spacing w:line="360" w:lineRule="exact"/>
              <w:jc w:val="center"/>
              <w:rPr>
                <w:sz w:val="24"/>
                <w:szCs w:val="24"/>
              </w:rPr>
            </w:pPr>
            <w:r>
              <w:rPr>
                <w:rFonts w:hint="eastAsia"/>
                <w:sz w:val="24"/>
                <w:szCs w:val="24"/>
              </w:rPr>
              <w:t>--</w:t>
            </w:r>
          </w:p>
        </w:tc>
        <w:tc>
          <w:tcPr>
            <w:tcW w:w="1321" w:type="dxa"/>
            <w:vAlign w:val="center"/>
          </w:tcPr>
          <w:p>
            <w:pPr>
              <w:snapToGrid w:val="0"/>
              <w:spacing w:line="360" w:lineRule="exact"/>
              <w:jc w:val="center"/>
              <w:rPr>
                <w:sz w:val="24"/>
                <w:szCs w:val="24"/>
              </w:rPr>
            </w:pPr>
            <w:r>
              <w:rPr>
                <w:rFonts w:hint="eastAsia"/>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napToGrid w:val="0"/>
              <w:spacing w:line="360" w:lineRule="exact"/>
              <w:jc w:val="center"/>
              <w:rPr>
                <w:sz w:val="24"/>
                <w:szCs w:val="24"/>
              </w:rPr>
            </w:pPr>
            <w:r>
              <w:rPr>
                <w:sz w:val="24"/>
                <w:szCs w:val="24"/>
              </w:rPr>
              <w:t>环境风险</w:t>
            </w:r>
          </w:p>
        </w:tc>
        <w:tc>
          <w:tcPr>
            <w:tcW w:w="3544" w:type="dxa"/>
            <w:vAlign w:val="center"/>
          </w:tcPr>
          <w:p>
            <w:pPr>
              <w:snapToGrid w:val="0"/>
              <w:spacing w:line="360" w:lineRule="exact"/>
              <w:jc w:val="center"/>
              <w:rPr>
                <w:sz w:val="24"/>
                <w:szCs w:val="24"/>
              </w:rPr>
            </w:pPr>
            <w:r>
              <w:rPr>
                <w:rFonts w:hint="eastAsia"/>
                <w:sz w:val="24"/>
                <w:szCs w:val="24"/>
              </w:rPr>
              <w:t>--</w:t>
            </w:r>
          </w:p>
        </w:tc>
        <w:tc>
          <w:tcPr>
            <w:tcW w:w="1559" w:type="dxa"/>
            <w:vAlign w:val="center"/>
          </w:tcPr>
          <w:p>
            <w:pPr>
              <w:snapToGrid w:val="0"/>
              <w:spacing w:line="360" w:lineRule="exact"/>
              <w:jc w:val="center"/>
              <w:rPr>
                <w:sz w:val="24"/>
                <w:szCs w:val="24"/>
              </w:rPr>
            </w:pPr>
            <w:r>
              <w:rPr>
                <w:rFonts w:hint="eastAsia"/>
                <w:sz w:val="24"/>
                <w:szCs w:val="24"/>
              </w:rPr>
              <w:t>--</w:t>
            </w:r>
          </w:p>
        </w:tc>
        <w:tc>
          <w:tcPr>
            <w:tcW w:w="2126" w:type="dxa"/>
            <w:vAlign w:val="center"/>
          </w:tcPr>
          <w:p>
            <w:pPr>
              <w:snapToGrid w:val="0"/>
              <w:spacing w:line="360" w:lineRule="exact"/>
              <w:ind w:firstLine="240" w:firstLineChars="100"/>
              <w:rPr>
                <w:rFonts w:ascii="Times New Roman" w:hAnsi="Times New Roman" w:cs="Times New Roman"/>
                <w:sz w:val="24"/>
                <w:szCs w:val="24"/>
              </w:rPr>
            </w:pPr>
            <w:r>
              <w:rPr>
                <w:rFonts w:ascii="Times New Roman" w:hAnsi="Times New Roman" w:cs="Times New Roman"/>
                <w:sz w:val="24"/>
                <w:szCs w:val="24"/>
              </w:rPr>
              <w:t>（1）在项目区配备适量的消防沙、吸油棉、铲子等环境应急物资及灭火器等消防应急设备。</w:t>
            </w:r>
          </w:p>
          <w:p>
            <w:pPr>
              <w:snapToGrid w:val="0"/>
              <w:spacing w:line="360" w:lineRule="exact"/>
              <w:ind w:firstLine="240" w:firstLineChars="100"/>
              <w:rPr>
                <w:rFonts w:ascii="Times New Roman" w:hAnsi="Times New Roman" w:cs="Times New Roman"/>
                <w:sz w:val="24"/>
                <w:szCs w:val="24"/>
              </w:rPr>
            </w:pPr>
            <w:r>
              <w:rPr>
                <w:rFonts w:ascii="Times New Roman" w:hAnsi="Times New Roman" w:cs="Times New Roman"/>
                <w:sz w:val="24"/>
                <w:szCs w:val="24"/>
              </w:rPr>
              <w:t>（2）在项目内设置醒目的杜绝明火、禁止吸烟等标志、标语，禁止火源进入项目内。</w:t>
            </w:r>
          </w:p>
          <w:p>
            <w:pPr>
              <w:snapToGrid w:val="0"/>
              <w:spacing w:line="360" w:lineRule="exact"/>
              <w:ind w:firstLine="240" w:firstLineChars="100"/>
              <w:rPr>
                <w:rFonts w:ascii="Times New Roman" w:hAnsi="Times New Roman" w:cs="Times New Roman"/>
                <w:sz w:val="24"/>
                <w:szCs w:val="24"/>
              </w:rPr>
            </w:pPr>
            <w:r>
              <w:rPr>
                <w:rFonts w:ascii="Times New Roman" w:hAnsi="Times New Roman" w:cs="Times New Roman"/>
                <w:sz w:val="24"/>
                <w:szCs w:val="24"/>
              </w:rPr>
              <w:t>（3）产生的废机油应委托有资质单位进行合法处置，严禁私自处置，做好危险废物转移的申请、检查和档案管理工作。</w:t>
            </w:r>
          </w:p>
          <w:p>
            <w:pPr>
              <w:snapToGrid w:val="0"/>
              <w:spacing w:line="360" w:lineRule="exact"/>
              <w:ind w:firstLine="240" w:firstLineChars="100"/>
              <w:rPr>
                <w:rFonts w:ascii="Times New Roman" w:hAnsi="Times New Roman" w:cs="Times New Roman"/>
                <w:sz w:val="24"/>
                <w:szCs w:val="24"/>
              </w:rPr>
            </w:pPr>
            <w:r>
              <w:rPr>
                <w:rFonts w:ascii="Times New Roman" w:hAnsi="Times New Roman" w:cs="Times New Roman"/>
                <w:sz w:val="24"/>
                <w:szCs w:val="24"/>
              </w:rPr>
              <w:t>（4）加强对项目风险源的日常管理和检查，预防风险事故的发生。</w:t>
            </w:r>
          </w:p>
          <w:p>
            <w:pPr>
              <w:snapToGrid w:val="0"/>
              <w:spacing w:line="360" w:lineRule="exact"/>
              <w:ind w:firstLine="240" w:firstLineChars="100"/>
              <w:rPr>
                <w:sz w:val="24"/>
                <w:szCs w:val="24"/>
              </w:rPr>
            </w:pPr>
            <w:r>
              <w:rPr>
                <w:rFonts w:ascii="Times New Roman" w:hAnsi="Times New Roman" w:cs="Times New Roman"/>
                <w:sz w:val="24"/>
                <w:szCs w:val="24"/>
              </w:rPr>
              <w:t>（5）危险废物暂存间须进行防渗处理，按重点防渗区进行建设，防渗技术要求为：等效黏土防渗层K≤1×10-10cm/s。</w:t>
            </w:r>
          </w:p>
        </w:tc>
        <w:tc>
          <w:tcPr>
            <w:tcW w:w="1321" w:type="dxa"/>
            <w:vAlign w:val="center"/>
          </w:tcPr>
          <w:p>
            <w:pPr>
              <w:snapToGrid w:val="0"/>
              <w:spacing w:line="360" w:lineRule="exact"/>
              <w:jc w:val="center"/>
              <w:rPr>
                <w:sz w:val="24"/>
                <w:szCs w:val="24"/>
              </w:rPr>
            </w:pPr>
            <w:r>
              <w:rPr>
                <w:rFonts w:hint="eastAsia"/>
                <w:sz w:val="24"/>
                <w:szCs w:val="24"/>
              </w:rPr>
              <w:t>环境风险影响降到可接受范围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snapToGrid w:val="0"/>
              <w:spacing w:line="360" w:lineRule="exact"/>
              <w:jc w:val="center"/>
              <w:rPr>
                <w:sz w:val="24"/>
                <w:szCs w:val="24"/>
              </w:rPr>
            </w:pPr>
            <w:r>
              <w:rPr>
                <w:sz w:val="24"/>
                <w:szCs w:val="24"/>
              </w:rPr>
              <w:t>环境监测</w:t>
            </w:r>
          </w:p>
        </w:tc>
        <w:tc>
          <w:tcPr>
            <w:tcW w:w="3544" w:type="dxa"/>
            <w:vAlign w:val="center"/>
          </w:tcPr>
          <w:p>
            <w:pPr>
              <w:snapToGrid w:val="0"/>
              <w:spacing w:line="360" w:lineRule="exact"/>
              <w:jc w:val="center"/>
              <w:rPr>
                <w:sz w:val="24"/>
                <w:szCs w:val="24"/>
              </w:rPr>
            </w:pPr>
            <w:r>
              <w:rPr>
                <w:rFonts w:hint="eastAsia"/>
                <w:sz w:val="24"/>
                <w:szCs w:val="24"/>
              </w:rPr>
              <w:t>--</w:t>
            </w:r>
          </w:p>
        </w:tc>
        <w:tc>
          <w:tcPr>
            <w:tcW w:w="1559" w:type="dxa"/>
            <w:vAlign w:val="center"/>
          </w:tcPr>
          <w:p>
            <w:pPr>
              <w:snapToGrid w:val="0"/>
              <w:spacing w:line="360" w:lineRule="exact"/>
              <w:jc w:val="center"/>
              <w:rPr>
                <w:sz w:val="24"/>
                <w:szCs w:val="24"/>
              </w:rPr>
            </w:pPr>
            <w:r>
              <w:rPr>
                <w:rFonts w:hint="eastAsia"/>
                <w:sz w:val="24"/>
                <w:szCs w:val="24"/>
              </w:rPr>
              <w:t>--</w:t>
            </w:r>
          </w:p>
        </w:tc>
        <w:tc>
          <w:tcPr>
            <w:tcW w:w="2126" w:type="dxa"/>
            <w:vAlign w:val="center"/>
          </w:tcPr>
          <w:p>
            <w:pPr>
              <w:autoSpaceDE w:val="0"/>
              <w:autoSpaceDN w:val="0"/>
              <w:adjustRightInd w:val="0"/>
              <w:spacing w:line="360" w:lineRule="atLeast"/>
              <w:rPr>
                <w:rFonts w:ascii="Times New Roman" w:hAnsi="Times New Roman" w:cs="Times New Roman"/>
                <w:sz w:val="24"/>
                <w:szCs w:val="24"/>
              </w:rPr>
            </w:pPr>
            <w:r>
              <w:rPr>
                <w:rFonts w:ascii="Times New Roman" w:hAnsi="Times New Roman" w:cs="Times New Roman"/>
                <w:sz w:val="24"/>
                <w:szCs w:val="24"/>
              </w:rPr>
              <w:t>运营期的环境监测由建设单位委托有资质的环境监测单位按已制定的计划监测。</w:t>
            </w:r>
          </w:p>
        </w:tc>
        <w:tc>
          <w:tcPr>
            <w:tcW w:w="1321" w:type="dxa"/>
            <w:vAlign w:val="center"/>
          </w:tcPr>
          <w:p>
            <w:pPr>
              <w:autoSpaceDE w:val="0"/>
              <w:autoSpaceDN w:val="0"/>
              <w:adjustRightInd w:val="0"/>
              <w:spacing w:line="360" w:lineRule="atLeast"/>
              <w:rPr>
                <w:rFonts w:ascii="Times New Roman" w:hAnsi="Times New Roman" w:cs="Times New Roman"/>
                <w:sz w:val="24"/>
                <w:szCs w:val="24"/>
              </w:rPr>
            </w:pPr>
            <w:r>
              <w:rPr>
                <w:rFonts w:ascii="Times New Roman" w:hAnsi="Times New Roman" w:cs="Times New Roman"/>
                <w:sz w:val="24"/>
                <w:szCs w:val="24"/>
              </w:rPr>
              <w:t>委托有资质的环境监测单位按已制定的计划监测。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6" w:type="dxa"/>
            <w:vAlign w:val="center"/>
          </w:tcPr>
          <w:p>
            <w:pPr>
              <w:snapToGrid w:val="0"/>
              <w:spacing w:line="360" w:lineRule="exact"/>
              <w:jc w:val="center"/>
              <w:rPr>
                <w:sz w:val="24"/>
                <w:szCs w:val="24"/>
              </w:rPr>
            </w:pPr>
            <w:r>
              <w:rPr>
                <w:sz w:val="24"/>
                <w:szCs w:val="24"/>
              </w:rPr>
              <w:t>其他</w:t>
            </w:r>
          </w:p>
        </w:tc>
        <w:tc>
          <w:tcPr>
            <w:tcW w:w="3544" w:type="dxa"/>
            <w:vAlign w:val="center"/>
          </w:tcPr>
          <w:p>
            <w:pPr>
              <w:snapToGrid w:val="0"/>
              <w:spacing w:line="360" w:lineRule="exact"/>
              <w:jc w:val="center"/>
              <w:rPr>
                <w:sz w:val="24"/>
                <w:szCs w:val="24"/>
              </w:rPr>
            </w:pPr>
            <w:r>
              <w:rPr>
                <w:rFonts w:hint="eastAsia"/>
                <w:sz w:val="24"/>
                <w:szCs w:val="24"/>
              </w:rPr>
              <w:t>--</w:t>
            </w:r>
          </w:p>
        </w:tc>
        <w:tc>
          <w:tcPr>
            <w:tcW w:w="1559" w:type="dxa"/>
            <w:vAlign w:val="center"/>
          </w:tcPr>
          <w:p>
            <w:pPr>
              <w:snapToGrid w:val="0"/>
              <w:spacing w:line="360" w:lineRule="exact"/>
              <w:jc w:val="center"/>
              <w:rPr>
                <w:sz w:val="24"/>
                <w:szCs w:val="24"/>
              </w:rPr>
            </w:pPr>
            <w:r>
              <w:rPr>
                <w:rFonts w:hint="eastAsia"/>
                <w:sz w:val="24"/>
                <w:szCs w:val="24"/>
              </w:rPr>
              <w:t>--</w:t>
            </w:r>
          </w:p>
        </w:tc>
        <w:tc>
          <w:tcPr>
            <w:tcW w:w="2126" w:type="dxa"/>
            <w:vAlign w:val="center"/>
          </w:tcPr>
          <w:p>
            <w:pPr>
              <w:snapToGrid w:val="0"/>
              <w:spacing w:line="360" w:lineRule="exact"/>
              <w:jc w:val="center"/>
              <w:rPr>
                <w:sz w:val="24"/>
                <w:szCs w:val="24"/>
              </w:rPr>
            </w:pPr>
            <w:r>
              <w:rPr>
                <w:rFonts w:hint="eastAsia"/>
                <w:sz w:val="24"/>
                <w:szCs w:val="24"/>
              </w:rPr>
              <w:t>--</w:t>
            </w:r>
          </w:p>
        </w:tc>
        <w:tc>
          <w:tcPr>
            <w:tcW w:w="1321" w:type="dxa"/>
            <w:vAlign w:val="center"/>
          </w:tcPr>
          <w:p>
            <w:pPr>
              <w:snapToGrid w:val="0"/>
              <w:spacing w:line="360" w:lineRule="exact"/>
              <w:jc w:val="center"/>
              <w:rPr>
                <w:sz w:val="24"/>
                <w:szCs w:val="24"/>
              </w:rPr>
            </w:pPr>
            <w:r>
              <w:rPr>
                <w:rFonts w:hint="eastAsia"/>
                <w:sz w:val="24"/>
                <w:szCs w:val="24"/>
              </w:rPr>
              <w:t>--</w:t>
            </w:r>
          </w:p>
        </w:tc>
      </w:tr>
    </w:tbl>
    <w:p/>
    <w:p/>
    <w:p/>
    <w:p/>
    <w:p/>
    <w:p/>
    <w:p/>
    <w:p/>
    <w:p>
      <w:pPr>
        <w:spacing w:line="360" w:lineRule="auto"/>
        <w:jc w:val="left"/>
        <w:outlineLvl w:val="0"/>
        <w:rPr>
          <w:rFonts w:ascii="Times New Roman" w:hAnsi="Times New Roman" w:cs="Times New Roman"/>
          <w:b/>
          <w:sz w:val="28"/>
          <w:szCs w:val="20"/>
        </w:rPr>
      </w:pPr>
      <w:r>
        <w:rPr>
          <w:rFonts w:hint="eastAsia" w:ascii="Times New Roman" w:hAnsi="Times New Roman" w:cs="Times New Roman"/>
          <w:b/>
          <w:sz w:val="28"/>
          <w:szCs w:val="20"/>
        </w:rPr>
        <w:t>七</w:t>
      </w:r>
      <w:r>
        <w:rPr>
          <w:rFonts w:ascii="Times New Roman" w:hAnsi="Times New Roman" w:cs="Times New Roman"/>
          <w:b/>
          <w:sz w:val="28"/>
          <w:szCs w:val="20"/>
        </w:rPr>
        <w:t>、结论</w:t>
      </w:r>
    </w:p>
    <w:tbl>
      <w:tblPr>
        <w:tblStyle w:val="25"/>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480" w:firstLineChars="200"/>
              <w:rPr>
                <w:rFonts w:ascii="Times New Roman" w:hAnsi="Times New Roman" w:cs="Times New Roman"/>
                <w:sz w:val="24"/>
                <w:szCs w:val="24"/>
              </w:rPr>
            </w:pPr>
            <w:r>
              <w:rPr>
                <w:rFonts w:hint="eastAsia"/>
                <w:sz w:val="24"/>
              </w:rPr>
              <w:t>拖布卡镇象鼻村产业发展光伏提水项目</w:t>
            </w:r>
            <w:r>
              <w:rPr>
                <w:rFonts w:ascii="Times New Roman" w:hAnsi="Times New Roman" w:cs="Times New Roman"/>
                <w:sz w:val="24"/>
                <w:szCs w:val="24"/>
              </w:rPr>
              <w:t>符合国家产业政策，符合相关规划，选址合理，项目建设满足“三线一单”的管理要求，项目选址区域环境空气、地表水环境和声环境质量现状均可达到相应的质量标准要求，该项目采取</w:t>
            </w:r>
            <w:r>
              <w:rPr>
                <w:rFonts w:hint="eastAsia" w:ascii="Times New Roman" w:hAnsi="Times New Roman" w:cs="Times New Roman"/>
                <w:sz w:val="24"/>
                <w:szCs w:val="24"/>
              </w:rPr>
              <w:t>相应的环保</w:t>
            </w:r>
            <w:r>
              <w:rPr>
                <w:rFonts w:ascii="Times New Roman" w:hAnsi="Times New Roman" w:cs="Times New Roman"/>
                <w:sz w:val="24"/>
                <w:szCs w:val="24"/>
              </w:rPr>
              <w:t>措施后，污染物均可得到合理处置，建设单位在</w:t>
            </w:r>
            <w:r>
              <w:rPr>
                <w:rFonts w:hint="eastAsia" w:ascii="Times New Roman" w:hAnsi="Times New Roman" w:cs="Times New Roman"/>
                <w:sz w:val="24"/>
                <w:szCs w:val="24"/>
              </w:rPr>
              <w:t>施工</w:t>
            </w:r>
            <w:r>
              <w:rPr>
                <w:rFonts w:ascii="Times New Roman" w:hAnsi="Times New Roman" w:cs="Times New Roman"/>
                <w:sz w:val="24"/>
                <w:szCs w:val="24"/>
              </w:rPr>
              <w:t>过程中严格执行环境管理和监测计划，项目对外环境影响较小，环境风险可控；从环境影响的角度分析，项目建设可行。</w:t>
            </w: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pStyle w:val="62"/>
              <w:spacing w:line="360" w:lineRule="auto"/>
              <w:ind w:firstLine="480"/>
              <w:rPr>
                <w:rFonts w:hAnsi="Times New Roman"/>
                <w:sz w:val="24"/>
                <w:szCs w:val="24"/>
              </w:rPr>
            </w:pPr>
          </w:p>
          <w:p>
            <w:pPr>
              <w:spacing w:line="360" w:lineRule="auto"/>
              <w:rPr>
                <w:rFonts w:ascii="Times New Roman" w:hAnsi="Times New Roman" w:cs="Times New Roman"/>
                <w:sz w:val="24"/>
                <w:szCs w:val="24"/>
              </w:rPr>
            </w:pPr>
          </w:p>
        </w:tc>
      </w:tr>
    </w:tbl>
    <w:p>
      <w:pPr>
        <w:spacing w:line="360" w:lineRule="auto"/>
        <w:rPr>
          <w:rFonts w:ascii="Times New Roman" w:hAnsi="Times New Roman" w:cs="Times New Roman"/>
          <w:b/>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altName w:val="方正书宋_GBK"/>
    <w:panose1 w:val="00000000000000000000"/>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2</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hideSpellingErrors/>
  <w:documentProtection w:edit="forms" w:enforcement="1" w:cryptProviderType="rsaFull" w:cryptAlgorithmClass="hash" w:cryptAlgorithmType="typeAny" w:cryptAlgorithmSid="4" w:cryptSpinCount="0" w:hash="mf5tJUH4NdnbRkuiXDM3TN112MA=" w:salt="Q3sYt4Y+leA0EJvLqlpQB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045F"/>
    <w:rsid w:val="0000037C"/>
    <w:rsid w:val="00001460"/>
    <w:rsid w:val="00005ABB"/>
    <w:rsid w:val="00012C80"/>
    <w:rsid w:val="00014C6E"/>
    <w:rsid w:val="00016D02"/>
    <w:rsid w:val="0001743B"/>
    <w:rsid w:val="0002194E"/>
    <w:rsid w:val="00022071"/>
    <w:rsid w:val="000222F2"/>
    <w:rsid w:val="0002285A"/>
    <w:rsid w:val="00023403"/>
    <w:rsid w:val="00023BFC"/>
    <w:rsid w:val="000240BA"/>
    <w:rsid w:val="000242F8"/>
    <w:rsid w:val="00025796"/>
    <w:rsid w:val="0002605F"/>
    <w:rsid w:val="0002699C"/>
    <w:rsid w:val="00032B08"/>
    <w:rsid w:val="000344EF"/>
    <w:rsid w:val="00034809"/>
    <w:rsid w:val="00035576"/>
    <w:rsid w:val="000363B7"/>
    <w:rsid w:val="00040A28"/>
    <w:rsid w:val="0004230E"/>
    <w:rsid w:val="00042FEF"/>
    <w:rsid w:val="000463AC"/>
    <w:rsid w:val="00046D9B"/>
    <w:rsid w:val="00050582"/>
    <w:rsid w:val="00050E55"/>
    <w:rsid w:val="00054A25"/>
    <w:rsid w:val="00054F28"/>
    <w:rsid w:val="0005744F"/>
    <w:rsid w:val="00060128"/>
    <w:rsid w:val="00062FAD"/>
    <w:rsid w:val="00067BF4"/>
    <w:rsid w:val="00070A91"/>
    <w:rsid w:val="000715E2"/>
    <w:rsid w:val="0007261D"/>
    <w:rsid w:val="00072E27"/>
    <w:rsid w:val="00075C56"/>
    <w:rsid w:val="00075FFD"/>
    <w:rsid w:val="000760FE"/>
    <w:rsid w:val="00077C55"/>
    <w:rsid w:val="00080618"/>
    <w:rsid w:val="00082736"/>
    <w:rsid w:val="00083480"/>
    <w:rsid w:val="00083C61"/>
    <w:rsid w:val="00084DFA"/>
    <w:rsid w:val="00093814"/>
    <w:rsid w:val="000954A9"/>
    <w:rsid w:val="000A0DCB"/>
    <w:rsid w:val="000A2AF4"/>
    <w:rsid w:val="000A6A92"/>
    <w:rsid w:val="000B04E4"/>
    <w:rsid w:val="000B0EC0"/>
    <w:rsid w:val="000B1694"/>
    <w:rsid w:val="000B3B35"/>
    <w:rsid w:val="000B6EE8"/>
    <w:rsid w:val="000B7547"/>
    <w:rsid w:val="000B76F8"/>
    <w:rsid w:val="000C0BE5"/>
    <w:rsid w:val="000C3A7C"/>
    <w:rsid w:val="000C7D76"/>
    <w:rsid w:val="000D29E4"/>
    <w:rsid w:val="000D35B5"/>
    <w:rsid w:val="000D4081"/>
    <w:rsid w:val="000D4D91"/>
    <w:rsid w:val="000D6DF8"/>
    <w:rsid w:val="000D74A6"/>
    <w:rsid w:val="000D77DA"/>
    <w:rsid w:val="000D7AAC"/>
    <w:rsid w:val="000E500A"/>
    <w:rsid w:val="000E6F05"/>
    <w:rsid w:val="000F0E6A"/>
    <w:rsid w:val="000F2912"/>
    <w:rsid w:val="000F5DE9"/>
    <w:rsid w:val="00105587"/>
    <w:rsid w:val="001058F4"/>
    <w:rsid w:val="00105E7B"/>
    <w:rsid w:val="00107095"/>
    <w:rsid w:val="001113BF"/>
    <w:rsid w:val="00111F14"/>
    <w:rsid w:val="00114F8F"/>
    <w:rsid w:val="00116200"/>
    <w:rsid w:val="001177D5"/>
    <w:rsid w:val="001212E5"/>
    <w:rsid w:val="001214F7"/>
    <w:rsid w:val="00121762"/>
    <w:rsid w:val="00124C4B"/>
    <w:rsid w:val="00125450"/>
    <w:rsid w:val="00125B5D"/>
    <w:rsid w:val="00126836"/>
    <w:rsid w:val="001305BB"/>
    <w:rsid w:val="001307E7"/>
    <w:rsid w:val="00135837"/>
    <w:rsid w:val="0014039C"/>
    <w:rsid w:val="001415AC"/>
    <w:rsid w:val="00141BCD"/>
    <w:rsid w:val="001433FA"/>
    <w:rsid w:val="00150783"/>
    <w:rsid w:val="00160316"/>
    <w:rsid w:val="00160618"/>
    <w:rsid w:val="00166F47"/>
    <w:rsid w:val="00167347"/>
    <w:rsid w:val="00170E8B"/>
    <w:rsid w:val="00171676"/>
    <w:rsid w:val="0017180C"/>
    <w:rsid w:val="001719D1"/>
    <w:rsid w:val="00171AF4"/>
    <w:rsid w:val="00172D3E"/>
    <w:rsid w:val="001750E1"/>
    <w:rsid w:val="0017574F"/>
    <w:rsid w:val="0018089D"/>
    <w:rsid w:val="001864CE"/>
    <w:rsid w:val="0019160A"/>
    <w:rsid w:val="00194D94"/>
    <w:rsid w:val="00196122"/>
    <w:rsid w:val="001964B1"/>
    <w:rsid w:val="00197070"/>
    <w:rsid w:val="001977B7"/>
    <w:rsid w:val="001A4336"/>
    <w:rsid w:val="001A5972"/>
    <w:rsid w:val="001A73F7"/>
    <w:rsid w:val="001B02E4"/>
    <w:rsid w:val="001B0983"/>
    <w:rsid w:val="001B4D27"/>
    <w:rsid w:val="001C0795"/>
    <w:rsid w:val="001C0A81"/>
    <w:rsid w:val="001C4357"/>
    <w:rsid w:val="001C5216"/>
    <w:rsid w:val="001C5B64"/>
    <w:rsid w:val="001C627C"/>
    <w:rsid w:val="001C786B"/>
    <w:rsid w:val="001D37D8"/>
    <w:rsid w:val="001D3CCB"/>
    <w:rsid w:val="001D4826"/>
    <w:rsid w:val="001D7B33"/>
    <w:rsid w:val="001E1D94"/>
    <w:rsid w:val="001E2CB8"/>
    <w:rsid w:val="001E45F6"/>
    <w:rsid w:val="001E4922"/>
    <w:rsid w:val="001E5135"/>
    <w:rsid w:val="001F03FE"/>
    <w:rsid w:val="001F0A05"/>
    <w:rsid w:val="001F2809"/>
    <w:rsid w:val="001F522D"/>
    <w:rsid w:val="001F6520"/>
    <w:rsid w:val="00201DD0"/>
    <w:rsid w:val="00203A93"/>
    <w:rsid w:val="002047F6"/>
    <w:rsid w:val="00207E0F"/>
    <w:rsid w:val="0021020E"/>
    <w:rsid w:val="002115A3"/>
    <w:rsid w:val="00211C53"/>
    <w:rsid w:val="00212792"/>
    <w:rsid w:val="002156BC"/>
    <w:rsid w:val="002202DC"/>
    <w:rsid w:val="002210A0"/>
    <w:rsid w:val="00221874"/>
    <w:rsid w:val="00227966"/>
    <w:rsid w:val="00231BFA"/>
    <w:rsid w:val="002322CC"/>
    <w:rsid w:val="0023254B"/>
    <w:rsid w:val="00233C63"/>
    <w:rsid w:val="00235978"/>
    <w:rsid w:val="00237FE1"/>
    <w:rsid w:val="00241BBB"/>
    <w:rsid w:val="00242CE8"/>
    <w:rsid w:val="002447E1"/>
    <w:rsid w:val="00244F9E"/>
    <w:rsid w:val="00247955"/>
    <w:rsid w:val="002516B5"/>
    <w:rsid w:val="00252D41"/>
    <w:rsid w:val="00254EE7"/>
    <w:rsid w:val="0026294C"/>
    <w:rsid w:val="002666BE"/>
    <w:rsid w:val="00270D3F"/>
    <w:rsid w:val="002722B6"/>
    <w:rsid w:val="00272AF7"/>
    <w:rsid w:val="00272D0E"/>
    <w:rsid w:val="002735A4"/>
    <w:rsid w:val="00275251"/>
    <w:rsid w:val="00276A56"/>
    <w:rsid w:val="00277862"/>
    <w:rsid w:val="00284CDE"/>
    <w:rsid w:val="002931E6"/>
    <w:rsid w:val="0029389F"/>
    <w:rsid w:val="00294F69"/>
    <w:rsid w:val="00296512"/>
    <w:rsid w:val="002A0699"/>
    <w:rsid w:val="002A1537"/>
    <w:rsid w:val="002A1A07"/>
    <w:rsid w:val="002A1BFA"/>
    <w:rsid w:val="002A1DB1"/>
    <w:rsid w:val="002A2A09"/>
    <w:rsid w:val="002A30E0"/>
    <w:rsid w:val="002A62F7"/>
    <w:rsid w:val="002B01EB"/>
    <w:rsid w:val="002B2BE4"/>
    <w:rsid w:val="002B4515"/>
    <w:rsid w:val="002B4E73"/>
    <w:rsid w:val="002B6396"/>
    <w:rsid w:val="002B70CD"/>
    <w:rsid w:val="002B725D"/>
    <w:rsid w:val="002C07C0"/>
    <w:rsid w:val="002C0DC2"/>
    <w:rsid w:val="002C2611"/>
    <w:rsid w:val="002C5A28"/>
    <w:rsid w:val="002D43E8"/>
    <w:rsid w:val="002D5048"/>
    <w:rsid w:val="002D7EB9"/>
    <w:rsid w:val="002E250B"/>
    <w:rsid w:val="002E25DE"/>
    <w:rsid w:val="002E32E7"/>
    <w:rsid w:val="002E3C02"/>
    <w:rsid w:val="002E3E71"/>
    <w:rsid w:val="002E3F5D"/>
    <w:rsid w:val="002E4EE2"/>
    <w:rsid w:val="002E6C46"/>
    <w:rsid w:val="002E701F"/>
    <w:rsid w:val="002E738D"/>
    <w:rsid w:val="002E7A9F"/>
    <w:rsid w:val="002F16E9"/>
    <w:rsid w:val="002F2F5D"/>
    <w:rsid w:val="002F3DB7"/>
    <w:rsid w:val="003012BB"/>
    <w:rsid w:val="00307D44"/>
    <w:rsid w:val="00313809"/>
    <w:rsid w:val="00314B81"/>
    <w:rsid w:val="003153CF"/>
    <w:rsid w:val="0031726D"/>
    <w:rsid w:val="00317F26"/>
    <w:rsid w:val="00322DCE"/>
    <w:rsid w:val="00323159"/>
    <w:rsid w:val="00323170"/>
    <w:rsid w:val="00326932"/>
    <w:rsid w:val="00330E53"/>
    <w:rsid w:val="00332BCA"/>
    <w:rsid w:val="00335E42"/>
    <w:rsid w:val="00340A11"/>
    <w:rsid w:val="0034317D"/>
    <w:rsid w:val="00344CDF"/>
    <w:rsid w:val="00351D0E"/>
    <w:rsid w:val="00354B52"/>
    <w:rsid w:val="00360260"/>
    <w:rsid w:val="00361CF9"/>
    <w:rsid w:val="003620DB"/>
    <w:rsid w:val="00362C9C"/>
    <w:rsid w:val="00362FC9"/>
    <w:rsid w:val="00366EEC"/>
    <w:rsid w:val="003675ED"/>
    <w:rsid w:val="00371B13"/>
    <w:rsid w:val="00371B56"/>
    <w:rsid w:val="00372053"/>
    <w:rsid w:val="00372641"/>
    <w:rsid w:val="00376167"/>
    <w:rsid w:val="003767C2"/>
    <w:rsid w:val="0038109B"/>
    <w:rsid w:val="003852E6"/>
    <w:rsid w:val="00385DE6"/>
    <w:rsid w:val="00385EB8"/>
    <w:rsid w:val="00386540"/>
    <w:rsid w:val="003879AF"/>
    <w:rsid w:val="00390401"/>
    <w:rsid w:val="00393D63"/>
    <w:rsid w:val="00394E91"/>
    <w:rsid w:val="00395A1F"/>
    <w:rsid w:val="0039667B"/>
    <w:rsid w:val="003A1A97"/>
    <w:rsid w:val="003A2C94"/>
    <w:rsid w:val="003A3AE9"/>
    <w:rsid w:val="003A7C15"/>
    <w:rsid w:val="003B091E"/>
    <w:rsid w:val="003B0F25"/>
    <w:rsid w:val="003B149E"/>
    <w:rsid w:val="003B6B9D"/>
    <w:rsid w:val="003C065F"/>
    <w:rsid w:val="003C358D"/>
    <w:rsid w:val="003C4D0F"/>
    <w:rsid w:val="003D03A2"/>
    <w:rsid w:val="003D05EE"/>
    <w:rsid w:val="003D0C31"/>
    <w:rsid w:val="003D4831"/>
    <w:rsid w:val="003D66D9"/>
    <w:rsid w:val="003D704A"/>
    <w:rsid w:val="003E1314"/>
    <w:rsid w:val="003E1A39"/>
    <w:rsid w:val="003E24A1"/>
    <w:rsid w:val="003E4647"/>
    <w:rsid w:val="003E4B2E"/>
    <w:rsid w:val="003F0CB4"/>
    <w:rsid w:val="003F290D"/>
    <w:rsid w:val="003F4B40"/>
    <w:rsid w:val="003F634C"/>
    <w:rsid w:val="004023BF"/>
    <w:rsid w:val="00402DC6"/>
    <w:rsid w:val="00404B3A"/>
    <w:rsid w:val="00405DB9"/>
    <w:rsid w:val="00406F49"/>
    <w:rsid w:val="004078FF"/>
    <w:rsid w:val="004153A7"/>
    <w:rsid w:val="004170A9"/>
    <w:rsid w:val="004208CC"/>
    <w:rsid w:val="00421592"/>
    <w:rsid w:val="0042483F"/>
    <w:rsid w:val="00425AA5"/>
    <w:rsid w:val="00431478"/>
    <w:rsid w:val="00432EBB"/>
    <w:rsid w:val="0043797E"/>
    <w:rsid w:val="004437B0"/>
    <w:rsid w:val="004459AB"/>
    <w:rsid w:val="00445CD5"/>
    <w:rsid w:val="00446775"/>
    <w:rsid w:val="00447C59"/>
    <w:rsid w:val="00450642"/>
    <w:rsid w:val="004521CF"/>
    <w:rsid w:val="00452F00"/>
    <w:rsid w:val="00453E11"/>
    <w:rsid w:val="004550FC"/>
    <w:rsid w:val="00455DB5"/>
    <w:rsid w:val="00465080"/>
    <w:rsid w:val="00467A36"/>
    <w:rsid w:val="0047002B"/>
    <w:rsid w:val="00476137"/>
    <w:rsid w:val="00477A89"/>
    <w:rsid w:val="0048237D"/>
    <w:rsid w:val="004840C4"/>
    <w:rsid w:val="00484777"/>
    <w:rsid w:val="00497682"/>
    <w:rsid w:val="004A0E4C"/>
    <w:rsid w:val="004A1EEA"/>
    <w:rsid w:val="004A2FFF"/>
    <w:rsid w:val="004A37C5"/>
    <w:rsid w:val="004A7486"/>
    <w:rsid w:val="004B203B"/>
    <w:rsid w:val="004B292E"/>
    <w:rsid w:val="004B5EDD"/>
    <w:rsid w:val="004C00F9"/>
    <w:rsid w:val="004C06B8"/>
    <w:rsid w:val="004C15B4"/>
    <w:rsid w:val="004C5074"/>
    <w:rsid w:val="004C6E35"/>
    <w:rsid w:val="004C6EFE"/>
    <w:rsid w:val="004C7D2E"/>
    <w:rsid w:val="004D2016"/>
    <w:rsid w:val="004D3DA8"/>
    <w:rsid w:val="004D608B"/>
    <w:rsid w:val="004E0B6A"/>
    <w:rsid w:val="004E17B2"/>
    <w:rsid w:val="004F02AA"/>
    <w:rsid w:val="004F046C"/>
    <w:rsid w:val="004F424C"/>
    <w:rsid w:val="004F7ED7"/>
    <w:rsid w:val="0050350B"/>
    <w:rsid w:val="00505002"/>
    <w:rsid w:val="00506524"/>
    <w:rsid w:val="005120E6"/>
    <w:rsid w:val="005162CC"/>
    <w:rsid w:val="005164B3"/>
    <w:rsid w:val="00516E43"/>
    <w:rsid w:val="00522485"/>
    <w:rsid w:val="005248B1"/>
    <w:rsid w:val="005258DA"/>
    <w:rsid w:val="00531AD8"/>
    <w:rsid w:val="00533467"/>
    <w:rsid w:val="005344D8"/>
    <w:rsid w:val="005352A2"/>
    <w:rsid w:val="005370BF"/>
    <w:rsid w:val="00542078"/>
    <w:rsid w:val="00543C10"/>
    <w:rsid w:val="00544F28"/>
    <w:rsid w:val="005464D8"/>
    <w:rsid w:val="00551CF5"/>
    <w:rsid w:val="00551E76"/>
    <w:rsid w:val="005528F5"/>
    <w:rsid w:val="005530D6"/>
    <w:rsid w:val="0055331A"/>
    <w:rsid w:val="005553E9"/>
    <w:rsid w:val="0055687A"/>
    <w:rsid w:val="005571AA"/>
    <w:rsid w:val="00557339"/>
    <w:rsid w:val="00561198"/>
    <w:rsid w:val="00562167"/>
    <w:rsid w:val="00570AC5"/>
    <w:rsid w:val="00570B7C"/>
    <w:rsid w:val="00571D83"/>
    <w:rsid w:val="00572A09"/>
    <w:rsid w:val="0057738E"/>
    <w:rsid w:val="0058341E"/>
    <w:rsid w:val="00584451"/>
    <w:rsid w:val="00586283"/>
    <w:rsid w:val="00586942"/>
    <w:rsid w:val="00586BCB"/>
    <w:rsid w:val="0059075F"/>
    <w:rsid w:val="00595DFB"/>
    <w:rsid w:val="00595DFF"/>
    <w:rsid w:val="005A040B"/>
    <w:rsid w:val="005A1B41"/>
    <w:rsid w:val="005A2EB3"/>
    <w:rsid w:val="005A468F"/>
    <w:rsid w:val="005A49D8"/>
    <w:rsid w:val="005A4D9D"/>
    <w:rsid w:val="005B0C8C"/>
    <w:rsid w:val="005B33DA"/>
    <w:rsid w:val="005B35E6"/>
    <w:rsid w:val="005B5075"/>
    <w:rsid w:val="005B6755"/>
    <w:rsid w:val="005B77A4"/>
    <w:rsid w:val="005C179D"/>
    <w:rsid w:val="005C3240"/>
    <w:rsid w:val="005C425C"/>
    <w:rsid w:val="005C51B8"/>
    <w:rsid w:val="005C591E"/>
    <w:rsid w:val="005C6ECF"/>
    <w:rsid w:val="005D2878"/>
    <w:rsid w:val="005D456E"/>
    <w:rsid w:val="005D6D94"/>
    <w:rsid w:val="005D7992"/>
    <w:rsid w:val="005E250C"/>
    <w:rsid w:val="005E39D4"/>
    <w:rsid w:val="005E43DF"/>
    <w:rsid w:val="005E497E"/>
    <w:rsid w:val="005F0310"/>
    <w:rsid w:val="005F18B9"/>
    <w:rsid w:val="005F2B31"/>
    <w:rsid w:val="005F44D8"/>
    <w:rsid w:val="00600135"/>
    <w:rsid w:val="0060071F"/>
    <w:rsid w:val="00602A9F"/>
    <w:rsid w:val="00602D75"/>
    <w:rsid w:val="00607B6F"/>
    <w:rsid w:val="00611F5C"/>
    <w:rsid w:val="006129D9"/>
    <w:rsid w:val="00613C50"/>
    <w:rsid w:val="00615287"/>
    <w:rsid w:val="0061595A"/>
    <w:rsid w:val="0062045F"/>
    <w:rsid w:val="006215E7"/>
    <w:rsid w:val="00623A6B"/>
    <w:rsid w:val="00625D5D"/>
    <w:rsid w:val="00627D2A"/>
    <w:rsid w:val="00631534"/>
    <w:rsid w:val="00633448"/>
    <w:rsid w:val="00633C05"/>
    <w:rsid w:val="00635B5C"/>
    <w:rsid w:val="00636BF7"/>
    <w:rsid w:val="006379C6"/>
    <w:rsid w:val="00643ABB"/>
    <w:rsid w:val="006446B8"/>
    <w:rsid w:val="00644EDD"/>
    <w:rsid w:val="006457EB"/>
    <w:rsid w:val="0065083F"/>
    <w:rsid w:val="0065351F"/>
    <w:rsid w:val="00662420"/>
    <w:rsid w:val="00662F70"/>
    <w:rsid w:val="00665DB9"/>
    <w:rsid w:val="0067009D"/>
    <w:rsid w:val="00670522"/>
    <w:rsid w:val="00670600"/>
    <w:rsid w:val="00670891"/>
    <w:rsid w:val="00670C3D"/>
    <w:rsid w:val="0068139C"/>
    <w:rsid w:val="006826DF"/>
    <w:rsid w:val="0068291F"/>
    <w:rsid w:val="006832BE"/>
    <w:rsid w:val="006847A2"/>
    <w:rsid w:val="00684D8A"/>
    <w:rsid w:val="00686EE6"/>
    <w:rsid w:val="00687D0A"/>
    <w:rsid w:val="00690299"/>
    <w:rsid w:val="00693611"/>
    <w:rsid w:val="00693FDE"/>
    <w:rsid w:val="006946BA"/>
    <w:rsid w:val="0069499B"/>
    <w:rsid w:val="006952FD"/>
    <w:rsid w:val="00696327"/>
    <w:rsid w:val="00696553"/>
    <w:rsid w:val="006A0148"/>
    <w:rsid w:val="006A225C"/>
    <w:rsid w:val="006A310F"/>
    <w:rsid w:val="006A499F"/>
    <w:rsid w:val="006A5256"/>
    <w:rsid w:val="006A5294"/>
    <w:rsid w:val="006A7586"/>
    <w:rsid w:val="006B0416"/>
    <w:rsid w:val="006B1A23"/>
    <w:rsid w:val="006B30E2"/>
    <w:rsid w:val="006C0B93"/>
    <w:rsid w:val="006C1169"/>
    <w:rsid w:val="006C1D02"/>
    <w:rsid w:val="006C200E"/>
    <w:rsid w:val="006C4BB1"/>
    <w:rsid w:val="006C53F4"/>
    <w:rsid w:val="006C6293"/>
    <w:rsid w:val="006C640B"/>
    <w:rsid w:val="006D1F47"/>
    <w:rsid w:val="006D449A"/>
    <w:rsid w:val="006D462C"/>
    <w:rsid w:val="006D61EC"/>
    <w:rsid w:val="006E2B6C"/>
    <w:rsid w:val="006E2C47"/>
    <w:rsid w:val="006E3BBE"/>
    <w:rsid w:val="006E4148"/>
    <w:rsid w:val="006E6F91"/>
    <w:rsid w:val="006F1EED"/>
    <w:rsid w:val="006F246B"/>
    <w:rsid w:val="006F24EF"/>
    <w:rsid w:val="006F404F"/>
    <w:rsid w:val="006F6817"/>
    <w:rsid w:val="00700378"/>
    <w:rsid w:val="00702658"/>
    <w:rsid w:val="00702D41"/>
    <w:rsid w:val="00703EEF"/>
    <w:rsid w:val="00715081"/>
    <w:rsid w:val="00716F5F"/>
    <w:rsid w:val="00717941"/>
    <w:rsid w:val="007205B9"/>
    <w:rsid w:val="007224C8"/>
    <w:rsid w:val="00724CC3"/>
    <w:rsid w:val="00725FCA"/>
    <w:rsid w:val="00727C60"/>
    <w:rsid w:val="00727C6A"/>
    <w:rsid w:val="00730945"/>
    <w:rsid w:val="00732630"/>
    <w:rsid w:val="00732BE0"/>
    <w:rsid w:val="00734F3E"/>
    <w:rsid w:val="00735108"/>
    <w:rsid w:val="00737BB3"/>
    <w:rsid w:val="00742E8D"/>
    <w:rsid w:val="007431C8"/>
    <w:rsid w:val="00745C1E"/>
    <w:rsid w:val="00751732"/>
    <w:rsid w:val="007528EC"/>
    <w:rsid w:val="0075570E"/>
    <w:rsid w:val="00756F3F"/>
    <w:rsid w:val="00757ACF"/>
    <w:rsid w:val="00760397"/>
    <w:rsid w:val="00760C96"/>
    <w:rsid w:val="007660A5"/>
    <w:rsid w:val="00766AE0"/>
    <w:rsid w:val="00766D22"/>
    <w:rsid w:val="0077006B"/>
    <w:rsid w:val="007752A9"/>
    <w:rsid w:val="00780154"/>
    <w:rsid w:val="00783DA8"/>
    <w:rsid w:val="00786047"/>
    <w:rsid w:val="00786705"/>
    <w:rsid w:val="007871FA"/>
    <w:rsid w:val="0079096A"/>
    <w:rsid w:val="007923CD"/>
    <w:rsid w:val="00793033"/>
    <w:rsid w:val="00793C8B"/>
    <w:rsid w:val="00796A60"/>
    <w:rsid w:val="007973C8"/>
    <w:rsid w:val="00797D3A"/>
    <w:rsid w:val="007A21E4"/>
    <w:rsid w:val="007A63B0"/>
    <w:rsid w:val="007A6586"/>
    <w:rsid w:val="007A7920"/>
    <w:rsid w:val="007B1315"/>
    <w:rsid w:val="007B200C"/>
    <w:rsid w:val="007B296B"/>
    <w:rsid w:val="007B5506"/>
    <w:rsid w:val="007B741C"/>
    <w:rsid w:val="007C48B8"/>
    <w:rsid w:val="007C69C3"/>
    <w:rsid w:val="007C6F20"/>
    <w:rsid w:val="007D01C3"/>
    <w:rsid w:val="007D01EC"/>
    <w:rsid w:val="007D1D8C"/>
    <w:rsid w:val="007D2ED8"/>
    <w:rsid w:val="007D4406"/>
    <w:rsid w:val="007D440B"/>
    <w:rsid w:val="007D5029"/>
    <w:rsid w:val="007D5A45"/>
    <w:rsid w:val="007D66D8"/>
    <w:rsid w:val="007D6E73"/>
    <w:rsid w:val="007D7BB6"/>
    <w:rsid w:val="007D7FD0"/>
    <w:rsid w:val="007E2208"/>
    <w:rsid w:val="007E28B8"/>
    <w:rsid w:val="007E3969"/>
    <w:rsid w:val="007E46B4"/>
    <w:rsid w:val="007E5C72"/>
    <w:rsid w:val="007E6F71"/>
    <w:rsid w:val="007F0C05"/>
    <w:rsid w:val="007F1A2F"/>
    <w:rsid w:val="007F1A60"/>
    <w:rsid w:val="007F29E2"/>
    <w:rsid w:val="007F4217"/>
    <w:rsid w:val="00800713"/>
    <w:rsid w:val="00800ED3"/>
    <w:rsid w:val="008037FF"/>
    <w:rsid w:val="00807B1B"/>
    <w:rsid w:val="008107B9"/>
    <w:rsid w:val="00814387"/>
    <w:rsid w:val="00820EEF"/>
    <w:rsid w:val="008259A8"/>
    <w:rsid w:val="008278FC"/>
    <w:rsid w:val="00827F8D"/>
    <w:rsid w:val="0083088A"/>
    <w:rsid w:val="00834641"/>
    <w:rsid w:val="00836448"/>
    <w:rsid w:val="008450DA"/>
    <w:rsid w:val="00845F7A"/>
    <w:rsid w:val="008473BB"/>
    <w:rsid w:val="00847A3B"/>
    <w:rsid w:val="00850B53"/>
    <w:rsid w:val="0085123C"/>
    <w:rsid w:val="008515AB"/>
    <w:rsid w:val="00853681"/>
    <w:rsid w:val="008552A2"/>
    <w:rsid w:val="00857DB7"/>
    <w:rsid w:val="0086088D"/>
    <w:rsid w:val="00860F31"/>
    <w:rsid w:val="008723A0"/>
    <w:rsid w:val="008736CB"/>
    <w:rsid w:val="0087758A"/>
    <w:rsid w:val="00877DC6"/>
    <w:rsid w:val="008814D7"/>
    <w:rsid w:val="00882A1E"/>
    <w:rsid w:val="00884880"/>
    <w:rsid w:val="00885ED4"/>
    <w:rsid w:val="00886AE3"/>
    <w:rsid w:val="008902AE"/>
    <w:rsid w:val="0089044B"/>
    <w:rsid w:val="0089149F"/>
    <w:rsid w:val="00891E0B"/>
    <w:rsid w:val="008973E7"/>
    <w:rsid w:val="008A1159"/>
    <w:rsid w:val="008A2378"/>
    <w:rsid w:val="008A6FD6"/>
    <w:rsid w:val="008B10E3"/>
    <w:rsid w:val="008B16A4"/>
    <w:rsid w:val="008B21E0"/>
    <w:rsid w:val="008B6273"/>
    <w:rsid w:val="008B6F35"/>
    <w:rsid w:val="008C07CB"/>
    <w:rsid w:val="008C1FB7"/>
    <w:rsid w:val="008C32CA"/>
    <w:rsid w:val="008C3B1B"/>
    <w:rsid w:val="008C50F0"/>
    <w:rsid w:val="008C7652"/>
    <w:rsid w:val="008D164F"/>
    <w:rsid w:val="008D345A"/>
    <w:rsid w:val="008D5ABE"/>
    <w:rsid w:val="008E56A4"/>
    <w:rsid w:val="008E646A"/>
    <w:rsid w:val="008F3433"/>
    <w:rsid w:val="008F3F14"/>
    <w:rsid w:val="008F4158"/>
    <w:rsid w:val="008F4CE6"/>
    <w:rsid w:val="008F5F3E"/>
    <w:rsid w:val="008F74C5"/>
    <w:rsid w:val="0090221B"/>
    <w:rsid w:val="00902BAB"/>
    <w:rsid w:val="00903376"/>
    <w:rsid w:val="00903383"/>
    <w:rsid w:val="00903A8B"/>
    <w:rsid w:val="009045DC"/>
    <w:rsid w:val="009050A1"/>
    <w:rsid w:val="00905F38"/>
    <w:rsid w:val="00906B4B"/>
    <w:rsid w:val="009106FC"/>
    <w:rsid w:val="00910F12"/>
    <w:rsid w:val="00913BBF"/>
    <w:rsid w:val="00917965"/>
    <w:rsid w:val="0092372C"/>
    <w:rsid w:val="00924418"/>
    <w:rsid w:val="009247A7"/>
    <w:rsid w:val="00925BEE"/>
    <w:rsid w:val="00925E63"/>
    <w:rsid w:val="00927C70"/>
    <w:rsid w:val="009301F2"/>
    <w:rsid w:val="00931AE2"/>
    <w:rsid w:val="009339EA"/>
    <w:rsid w:val="00936AFA"/>
    <w:rsid w:val="00937A33"/>
    <w:rsid w:val="00947CBD"/>
    <w:rsid w:val="0095048F"/>
    <w:rsid w:val="009510BB"/>
    <w:rsid w:val="00952CF0"/>
    <w:rsid w:val="00954268"/>
    <w:rsid w:val="009545F8"/>
    <w:rsid w:val="00956584"/>
    <w:rsid w:val="009630FD"/>
    <w:rsid w:val="00966221"/>
    <w:rsid w:val="0096665C"/>
    <w:rsid w:val="00972BF2"/>
    <w:rsid w:val="00973DC5"/>
    <w:rsid w:val="00974646"/>
    <w:rsid w:val="00976D24"/>
    <w:rsid w:val="009800F5"/>
    <w:rsid w:val="00982719"/>
    <w:rsid w:val="0098286E"/>
    <w:rsid w:val="00982FA3"/>
    <w:rsid w:val="00983B02"/>
    <w:rsid w:val="00984498"/>
    <w:rsid w:val="00987D4A"/>
    <w:rsid w:val="00991B04"/>
    <w:rsid w:val="00991ED7"/>
    <w:rsid w:val="0099275C"/>
    <w:rsid w:val="0099505A"/>
    <w:rsid w:val="009A28F3"/>
    <w:rsid w:val="009A570D"/>
    <w:rsid w:val="009A6B88"/>
    <w:rsid w:val="009A6C5D"/>
    <w:rsid w:val="009B0148"/>
    <w:rsid w:val="009B1899"/>
    <w:rsid w:val="009B1D74"/>
    <w:rsid w:val="009B1FDB"/>
    <w:rsid w:val="009B4DFE"/>
    <w:rsid w:val="009B54D4"/>
    <w:rsid w:val="009B5D1C"/>
    <w:rsid w:val="009B7740"/>
    <w:rsid w:val="009B7B68"/>
    <w:rsid w:val="009B7E49"/>
    <w:rsid w:val="009C091A"/>
    <w:rsid w:val="009C166B"/>
    <w:rsid w:val="009C2AC2"/>
    <w:rsid w:val="009C32CA"/>
    <w:rsid w:val="009C5B57"/>
    <w:rsid w:val="009C6C89"/>
    <w:rsid w:val="009D008B"/>
    <w:rsid w:val="009D27CC"/>
    <w:rsid w:val="009D368A"/>
    <w:rsid w:val="009E33D7"/>
    <w:rsid w:val="009E6C1A"/>
    <w:rsid w:val="009F2273"/>
    <w:rsid w:val="009F2D07"/>
    <w:rsid w:val="009F4FD6"/>
    <w:rsid w:val="009F69B8"/>
    <w:rsid w:val="009F7B8B"/>
    <w:rsid w:val="00A027EF"/>
    <w:rsid w:val="00A0425B"/>
    <w:rsid w:val="00A06B38"/>
    <w:rsid w:val="00A1263A"/>
    <w:rsid w:val="00A12CCB"/>
    <w:rsid w:val="00A137A6"/>
    <w:rsid w:val="00A13E83"/>
    <w:rsid w:val="00A15097"/>
    <w:rsid w:val="00A15161"/>
    <w:rsid w:val="00A158CC"/>
    <w:rsid w:val="00A1782E"/>
    <w:rsid w:val="00A20751"/>
    <w:rsid w:val="00A261D6"/>
    <w:rsid w:val="00A32083"/>
    <w:rsid w:val="00A33A97"/>
    <w:rsid w:val="00A34CEC"/>
    <w:rsid w:val="00A35CC8"/>
    <w:rsid w:val="00A37D8D"/>
    <w:rsid w:val="00A4202F"/>
    <w:rsid w:val="00A42C0E"/>
    <w:rsid w:val="00A43482"/>
    <w:rsid w:val="00A437AA"/>
    <w:rsid w:val="00A44AD3"/>
    <w:rsid w:val="00A464D6"/>
    <w:rsid w:val="00A46859"/>
    <w:rsid w:val="00A46F3A"/>
    <w:rsid w:val="00A475BE"/>
    <w:rsid w:val="00A52AFE"/>
    <w:rsid w:val="00A53E67"/>
    <w:rsid w:val="00A55F5B"/>
    <w:rsid w:val="00A643B2"/>
    <w:rsid w:val="00A707E4"/>
    <w:rsid w:val="00A719DE"/>
    <w:rsid w:val="00A71F9D"/>
    <w:rsid w:val="00A730D5"/>
    <w:rsid w:val="00A739C3"/>
    <w:rsid w:val="00A744ED"/>
    <w:rsid w:val="00A747C6"/>
    <w:rsid w:val="00A74983"/>
    <w:rsid w:val="00A75CCF"/>
    <w:rsid w:val="00A7788F"/>
    <w:rsid w:val="00A81FCE"/>
    <w:rsid w:val="00A85279"/>
    <w:rsid w:val="00A87718"/>
    <w:rsid w:val="00A90C40"/>
    <w:rsid w:val="00A92F34"/>
    <w:rsid w:val="00A96404"/>
    <w:rsid w:val="00A96C53"/>
    <w:rsid w:val="00A96F42"/>
    <w:rsid w:val="00AA0E5D"/>
    <w:rsid w:val="00AA12C2"/>
    <w:rsid w:val="00AA12F7"/>
    <w:rsid w:val="00AA1BBC"/>
    <w:rsid w:val="00AA4F67"/>
    <w:rsid w:val="00AA5A9C"/>
    <w:rsid w:val="00AA7552"/>
    <w:rsid w:val="00AA7709"/>
    <w:rsid w:val="00AB2A21"/>
    <w:rsid w:val="00AB56EB"/>
    <w:rsid w:val="00AB571D"/>
    <w:rsid w:val="00AB6D1E"/>
    <w:rsid w:val="00AC07DE"/>
    <w:rsid w:val="00AC15D5"/>
    <w:rsid w:val="00AC187C"/>
    <w:rsid w:val="00AC30EE"/>
    <w:rsid w:val="00AC3289"/>
    <w:rsid w:val="00AC3605"/>
    <w:rsid w:val="00AC3DB4"/>
    <w:rsid w:val="00AC63F6"/>
    <w:rsid w:val="00AC7DDB"/>
    <w:rsid w:val="00AD1B30"/>
    <w:rsid w:val="00AD33FA"/>
    <w:rsid w:val="00AD5A01"/>
    <w:rsid w:val="00AD5C7F"/>
    <w:rsid w:val="00AD63BD"/>
    <w:rsid w:val="00AD70C8"/>
    <w:rsid w:val="00AE1FB4"/>
    <w:rsid w:val="00AE2950"/>
    <w:rsid w:val="00AE2B98"/>
    <w:rsid w:val="00AE2F31"/>
    <w:rsid w:val="00AE3E61"/>
    <w:rsid w:val="00AE3FD3"/>
    <w:rsid w:val="00AE48CC"/>
    <w:rsid w:val="00AE6373"/>
    <w:rsid w:val="00AF0B53"/>
    <w:rsid w:val="00AF2F38"/>
    <w:rsid w:val="00AF42FA"/>
    <w:rsid w:val="00AF45BF"/>
    <w:rsid w:val="00B008C0"/>
    <w:rsid w:val="00B0254D"/>
    <w:rsid w:val="00B03C10"/>
    <w:rsid w:val="00B12184"/>
    <w:rsid w:val="00B1473D"/>
    <w:rsid w:val="00B1487D"/>
    <w:rsid w:val="00B1596E"/>
    <w:rsid w:val="00B21DB0"/>
    <w:rsid w:val="00B24B26"/>
    <w:rsid w:val="00B24DBA"/>
    <w:rsid w:val="00B2691C"/>
    <w:rsid w:val="00B26AB9"/>
    <w:rsid w:val="00B26BDB"/>
    <w:rsid w:val="00B31882"/>
    <w:rsid w:val="00B33013"/>
    <w:rsid w:val="00B3598D"/>
    <w:rsid w:val="00B40928"/>
    <w:rsid w:val="00B42AEF"/>
    <w:rsid w:val="00B42CD7"/>
    <w:rsid w:val="00B4575C"/>
    <w:rsid w:val="00B45987"/>
    <w:rsid w:val="00B45B91"/>
    <w:rsid w:val="00B45CFC"/>
    <w:rsid w:val="00B53D4D"/>
    <w:rsid w:val="00B56269"/>
    <w:rsid w:val="00B56333"/>
    <w:rsid w:val="00B60A6A"/>
    <w:rsid w:val="00B66C07"/>
    <w:rsid w:val="00B709F4"/>
    <w:rsid w:val="00B721E7"/>
    <w:rsid w:val="00B72707"/>
    <w:rsid w:val="00B76337"/>
    <w:rsid w:val="00B765E7"/>
    <w:rsid w:val="00B80331"/>
    <w:rsid w:val="00B846CC"/>
    <w:rsid w:val="00B85196"/>
    <w:rsid w:val="00B86388"/>
    <w:rsid w:val="00B87833"/>
    <w:rsid w:val="00B917AF"/>
    <w:rsid w:val="00B92351"/>
    <w:rsid w:val="00B929BF"/>
    <w:rsid w:val="00B92C4B"/>
    <w:rsid w:val="00B9386D"/>
    <w:rsid w:val="00B9388C"/>
    <w:rsid w:val="00B95A33"/>
    <w:rsid w:val="00B9657F"/>
    <w:rsid w:val="00B96FE0"/>
    <w:rsid w:val="00BA1B89"/>
    <w:rsid w:val="00BA39DB"/>
    <w:rsid w:val="00BA4CBF"/>
    <w:rsid w:val="00BA79D2"/>
    <w:rsid w:val="00BB4B51"/>
    <w:rsid w:val="00BC36EE"/>
    <w:rsid w:val="00BC4C15"/>
    <w:rsid w:val="00BC5093"/>
    <w:rsid w:val="00BD0523"/>
    <w:rsid w:val="00BD0FFC"/>
    <w:rsid w:val="00BD1A21"/>
    <w:rsid w:val="00BD2680"/>
    <w:rsid w:val="00BD2F04"/>
    <w:rsid w:val="00BD317E"/>
    <w:rsid w:val="00BD338A"/>
    <w:rsid w:val="00BD5901"/>
    <w:rsid w:val="00BE0032"/>
    <w:rsid w:val="00BE1607"/>
    <w:rsid w:val="00BF0650"/>
    <w:rsid w:val="00BF0A67"/>
    <w:rsid w:val="00BF50C8"/>
    <w:rsid w:val="00BF5489"/>
    <w:rsid w:val="00BF64DB"/>
    <w:rsid w:val="00BF6E88"/>
    <w:rsid w:val="00BF7BEE"/>
    <w:rsid w:val="00BF7C1F"/>
    <w:rsid w:val="00C023BF"/>
    <w:rsid w:val="00C02DCA"/>
    <w:rsid w:val="00C02FDB"/>
    <w:rsid w:val="00C03A09"/>
    <w:rsid w:val="00C03D67"/>
    <w:rsid w:val="00C050DE"/>
    <w:rsid w:val="00C11EC6"/>
    <w:rsid w:val="00C12FB5"/>
    <w:rsid w:val="00C13749"/>
    <w:rsid w:val="00C1437C"/>
    <w:rsid w:val="00C14548"/>
    <w:rsid w:val="00C21282"/>
    <w:rsid w:val="00C23002"/>
    <w:rsid w:val="00C2605B"/>
    <w:rsid w:val="00C264F9"/>
    <w:rsid w:val="00C278CB"/>
    <w:rsid w:val="00C27BD8"/>
    <w:rsid w:val="00C31B7D"/>
    <w:rsid w:val="00C32C52"/>
    <w:rsid w:val="00C36564"/>
    <w:rsid w:val="00C37163"/>
    <w:rsid w:val="00C37E85"/>
    <w:rsid w:val="00C37EB4"/>
    <w:rsid w:val="00C416AA"/>
    <w:rsid w:val="00C4292E"/>
    <w:rsid w:val="00C42D29"/>
    <w:rsid w:val="00C44A03"/>
    <w:rsid w:val="00C46C54"/>
    <w:rsid w:val="00C5657F"/>
    <w:rsid w:val="00C56FEF"/>
    <w:rsid w:val="00C5703D"/>
    <w:rsid w:val="00C57D0B"/>
    <w:rsid w:val="00C60390"/>
    <w:rsid w:val="00C62458"/>
    <w:rsid w:val="00C63515"/>
    <w:rsid w:val="00C635BA"/>
    <w:rsid w:val="00C64149"/>
    <w:rsid w:val="00C67856"/>
    <w:rsid w:val="00C71B72"/>
    <w:rsid w:val="00C72737"/>
    <w:rsid w:val="00C74BE9"/>
    <w:rsid w:val="00C767B5"/>
    <w:rsid w:val="00C77C13"/>
    <w:rsid w:val="00C820C0"/>
    <w:rsid w:val="00C9115B"/>
    <w:rsid w:val="00C91BB5"/>
    <w:rsid w:val="00C92CDF"/>
    <w:rsid w:val="00C9349D"/>
    <w:rsid w:val="00C96CFE"/>
    <w:rsid w:val="00C96FEC"/>
    <w:rsid w:val="00CA1213"/>
    <w:rsid w:val="00CA320D"/>
    <w:rsid w:val="00CA443B"/>
    <w:rsid w:val="00CA4BB4"/>
    <w:rsid w:val="00CA4DD5"/>
    <w:rsid w:val="00CA5987"/>
    <w:rsid w:val="00CA6A94"/>
    <w:rsid w:val="00CA6CE9"/>
    <w:rsid w:val="00CA72F0"/>
    <w:rsid w:val="00CB20C7"/>
    <w:rsid w:val="00CB2F29"/>
    <w:rsid w:val="00CB7816"/>
    <w:rsid w:val="00CC11F2"/>
    <w:rsid w:val="00CC2BD0"/>
    <w:rsid w:val="00CC2C64"/>
    <w:rsid w:val="00CC3974"/>
    <w:rsid w:val="00CC3F47"/>
    <w:rsid w:val="00CD38C6"/>
    <w:rsid w:val="00CD3A43"/>
    <w:rsid w:val="00CD511C"/>
    <w:rsid w:val="00CD5F6D"/>
    <w:rsid w:val="00CE0248"/>
    <w:rsid w:val="00CE2306"/>
    <w:rsid w:val="00CE32C0"/>
    <w:rsid w:val="00CE751A"/>
    <w:rsid w:val="00CF0E36"/>
    <w:rsid w:val="00CF2AC6"/>
    <w:rsid w:val="00CF31B0"/>
    <w:rsid w:val="00CF7FB1"/>
    <w:rsid w:val="00D11CB4"/>
    <w:rsid w:val="00D132C0"/>
    <w:rsid w:val="00D13852"/>
    <w:rsid w:val="00D146D1"/>
    <w:rsid w:val="00D14999"/>
    <w:rsid w:val="00D17892"/>
    <w:rsid w:val="00D2157C"/>
    <w:rsid w:val="00D2158C"/>
    <w:rsid w:val="00D21A6D"/>
    <w:rsid w:val="00D2266A"/>
    <w:rsid w:val="00D23738"/>
    <w:rsid w:val="00D267F3"/>
    <w:rsid w:val="00D3145B"/>
    <w:rsid w:val="00D33CC5"/>
    <w:rsid w:val="00D41389"/>
    <w:rsid w:val="00D41DD5"/>
    <w:rsid w:val="00D426F0"/>
    <w:rsid w:val="00D4479C"/>
    <w:rsid w:val="00D50855"/>
    <w:rsid w:val="00D5138E"/>
    <w:rsid w:val="00D51EA8"/>
    <w:rsid w:val="00D52226"/>
    <w:rsid w:val="00D53748"/>
    <w:rsid w:val="00D540D1"/>
    <w:rsid w:val="00D54364"/>
    <w:rsid w:val="00D54484"/>
    <w:rsid w:val="00D554CF"/>
    <w:rsid w:val="00D56397"/>
    <w:rsid w:val="00D6082D"/>
    <w:rsid w:val="00D62262"/>
    <w:rsid w:val="00D637A9"/>
    <w:rsid w:val="00D71E9C"/>
    <w:rsid w:val="00D72434"/>
    <w:rsid w:val="00D731D2"/>
    <w:rsid w:val="00D758B5"/>
    <w:rsid w:val="00D76FCE"/>
    <w:rsid w:val="00D80A56"/>
    <w:rsid w:val="00D84CB0"/>
    <w:rsid w:val="00D85003"/>
    <w:rsid w:val="00D85E1A"/>
    <w:rsid w:val="00D9117E"/>
    <w:rsid w:val="00D916ED"/>
    <w:rsid w:val="00D967E7"/>
    <w:rsid w:val="00D97076"/>
    <w:rsid w:val="00DA1164"/>
    <w:rsid w:val="00DA15D0"/>
    <w:rsid w:val="00DA1769"/>
    <w:rsid w:val="00DA2FBA"/>
    <w:rsid w:val="00DA6C99"/>
    <w:rsid w:val="00DB018D"/>
    <w:rsid w:val="00DB3C28"/>
    <w:rsid w:val="00DB4F18"/>
    <w:rsid w:val="00DB5270"/>
    <w:rsid w:val="00DB680A"/>
    <w:rsid w:val="00DC1F20"/>
    <w:rsid w:val="00DC40D8"/>
    <w:rsid w:val="00DC67B5"/>
    <w:rsid w:val="00DD0426"/>
    <w:rsid w:val="00DD072D"/>
    <w:rsid w:val="00DD1182"/>
    <w:rsid w:val="00DD28D5"/>
    <w:rsid w:val="00DD298C"/>
    <w:rsid w:val="00DD334C"/>
    <w:rsid w:val="00DD7A9F"/>
    <w:rsid w:val="00DE0050"/>
    <w:rsid w:val="00DE1D90"/>
    <w:rsid w:val="00DE4DE3"/>
    <w:rsid w:val="00DF2DF5"/>
    <w:rsid w:val="00DF41A2"/>
    <w:rsid w:val="00DF4431"/>
    <w:rsid w:val="00DF508F"/>
    <w:rsid w:val="00DF5A36"/>
    <w:rsid w:val="00E005C3"/>
    <w:rsid w:val="00E006ED"/>
    <w:rsid w:val="00E05256"/>
    <w:rsid w:val="00E06727"/>
    <w:rsid w:val="00E0743B"/>
    <w:rsid w:val="00E1063F"/>
    <w:rsid w:val="00E10D23"/>
    <w:rsid w:val="00E2185D"/>
    <w:rsid w:val="00E23E16"/>
    <w:rsid w:val="00E26DC0"/>
    <w:rsid w:val="00E27815"/>
    <w:rsid w:val="00E303D4"/>
    <w:rsid w:val="00E409F4"/>
    <w:rsid w:val="00E42FBC"/>
    <w:rsid w:val="00E43CCF"/>
    <w:rsid w:val="00E45E58"/>
    <w:rsid w:val="00E530B0"/>
    <w:rsid w:val="00E60A6A"/>
    <w:rsid w:val="00E63784"/>
    <w:rsid w:val="00E63B58"/>
    <w:rsid w:val="00E67781"/>
    <w:rsid w:val="00E700A8"/>
    <w:rsid w:val="00E71AD2"/>
    <w:rsid w:val="00E74367"/>
    <w:rsid w:val="00E7474A"/>
    <w:rsid w:val="00E75E2F"/>
    <w:rsid w:val="00E773FE"/>
    <w:rsid w:val="00E82CED"/>
    <w:rsid w:val="00E8453C"/>
    <w:rsid w:val="00E85006"/>
    <w:rsid w:val="00E8691B"/>
    <w:rsid w:val="00E9156B"/>
    <w:rsid w:val="00E9396B"/>
    <w:rsid w:val="00E964EA"/>
    <w:rsid w:val="00E9735A"/>
    <w:rsid w:val="00EA0CF8"/>
    <w:rsid w:val="00EA3639"/>
    <w:rsid w:val="00EA3913"/>
    <w:rsid w:val="00EA7D37"/>
    <w:rsid w:val="00EB0DD5"/>
    <w:rsid w:val="00EB0E32"/>
    <w:rsid w:val="00EB2745"/>
    <w:rsid w:val="00EB297D"/>
    <w:rsid w:val="00EB4818"/>
    <w:rsid w:val="00EC0172"/>
    <w:rsid w:val="00EC0446"/>
    <w:rsid w:val="00EC1C77"/>
    <w:rsid w:val="00EC2C4C"/>
    <w:rsid w:val="00EC2D0A"/>
    <w:rsid w:val="00EC419F"/>
    <w:rsid w:val="00ED25F1"/>
    <w:rsid w:val="00ED2ABE"/>
    <w:rsid w:val="00ED35F4"/>
    <w:rsid w:val="00ED3A56"/>
    <w:rsid w:val="00ED603C"/>
    <w:rsid w:val="00ED71D0"/>
    <w:rsid w:val="00EE08F5"/>
    <w:rsid w:val="00EE2A45"/>
    <w:rsid w:val="00EE3BBA"/>
    <w:rsid w:val="00EE3F41"/>
    <w:rsid w:val="00EF3C0E"/>
    <w:rsid w:val="00EF4749"/>
    <w:rsid w:val="00EF62C3"/>
    <w:rsid w:val="00F003D2"/>
    <w:rsid w:val="00F010BC"/>
    <w:rsid w:val="00F02BC6"/>
    <w:rsid w:val="00F04FDC"/>
    <w:rsid w:val="00F06D2E"/>
    <w:rsid w:val="00F10110"/>
    <w:rsid w:val="00F108AF"/>
    <w:rsid w:val="00F114D2"/>
    <w:rsid w:val="00F12E9C"/>
    <w:rsid w:val="00F133F6"/>
    <w:rsid w:val="00F13879"/>
    <w:rsid w:val="00F14709"/>
    <w:rsid w:val="00F17513"/>
    <w:rsid w:val="00F234D9"/>
    <w:rsid w:val="00F23F61"/>
    <w:rsid w:val="00F249CA"/>
    <w:rsid w:val="00F25E35"/>
    <w:rsid w:val="00F310F1"/>
    <w:rsid w:val="00F31E24"/>
    <w:rsid w:val="00F34ACB"/>
    <w:rsid w:val="00F37F81"/>
    <w:rsid w:val="00F41EA4"/>
    <w:rsid w:val="00F42C23"/>
    <w:rsid w:val="00F470B7"/>
    <w:rsid w:val="00F471F5"/>
    <w:rsid w:val="00F47723"/>
    <w:rsid w:val="00F50022"/>
    <w:rsid w:val="00F500E4"/>
    <w:rsid w:val="00F52576"/>
    <w:rsid w:val="00F53086"/>
    <w:rsid w:val="00F53B07"/>
    <w:rsid w:val="00F5472C"/>
    <w:rsid w:val="00F563D8"/>
    <w:rsid w:val="00F60CB3"/>
    <w:rsid w:val="00F60F88"/>
    <w:rsid w:val="00F6192B"/>
    <w:rsid w:val="00F624A7"/>
    <w:rsid w:val="00F6326F"/>
    <w:rsid w:val="00F66ACD"/>
    <w:rsid w:val="00F67985"/>
    <w:rsid w:val="00F73D6D"/>
    <w:rsid w:val="00F75EF8"/>
    <w:rsid w:val="00F80AC2"/>
    <w:rsid w:val="00F81460"/>
    <w:rsid w:val="00F82262"/>
    <w:rsid w:val="00F827AD"/>
    <w:rsid w:val="00F82C79"/>
    <w:rsid w:val="00F83B32"/>
    <w:rsid w:val="00F86074"/>
    <w:rsid w:val="00F87D4E"/>
    <w:rsid w:val="00F91ABB"/>
    <w:rsid w:val="00F924C3"/>
    <w:rsid w:val="00F93088"/>
    <w:rsid w:val="00F9383E"/>
    <w:rsid w:val="00FA07B1"/>
    <w:rsid w:val="00FA0B2F"/>
    <w:rsid w:val="00FA1020"/>
    <w:rsid w:val="00FA1295"/>
    <w:rsid w:val="00FA1481"/>
    <w:rsid w:val="00FA18E3"/>
    <w:rsid w:val="00FB01E5"/>
    <w:rsid w:val="00FB484A"/>
    <w:rsid w:val="00FB5B45"/>
    <w:rsid w:val="00FB604F"/>
    <w:rsid w:val="00FC206E"/>
    <w:rsid w:val="00FC2598"/>
    <w:rsid w:val="00FC447C"/>
    <w:rsid w:val="00FC4827"/>
    <w:rsid w:val="00FD1A87"/>
    <w:rsid w:val="00FD1EA9"/>
    <w:rsid w:val="00FD2BFA"/>
    <w:rsid w:val="00FD49C2"/>
    <w:rsid w:val="00FD6EFD"/>
    <w:rsid w:val="00FD7052"/>
    <w:rsid w:val="00FE27FD"/>
    <w:rsid w:val="00FE4015"/>
    <w:rsid w:val="00FE596E"/>
    <w:rsid w:val="00FF1B12"/>
    <w:rsid w:val="00FF3214"/>
    <w:rsid w:val="00FF3320"/>
    <w:rsid w:val="00FF4F8D"/>
    <w:rsid w:val="00FF597F"/>
    <w:rsid w:val="00FF5DDE"/>
    <w:rsid w:val="00FF6CBA"/>
    <w:rsid w:val="00FF76CF"/>
    <w:rsid w:val="1D7F4D10"/>
    <w:rsid w:val="3F73348D"/>
    <w:rsid w:val="FFFF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9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8"/>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4">
    <w:name w:val="heading 3"/>
    <w:basedOn w:val="1"/>
    <w:next w:val="1"/>
    <w:link w:val="5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59"/>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7">
    <w:name w:val="heading 8"/>
    <w:basedOn w:val="1"/>
    <w:next w:val="1"/>
    <w:link w:val="5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8"/>
    <w:qFormat/>
    <w:uiPriority w:val="0"/>
    <w:pPr>
      <w:spacing w:line="360" w:lineRule="auto"/>
      <w:ind w:firstLine="420"/>
    </w:pPr>
    <w:rPr>
      <w:rFonts w:ascii="Times New Roman" w:hAnsi="Times New Roman" w:eastAsia="宋体" w:cs="Times New Roman"/>
      <w:sz w:val="24"/>
      <w:szCs w:val="20"/>
    </w:rPr>
  </w:style>
  <w:style w:type="paragraph" w:styleId="9">
    <w:name w:val="Document Map"/>
    <w:basedOn w:val="1"/>
    <w:link w:val="31"/>
    <w:semiHidden/>
    <w:unhideWhenUsed/>
    <w:qFormat/>
    <w:uiPriority w:val="99"/>
    <w:rPr>
      <w:rFonts w:ascii="宋体" w:eastAsia="宋体"/>
      <w:sz w:val="20"/>
      <w:szCs w:val="18"/>
    </w:rPr>
  </w:style>
  <w:style w:type="paragraph" w:styleId="10">
    <w:name w:val="annotation text"/>
    <w:basedOn w:val="1"/>
    <w:link w:val="38"/>
    <w:semiHidden/>
    <w:unhideWhenUsed/>
    <w:qFormat/>
    <w:uiPriority w:val="99"/>
    <w:pPr>
      <w:jc w:val="left"/>
    </w:pPr>
  </w:style>
  <w:style w:type="paragraph" w:styleId="11">
    <w:name w:val="Salutation"/>
    <w:basedOn w:val="1"/>
    <w:next w:val="1"/>
    <w:link w:val="76"/>
    <w:qFormat/>
    <w:uiPriority w:val="0"/>
    <w:rPr>
      <w:rFonts w:ascii="Times New Roman" w:hAnsi="Times New Roman" w:eastAsia="宋体" w:cs="Times New Roman"/>
      <w:szCs w:val="24"/>
    </w:rPr>
  </w:style>
  <w:style w:type="paragraph" w:styleId="12">
    <w:name w:val="Body Text"/>
    <w:basedOn w:val="1"/>
    <w:link w:val="47"/>
    <w:semiHidden/>
    <w:unhideWhenUsed/>
    <w:qFormat/>
    <w:uiPriority w:val="99"/>
    <w:pPr>
      <w:spacing w:after="120"/>
    </w:pPr>
  </w:style>
  <w:style w:type="paragraph" w:styleId="13">
    <w:name w:val="Body Text Indent"/>
    <w:basedOn w:val="1"/>
    <w:link w:val="61"/>
    <w:semiHidden/>
    <w:unhideWhenUsed/>
    <w:qFormat/>
    <w:uiPriority w:val="99"/>
    <w:pPr>
      <w:spacing w:after="120"/>
      <w:ind w:left="420" w:leftChars="200"/>
    </w:pPr>
  </w:style>
  <w:style w:type="paragraph" w:styleId="14">
    <w:name w:val="Plain Text"/>
    <w:basedOn w:val="1"/>
    <w:next w:val="15"/>
    <w:link w:val="77"/>
    <w:qFormat/>
    <w:uiPriority w:val="0"/>
    <w:rPr>
      <w:rFonts w:ascii="宋体" w:hAnsi="Courier New" w:eastAsia="宋体" w:cs="Times New Roman"/>
    </w:rPr>
  </w:style>
  <w:style w:type="paragraph" w:customStyle="1" w:styleId="15">
    <w:name w:val="Default"/>
    <w:link w:val="81"/>
    <w:qFormat/>
    <w:uiPriority w:val="0"/>
    <w:pPr>
      <w:widowControl w:val="0"/>
      <w:autoSpaceDE w:val="0"/>
      <w:autoSpaceDN w:val="0"/>
      <w:adjustRightInd w:val="0"/>
    </w:pPr>
    <w:rPr>
      <w:rFonts w:ascii="华文宋体" w:hAnsi="华文宋体" w:cs="华文宋体" w:eastAsiaTheme="minorEastAsia"/>
      <w:color w:val="000000"/>
      <w:kern w:val="0"/>
      <w:sz w:val="24"/>
      <w:szCs w:val="24"/>
      <w:lang w:val="en-US" w:eastAsia="zh-CN" w:bidi="ar-SA"/>
    </w:rPr>
  </w:style>
  <w:style w:type="paragraph" w:styleId="16">
    <w:name w:val="Body Text Indent 2"/>
    <w:basedOn w:val="1"/>
    <w:link w:val="86"/>
    <w:qFormat/>
    <w:uiPriority w:val="99"/>
    <w:pPr>
      <w:adjustRightInd w:val="0"/>
      <w:snapToGrid w:val="0"/>
      <w:spacing w:after="120" w:line="480" w:lineRule="auto"/>
      <w:ind w:left="420" w:leftChars="200"/>
      <w:jc w:val="left"/>
    </w:pPr>
    <w:rPr>
      <w:rFonts w:ascii="Times New Roman" w:hAnsi="Times New Roman" w:eastAsia="宋体" w:cs="Times New Roman"/>
      <w:sz w:val="24"/>
      <w:szCs w:val="24"/>
    </w:rPr>
  </w:style>
  <w:style w:type="paragraph" w:styleId="17">
    <w:name w:val="Balloon Text"/>
    <w:basedOn w:val="1"/>
    <w:link w:val="30"/>
    <w:unhideWhenUsed/>
    <w:qFormat/>
    <w:uiPriority w:val="99"/>
    <w:rPr>
      <w:sz w:val="18"/>
      <w:szCs w:val="18"/>
    </w:rPr>
  </w:style>
  <w:style w:type="paragraph" w:styleId="18">
    <w:name w:val="footer"/>
    <w:basedOn w:val="1"/>
    <w:link w:val="33"/>
    <w:unhideWhenUsed/>
    <w:qFormat/>
    <w:uiPriority w:val="99"/>
    <w:pPr>
      <w:tabs>
        <w:tab w:val="center" w:pos="4153"/>
        <w:tab w:val="right" w:pos="8306"/>
      </w:tabs>
      <w:snapToGrid w:val="0"/>
      <w:jc w:val="left"/>
    </w:pPr>
    <w:rPr>
      <w:sz w:val="18"/>
      <w:szCs w:val="18"/>
    </w:rPr>
  </w:style>
  <w:style w:type="paragraph" w:styleId="19">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Body Text Indent 3"/>
    <w:basedOn w:val="1"/>
    <w:link w:val="35"/>
    <w:qFormat/>
    <w:uiPriority w:val="0"/>
    <w:pPr>
      <w:spacing w:after="120"/>
      <w:ind w:left="420" w:leftChars="200"/>
    </w:pPr>
    <w:rPr>
      <w:rFonts w:ascii="Times New Roman" w:hAnsi="Times New Roman" w:eastAsia="宋体" w:cs="Times New Roman"/>
      <w:sz w:val="16"/>
      <w:szCs w:val="16"/>
    </w:rPr>
  </w:style>
  <w:style w:type="paragraph" w:styleId="21">
    <w:name w:val="toc 2"/>
    <w:basedOn w:val="1"/>
    <w:next w:val="1"/>
    <w:unhideWhenUsed/>
    <w:qFormat/>
    <w:uiPriority w:val="39"/>
    <w:pPr>
      <w:spacing w:line="240" w:lineRule="atLeast"/>
      <w:ind w:left="420" w:leftChars="200"/>
    </w:pPr>
    <w:rPr>
      <w:rFonts w:ascii="Times New Roman" w:hAnsi="Times New Roman" w:eastAsia="宋体" w:cs="Times New Roman"/>
      <w:szCs w:val="20"/>
    </w:rPr>
  </w:style>
  <w:style w:type="paragraph" w:styleId="22">
    <w:name w:val="Title"/>
    <w:basedOn w:val="1"/>
    <w:next w:val="1"/>
    <w:link w:val="56"/>
    <w:qFormat/>
    <w:uiPriority w:val="0"/>
    <w:pPr>
      <w:spacing w:before="240" w:after="60"/>
      <w:jc w:val="left"/>
      <w:outlineLvl w:val="0"/>
    </w:pPr>
    <w:rPr>
      <w:rFonts w:ascii="Cambria" w:hAnsi="Cambria" w:eastAsia="宋体" w:cs="Times New Roman"/>
      <w:b/>
      <w:bCs/>
      <w:sz w:val="32"/>
      <w:szCs w:val="32"/>
    </w:rPr>
  </w:style>
  <w:style w:type="paragraph" w:styleId="23">
    <w:name w:val="annotation subject"/>
    <w:basedOn w:val="10"/>
    <w:next w:val="10"/>
    <w:link w:val="39"/>
    <w:semiHidden/>
    <w:unhideWhenUsed/>
    <w:qFormat/>
    <w:uiPriority w:val="99"/>
    <w:rPr>
      <w:b/>
      <w:bCs/>
    </w:rPr>
  </w:style>
  <w:style w:type="table" w:styleId="25">
    <w:name w:val="Table Grid"/>
    <w:basedOn w:val="24"/>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basedOn w:val="26"/>
    <w:semiHidden/>
    <w:unhideWhenUsed/>
    <w:qFormat/>
    <w:uiPriority w:val="99"/>
    <w:rPr>
      <w:color w:val="0000FF"/>
      <w:u w:val="single"/>
    </w:rPr>
  </w:style>
  <w:style w:type="character" w:styleId="29">
    <w:name w:val="annotation reference"/>
    <w:basedOn w:val="26"/>
    <w:semiHidden/>
    <w:unhideWhenUsed/>
    <w:qFormat/>
    <w:uiPriority w:val="99"/>
    <w:rPr>
      <w:sz w:val="21"/>
      <w:szCs w:val="21"/>
    </w:rPr>
  </w:style>
  <w:style w:type="character" w:customStyle="1" w:styleId="30">
    <w:name w:val="批注框文本 Char"/>
    <w:basedOn w:val="26"/>
    <w:link w:val="17"/>
    <w:qFormat/>
    <w:uiPriority w:val="99"/>
    <w:rPr>
      <w:sz w:val="18"/>
      <w:szCs w:val="18"/>
    </w:rPr>
  </w:style>
  <w:style w:type="character" w:customStyle="1" w:styleId="31">
    <w:name w:val="文档结构图 Char"/>
    <w:basedOn w:val="26"/>
    <w:link w:val="9"/>
    <w:semiHidden/>
    <w:qFormat/>
    <w:uiPriority w:val="99"/>
    <w:rPr>
      <w:rFonts w:ascii="宋体" w:eastAsia="宋体"/>
      <w:sz w:val="20"/>
      <w:szCs w:val="18"/>
    </w:rPr>
  </w:style>
  <w:style w:type="character" w:customStyle="1" w:styleId="32">
    <w:name w:val="页眉 Char"/>
    <w:basedOn w:val="26"/>
    <w:link w:val="19"/>
    <w:qFormat/>
    <w:uiPriority w:val="99"/>
    <w:rPr>
      <w:sz w:val="18"/>
      <w:szCs w:val="18"/>
    </w:rPr>
  </w:style>
  <w:style w:type="character" w:customStyle="1" w:styleId="33">
    <w:name w:val="页脚 Char"/>
    <w:basedOn w:val="26"/>
    <w:link w:val="18"/>
    <w:qFormat/>
    <w:uiPriority w:val="99"/>
    <w:rPr>
      <w:sz w:val="18"/>
      <w:szCs w:val="18"/>
    </w:rPr>
  </w:style>
  <w:style w:type="paragraph" w:customStyle="1" w:styleId="34">
    <w:name w:val="表体"/>
    <w:basedOn w:val="1"/>
    <w:link w:val="46"/>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5">
    <w:name w:val="正文文本缩进 3 Char"/>
    <w:basedOn w:val="26"/>
    <w:link w:val="20"/>
    <w:qFormat/>
    <w:uiPriority w:val="0"/>
    <w:rPr>
      <w:rFonts w:ascii="Times New Roman" w:hAnsi="Times New Roman" w:eastAsia="宋体" w:cs="Times New Roman"/>
      <w:sz w:val="16"/>
      <w:szCs w:val="16"/>
    </w:rPr>
  </w:style>
  <w:style w:type="paragraph" w:customStyle="1" w:styleId="36">
    <w:name w:val="表头"/>
    <w:basedOn w:val="1"/>
    <w:link w:val="37"/>
    <w:qFormat/>
    <w:uiPriority w:val="0"/>
    <w:pPr>
      <w:adjustRightInd w:val="0"/>
      <w:snapToGrid w:val="0"/>
      <w:spacing w:beforeLines="25"/>
      <w:jc w:val="center"/>
      <w:textAlignment w:val="baseline"/>
    </w:pPr>
    <w:rPr>
      <w:rFonts w:ascii="Times New Roman" w:hAnsi="宋体" w:eastAsia="仿宋_GB2312" w:cs="Times New Roman"/>
      <w:b/>
      <w:kern w:val="0"/>
      <w:sz w:val="28"/>
      <w:szCs w:val="28"/>
    </w:rPr>
  </w:style>
  <w:style w:type="character" w:customStyle="1" w:styleId="37">
    <w:name w:val="表头 Char Char"/>
    <w:link w:val="36"/>
    <w:qFormat/>
    <w:uiPriority w:val="0"/>
    <w:rPr>
      <w:rFonts w:ascii="Times New Roman" w:hAnsi="宋体" w:eastAsia="仿宋_GB2312" w:cs="Times New Roman"/>
      <w:b/>
      <w:kern w:val="0"/>
      <w:sz w:val="28"/>
      <w:szCs w:val="28"/>
    </w:rPr>
  </w:style>
  <w:style w:type="character" w:customStyle="1" w:styleId="38">
    <w:name w:val="批注文字 Char"/>
    <w:basedOn w:val="26"/>
    <w:link w:val="10"/>
    <w:semiHidden/>
    <w:qFormat/>
    <w:uiPriority w:val="99"/>
  </w:style>
  <w:style w:type="character" w:customStyle="1" w:styleId="39">
    <w:name w:val="批注主题 Char"/>
    <w:basedOn w:val="38"/>
    <w:link w:val="23"/>
    <w:semiHidden/>
    <w:qFormat/>
    <w:uiPriority w:val="99"/>
    <w:rPr>
      <w:b/>
      <w:bCs/>
    </w:rPr>
  </w:style>
  <w:style w:type="character" w:customStyle="1" w:styleId="40">
    <w:name w:val="题注1 Char"/>
    <w:link w:val="41"/>
    <w:qFormat/>
    <w:uiPriority w:val="0"/>
    <w:rPr>
      <w:rFonts w:cs="宋体"/>
      <w:b/>
      <w:bCs/>
      <w:spacing w:val="10"/>
      <w:szCs w:val="24"/>
    </w:rPr>
  </w:style>
  <w:style w:type="paragraph" w:customStyle="1" w:styleId="41">
    <w:name w:val="题注1"/>
    <w:basedOn w:val="1"/>
    <w:link w:val="40"/>
    <w:qFormat/>
    <w:uiPriority w:val="0"/>
    <w:pPr>
      <w:spacing w:beforeLines="20" w:afterLines="20"/>
      <w:jc w:val="center"/>
    </w:pPr>
    <w:rPr>
      <w:rFonts w:cs="宋体"/>
      <w:b/>
      <w:bCs/>
      <w:spacing w:val="10"/>
      <w:szCs w:val="24"/>
    </w:rPr>
  </w:style>
  <w:style w:type="paragraph" w:customStyle="1" w:styleId="42">
    <w:name w:val="赵"/>
    <w:basedOn w:val="1"/>
    <w:link w:val="43"/>
    <w:qFormat/>
    <w:uiPriority w:val="0"/>
    <w:pPr>
      <w:spacing w:line="360" w:lineRule="auto"/>
      <w:ind w:firstLine="200" w:firstLineChars="200"/>
    </w:pPr>
    <w:rPr>
      <w:rFonts w:ascii="Times New Roman" w:hAnsi="Times New Roman" w:eastAsia="宋体" w:cs="Times New Roman"/>
      <w:sz w:val="24"/>
      <w:szCs w:val="30"/>
    </w:rPr>
  </w:style>
  <w:style w:type="character" w:customStyle="1" w:styleId="43">
    <w:name w:val="赵 Char"/>
    <w:basedOn w:val="26"/>
    <w:link w:val="42"/>
    <w:qFormat/>
    <w:uiPriority w:val="0"/>
    <w:rPr>
      <w:rFonts w:ascii="Times New Roman" w:hAnsi="Times New Roman" w:eastAsia="宋体" w:cs="Times New Roman"/>
      <w:sz w:val="24"/>
      <w:szCs w:val="30"/>
    </w:rPr>
  </w:style>
  <w:style w:type="paragraph" w:customStyle="1" w:styleId="44">
    <w:name w:val="【表头】"/>
    <w:basedOn w:val="1"/>
    <w:link w:val="45"/>
    <w:qFormat/>
    <w:uiPriority w:val="0"/>
    <w:pPr>
      <w:jc w:val="center"/>
    </w:pPr>
    <w:rPr>
      <w:rFonts w:ascii="Times New Roman" w:hAnsi="Times New Roman" w:eastAsia="宋体" w:cs="Times New Roman"/>
      <w:b/>
      <w:szCs w:val="24"/>
    </w:rPr>
  </w:style>
  <w:style w:type="character" w:customStyle="1" w:styleId="45">
    <w:name w:val="【表头】 Char"/>
    <w:link w:val="44"/>
    <w:qFormat/>
    <w:uiPriority w:val="0"/>
    <w:rPr>
      <w:rFonts w:ascii="Times New Roman" w:hAnsi="Times New Roman" w:eastAsia="宋体" w:cs="Times New Roman"/>
      <w:b/>
      <w:szCs w:val="24"/>
    </w:rPr>
  </w:style>
  <w:style w:type="character" w:customStyle="1" w:styleId="46">
    <w:name w:val="表体 Char Char"/>
    <w:link w:val="34"/>
    <w:qFormat/>
    <w:locked/>
    <w:uiPriority w:val="0"/>
    <w:rPr>
      <w:rFonts w:ascii="Times New Roman" w:hAnsi="Times New Roman" w:eastAsia="宋体" w:cs="Times New Roman"/>
      <w:bCs/>
      <w:snapToGrid w:val="0"/>
      <w:color w:val="000000"/>
      <w:kern w:val="32"/>
      <w:szCs w:val="20"/>
      <w:lang w:val="zh-CN"/>
    </w:rPr>
  </w:style>
  <w:style w:type="character" w:customStyle="1" w:styleId="47">
    <w:name w:val="正文文本 Char"/>
    <w:basedOn w:val="26"/>
    <w:link w:val="12"/>
    <w:semiHidden/>
    <w:qFormat/>
    <w:uiPriority w:val="99"/>
  </w:style>
  <w:style w:type="character" w:customStyle="1" w:styleId="48">
    <w:name w:val="标题 2 Char"/>
    <w:basedOn w:val="26"/>
    <w:link w:val="3"/>
    <w:qFormat/>
    <w:uiPriority w:val="0"/>
    <w:rPr>
      <w:rFonts w:ascii="Times New Roman" w:hAnsi="Times New Roman" w:eastAsia="黑体" w:cs="Times New Roman"/>
      <w:color w:val="000000" w:themeColor="text1"/>
      <w:sz w:val="30"/>
      <w:szCs w:val="24"/>
    </w:rPr>
  </w:style>
  <w:style w:type="character" w:customStyle="1" w:styleId="49">
    <w:name w:val="表头 Char1"/>
    <w:basedOn w:val="26"/>
    <w:qFormat/>
    <w:uiPriority w:val="0"/>
    <w:rPr>
      <w:rFonts w:ascii="Times New Roman" w:hAnsi="Times New Roman" w:eastAsia="宋体" w:cs="Times New Roman"/>
      <w:b/>
      <w:bCs/>
      <w:kern w:val="0"/>
      <w:szCs w:val="28"/>
    </w:rPr>
  </w:style>
  <w:style w:type="character" w:customStyle="1" w:styleId="50">
    <w:name w:val="标题 3 Char"/>
    <w:basedOn w:val="26"/>
    <w:link w:val="4"/>
    <w:semiHidden/>
    <w:qFormat/>
    <w:uiPriority w:val="9"/>
    <w:rPr>
      <w:b/>
      <w:bCs/>
      <w:sz w:val="32"/>
      <w:szCs w:val="32"/>
    </w:rPr>
  </w:style>
  <w:style w:type="table" w:customStyle="1" w:styleId="51">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52">
    <w:name w:val="标题 8 Char"/>
    <w:basedOn w:val="26"/>
    <w:link w:val="7"/>
    <w:qFormat/>
    <w:uiPriority w:val="99"/>
    <w:rPr>
      <w:rFonts w:asciiTheme="majorHAnsi" w:hAnsiTheme="majorHAnsi" w:eastAsiaTheme="majorEastAsia" w:cstheme="majorBidi"/>
      <w:sz w:val="24"/>
      <w:szCs w:val="24"/>
    </w:rPr>
  </w:style>
  <w:style w:type="paragraph" w:customStyle="1" w:styleId="53">
    <w:name w:val="表格正文"/>
    <w:basedOn w:val="1"/>
    <w:qFormat/>
    <w:uiPriority w:val="0"/>
    <w:pPr>
      <w:adjustRightInd w:val="0"/>
      <w:spacing w:line="0" w:lineRule="atLeast"/>
      <w:textAlignment w:val="baseline"/>
    </w:pPr>
    <w:rPr>
      <w:rFonts w:ascii="Times New Roman" w:hAnsi="Times New Roman" w:eastAsia="宋体" w:cs="Times New Roman"/>
      <w:szCs w:val="20"/>
    </w:rPr>
  </w:style>
  <w:style w:type="character" w:customStyle="1" w:styleId="54">
    <w:name w:val="表格 Char Char"/>
    <w:basedOn w:val="26"/>
    <w:qFormat/>
    <w:uiPriority w:val="0"/>
    <w:rPr>
      <w:sz w:val="21"/>
      <w:szCs w:val="21"/>
      <w:lang w:bidi="ar-SA"/>
    </w:rPr>
  </w:style>
  <w:style w:type="paragraph" w:customStyle="1" w:styleId="55">
    <w:name w:val="p"/>
    <w:basedOn w:val="1"/>
    <w:qFormat/>
    <w:uiPriority w:val="0"/>
    <w:pPr>
      <w:widowControl/>
      <w:spacing w:before="100" w:beforeAutospacing="1" w:after="100" w:afterAutospacing="1"/>
      <w:jc w:val="left"/>
    </w:pPr>
    <w:rPr>
      <w:rFonts w:ascii="Calibri" w:hAnsi="Calibri" w:eastAsia="宋体" w:cs="宋体"/>
      <w:kern w:val="0"/>
      <w:sz w:val="24"/>
      <w:szCs w:val="24"/>
    </w:rPr>
  </w:style>
  <w:style w:type="character" w:customStyle="1" w:styleId="56">
    <w:name w:val="标题 Char"/>
    <w:basedOn w:val="26"/>
    <w:link w:val="22"/>
    <w:qFormat/>
    <w:uiPriority w:val="0"/>
    <w:rPr>
      <w:rFonts w:ascii="Cambria" w:hAnsi="Cambria" w:eastAsia="宋体" w:cs="Times New Roman"/>
      <w:b/>
      <w:bCs/>
      <w:sz w:val="32"/>
      <w:szCs w:val="32"/>
    </w:rPr>
  </w:style>
  <w:style w:type="character" w:customStyle="1" w:styleId="57">
    <w:name w:val="文本文件 Char"/>
    <w:basedOn w:val="26"/>
    <w:link w:val="58"/>
    <w:qFormat/>
    <w:uiPriority w:val="0"/>
    <w:rPr>
      <w:rFonts w:eastAsia="宋体" w:cs="宋体"/>
      <w:sz w:val="24"/>
    </w:rPr>
  </w:style>
  <w:style w:type="paragraph" w:customStyle="1" w:styleId="58">
    <w:name w:val="文本文件"/>
    <w:basedOn w:val="1"/>
    <w:link w:val="57"/>
    <w:qFormat/>
    <w:uiPriority w:val="0"/>
    <w:pPr>
      <w:spacing w:line="360" w:lineRule="auto"/>
      <w:ind w:firstLine="480" w:firstLineChars="200"/>
    </w:pPr>
    <w:rPr>
      <w:rFonts w:eastAsia="宋体" w:cs="宋体"/>
      <w:sz w:val="24"/>
    </w:rPr>
  </w:style>
  <w:style w:type="character" w:customStyle="1" w:styleId="59">
    <w:name w:val="标题 6 Char"/>
    <w:basedOn w:val="26"/>
    <w:link w:val="6"/>
    <w:qFormat/>
    <w:uiPriority w:val="39"/>
    <w:rPr>
      <w:rFonts w:asciiTheme="majorHAnsi" w:hAnsiTheme="majorHAnsi" w:eastAsiaTheme="majorEastAsia" w:cstheme="majorBidi"/>
      <w:b/>
      <w:bCs/>
      <w:sz w:val="24"/>
      <w:szCs w:val="24"/>
    </w:rPr>
  </w:style>
  <w:style w:type="paragraph" w:customStyle="1" w:styleId="60">
    <w:name w:val="Table Paragraph"/>
    <w:basedOn w:val="1"/>
    <w:qFormat/>
    <w:uiPriority w:val="1"/>
    <w:pPr>
      <w:jc w:val="left"/>
    </w:pPr>
    <w:rPr>
      <w:kern w:val="0"/>
      <w:sz w:val="22"/>
      <w:szCs w:val="22"/>
      <w:lang w:eastAsia="en-US"/>
    </w:rPr>
  </w:style>
  <w:style w:type="character" w:customStyle="1" w:styleId="61">
    <w:name w:val="正文文本缩进 Char"/>
    <w:basedOn w:val="26"/>
    <w:link w:val="13"/>
    <w:semiHidden/>
    <w:qFormat/>
    <w:uiPriority w:val="99"/>
  </w:style>
  <w:style w:type="paragraph" w:customStyle="1" w:styleId="62">
    <w:name w:val="内容"/>
    <w:basedOn w:val="1"/>
    <w:qFormat/>
    <w:uiPriority w:val="0"/>
    <w:pPr>
      <w:tabs>
        <w:tab w:val="left" w:pos="4404"/>
      </w:tabs>
      <w:spacing w:line="480" w:lineRule="exact"/>
      <w:ind w:firstLine="520" w:firstLineChars="200"/>
    </w:pPr>
    <w:rPr>
      <w:rFonts w:ascii="Times New Roman" w:hAnsi="宋体" w:eastAsia="宋体" w:cs="Times New Roman"/>
      <w:sz w:val="26"/>
      <w:szCs w:val="26"/>
    </w:rPr>
  </w:style>
  <w:style w:type="paragraph" w:customStyle="1" w:styleId="63">
    <w:name w:val="明显引用1"/>
    <w:next w:val="1"/>
    <w:qFormat/>
    <w:uiPriority w:val="0"/>
    <w:pPr>
      <w:wordWrap w:val="0"/>
      <w:spacing w:before="360" w:after="360"/>
      <w:ind w:left="950" w:right="950"/>
      <w:jc w:val="center"/>
    </w:pPr>
    <w:rPr>
      <w:rFonts w:ascii="Times New Roman" w:hAnsi="Times New Roman" w:eastAsia="宋体" w:cs="Times New Roman"/>
      <w:i/>
      <w:kern w:val="0"/>
      <w:sz w:val="21"/>
      <w:szCs w:val="20"/>
      <w:lang w:val="en-US" w:eastAsia="zh-CN" w:bidi="ar-SA"/>
    </w:rPr>
  </w:style>
  <w:style w:type="character" w:customStyle="1" w:styleId="64">
    <w:name w:val="KM正文 字符"/>
    <w:link w:val="65"/>
    <w:qFormat/>
    <w:uiPriority w:val="0"/>
    <w:rPr>
      <w:sz w:val="24"/>
      <w:szCs w:val="24"/>
    </w:rPr>
  </w:style>
  <w:style w:type="paragraph" w:customStyle="1" w:styleId="65">
    <w:name w:val="KM正文"/>
    <w:link w:val="64"/>
    <w:qFormat/>
    <w:uiPriority w:val="0"/>
    <w:pPr>
      <w:adjustRightInd w:val="0"/>
      <w:snapToGrid w:val="0"/>
      <w:spacing w:line="360" w:lineRule="auto"/>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66">
    <w:name w:val="DD正文"/>
    <w:basedOn w:val="1"/>
    <w:qFormat/>
    <w:uiPriority w:val="0"/>
    <w:pPr>
      <w:overflowPunct w:val="0"/>
      <w:ind w:firstLine="200" w:firstLineChars="200"/>
    </w:pPr>
    <w:rPr>
      <w:rFonts w:ascii="宋体" w:hAnsi="宋体" w:eastAsia="宋体" w:cs="宋体"/>
      <w:color w:val="000000"/>
      <w:spacing w:val="10"/>
      <w:kern w:val="12"/>
      <w:szCs w:val="28"/>
    </w:rPr>
  </w:style>
  <w:style w:type="character" w:customStyle="1" w:styleId="67">
    <w:name w:val="KM_表格样式 Char"/>
    <w:link w:val="68"/>
    <w:qFormat/>
    <w:uiPriority w:val="0"/>
  </w:style>
  <w:style w:type="paragraph" w:customStyle="1" w:styleId="68">
    <w:name w:val="KM_表格样式"/>
    <w:basedOn w:val="1"/>
    <w:link w:val="67"/>
    <w:qFormat/>
    <w:uiPriority w:val="0"/>
    <w:pPr>
      <w:jc w:val="center"/>
    </w:pPr>
  </w:style>
  <w:style w:type="character" w:customStyle="1" w:styleId="69">
    <w:name w:val="KM表名 字符"/>
    <w:link w:val="70"/>
    <w:qFormat/>
    <w:uiPriority w:val="0"/>
    <w:rPr>
      <w:rFonts w:eastAsia="黑体"/>
      <w:sz w:val="24"/>
      <w:szCs w:val="22"/>
    </w:rPr>
  </w:style>
  <w:style w:type="paragraph" w:customStyle="1" w:styleId="70">
    <w:name w:val="KM表名"/>
    <w:basedOn w:val="1"/>
    <w:next w:val="65"/>
    <w:link w:val="69"/>
    <w:qFormat/>
    <w:uiPriority w:val="0"/>
    <w:pPr>
      <w:keepNext/>
      <w:keepLines/>
      <w:tabs>
        <w:tab w:val="left" w:pos="1620"/>
      </w:tabs>
      <w:adjustRightInd w:val="0"/>
      <w:snapToGrid w:val="0"/>
      <w:spacing w:line="240" w:lineRule="atLeast"/>
      <w:ind w:left="1620" w:leftChars="600" w:hanging="360" w:hangingChars="200"/>
      <w:jc w:val="center"/>
    </w:pPr>
    <w:rPr>
      <w:rFonts w:eastAsia="黑体"/>
      <w:sz w:val="24"/>
      <w:szCs w:val="22"/>
    </w:rPr>
  </w:style>
  <w:style w:type="character" w:customStyle="1" w:styleId="71">
    <w:name w:val="KM_四级 Char"/>
    <w:link w:val="72"/>
    <w:qFormat/>
    <w:uiPriority w:val="0"/>
    <w:rPr>
      <w:rFonts w:ascii="Times New Roman" w:hAnsi="Times New Roman" w:eastAsia="宋体" w:cs="Times New Roman"/>
      <w:b/>
      <w:bCs/>
      <w:sz w:val="24"/>
      <w:szCs w:val="28"/>
    </w:rPr>
  </w:style>
  <w:style w:type="paragraph" w:customStyle="1" w:styleId="72">
    <w:name w:val="KM_四级"/>
    <w:basedOn w:val="5"/>
    <w:next w:val="1"/>
    <w:link w:val="71"/>
    <w:qFormat/>
    <w:uiPriority w:val="0"/>
    <w:pPr>
      <w:tabs>
        <w:tab w:val="left" w:pos="1620"/>
      </w:tabs>
      <w:spacing w:before="240" w:after="0" w:line="360" w:lineRule="auto"/>
      <w:ind w:left="1620" w:leftChars="600" w:hanging="360" w:hangingChars="200"/>
    </w:pPr>
    <w:rPr>
      <w:rFonts w:ascii="Times New Roman" w:hAnsi="Times New Roman" w:eastAsia="宋体" w:cs="Times New Roman"/>
      <w:sz w:val="24"/>
    </w:rPr>
  </w:style>
  <w:style w:type="character" w:customStyle="1" w:styleId="73">
    <w:name w:val="KM_三级标题 Char"/>
    <w:link w:val="74"/>
    <w:qFormat/>
    <w:uiPriority w:val="0"/>
    <w:rPr>
      <w:rFonts w:eastAsia="黑体"/>
      <w:bCs/>
      <w:color w:val="000000"/>
      <w:sz w:val="24"/>
      <w:szCs w:val="24"/>
    </w:rPr>
  </w:style>
  <w:style w:type="paragraph" w:customStyle="1" w:styleId="74">
    <w:name w:val="KM_三级标题"/>
    <w:basedOn w:val="4"/>
    <w:next w:val="1"/>
    <w:link w:val="73"/>
    <w:qFormat/>
    <w:uiPriority w:val="0"/>
    <w:pPr>
      <w:tabs>
        <w:tab w:val="left" w:pos="1620"/>
      </w:tabs>
      <w:spacing w:before="120" w:after="0" w:line="360" w:lineRule="auto"/>
      <w:ind w:left="1620" w:leftChars="600" w:hanging="360" w:hangingChars="200"/>
    </w:pPr>
    <w:rPr>
      <w:rFonts w:eastAsia="黑体"/>
      <w:b w:val="0"/>
      <w:color w:val="000000"/>
      <w:sz w:val="24"/>
      <w:szCs w:val="24"/>
    </w:rPr>
  </w:style>
  <w:style w:type="character" w:customStyle="1" w:styleId="75">
    <w:name w:val="标题 4 Char"/>
    <w:basedOn w:val="26"/>
    <w:link w:val="5"/>
    <w:semiHidden/>
    <w:qFormat/>
    <w:uiPriority w:val="9"/>
    <w:rPr>
      <w:rFonts w:asciiTheme="majorHAnsi" w:hAnsiTheme="majorHAnsi" w:eastAsiaTheme="majorEastAsia" w:cstheme="majorBidi"/>
      <w:b/>
      <w:bCs/>
      <w:sz w:val="28"/>
      <w:szCs w:val="28"/>
    </w:rPr>
  </w:style>
  <w:style w:type="character" w:customStyle="1" w:styleId="76">
    <w:name w:val="称呼 Char"/>
    <w:basedOn w:val="26"/>
    <w:link w:val="11"/>
    <w:qFormat/>
    <w:uiPriority w:val="0"/>
    <w:rPr>
      <w:rFonts w:ascii="Times New Roman" w:hAnsi="Times New Roman" w:eastAsia="宋体" w:cs="Times New Roman"/>
      <w:szCs w:val="24"/>
    </w:rPr>
  </w:style>
  <w:style w:type="character" w:customStyle="1" w:styleId="77">
    <w:name w:val="纯文本 Char"/>
    <w:basedOn w:val="26"/>
    <w:link w:val="14"/>
    <w:qFormat/>
    <w:uiPriority w:val="0"/>
    <w:rPr>
      <w:rFonts w:ascii="宋体" w:hAnsi="Courier New" w:eastAsia="宋体" w:cs="Times New Roman"/>
    </w:rPr>
  </w:style>
  <w:style w:type="paragraph" w:customStyle="1" w:styleId="78">
    <w:name w:val="p0"/>
    <w:basedOn w:val="1"/>
    <w:qFormat/>
    <w:uiPriority w:val="0"/>
    <w:pPr>
      <w:widowControl/>
      <w:spacing w:line="360" w:lineRule="exact"/>
      <w:jc w:val="left"/>
    </w:pPr>
    <w:rPr>
      <w:rFonts w:ascii="Times New Roman" w:hAnsi="Times New Roman" w:eastAsia="宋体" w:cs="Times New Roman"/>
      <w:kern w:val="0"/>
      <w:sz w:val="20"/>
      <w:szCs w:val="20"/>
    </w:rPr>
  </w:style>
  <w:style w:type="paragraph" w:customStyle="1" w:styleId="79">
    <w:name w:val="！正文文本格式"/>
    <w:basedOn w:val="1"/>
    <w:qFormat/>
    <w:uiPriority w:val="0"/>
    <w:pPr>
      <w:spacing w:line="520" w:lineRule="exact"/>
      <w:ind w:firstLine="480" w:firstLineChars="200"/>
    </w:pPr>
    <w:rPr>
      <w:rFonts w:ascii="Times New Roman" w:hAnsi="Times New Roman" w:eastAsia="宋体" w:cs="Times New Roman"/>
      <w:szCs w:val="22"/>
    </w:rPr>
  </w:style>
  <w:style w:type="paragraph" w:customStyle="1" w:styleId="80">
    <w:name w:val="！表内容"/>
    <w:basedOn w:val="1"/>
    <w:qFormat/>
    <w:uiPriority w:val="0"/>
    <w:pPr>
      <w:jc w:val="center"/>
    </w:pPr>
    <w:rPr>
      <w:rFonts w:ascii="Times New Roman" w:hAnsi="Times New Roman" w:eastAsia="宋体" w:cs="Times New Roman"/>
      <w:szCs w:val="22"/>
    </w:rPr>
  </w:style>
  <w:style w:type="character" w:customStyle="1" w:styleId="81">
    <w:name w:val="Default Char Char"/>
    <w:link w:val="15"/>
    <w:qFormat/>
    <w:uiPriority w:val="0"/>
    <w:rPr>
      <w:rFonts w:ascii="华文宋体" w:hAnsi="华文宋体" w:cs="华文宋体"/>
      <w:color w:val="000000"/>
      <w:kern w:val="0"/>
      <w:sz w:val="24"/>
      <w:szCs w:val="24"/>
    </w:rPr>
  </w:style>
  <w:style w:type="paragraph" w:customStyle="1" w:styleId="82">
    <w:name w:val="样式1"/>
    <w:basedOn w:val="1"/>
    <w:qFormat/>
    <w:uiPriority w:val="0"/>
    <w:pPr>
      <w:spacing w:line="360" w:lineRule="auto"/>
      <w:ind w:firstLine="510"/>
    </w:pPr>
    <w:rPr>
      <w:rFonts w:ascii="Times New Roman" w:hAnsi="Times New Roman" w:eastAsia="宋体" w:cs="Times New Roman"/>
      <w:sz w:val="24"/>
      <w:szCs w:val="20"/>
    </w:rPr>
  </w:style>
  <w:style w:type="paragraph" w:customStyle="1" w:styleId="83">
    <w:name w:val="！表* 标题"/>
    <w:basedOn w:val="1"/>
    <w:qFormat/>
    <w:uiPriority w:val="0"/>
    <w:pPr>
      <w:spacing w:line="520" w:lineRule="exact"/>
      <w:ind w:firstLine="200" w:firstLineChars="200"/>
    </w:pPr>
    <w:rPr>
      <w:rFonts w:ascii="Times New Roman" w:hAnsi="Times New Roman" w:eastAsia="黑体" w:cs="Times New Roman"/>
      <w:szCs w:val="22"/>
    </w:rPr>
  </w:style>
  <w:style w:type="character" w:customStyle="1" w:styleId="84">
    <w:name w:val="表格式 Char"/>
    <w:link w:val="85"/>
    <w:qFormat/>
    <w:uiPriority w:val="0"/>
    <w:rPr>
      <w:sz w:val="18"/>
    </w:rPr>
  </w:style>
  <w:style w:type="paragraph" w:customStyle="1" w:styleId="85">
    <w:name w:val="表格式"/>
    <w:basedOn w:val="1"/>
    <w:link w:val="84"/>
    <w:qFormat/>
    <w:uiPriority w:val="0"/>
    <w:pPr>
      <w:autoSpaceDE w:val="0"/>
      <w:autoSpaceDN w:val="0"/>
      <w:jc w:val="center"/>
      <w:textAlignment w:val="bottom"/>
    </w:pPr>
    <w:rPr>
      <w:sz w:val="18"/>
    </w:rPr>
  </w:style>
  <w:style w:type="character" w:customStyle="1" w:styleId="86">
    <w:name w:val="正文文本缩进 2 Char"/>
    <w:basedOn w:val="26"/>
    <w:link w:val="16"/>
    <w:qFormat/>
    <w:uiPriority w:val="99"/>
    <w:rPr>
      <w:rFonts w:ascii="Times New Roman" w:hAnsi="Times New Roman" w:eastAsia="宋体" w:cs="Times New Roman"/>
      <w:sz w:val="24"/>
      <w:szCs w:val="24"/>
    </w:rPr>
  </w:style>
  <w:style w:type="character" w:customStyle="1" w:styleId="87">
    <w:name w:val="表格 Char"/>
    <w:qFormat/>
    <w:locked/>
    <w:uiPriority w:val="0"/>
    <w:rPr>
      <w:rFonts w:ascii="宋体"/>
      <w:sz w:val="21"/>
    </w:rPr>
  </w:style>
  <w:style w:type="character" w:customStyle="1" w:styleId="88">
    <w:name w:val="正文缩进 Char"/>
    <w:link w:val="8"/>
    <w:qFormat/>
    <w:uiPriority w:val="0"/>
    <w:rPr>
      <w:rFonts w:ascii="Times New Roman" w:hAnsi="Times New Roman" w:eastAsia="宋体" w:cs="Times New Roman"/>
      <w:sz w:val="24"/>
      <w:szCs w:val="20"/>
    </w:rPr>
  </w:style>
  <w:style w:type="character" w:customStyle="1" w:styleId="89">
    <w:name w:val="表头 Char"/>
    <w:qFormat/>
    <w:uiPriority w:val="0"/>
    <w:rPr>
      <w:rFonts w:hAnsi="宋体" w:eastAsia="仿宋_GB2312"/>
      <w:b/>
      <w:sz w:val="28"/>
      <w:szCs w:val="28"/>
    </w:rPr>
  </w:style>
  <w:style w:type="character" w:customStyle="1" w:styleId="90">
    <w:name w:val="标题 1 Char"/>
    <w:basedOn w:val="26"/>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100</Pages>
  <Words>12009</Words>
  <Characters>68455</Characters>
  <Lines>570</Lines>
  <Paragraphs>160</Paragraphs>
  <TotalTime>9</TotalTime>
  <ScaleCrop>false</ScaleCrop>
  <LinksUpToDate>false</LinksUpToDate>
  <CharactersWithSpaces>80304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2023-06-20T20:30:00Z</dcterms:created>
  <dc:creator>微软用户</dc:creator>
  <cp:lastModifiedBy>user</cp:lastModifiedBy>
  <dcterms:modified xsi:type="dcterms:W3CDTF">2023-06-21T15:49:20Z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