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bookmarkStart w:id="52" w:name="_GoBack"/>
      <w:bookmarkEnd w:id="52"/>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bookmarkStart w:id="0" w:name="_Toc493"/>
      <w:bookmarkStart w:id="1" w:name="_Toc2642"/>
      <w:r>
        <w:rPr>
          <w:rFonts w:hint="eastAsia" w:ascii="方正小标宋_GBK" w:eastAsia="方正小标宋_GBK"/>
          <w:bCs/>
          <w:color w:val="000000" w:themeColor="text1"/>
          <w:sz w:val="72"/>
          <w:szCs w:val="72"/>
          <w14:textFill>
            <w14:solidFill>
              <w14:schemeClr w14:val="tx1"/>
            </w14:solidFill>
          </w14:textFill>
        </w:rPr>
        <w:t>建设项目环境影响报告表</w:t>
      </w:r>
      <w:bookmarkEnd w:id="0"/>
      <w:bookmarkEnd w:id="1"/>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pStyle w:val="30"/>
        <w:spacing w:line="360" w:lineRule="auto"/>
        <w:ind w:firstLine="720" w:firstLineChars="200"/>
        <w:jc w:val="both"/>
        <w:rPr>
          <w:b w:val="0"/>
          <w:bCs/>
          <w:color w:val="000000" w:themeColor="text1"/>
          <w14:textFill>
            <w14:solidFill>
              <w14:schemeClr w14:val="tx1"/>
            </w14:solidFill>
          </w14:textFill>
        </w:rPr>
      </w:pPr>
      <w:r>
        <w:rPr>
          <w:rFonts w:hint="eastAsia" w:ascii="仿宋_GB2312" w:eastAsia="仿宋_GB2312"/>
          <w:b w:val="0"/>
          <w:bCs/>
          <w:color w:val="000000" w:themeColor="text1"/>
          <w:sz w:val="36"/>
          <w:szCs w:val="36"/>
          <w14:textFill>
            <w14:solidFill>
              <w14:schemeClr w14:val="tx1"/>
            </w14:solidFill>
          </w14:textFill>
        </w:rPr>
        <w:t>项目名称：</w:t>
      </w:r>
      <w:r>
        <w:rPr>
          <w:rFonts w:hint="eastAsia" w:ascii="仿宋_GB2312" w:eastAsia="仿宋_GB2312"/>
          <w:b w:val="0"/>
          <w:bCs/>
          <w:color w:val="000000" w:themeColor="text1"/>
          <w:sz w:val="36"/>
          <w:szCs w:val="36"/>
          <w:u w:val="single"/>
          <w14:textFill>
            <w14:solidFill>
              <w14:schemeClr w14:val="tx1"/>
            </w14:solidFill>
          </w14:textFill>
        </w:rPr>
        <w:t xml:space="preserve">     多晶硅碎片综合利用项目     </w:t>
      </w:r>
    </w:p>
    <w:p>
      <w:pPr>
        <w:adjustRightInd w:val="0"/>
        <w:snapToGrid w:val="0"/>
        <w:spacing w:line="360" w:lineRule="auto"/>
        <w:ind w:firstLine="720" w:firstLineChars="20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14:textFill>
            <w14:solidFill>
              <w14:schemeClr w14:val="tx1"/>
            </w14:solidFill>
          </w14:textFill>
        </w:rPr>
        <w:t>昆明市东川区嘉粟科技有限责任公司</w:t>
      </w:r>
    </w:p>
    <w:p>
      <w:pPr>
        <w:adjustRightInd w:val="0"/>
        <w:snapToGrid w:val="0"/>
        <w:spacing w:line="360" w:lineRule="auto"/>
        <w:ind w:firstLine="720" w:firstLineChars="20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202</w:t>
      </w:r>
      <w:r>
        <w:rPr>
          <w:rFonts w:hint="eastAsia" w:ascii="仿宋_GB2312" w:eastAsia="仿宋_GB2312"/>
          <w:color w:val="000000" w:themeColor="text1"/>
          <w:sz w:val="36"/>
          <w:szCs w:val="36"/>
          <w:u w:val="single"/>
          <w:lang w:val="en-US" w:eastAsia="zh-CN"/>
          <w14:textFill>
            <w14:solidFill>
              <w14:schemeClr w14:val="tx1"/>
            </w14:solidFill>
          </w14:textFill>
        </w:rPr>
        <w:t>3</w:t>
      </w:r>
      <w:r>
        <w:rPr>
          <w:rFonts w:hint="eastAsia" w:ascii="仿宋_GB2312" w:eastAsia="仿宋_GB2312"/>
          <w:color w:val="000000" w:themeColor="text1"/>
          <w:sz w:val="36"/>
          <w:szCs w:val="36"/>
          <w:u w:val="single"/>
          <w14:textFill>
            <w14:solidFill>
              <w14:schemeClr w14:val="tx1"/>
            </w14:solidFill>
          </w14:textFill>
        </w:rPr>
        <w:t>年</w:t>
      </w:r>
      <w:r>
        <w:rPr>
          <w:rFonts w:hint="eastAsia" w:ascii="仿宋_GB2312" w:eastAsia="仿宋_GB2312"/>
          <w:color w:val="000000" w:themeColor="text1"/>
          <w:sz w:val="36"/>
          <w:szCs w:val="36"/>
          <w:u w:val="single"/>
          <w:lang w:val="en-US" w:eastAsia="zh-CN"/>
          <w14:textFill>
            <w14:solidFill>
              <w14:schemeClr w14:val="tx1"/>
            </w14:solidFill>
          </w14:textFill>
        </w:rPr>
        <w:t>6</w:t>
      </w:r>
      <w:r>
        <w:rPr>
          <w:rFonts w:hint="eastAsia" w:ascii="仿宋_GB2312" w:eastAsia="仿宋_GB2312"/>
          <w:color w:val="000000" w:themeColor="text1"/>
          <w:sz w:val="36"/>
          <w:szCs w:val="36"/>
          <w:u w:val="single"/>
          <w14:textFill>
            <w14:solidFill>
              <w14:schemeClr w14:val="tx1"/>
            </w14:solidFill>
          </w14:textFill>
        </w:rPr>
        <w:t xml:space="preserve">月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2"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bookmarkEnd w:id="2"/>
    <w:p>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adjustRightInd w:val="0"/>
        <w:snapToGrid w:val="0"/>
        <w:spacing w:line="300" w:lineRule="auto"/>
        <w:rPr>
          <w:b/>
          <w:color w:val="000000" w:themeColor="text1"/>
          <w:sz w:val="24"/>
          <w14:textFill>
            <w14:solidFill>
              <w14:schemeClr w14:val="tx1"/>
            </w14:solidFill>
          </w14:textFill>
        </w:rPr>
      </w:pPr>
    </w:p>
    <w:p>
      <w:pPr>
        <w:adjustRightInd w:val="0"/>
        <w:snapToGrid w:val="0"/>
        <w:spacing w:line="300" w:lineRule="auto"/>
        <w:rPr>
          <w:b/>
          <w:color w:val="000000" w:themeColor="text1"/>
          <w:sz w:val="24"/>
          <w14:textFill>
            <w14:solidFill>
              <w14:schemeClr w14:val="tx1"/>
            </w14:solidFill>
          </w14:textFill>
        </w:rPr>
      </w:pPr>
    </w:p>
    <w:p>
      <w:pPr>
        <w:adjustRightInd w:val="0"/>
        <w:snapToGrid w:val="0"/>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《建设项目环境影响报告表》编制说明</w:t>
      </w:r>
    </w:p>
    <w:p>
      <w:pPr>
        <w:adjustRightInd w:val="0"/>
        <w:snapToGrid w:val="0"/>
        <w:jc w:val="center"/>
        <w:rPr>
          <w:b/>
          <w:color w:val="000000" w:themeColor="text1"/>
          <w:sz w:val="32"/>
          <w14:textFill>
            <w14:solidFill>
              <w14:schemeClr w14:val="tx1"/>
            </w14:solidFill>
          </w14:textFill>
        </w:rPr>
      </w:pPr>
    </w:p>
    <w:p>
      <w:pPr>
        <w:adjustRightInd w:val="0"/>
        <w:snapToGrid w:val="0"/>
        <w:spacing w:line="66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《建设项目环境影响报告表》由具有从事环境影响评价工作资质的单位编制。</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项目名称──指项目立项批复时的名称，应不超过30个字（两个英文字段作一个汉字）。</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建设地点──指项目所在地详细地址，公路、铁路应填写起止地点。</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行业类别──按国标填写。</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总投资──指项目投资总额。</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主要环境保护目标──指项目区周围一定范围内集中居民住宅区、学校、</w:t>
      </w:r>
      <w:r>
        <w:rPr>
          <w:rFonts w:hint="eastAsia"/>
          <w:color w:val="000000" w:themeColor="text1"/>
          <w:sz w:val="24"/>
          <w14:textFill>
            <w14:solidFill>
              <w14:schemeClr w14:val="tx1"/>
            </w14:solidFill>
          </w14:textFill>
        </w:rPr>
        <w:t>卫生院</w:t>
      </w:r>
      <w:r>
        <w:rPr>
          <w:color w:val="000000" w:themeColor="text1"/>
          <w:sz w:val="24"/>
          <w14:textFill>
            <w14:solidFill>
              <w14:schemeClr w14:val="tx1"/>
            </w14:solidFill>
          </w14:textFill>
        </w:rPr>
        <w:t>、保护文物、风景名胜区、水源地和生态敏感点等，应尽可能给出保护目标、性质、规模和距厂界距离等。</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预审意见──由行业主管部门填写答复意见，无主管部门项目，可不填。</w:t>
      </w:r>
    </w:p>
    <w:p>
      <w:pPr>
        <w:numPr>
          <w:ilvl w:val="0"/>
          <w:numId w:val="1"/>
        </w:numPr>
        <w:adjustRightInd w:val="0"/>
        <w:snapToGrid w:val="0"/>
        <w:spacing w:line="66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t>审批意见──由负责审批该项目的环境保护行政主管部门批复。</w:t>
      </w:r>
    </w:p>
    <w:p>
      <w:pPr>
        <w:adjustRightInd w:val="0"/>
        <w:snapToGrid w:val="0"/>
        <w:spacing w:line="300" w:lineRule="auto"/>
        <w:rPr>
          <w:color w:val="000000" w:themeColor="text1"/>
          <w:sz w:val="24"/>
          <w14:textFill>
            <w14:solidFill>
              <w14:schemeClr w14:val="tx1"/>
            </w14:solidFill>
          </w14:textFill>
        </w:rPr>
      </w:pPr>
    </w:p>
    <w:p>
      <w:pPr>
        <w:pStyle w:val="30"/>
        <w:jc w:val="center"/>
        <w:rPr>
          <w:b/>
          <w:bCs/>
          <w:color w:val="000000" w:themeColor="text1"/>
          <w:sz w:val="30"/>
          <w:szCs w:val="30"/>
          <w14:textFill>
            <w14:solidFill>
              <w14:schemeClr w14:val="tx1"/>
            </w14:solidFill>
          </w14:textFill>
        </w:rPr>
      </w:pPr>
    </w:p>
    <w:p>
      <w:pPr>
        <w:pStyle w:val="30"/>
        <w:jc w:val="center"/>
        <w:rPr>
          <w:b/>
          <w:bCs/>
          <w:color w:val="000000" w:themeColor="text1"/>
          <w:sz w:val="30"/>
          <w:szCs w:val="30"/>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4261" w:type="dxa"/>
          </w:tcPr>
          <w:p>
            <w:pPr>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0320" cy="1811655"/>
                  <wp:effectExtent l="0" t="0" r="11430" b="17145"/>
                  <wp:docPr id="5" name="图片 5" descr="fda426e03ff5c24fc837444d766c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a426e03ff5c24fc837444d766c3be"/>
                          <pic:cNvPicPr>
                            <a:picLocks noChangeAspect="1"/>
                          </pic:cNvPicPr>
                        </pic:nvPicPr>
                        <pic:blipFill>
                          <a:blip r:embed="rId10"/>
                          <a:stretch>
                            <a:fillRect/>
                          </a:stretch>
                        </pic:blipFill>
                        <pic:spPr>
                          <a:xfrm>
                            <a:off x="0" y="0"/>
                            <a:ext cx="2560320" cy="1811655"/>
                          </a:xfrm>
                          <a:prstGeom prst="rect">
                            <a:avLst/>
                          </a:prstGeom>
                        </pic:spPr>
                      </pic:pic>
                    </a:graphicData>
                  </a:graphic>
                </wp:inline>
              </w:drawing>
            </w:r>
          </w:p>
        </w:tc>
        <w:tc>
          <w:tcPr>
            <w:tcW w:w="4261" w:type="dxa"/>
          </w:tcPr>
          <w:p>
            <w:pPr>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7940" cy="1781175"/>
                  <wp:effectExtent l="0" t="0" r="3810" b="9525"/>
                  <wp:docPr id="4" name="图片 4" descr="5573256fcdfe2af0135d37069cac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73256fcdfe2af0135d37069cacc03"/>
                          <pic:cNvPicPr>
                            <a:picLocks noChangeAspect="1"/>
                          </pic:cNvPicPr>
                        </pic:nvPicPr>
                        <pic:blipFill>
                          <a:blip r:embed="rId11"/>
                          <a:stretch>
                            <a:fillRect/>
                          </a:stretch>
                        </pic:blipFill>
                        <pic:spPr>
                          <a:xfrm>
                            <a:off x="0" y="0"/>
                            <a:ext cx="2567940" cy="1781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东川园区正门照片</w:t>
            </w:r>
          </w:p>
        </w:tc>
        <w:tc>
          <w:tcPr>
            <w:tcW w:w="4261" w:type="dxa"/>
          </w:tcPr>
          <w:p>
            <w:pPr>
              <w:spacing w:line="360" w:lineRule="auto"/>
              <w:jc w:val="center"/>
              <w:rPr>
                <w:rFonts w:ascii="Calibri" w:hAnsi="Calibri"/>
                <w:color w:val="000000" w:themeColor="text1"/>
                <w14:textFill>
                  <w14:solidFill>
                    <w14:schemeClr w14:val="tx1"/>
                  </w14:solidFill>
                </w14:textFill>
              </w:rPr>
            </w:pPr>
            <w:r>
              <w:rPr>
                <w:color w:val="000000" w:themeColor="text1"/>
                <w:u w:val="none"/>
                <w14:textFill>
                  <w14:solidFill>
                    <w14:schemeClr w14:val="tx1"/>
                  </w14:solidFill>
                </w14:textFill>
              </w:rPr>
              <w:t>项目</w:t>
            </w:r>
            <w:r>
              <w:rPr>
                <w:rFonts w:hint="eastAsia"/>
                <w:color w:val="000000" w:themeColor="text1"/>
                <w:u w:val="none"/>
                <w:lang w:val="en-US" w:eastAsia="zh-CN"/>
                <w14:textFill>
                  <w14:solidFill>
                    <w14:schemeClr w14:val="tx1"/>
                  </w14:solidFill>
                </w14:textFill>
              </w:rPr>
              <w:t>东</w:t>
            </w:r>
            <w:r>
              <w:rPr>
                <w:color w:val="000000" w:themeColor="text1"/>
                <w:u w:val="none"/>
                <w14:textFill>
                  <w14:solidFill>
                    <w14:schemeClr w14:val="tx1"/>
                  </w14:solidFill>
                </w14:textFill>
              </w:rPr>
              <w:t>侧华新水泥厂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7940" cy="1811655"/>
                  <wp:effectExtent l="0" t="0" r="3810" b="17145"/>
                  <wp:docPr id="6" name="图片 6" descr="d1b034c23113539034d7a702c5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b034c23113539034d7a702c542045"/>
                          <pic:cNvPicPr>
                            <a:picLocks noChangeAspect="1"/>
                          </pic:cNvPicPr>
                        </pic:nvPicPr>
                        <pic:blipFill>
                          <a:blip r:embed="rId12"/>
                          <a:stretch>
                            <a:fillRect/>
                          </a:stretch>
                        </pic:blipFill>
                        <pic:spPr>
                          <a:xfrm>
                            <a:off x="0" y="0"/>
                            <a:ext cx="2567940" cy="1811655"/>
                          </a:xfrm>
                          <a:prstGeom prst="rect">
                            <a:avLst/>
                          </a:prstGeom>
                        </pic:spPr>
                      </pic:pic>
                    </a:graphicData>
                  </a:graphic>
                </wp:inline>
              </w:drawing>
            </w:r>
          </w:p>
        </w:tc>
        <w:tc>
          <w:tcPr>
            <w:tcW w:w="4261" w:type="dxa"/>
          </w:tcPr>
          <w:p>
            <w:pPr>
              <w:spacing w:line="360" w:lineRule="auto"/>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7940" cy="1805940"/>
                  <wp:effectExtent l="0" t="0" r="3810" b="3810"/>
                  <wp:docPr id="7" name="图片 7" descr="10a0ccbaabf2e7c570173e8b97fa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a0ccbaabf2e7c570173e8b97fa105"/>
                          <pic:cNvPicPr>
                            <a:picLocks noChangeAspect="1"/>
                          </pic:cNvPicPr>
                        </pic:nvPicPr>
                        <pic:blipFill>
                          <a:blip r:embed="rId13"/>
                          <a:stretch>
                            <a:fillRect/>
                          </a:stretch>
                        </pic:blipFill>
                        <pic:spPr>
                          <a:xfrm>
                            <a:off x="0" y="0"/>
                            <a:ext cx="2567940" cy="1805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项目北侧368m大龙潭村</w:t>
            </w:r>
          </w:p>
        </w:tc>
        <w:tc>
          <w:tcPr>
            <w:tcW w:w="4261" w:type="dxa"/>
          </w:tcPr>
          <w:p>
            <w:pPr>
              <w:spacing w:line="360" w:lineRule="auto"/>
              <w:jc w:val="center"/>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北侧</w:t>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m驾校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7940" cy="1748790"/>
                  <wp:effectExtent l="0" t="0" r="3810" b="3810"/>
                  <wp:docPr id="8" name="图片 8" descr="71e89d0b6fb6b725d9b3b071058e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e89d0b6fb6b725d9b3b071058ece0"/>
                          <pic:cNvPicPr>
                            <a:picLocks noChangeAspect="1"/>
                          </pic:cNvPicPr>
                        </pic:nvPicPr>
                        <pic:blipFill>
                          <a:blip r:embed="rId14"/>
                          <a:stretch>
                            <a:fillRect/>
                          </a:stretch>
                        </pic:blipFill>
                        <pic:spPr>
                          <a:xfrm>
                            <a:off x="0" y="0"/>
                            <a:ext cx="2567940" cy="1748790"/>
                          </a:xfrm>
                          <a:prstGeom prst="rect">
                            <a:avLst/>
                          </a:prstGeom>
                        </pic:spPr>
                      </pic:pic>
                    </a:graphicData>
                  </a:graphic>
                </wp:inline>
              </w:drawing>
            </w:r>
          </w:p>
        </w:tc>
        <w:tc>
          <w:tcPr>
            <w:tcW w:w="4261" w:type="dxa"/>
          </w:tcPr>
          <w:p>
            <w:pPr>
              <w:spacing w:line="360" w:lineRule="auto"/>
              <w:jc w:val="center"/>
              <w:rPr>
                <w:rFonts w:ascii="Calibri" w:hAnsi="Calibri"/>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114300" distR="114300">
                  <wp:extent cx="2560320" cy="1766570"/>
                  <wp:effectExtent l="0" t="0" r="11430" b="5080"/>
                  <wp:docPr id="10" name="图片 10" descr="26e863d48b1bfed2bbd671adf6b5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e863d48b1bfed2bbd671adf6b5a2d"/>
                          <pic:cNvPicPr>
                            <a:picLocks noChangeAspect="1"/>
                          </pic:cNvPicPr>
                        </pic:nvPicPr>
                        <pic:blipFill>
                          <a:blip r:embed="rId15"/>
                          <a:stretch>
                            <a:fillRect/>
                          </a:stretch>
                        </pic:blipFill>
                        <pic:spPr>
                          <a:xfrm>
                            <a:off x="0" y="0"/>
                            <a:ext cx="2560320" cy="1766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厂房现状照片</w:t>
            </w:r>
          </w:p>
        </w:tc>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厂房现状照片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drawing>
                <wp:inline distT="0" distB="0" distL="114300" distR="114300">
                  <wp:extent cx="2567940" cy="1473835"/>
                  <wp:effectExtent l="0" t="0" r="3810" b="12065"/>
                  <wp:docPr id="11" name="图片 11" descr="460ffe955ff4db0b48d0b231d5d2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60ffe955ff4db0b48d0b231d5d2c08"/>
                          <pic:cNvPicPr>
                            <a:picLocks noChangeAspect="1"/>
                          </pic:cNvPicPr>
                        </pic:nvPicPr>
                        <pic:blipFill>
                          <a:blip r:embed="rId16"/>
                          <a:stretch>
                            <a:fillRect/>
                          </a:stretch>
                        </pic:blipFill>
                        <pic:spPr>
                          <a:xfrm>
                            <a:off x="0" y="0"/>
                            <a:ext cx="2567940" cy="1473835"/>
                          </a:xfrm>
                          <a:prstGeom prst="rect">
                            <a:avLst/>
                          </a:prstGeom>
                        </pic:spPr>
                      </pic:pic>
                    </a:graphicData>
                  </a:graphic>
                </wp:inline>
              </w:drawing>
            </w:r>
          </w:p>
        </w:tc>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drawing>
                <wp:inline distT="0" distB="0" distL="114300" distR="114300">
                  <wp:extent cx="2560320" cy="1500505"/>
                  <wp:effectExtent l="0" t="0" r="11430" b="4445"/>
                  <wp:docPr id="12" name="图片 12" descr="21029b12dc39c4db4d4b75c92e1a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029b12dc39c4db4d4b75c92e1ae8b"/>
                          <pic:cNvPicPr>
                            <a:picLocks noChangeAspect="1"/>
                          </pic:cNvPicPr>
                        </pic:nvPicPr>
                        <pic:blipFill>
                          <a:blip r:embed="rId17"/>
                          <a:stretch>
                            <a:fillRect/>
                          </a:stretch>
                        </pic:blipFill>
                        <pic:spPr>
                          <a:xfrm>
                            <a:off x="0" y="0"/>
                            <a:ext cx="2560320" cy="1500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厂区道路</w:t>
            </w:r>
          </w:p>
        </w:tc>
        <w:tc>
          <w:tcPr>
            <w:tcW w:w="4261" w:type="dxa"/>
          </w:tcPr>
          <w:p>
            <w:pPr>
              <w:spacing w:line="360" w:lineRule="auto"/>
              <w:jc w:val="center"/>
              <w:rPr>
                <w:rFonts w:ascii="Calibri" w:hAnsi="Calibri"/>
                <w:color w:val="000000" w:themeColor="text1"/>
                <w14:textFill>
                  <w14:solidFill>
                    <w14:schemeClr w14:val="tx1"/>
                  </w14:solidFill>
                </w14:textFill>
              </w:rPr>
            </w:pPr>
            <w:r>
              <w:rPr>
                <w:rFonts w:hint="eastAsia" w:ascii="Calibri" w:hAnsi="Calibri"/>
                <w:color w:val="000000" w:themeColor="text1"/>
                <w14:textFill>
                  <w14:solidFill>
                    <w14:schemeClr w14:val="tx1"/>
                  </w14:solidFill>
                </w14:textFill>
              </w:rPr>
              <w:t>厂房现状照片</w:t>
            </w:r>
          </w:p>
        </w:tc>
      </w:tr>
    </w:tbl>
    <w:p>
      <w:pPr>
        <w:pStyle w:val="75"/>
        <w:tabs>
          <w:tab w:val="right" w:leader="dot" w:pos="8306"/>
        </w:tabs>
        <w:spacing w:line="360" w:lineRule="auto"/>
        <w:jc w:val="center"/>
        <w:rPr>
          <w:b/>
          <w:color w:val="000000" w:themeColor="text1"/>
          <w:sz w:val="24"/>
          <w:szCs w:val="24"/>
          <w14:textFill>
            <w14:solidFill>
              <w14:schemeClr w14:val="tx1"/>
            </w14:solidFill>
          </w14:textFill>
        </w:rPr>
      </w:pPr>
      <w:r>
        <w:rPr>
          <w:rFonts w:hint="eastAsia" w:ascii="Calibri" w:hAnsi="Calibri" w:eastAsia="宋体"/>
          <w:b/>
          <w:bCs/>
          <w:color w:val="000000" w:themeColor="text1"/>
          <w:sz w:val="24"/>
          <w:szCs w:val="24"/>
          <w14:textFill>
            <w14:solidFill>
              <w14:schemeClr w14:val="tx1"/>
            </w14:solidFill>
          </w14:textFill>
        </w:rPr>
        <w:t>项目现场照片</w:t>
      </w:r>
    </w:p>
    <w:sdt>
      <w:sdtPr>
        <w:rPr>
          <w:rFonts w:ascii="宋体" w:hAnsi="宋体" w:eastAsia="等线"/>
          <w:color w:val="000000" w:themeColor="text1"/>
          <w:kern w:val="0"/>
          <w:sz w:val="20"/>
          <w:szCs w:val="20"/>
          <w14:textFill>
            <w14:solidFill>
              <w14:schemeClr w14:val="tx1"/>
            </w14:solidFill>
          </w14:textFill>
        </w:rPr>
        <w:id w:val="147454235"/>
        <w15:color w:val="DBDBDB"/>
        <w:docPartObj>
          <w:docPartGallery w:val="Table of Contents"/>
          <w:docPartUnique/>
        </w:docPartObj>
      </w:sdtPr>
      <w:sdtEndPr>
        <w:rPr>
          <w:rFonts w:ascii="等线" w:hAnsi="等线" w:eastAsia="等线"/>
          <w:color w:val="000000" w:themeColor="text1"/>
          <w:kern w:val="0"/>
          <w:sz w:val="20"/>
          <w:szCs w:val="20"/>
          <w14:textFill>
            <w14:solidFill>
              <w14:schemeClr w14:val="tx1"/>
            </w14:solidFill>
          </w14:textFill>
        </w:rPr>
      </w:sdtEndPr>
      <w:sdtContent>
        <w:p>
          <w:pPr>
            <w:spacing w:line="360" w:lineRule="auto"/>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目录</w:t>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fldChar w:fldCharType="begin"/>
          </w:r>
          <w:r>
            <w:rPr>
              <w:rFonts w:ascii="Times New Roman" w:hAnsi="Times New Roman"/>
              <w:b/>
              <w:color w:val="000000" w:themeColor="text1"/>
              <w:sz w:val="21"/>
              <w:szCs w:val="21"/>
              <w14:textFill>
                <w14:solidFill>
                  <w14:schemeClr w14:val="tx1"/>
                </w14:solidFill>
              </w14:textFill>
            </w:rPr>
            <w:instrText xml:space="preserve">TOC \o "1-1" \h \u </w:instrText>
          </w:r>
          <w:r>
            <w:rPr>
              <w:rFonts w:ascii="Times New Roman" w:hAnsi="Times New Roman"/>
              <w:b/>
              <w:color w:val="000000" w:themeColor="text1"/>
              <w:sz w:val="21"/>
              <w:szCs w:val="2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"_Toc9028"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一、建设项目基本情况</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_Toc9028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1</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"_Toc21316"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二、建设项目工程分析</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_Toc21316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14</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"_Toc797"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三、区域环境质量现状、环境保护目标及评价标准</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_Toc797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25</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"_Toc2666"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四、主要环境影响和保护措施</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_Toc2666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30</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"_Toc24163"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五、环境保护措施监督检查清单</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_Toc24163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56</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"_Toc10118"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六、结论</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_Toc10118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58</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844"/>
            </w:tabs>
            <w:spacing w:line="360" w:lineRule="auto"/>
            <w:rPr>
              <w:rFonts w:ascii="Times New Roman" w:hAnsi="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"_Toc13543" </w:instrText>
          </w:r>
          <w:r>
            <w:rPr>
              <w:color w:val="000000" w:themeColor="text1"/>
              <w14:textFill>
                <w14:solidFill>
                  <w14:schemeClr w14:val="tx1"/>
                </w14:solidFill>
              </w14:textFill>
            </w:rPr>
            <w:fldChar w:fldCharType="separate"/>
          </w:r>
          <w:r>
            <w:rPr>
              <w:rFonts w:ascii="Times New Roman" w:hAnsi="Times New Roman" w:eastAsia="黑体"/>
              <w:snapToGrid w:val="0"/>
              <w:color w:val="000000" w:themeColor="text1"/>
              <w:sz w:val="21"/>
              <w:szCs w:val="21"/>
              <w14:textFill>
                <w14:solidFill>
                  <w14:schemeClr w14:val="tx1"/>
                </w14:solidFill>
              </w14:textFill>
            </w:rPr>
            <w:t>附表</w:t>
          </w:r>
          <w:r>
            <w:rPr>
              <w:rFonts w:ascii="Times New Roman" w:hAnsi="Times New Roman"/>
              <w:color w:val="000000" w:themeColor="text1"/>
              <w:sz w:val="21"/>
              <w:szCs w:val="21"/>
              <w14:textFill>
                <w14:solidFill>
                  <w14:schemeClr w14:val="tx1"/>
                </w14:solidFill>
              </w14:textFill>
            </w:rPr>
            <w:tab/>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PAGEREF _Toc13543 \h </w:instrText>
          </w:r>
          <w:r>
            <w:rPr>
              <w:rFonts w:ascii="Times New Roman" w:hAnsi="Times New Roman"/>
              <w:color w:val="000000" w:themeColor="text1"/>
              <w:sz w:val="21"/>
              <w:szCs w:val="21"/>
              <w14:textFill>
                <w14:solidFill>
                  <w14:schemeClr w14:val="tx1"/>
                </w14:solidFill>
              </w14:textFill>
            </w:rPr>
            <w:fldChar w:fldCharType="separate"/>
          </w:r>
          <w:r>
            <w:rPr>
              <w:rFonts w:ascii="Times New Roman" w:hAnsi="Times New Roman"/>
              <w:color w:val="000000" w:themeColor="text1"/>
              <w:sz w:val="21"/>
              <w:szCs w:val="21"/>
              <w14:textFill>
                <w14:solidFill>
                  <w14:schemeClr w14:val="tx1"/>
                </w14:solidFill>
              </w14:textFill>
            </w:rPr>
            <w:t>59</w: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fldChar w:fldCharType="end"/>
          </w:r>
        </w:p>
        <w:p>
          <w:pPr>
            <w:pStyle w:val="75"/>
            <w:tabs>
              <w:tab w:val="right" w:leader="dot" w:pos="8306"/>
            </w:tabs>
            <w:rPr>
              <w:color w:val="000000" w:themeColor="text1"/>
              <w:szCs w:val="24"/>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fldChar w:fldCharType="end"/>
          </w:r>
        </w:p>
      </w:sdtContent>
    </w:sdt>
    <w:p>
      <w:pPr>
        <w:pStyle w:val="75"/>
        <w:tabs>
          <w:tab w:val="right" w:leader="dot" w:pos="8306"/>
        </w:tabs>
        <w:spacing w:line="360" w:lineRule="auto"/>
        <w:rPr>
          <w:rFonts w:ascii="Times New Roman" w:hAnsi="Times New Roman" w:eastAsia="宋体"/>
          <w:b/>
          <w:bCs/>
          <w:color w:val="000000" w:themeColor="text1"/>
          <w:sz w:val="21"/>
          <w:szCs w:val="21"/>
          <w14:textFill>
            <w14:solidFill>
              <w14:schemeClr w14:val="tx1"/>
            </w14:solidFill>
          </w14:textFill>
        </w:rPr>
      </w:pPr>
      <w:bookmarkStart w:id="3" w:name="_Toc2611"/>
      <w:bookmarkStart w:id="4" w:name="_Toc2359"/>
      <w:r>
        <w:rPr>
          <w:rFonts w:ascii="Times New Roman" w:hAnsi="Times New Roman" w:eastAsia="宋体"/>
          <w:b/>
          <w:bCs/>
          <w:color w:val="000000" w:themeColor="text1"/>
          <w:sz w:val="21"/>
          <w:szCs w:val="21"/>
          <w14:textFill>
            <w14:solidFill>
              <w14:schemeClr w14:val="tx1"/>
            </w14:solidFill>
          </w14:textFill>
        </w:rPr>
        <w:t>附图：</w:t>
      </w:r>
    </w:p>
    <w:p>
      <w:pPr>
        <w:adjustRightInd w:val="0"/>
        <w:snapToGrid w:val="0"/>
        <w:spacing w:line="360" w:lineRule="auto"/>
        <w:outlineLvl w:val="0"/>
        <w:rPr>
          <w:color w:val="000000" w:themeColor="text1"/>
          <w:szCs w:val="21"/>
          <w14:textFill>
            <w14:solidFill>
              <w14:schemeClr w14:val="tx1"/>
            </w14:solidFill>
          </w14:textFill>
        </w:rPr>
      </w:pPr>
      <w:bookmarkStart w:id="5" w:name="_Toc31744"/>
      <w:bookmarkStart w:id="6" w:name="_Toc4298"/>
      <w:r>
        <w:rPr>
          <w:color w:val="000000" w:themeColor="text1"/>
          <w:szCs w:val="21"/>
          <w14:textFill>
            <w14:solidFill>
              <w14:schemeClr w14:val="tx1"/>
            </w14:solidFill>
          </w14:textFill>
        </w:rPr>
        <w:t>附图1</w:t>
      </w:r>
      <w:r>
        <w:rPr>
          <w:rFonts w:hint="eastAsia"/>
          <w:color w:val="000000" w:themeColor="text1"/>
          <w:szCs w:val="21"/>
          <w14:textFill>
            <w14:solidFill>
              <w14:schemeClr w14:val="tx1"/>
            </w14:solidFill>
          </w14:textFill>
        </w:rPr>
        <w:t>：项目地理位置</w:t>
      </w:r>
      <w:r>
        <w:rPr>
          <w:color w:val="000000" w:themeColor="text1"/>
          <w:szCs w:val="21"/>
          <w14:textFill>
            <w14:solidFill>
              <w14:schemeClr w14:val="tx1"/>
            </w14:solidFill>
          </w14:textFill>
        </w:rPr>
        <w:t>图；</w:t>
      </w:r>
      <w:bookmarkEnd w:id="5"/>
      <w:bookmarkEnd w:id="6"/>
    </w:p>
    <w:p>
      <w:pPr>
        <w:adjustRightInd w:val="0"/>
        <w:snapToGrid w:val="0"/>
        <w:spacing w:line="360" w:lineRule="auto"/>
        <w:outlineLvl w:val="0"/>
        <w:rPr>
          <w:color w:val="000000" w:themeColor="text1"/>
          <w:szCs w:val="21"/>
          <w14:textFill>
            <w14:solidFill>
              <w14:schemeClr w14:val="tx1"/>
            </w14:solidFill>
          </w14:textFill>
        </w:rPr>
      </w:pPr>
      <w:bookmarkStart w:id="7" w:name="_Toc32700"/>
      <w:bookmarkStart w:id="8" w:name="_Toc17125"/>
      <w:r>
        <w:rPr>
          <w:color w:val="000000" w:themeColor="text1"/>
          <w:szCs w:val="21"/>
          <w14:textFill>
            <w14:solidFill>
              <w14:schemeClr w14:val="tx1"/>
            </w14:solidFill>
          </w14:textFill>
        </w:rPr>
        <w:t>附图2</w:t>
      </w:r>
      <w:r>
        <w:rPr>
          <w:rFonts w:hint="eastAsia"/>
          <w:color w:val="000000" w:themeColor="text1"/>
          <w:szCs w:val="21"/>
          <w14:textFill>
            <w14:solidFill>
              <w14:schemeClr w14:val="tx1"/>
            </w14:solidFill>
          </w14:textFill>
        </w:rPr>
        <w:t>：项目区域水系图；</w:t>
      </w:r>
    </w:p>
    <w:p>
      <w:pPr>
        <w:adjustRightInd w:val="0"/>
        <w:snapToGrid w:val="0"/>
        <w:spacing w:line="360" w:lineRule="auto"/>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附图3：项目周边环境关系示意图；</w:t>
      </w:r>
      <w:bookmarkEnd w:id="7"/>
      <w:bookmarkEnd w:id="8"/>
    </w:p>
    <w:p>
      <w:pPr>
        <w:adjustRightInd w:val="0"/>
        <w:snapToGrid w:val="0"/>
        <w:spacing w:line="360" w:lineRule="auto"/>
        <w:outlineLvl w:val="0"/>
        <w:rPr>
          <w:color w:val="000000" w:themeColor="text1"/>
          <w:szCs w:val="21"/>
          <w14:textFill>
            <w14:solidFill>
              <w14:schemeClr w14:val="tx1"/>
            </w14:solidFill>
          </w14:textFill>
        </w:rPr>
      </w:pPr>
      <w:bookmarkStart w:id="9" w:name="_Toc10902"/>
      <w:bookmarkStart w:id="10" w:name="_Toc9410"/>
      <w:r>
        <w:rPr>
          <w:color w:val="000000" w:themeColor="text1"/>
          <w:szCs w:val="21"/>
          <w14:textFill>
            <w14:solidFill>
              <w14:schemeClr w14:val="tx1"/>
            </w14:solidFill>
          </w14:textFill>
        </w:rPr>
        <w:t>附图</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园区总平面布置图；</w:t>
      </w:r>
    </w:p>
    <w:p>
      <w:pPr>
        <w:adjustRightInd w:val="0"/>
        <w:snapToGrid w:val="0"/>
        <w:spacing w:line="360" w:lineRule="auto"/>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附图5：项目</w:t>
      </w:r>
      <w:r>
        <w:rPr>
          <w:color w:val="000000" w:themeColor="text1"/>
          <w:szCs w:val="21"/>
          <w14:textFill>
            <w14:solidFill>
              <w14:schemeClr w14:val="tx1"/>
            </w14:solidFill>
          </w14:textFill>
        </w:rPr>
        <w:t>总平面布置图；</w:t>
      </w:r>
      <w:bookmarkEnd w:id="9"/>
      <w:bookmarkEnd w:id="10"/>
    </w:p>
    <w:p>
      <w:pPr>
        <w:adjustRightInd w:val="0"/>
        <w:snapToGrid w:val="0"/>
        <w:spacing w:line="360" w:lineRule="auto"/>
        <w:outlineLvl w:val="0"/>
        <w:rPr>
          <w:color w:val="000000" w:themeColor="text1"/>
          <w:szCs w:val="21"/>
          <w14:textFill>
            <w14:solidFill>
              <w14:schemeClr w14:val="tx1"/>
            </w14:solidFill>
          </w14:textFill>
        </w:rPr>
      </w:pPr>
      <w:bookmarkStart w:id="11" w:name="_Toc31033"/>
      <w:bookmarkStart w:id="12" w:name="_Toc26855"/>
      <w:r>
        <w:rPr>
          <w:color w:val="000000" w:themeColor="text1"/>
          <w:szCs w:val="21"/>
          <w14:textFill>
            <w14:solidFill>
              <w14:schemeClr w14:val="tx1"/>
            </w14:solidFill>
          </w14:textFill>
        </w:rPr>
        <w:t>附图</w:t>
      </w: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项目所在地生态功能区划图</w:t>
      </w:r>
      <w:r>
        <w:rPr>
          <w:color w:val="000000" w:themeColor="text1"/>
          <w:szCs w:val="21"/>
          <w14:textFill>
            <w14:solidFill>
              <w14:schemeClr w14:val="tx1"/>
            </w14:solidFill>
          </w14:textFill>
        </w:rPr>
        <w:t>；</w:t>
      </w:r>
      <w:bookmarkEnd w:id="11"/>
      <w:bookmarkEnd w:id="12"/>
    </w:p>
    <w:p>
      <w:pPr>
        <w:adjustRightInd w:val="0"/>
        <w:snapToGrid w:val="0"/>
        <w:spacing w:line="360" w:lineRule="auto"/>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附图7：项目所在地碧谷工业片区给排水规划图；</w:t>
      </w:r>
    </w:p>
    <w:p>
      <w:pPr>
        <w:adjustRightInd w:val="0"/>
        <w:snapToGrid w:val="0"/>
        <w:spacing w:line="360" w:lineRule="auto"/>
        <w:outlineLvl w:val="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附图8：项目所在碧谷工业片区用地规划图。</w:t>
      </w:r>
    </w:p>
    <w:p>
      <w:pPr>
        <w:adjustRightInd w:val="0"/>
        <w:snapToGrid w:val="0"/>
        <w:spacing w:line="360" w:lineRule="auto"/>
        <w:outlineLvl w:val="0"/>
        <w:rPr>
          <w:b/>
          <w:bCs/>
          <w:color w:val="000000" w:themeColor="text1"/>
          <w:szCs w:val="21"/>
          <w14:textFill>
            <w14:solidFill>
              <w14:schemeClr w14:val="tx1"/>
            </w14:solidFill>
          </w14:textFill>
        </w:rPr>
      </w:pPr>
      <w:bookmarkStart w:id="13" w:name="_Toc29854"/>
      <w:bookmarkStart w:id="14" w:name="_Toc16267"/>
      <w:r>
        <w:rPr>
          <w:b/>
          <w:bCs/>
          <w:color w:val="000000" w:themeColor="text1"/>
          <w:szCs w:val="21"/>
          <w14:textFill>
            <w14:solidFill>
              <w14:schemeClr w14:val="tx1"/>
            </w14:solidFill>
          </w14:textFill>
        </w:rPr>
        <w:t>附件：</w:t>
      </w:r>
      <w:bookmarkEnd w:id="13"/>
      <w:bookmarkEnd w:id="14"/>
      <w:r>
        <w:rPr>
          <w:b/>
          <w:bCs/>
          <w:color w:val="000000" w:themeColor="text1"/>
          <w:szCs w:val="21"/>
          <w14:textFill>
            <w14:solidFill>
              <w14:schemeClr w14:val="tx1"/>
            </w14:solidFill>
          </w14:textFill>
        </w:rPr>
        <w:t xml:space="preserve"> </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r>
        <w:rPr>
          <w:rFonts w:hint="eastAsia"/>
          <w:color w:val="000000" w:themeColor="text1"/>
          <w:szCs w:val="21"/>
          <w14:textFill>
            <w14:solidFill>
              <w14:schemeClr w14:val="tx1"/>
            </w14:solidFill>
          </w14:textFill>
        </w:rPr>
        <w:t xml:space="preserve">1 </w:t>
      </w:r>
      <w:r>
        <w:rPr>
          <w:color w:val="000000" w:themeColor="text1"/>
          <w:szCs w:val="21"/>
          <w14:textFill>
            <w14:solidFill>
              <w14:schemeClr w14:val="tx1"/>
            </w14:solidFill>
          </w14:textFill>
        </w:rPr>
        <w:t>委托书；</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r>
        <w:rPr>
          <w:rFonts w:hint="eastAsia"/>
          <w:color w:val="000000" w:themeColor="text1"/>
          <w:szCs w:val="21"/>
          <w14:textFill>
            <w14:solidFill>
              <w14:schemeClr w14:val="tx1"/>
            </w14:solidFill>
          </w14:textFill>
        </w:rPr>
        <w:t>2 声明确认书；</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r>
        <w:rPr>
          <w:rFonts w:hint="eastAsia"/>
          <w:color w:val="000000" w:themeColor="text1"/>
          <w:szCs w:val="21"/>
          <w14:textFill>
            <w14:solidFill>
              <w14:schemeClr w14:val="tx1"/>
            </w14:solidFill>
          </w14:textFill>
        </w:rPr>
        <w:t xml:space="preserve">3 </w:t>
      </w:r>
      <w:r>
        <w:rPr>
          <w:color w:val="000000" w:themeColor="text1"/>
          <w:szCs w:val="21"/>
          <w14:textFill>
            <w14:solidFill>
              <w14:schemeClr w14:val="tx1"/>
            </w14:solidFill>
          </w14:textFill>
        </w:rPr>
        <w:t>投资项目备案证</w:t>
      </w:r>
      <w:r>
        <w:rPr>
          <w:rFonts w:hint="eastAsia"/>
          <w:color w:val="000000" w:themeColor="text1"/>
          <w:szCs w:val="21"/>
          <w14:textFill>
            <w14:solidFill>
              <w14:schemeClr w14:val="tx1"/>
            </w14:solidFill>
          </w14:textFill>
        </w:rPr>
        <w:t>；</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附件</w:t>
      </w:r>
      <w:r>
        <w:rPr>
          <w:rFonts w:hint="eastAsia"/>
          <w:color w:val="000000" w:themeColor="text1"/>
          <w:szCs w:val="21"/>
          <w14:textFill>
            <w14:solidFill>
              <w14:schemeClr w14:val="tx1"/>
            </w14:solidFill>
          </w14:textFill>
        </w:rPr>
        <w:t>4 营业执照；</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附件5 入园批复；</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附件6 </w:t>
      </w:r>
      <w:r>
        <w:rPr>
          <w:rFonts w:hint="eastAsia"/>
          <w:color w:val="000000" w:themeColor="text1"/>
          <w:szCs w:val="21"/>
          <w:lang w:val="en-US" w:eastAsia="zh-CN"/>
          <w14:textFill>
            <w14:solidFill>
              <w14:schemeClr w14:val="tx1"/>
            </w14:solidFill>
          </w14:textFill>
        </w:rPr>
        <w:t>昆明市东川区自然资源局</w:t>
      </w:r>
      <w:r>
        <w:rPr>
          <w:rFonts w:hint="eastAsia"/>
          <w:color w:val="000000" w:themeColor="text1"/>
          <w:szCs w:val="21"/>
          <w14:textFill>
            <w14:solidFill>
              <w14:schemeClr w14:val="tx1"/>
            </w14:solidFill>
          </w14:textFill>
        </w:rPr>
        <w:t>关于《云南东川产业园区总体规划修编（2021-2035）》</w:t>
      </w:r>
      <w:r>
        <w:rPr>
          <w:rFonts w:hint="eastAsia"/>
          <w:color w:val="000000" w:themeColor="text1"/>
          <w:szCs w:val="21"/>
          <w:lang w:val="en-US" w:eastAsia="zh-CN"/>
          <w14:textFill>
            <w14:solidFill>
              <w14:schemeClr w14:val="tx1"/>
            </w14:solidFill>
          </w14:textFill>
        </w:rPr>
        <w:t>的</w:t>
      </w:r>
      <w:r>
        <w:rPr>
          <w:rFonts w:hint="eastAsia"/>
          <w:color w:val="000000" w:themeColor="text1"/>
          <w:szCs w:val="21"/>
          <w14:textFill>
            <w14:solidFill>
              <w14:schemeClr w14:val="tx1"/>
            </w14:solidFill>
          </w14:textFill>
        </w:rPr>
        <w:t>审查意见；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附件7 昆明市生态环境局关于《云南东川产业园区总体规划修编（2021-2035）环境影响报告书》的审查意见；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附件8 厂房租赁合同；</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附件</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 xml:space="preserve"> 绿化带冷却循环水池用地证明文件</w:t>
      </w:r>
      <w:r>
        <w:rPr>
          <w:rFonts w:hint="eastAsia"/>
          <w:color w:val="000000" w:themeColor="text1"/>
          <w:szCs w:val="21"/>
          <w:lang w:eastAsia="zh-CN"/>
          <w14:textFill>
            <w14:solidFill>
              <w14:schemeClr w14:val="tx1"/>
            </w14:solidFill>
          </w14:textFill>
        </w:rPr>
        <w:t>；</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 xml:space="preserve"> 招商引资协议书；</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 xml:space="preserve"> 土地证；</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 xml:space="preserve"> 法人身份证复印件；</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 xml:space="preserve"> 原料检测报告；</w:t>
      </w:r>
    </w:p>
    <w:p>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附件1</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 xml:space="preserve"> 产品检测报告；</w:t>
      </w:r>
    </w:p>
    <w:bookmarkEnd w:id="3"/>
    <w:bookmarkEnd w:id="4"/>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附件15 </w:t>
      </w:r>
      <w:r>
        <w:rPr>
          <w:rFonts w:hint="eastAsia"/>
          <w:color w:val="000000" w:themeColor="text1"/>
          <w:szCs w:val="21"/>
          <w14:textFill>
            <w14:solidFill>
              <w14:schemeClr w14:val="tx1"/>
            </w14:solidFill>
          </w14:textFill>
        </w:rPr>
        <w:t>原料采购合同</w:t>
      </w:r>
      <w:r>
        <w:rPr>
          <w:rFonts w:hint="eastAsia"/>
          <w:color w:val="000000" w:themeColor="text1"/>
          <w:szCs w:val="21"/>
          <w:lang w:eastAsia="zh-CN"/>
          <w14:textFill>
            <w14:solidFill>
              <w14:schemeClr w14:val="tx1"/>
            </w14:solidFill>
          </w14:textFill>
        </w:rPr>
        <w:t>；</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附件16 </w:t>
      </w:r>
      <w:r>
        <w:rPr>
          <w:rFonts w:hint="eastAsia"/>
          <w:color w:val="000000" w:themeColor="text1"/>
          <w:szCs w:val="21"/>
          <w14:textFill>
            <w14:solidFill>
              <w14:schemeClr w14:val="tx1"/>
            </w14:solidFill>
          </w14:textFill>
        </w:rPr>
        <w:t>产品销售协议</w:t>
      </w:r>
      <w:r>
        <w:rPr>
          <w:rFonts w:hint="eastAsia"/>
          <w:color w:val="000000" w:themeColor="text1"/>
          <w:szCs w:val="21"/>
          <w:lang w:eastAsia="zh-CN"/>
          <w14:textFill>
            <w14:solidFill>
              <w14:schemeClr w14:val="tx1"/>
            </w14:solidFill>
          </w14:textFill>
        </w:rPr>
        <w:t>；</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附件17 变更经营投资主体文件；</w:t>
      </w:r>
    </w:p>
    <w:p>
      <w:pPr>
        <w:adjustRightInd w:val="0"/>
        <w:snapToGrid w:val="0"/>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附件18 原料厂商环评批复（九顺科技环评批复—饶环督字[2010]255号）</w:t>
      </w:r>
    </w:p>
    <w:p>
      <w:pPr>
        <w:adjustRightInd w:val="0"/>
        <w:snapToGrid w:val="0"/>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附件19环评项目工作进度表</w:t>
      </w:r>
    </w:p>
    <w:p>
      <w:pPr>
        <w:adjustRightInd w:val="0"/>
        <w:snapToGrid w:val="0"/>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附件20环评项目内部审核记录表</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附件21</w:t>
      </w:r>
      <w:r>
        <w:rPr>
          <w:rFonts w:hint="eastAsia"/>
          <w:color w:val="000000" w:themeColor="text1"/>
          <w:szCs w:val="21"/>
          <w:lang w:eastAsia="zh-CN"/>
          <w14:textFill>
            <w14:solidFill>
              <w14:schemeClr w14:val="tx1"/>
            </w14:solidFill>
          </w14:textFill>
        </w:rPr>
        <w:t>合同登记</w:t>
      </w:r>
    </w:p>
    <w:p>
      <w:pPr>
        <w:adjustRightInd w:val="0"/>
        <w:snapToGrid w:val="0"/>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附件22送审前公示截图</w:t>
      </w:r>
    </w:p>
    <w:p>
      <w:pPr>
        <w:adjustRightInd w:val="0"/>
        <w:snapToGrid w:val="0"/>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p>
      <w:pPr>
        <w:pStyle w:val="29"/>
        <w:rPr>
          <w:rFonts w:hint="eastAsia"/>
          <w:lang w:eastAsia="zh-CN"/>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bookmarkStart w:id="15" w:name="_Toc9028"/>
      <w:bookmarkStart w:id="16" w:name="_Toc23627"/>
      <w:r>
        <w:rPr>
          <w:rFonts w:hint="eastAsia" w:ascii="黑体" w:hAnsi="黑体" w:eastAsia="黑体"/>
          <w:snapToGrid w:val="0"/>
          <w:color w:val="000000" w:themeColor="text1"/>
          <w:sz w:val="30"/>
          <w:szCs w:val="30"/>
          <w14:textFill>
            <w14:solidFill>
              <w14:schemeClr w14:val="tx1"/>
            </w14:solidFill>
          </w14:textFill>
        </w:rPr>
        <w:t>一、建设项目基本情况</w:t>
      </w:r>
      <w:bookmarkEnd w:id="15"/>
      <w:bookmarkEnd w:id="1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9"/>
        <w:gridCol w:w="792"/>
        <w:gridCol w:w="2338"/>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7189"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多晶硅碎片综合利用项目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7189" w:type="dxa"/>
            <w:gridSpan w:val="3"/>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04</w:t>
            </w:r>
            <w:r>
              <w:rPr>
                <w:rFonts w:hint="eastAsia"/>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2338"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张</w:t>
            </w:r>
            <w:r>
              <w:rPr>
                <w:rFonts w:hint="eastAsia"/>
                <w:color w:val="000000" w:themeColor="text1"/>
                <w:szCs w:val="21"/>
                <w:lang w:val="en-US" w:eastAsia="zh-CN"/>
                <w14:textFill>
                  <w14:solidFill>
                    <w14:schemeClr w14:val="tx1"/>
                  </w14:solidFill>
                </w14:textFill>
              </w:rPr>
              <w:t>**</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263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135</w:t>
            </w:r>
            <w:r>
              <w:rPr>
                <w:rFonts w:hint="eastAsia"/>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7189"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u w:val="single"/>
                <w14:textFill>
                  <w14:solidFill>
                    <w14:schemeClr w14:val="tx1"/>
                  </w14:solidFill>
                </w14:textFill>
              </w:rPr>
              <w:t>云南</w:t>
            </w:r>
            <w:r>
              <w:rPr>
                <w:color w:val="000000" w:themeColor="text1"/>
                <w:szCs w:val="21"/>
                <w14:textFill>
                  <w14:solidFill>
                    <w14:schemeClr w14:val="tx1"/>
                  </w14:solidFill>
                </w14:textFill>
              </w:rPr>
              <w:t>省（自治区）</w:t>
            </w:r>
            <w:r>
              <w:rPr>
                <w:rFonts w:hint="eastAsia"/>
                <w:color w:val="000000" w:themeColor="text1"/>
                <w:szCs w:val="21"/>
                <w:u w:val="single"/>
                <w14:textFill>
                  <w14:solidFill>
                    <w14:schemeClr w14:val="tx1"/>
                  </w14:solidFill>
                </w14:textFill>
              </w:rPr>
              <w:t>昆明</w:t>
            </w:r>
            <w:r>
              <w:rPr>
                <w:color w:val="000000" w:themeColor="text1"/>
                <w:szCs w:val="21"/>
                <w14:textFill>
                  <w14:solidFill>
                    <w14:schemeClr w14:val="tx1"/>
                  </w14:solidFill>
                </w14:textFill>
              </w:rPr>
              <w:t>市</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东川</w:t>
            </w:r>
            <w:r>
              <w:rPr>
                <w:color w:val="000000" w:themeColor="text1"/>
                <w:szCs w:val="21"/>
                <w14:textFill>
                  <w14:solidFill>
                    <w14:schemeClr w14:val="tx1"/>
                  </w14:solidFill>
                </w14:textFill>
              </w:rPr>
              <w:t>县（区）</w:t>
            </w: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乡（街道）</w:t>
            </w:r>
            <w:r>
              <w:rPr>
                <w:rFonts w:hint="eastAsia"/>
                <w:color w:val="000000" w:themeColor="text1"/>
                <w:szCs w:val="21"/>
                <w:u w:val="single"/>
                <w14:textFill>
                  <w14:solidFill>
                    <w14:schemeClr w14:val="tx1"/>
                  </w14:solidFill>
                </w14:textFill>
              </w:rPr>
              <w:t>碧谷工业园区（标准化厂房内）</w:t>
            </w:r>
            <w:r>
              <w:rPr>
                <w:color w:val="000000" w:themeColor="text1"/>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7189"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E：</w:t>
            </w:r>
            <w:r>
              <w:rPr>
                <w:rFonts w:hint="eastAsia"/>
                <w:color w:val="000000" w:themeColor="text1"/>
                <w:szCs w:val="21"/>
                <w:u w:val="single"/>
                <w14:textFill>
                  <w14:solidFill>
                    <w14:schemeClr w14:val="tx1"/>
                  </w14:solidFill>
                </w14:textFill>
              </w:rPr>
              <w:t>103</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9</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42</w:t>
            </w:r>
            <w:r>
              <w:rPr>
                <w:color w:val="000000" w:themeColor="text1"/>
                <w:szCs w:val="21"/>
                <w14:textFill>
                  <w14:solidFill>
                    <w14:schemeClr w14:val="tx1"/>
                  </w14:solidFill>
                </w14:textFill>
              </w:rPr>
              <w:t>秒，</w:t>
            </w:r>
            <w:r>
              <w:rPr>
                <w:rFonts w:hint="eastAsia"/>
                <w:color w:val="000000" w:themeColor="text1"/>
                <w:szCs w:val="21"/>
                <w:lang w:val="en-US" w:eastAsia="zh-CN"/>
                <w14:textFill>
                  <w14:solidFill>
                    <w14:schemeClr w14:val="tx1"/>
                  </w14:solidFill>
                </w14:textFill>
              </w:rPr>
              <w:t>N：</w:t>
            </w:r>
            <w:r>
              <w:rPr>
                <w:rFonts w:hint="eastAsia"/>
                <w:color w:val="000000" w:themeColor="text1"/>
                <w:szCs w:val="21"/>
                <w:u w:val="single"/>
                <w14:textFill>
                  <w14:solidFill>
                    <w14:schemeClr w14:val="tx1"/>
                  </w14:solidFill>
                </w14:textFill>
              </w:rPr>
              <w:t>26</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7</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43</w:t>
            </w:r>
            <w:r>
              <w:rPr>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23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3099其他非金属矿物制品制造</w:t>
            </w:r>
          </w:p>
        </w:tc>
        <w:tc>
          <w:tcPr>
            <w:tcW w:w="2212" w:type="dxa"/>
            <w:vAlign w:val="center"/>
          </w:tcPr>
          <w:p>
            <w:pPr>
              <w:adjustRightInd w:val="0"/>
              <w:snapToGrid w:val="0"/>
              <w:jc w:val="center"/>
              <w:rPr>
                <w:color w:val="000000" w:themeColor="text1"/>
                <w:szCs w:val="21"/>
                <w14:textFill>
                  <w14:solidFill>
                    <w14:schemeClr w14:val="tx1"/>
                  </w14:solidFill>
                </w14:textFill>
              </w:rPr>
            </w:pPr>
            <w:bookmarkStart w:id="17" w:name="_Hlk49843745"/>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bookmarkEnd w:id="17"/>
          </w:p>
        </w:tc>
        <w:tc>
          <w:tcPr>
            <w:tcW w:w="2639"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二十七、非金属矿物制品业 30——</w:t>
            </w:r>
            <w:r>
              <w:rPr>
                <w:rFonts w:hint="eastAsia"/>
                <w:color w:val="000000" w:themeColor="text1"/>
                <w:szCs w:val="21"/>
                <w14:textFill>
                  <w14:solidFill>
                    <w14:schemeClr w14:val="tx1"/>
                  </w14:solidFill>
                </w14:textFill>
              </w:rPr>
              <w:t>60石墨及其他非金 属矿物制品制造309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2338" w:type="dxa"/>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新建（迁建）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□改建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□扩建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□技术改造</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2639" w:type="dxa"/>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 xml:space="preserve">首次申报项目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□不予批准后再次申报项目</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□超五年重新审核项目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备案）部门（选填）</w:t>
            </w:r>
          </w:p>
        </w:tc>
        <w:tc>
          <w:tcPr>
            <w:tcW w:w="23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昆明市东川区发展和改革局</w:t>
            </w:r>
          </w:p>
        </w:tc>
        <w:tc>
          <w:tcPr>
            <w:tcW w:w="221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26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04</w:t>
            </w:r>
            <w:r>
              <w:rPr>
                <w:rFonts w:hint="eastAsia"/>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2338"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6698</w:t>
            </w:r>
          </w:p>
        </w:tc>
        <w:tc>
          <w:tcPr>
            <w:tcW w:w="2212" w:type="dxa"/>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263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2338"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0.97</w:t>
            </w:r>
          </w:p>
        </w:tc>
        <w:tc>
          <w:tcPr>
            <w:tcW w:w="2212" w:type="dxa"/>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263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个月</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2023年7月~12月）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1" w:type="dxa"/>
            <w:gridSpan w:val="2"/>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2338"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否</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2212" w:type="dxa"/>
            <w:tcMar>
              <w:top w:w="16" w:type="dxa"/>
              <w:left w:w="16" w:type="dxa"/>
              <w:right w:w="16" w:type="dxa"/>
            </w:tcMar>
            <w:vAlign w:val="center"/>
          </w:tcPr>
          <w:p>
            <w:pPr>
              <w:adjustRightInd w:val="0"/>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用地（用海）</w:t>
            </w:r>
          </w:p>
          <w:p>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26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81" w:type="dxa"/>
            <w:gridSpan w:val="2"/>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7189" w:type="dxa"/>
            <w:gridSpan w:val="3"/>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681" w:type="dxa"/>
            <w:gridSpan w:val="2"/>
            <w:vAlign w:val="center"/>
          </w:tcPr>
          <w:p>
            <w:pPr>
              <w:autoSpaceDE w:val="0"/>
              <w:autoSpaceDN w:val="0"/>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7189" w:type="dxa"/>
            <w:gridSpan w:val="3"/>
            <w:vAlign w:val="center"/>
          </w:tcPr>
          <w:p>
            <w:pPr>
              <w:autoSpaceDE w:val="0"/>
              <w:autoSpaceDN w:val="0"/>
              <w:adjustRightInd w:val="0"/>
              <w:snapToGrid w:val="0"/>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规划名称：</w:t>
            </w:r>
            <w:r>
              <w:rPr>
                <w:color w:val="000000" w:themeColor="text1"/>
                <w:kern w:val="0"/>
                <w:szCs w:val="21"/>
                <w14:textFill>
                  <w14:solidFill>
                    <w14:schemeClr w14:val="tx1"/>
                  </w14:solidFill>
                </w14:textFill>
              </w:rPr>
              <w:t>《云南东川产业园</w:t>
            </w:r>
            <w:r>
              <w:rPr>
                <w:rFonts w:hint="eastAsia"/>
                <w:color w:val="000000" w:themeColor="text1"/>
                <w:kern w:val="0"/>
                <w:szCs w:val="21"/>
                <w:lang w:val="en-US" w:eastAsia="zh-CN"/>
                <w14:textFill>
                  <w14:solidFill>
                    <w14:schemeClr w14:val="tx1"/>
                  </w14:solidFill>
                </w14:textFill>
              </w:rPr>
              <w:t>区</w:t>
            </w:r>
            <w:r>
              <w:rPr>
                <w:color w:val="000000" w:themeColor="text1"/>
                <w:kern w:val="0"/>
                <w:szCs w:val="21"/>
                <w14:textFill>
                  <w14:solidFill>
                    <w14:schemeClr w14:val="tx1"/>
                  </w14:solidFill>
                </w14:textFill>
              </w:rPr>
              <w:t>总体规划修编（20</w:t>
            </w:r>
            <w:r>
              <w:rPr>
                <w:rFonts w:hint="eastAsia"/>
                <w:color w:val="000000" w:themeColor="text1"/>
                <w:kern w:val="0"/>
                <w:szCs w:val="21"/>
                <w:lang w:val="en-US" w:eastAsia="zh-CN"/>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p>
          <w:p>
            <w:pPr>
              <w:autoSpaceDE w:val="0"/>
              <w:autoSpaceDN w:val="0"/>
              <w:adjustRightInd w:val="0"/>
              <w:snapToGrid w:val="0"/>
              <w:spacing w:line="360" w:lineRule="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审批机关：昆明市</w:t>
            </w:r>
            <w:r>
              <w:rPr>
                <w:rFonts w:hint="eastAsia"/>
                <w:color w:val="000000" w:themeColor="text1"/>
                <w:kern w:val="0"/>
                <w:szCs w:val="21"/>
                <w:lang w:val="en-US" w:eastAsia="zh-CN"/>
                <w14:textFill>
                  <w14:solidFill>
                    <w14:schemeClr w14:val="tx1"/>
                  </w14:solidFill>
                </w14:textFill>
              </w:rPr>
              <w:t>东川区自然资源局</w:t>
            </w:r>
          </w:p>
          <w:p>
            <w:pPr>
              <w:autoSpaceDE w:val="0"/>
              <w:autoSpaceDN w:val="0"/>
              <w:adjustRightInd w:val="0"/>
              <w:snapToGrid w:val="0"/>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审批文件名称及文号：关于《</w:t>
            </w:r>
            <w:r>
              <w:rPr>
                <w:color w:val="000000" w:themeColor="text1"/>
                <w:kern w:val="0"/>
                <w:szCs w:val="21"/>
                <w14:textFill>
                  <w14:solidFill>
                    <w14:schemeClr w14:val="tx1"/>
                  </w14:solidFill>
                </w14:textFill>
              </w:rPr>
              <w:t>云南东川产业园</w:t>
            </w:r>
            <w:r>
              <w:rPr>
                <w:rFonts w:hint="eastAsia"/>
                <w:color w:val="000000" w:themeColor="text1"/>
                <w:kern w:val="0"/>
                <w:szCs w:val="21"/>
                <w:lang w:val="en-US" w:eastAsia="zh-CN"/>
                <w14:textFill>
                  <w14:solidFill>
                    <w14:schemeClr w14:val="tx1"/>
                  </w14:solidFill>
                </w14:textFill>
              </w:rPr>
              <w:t>区</w:t>
            </w:r>
            <w:r>
              <w:rPr>
                <w:color w:val="000000" w:themeColor="text1"/>
                <w:kern w:val="0"/>
                <w:szCs w:val="21"/>
                <w14:textFill>
                  <w14:solidFill>
                    <w14:schemeClr w14:val="tx1"/>
                  </w14:solidFill>
                </w14:textFill>
              </w:rPr>
              <w:t>总体规划修编（20</w:t>
            </w:r>
            <w:r>
              <w:rPr>
                <w:rFonts w:hint="eastAsia"/>
                <w:color w:val="000000" w:themeColor="text1"/>
                <w:kern w:val="0"/>
                <w:szCs w:val="21"/>
                <w:lang w:val="en-US" w:eastAsia="zh-CN"/>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的</w:t>
            </w:r>
            <w:r>
              <w:rPr>
                <w:rFonts w:hint="eastAsia"/>
                <w:color w:val="000000" w:themeColor="text1"/>
                <w:kern w:val="0"/>
                <w:szCs w:val="21"/>
                <w:lang w:val="en-US" w:eastAsia="zh-CN"/>
                <w14:textFill>
                  <w14:solidFill>
                    <w14:schemeClr w14:val="tx1"/>
                  </w14:solidFill>
                </w14:textFill>
              </w:rPr>
              <w:t>审查</w:t>
            </w:r>
            <w:r>
              <w:rPr>
                <w:rFonts w:hint="eastAsia"/>
                <w:color w:val="000000" w:themeColor="text1"/>
                <w:kern w:val="0"/>
                <w:szCs w:val="21"/>
                <w14:textFill>
                  <w14:solidFill>
                    <w14:schemeClr w14:val="tx1"/>
                  </w14:solidFill>
                </w14:textFill>
              </w:rPr>
              <w:t>意见（</w:t>
            </w:r>
            <w:r>
              <w:rPr>
                <w:rFonts w:hint="eastAsia"/>
                <w:color w:val="000000" w:themeColor="text1"/>
                <w:kern w:val="0"/>
                <w:szCs w:val="21"/>
                <w:highlight w:val="none"/>
                <w:lang w:val="en-US" w:eastAsia="zh-CN"/>
                <w14:textFill>
                  <w14:solidFill>
                    <w14:schemeClr w14:val="tx1"/>
                  </w14:solidFill>
                </w14:textFill>
              </w:rPr>
              <w:t>区自然资源局便签[2022]13号</w:t>
            </w:r>
            <w:r>
              <w:rPr>
                <w:rFonts w:hint="eastAsia"/>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1681" w:type="dxa"/>
            <w:gridSpan w:val="2"/>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规划环境影响</w:t>
            </w:r>
          </w:p>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评价情况</w:t>
            </w:r>
          </w:p>
          <w:p>
            <w:pPr>
              <w:adjustRightInd w:val="0"/>
              <w:snapToGrid w:val="0"/>
              <w:spacing w:line="360" w:lineRule="auto"/>
              <w:jc w:val="center"/>
              <w:rPr>
                <w:color w:val="000000" w:themeColor="text1"/>
                <w14:textFill>
                  <w14:solidFill>
                    <w14:schemeClr w14:val="tx1"/>
                  </w14:solidFill>
                </w14:textFill>
              </w:rPr>
            </w:pPr>
          </w:p>
          <w:p>
            <w:pPr>
              <w:pStyle w:val="8"/>
              <w:rPr>
                <w:color w:val="000000" w:themeColor="text1"/>
                <w14:textFill>
                  <w14:solidFill>
                    <w14:schemeClr w14:val="tx1"/>
                  </w14:solidFill>
                </w14:textFill>
              </w:rPr>
            </w:pPr>
          </w:p>
        </w:tc>
        <w:tc>
          <w:tcPr>
            <w:tcW w:w="7189" w:type="dxa"/>
            <w:gridSpan w:val="3"/>
            <w:vAlign w:val="center"/>
          </w:tcPr>
          <w:p>
            <w:pPr>
              <w:autoSpaceDE w:val="0"/>
              <w:autoSpaceDN w:val="0"/>
              <w:adjustRightInd w:val="0"/>
              <w:snapToGrid w:val="0"/>
              <w:spacing w:line="360" w:lineRule="auto"/>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规划环境影响评价文件名称：《云南东川产业园</w:t>
            </w:r>
            <w:r>
              <w:rPr>
                <w:rFonts w:hint="eastAsia"/>
                <w:color w:val="000000" w:themeColor="text1"/>
                <w:kern w:val="0"/>
                <w:szCs w:val="21"/>
                <w:lang w:val="en-US" w:eastAsia="zh-CN"/>
                <w14:textFill>
                  <w14:solidFill>
                    <w14:schemeClr w14:val="tx1"/>
                  </w14:solidFill>
                </w14:textFill>
              </w:rPr>
              <w:t>区总体规划修编</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环境影响报告书》</w:t>
            </w:r>
          </w:p>
          <w:p>
            <w:pPr>
              <w:autoSpaceDE w:val="0"/>
              <w:autoSpaceDN w:val="0"/>
              <w:adjustRightInd w:val="0"/>
              <w:snapToGrid w:val="0"/>
              <w:spacing w:line="360" w:lineRule="auto"/>
              <w:jc w:val="left"/>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审批机关：</w:t>
            </w:r>
            <w:r>
              <w:rPr>
                <w:rFonts w:hint="eastAsia"/>
                <w:color w:val="000000" w:themeColor="text1"/>
                <w:kern w:val="0"/>
                <w:szCs w:val="21"/>
                <w:lang w:val="en-US" w:eastAsia="zh-CN"/>
                <w14:textFill>
                  <w14:solidFill>
                    <w14:schemeClr w14:val="tx1"/>
                  </w14:solidFill>
                </w14:textFill>
              </w:rPr>
              <w:t>昆明市</w:t>
            </w:r>
            <w:r>
              <w:rPr>
                <w:rFonts w:hint="eastAsia"/>
                <w:color w:val="000000" w:themeColor="text1"/>
                <w:kern w:val="0"/>
                <w:szCs w:val="21"/>
                <w14:textFill>
                  <w14:solidFill>
                    <w14:schemeClr w14:val="tx1"/>
                  </w14:solidFill>
                </w14:textFill>
              </w:rPr>
              <w:t>生态环境</w:t>
            </w:r>
            <w:r>
              <w:rPr>
                <w:rFonts w:hint="eastAsia"/>
                <w:color w:val="000000" w:themeColor="text1"/>
                <w:kern w:val="0"/>
                <w:szCs w:val="21"/>
                <w:lang w:val="en-US" w:eastAsia="zh-CN"/>
                <w14:textFill>
                  <w14:solidFill>
                    <w14:schemeClr w14:val="tx1"/>
                  </w14:solidFill>
                </w14:textFill>
              </w:rPr>
              <w:t>局</w:t>
            </w:r>
          </w:p>
          <w:p>
            <w:pPr>
              <w:autoSpaceDE w:val="0"/>
              <w:autoSpaceDN w:val="0"/>
              <w:adjustRightInd w:val="0"/>
              <w:snapToGrid w:val="0"/>
              <w:spacing w:line="360" w:lineRule="auto"/>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审批文件名称及文号：</w:t>
            </w:r>
            <w:r>
              <w:rPr>
                <w:rFonts w:hint="eastAsia"/>
                <w:color w:val="000000" w:themeColor="text1"/>
                <w:kern w:val="0"/>
                <w:szCs w:val="21"/>
                <w:lang w:val="en-US" w:eastAsia="zh-CN"/>
                <w14:textFill>
                  <w14:solidFill>
                    <w14:schemeClr w14:val="tx1"/>
                  </w14:solidFill>
                </w14:textFill>
              </w:rPr>
              <w:t>昆明市</w:t>
            </w:r>
            <w:r>
              <w:rPr>
                <w:rFonts w:hint="eastAsia"/>
                <w:color w:val="000000" w:themeColor="text1"/>
                <w:kern w:val="0"/>
                <w:szCs w:val="21"/>
                <w14:textFill>
                  <w14:solidFill>
                    <w14:schemeClr w14:val="tx1"/>
                  </w14:solidFill>
                </w14:textFill>
              </w:rPr>
              <w:t>生态环境</w:t>
            </w:r>
            <w:r>
              <w:rPr>
                <w:rFonts w:hint="eastAsia"/>
                <w:color w:val="000000" w:themeColor="text1"/>
                <w:kern w:val="0"/>
                <w:szCs w:val="21"/>
                <w:lang w:val="en-US" w:eastAsia="zh-CN"/>
                <w14:textFill>
                  <w14:solidFill>
                    <w14:schemeClr w14:val="tx1"/>
                  </w14:solidFill>
                </w14:textFill>
              </w:rPr>
              <w:t>局</w:t>
            </w:r>
            <w:r>
              <w:rPr>
                <w:color w:val="000000" w:themeColor="text1"/>
                <w:kern w:val="0"/>
                <w:szCs w:val="21"/>
                <w14:textFill>
                  <w14:solidFill>
                    <w14:schemeClr w14:val="tx1"/>
                  </w14:solidFill>
                </w14:textFill>
              </w:rPr>
              <w:t>关于《云南东川产业园</w:t>
            </w:r>
            <w:r>
              <w:rPr>
                <w:rFonts w:hint="eastAsia"/>
                <w:color w:val="000000" w:themeColor="text1"/>
                <w:kern w:val="0"/>
                <w:szCs w:val="21"/>
                <w:lang w:val="en-US" w:eastAsia="zh-CN"/>
                <w14:textFill>
                  <w14:solidFill>
                    <w14:schemeClr w14:val="tx1"/>
                  </w14:solidFill>
                </w14:textFill>
              </w:rPr>
              <w:t>区总体规划修编</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21</w:t>
            </w: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3</w:t>
            </w: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环境影响报告书》</w:t>
            </w:r>
            <w:r>
              <w:rPr>
                <w:rFonts w:hint="eastAsia"/>
                <w:color w:val="000000" w:themeColor="text1"/>
                <w:kern w:val="0"/>
                <w:szCs w:val="21"/>
                <w14:textFill>
                  <w14:solidFill>
                    <w14:schemeClr w14:val="tx1"/>
                  </w14:solidFill>
                </w14:textFill>
              </w:rPr>
              <w:t>的</w:t>
            </w:r>
            <w:r>
              <w:rPr>
                <w:rFonts w:hint="eastAsia"/>
                <w:color w:val="000000" w:themeColor="text1"/>
                <w:kern w:val="0"/>
                <w:szCs w:val="21"/>
                <w:lang w:val="en-US" w:eastAsia="zh-CN"/>
                <w14:textFill>
                  <w14:solidFill>
                    <w14:schemeClr w14:val="tx1"/>
                  </w14:solidFill>
                </w14:textFill>
              </w:rPr>
              <w:t>审查意见</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昆</w:t>
            </w:r>
            <w:r>
              <w:rPr>
                <w:rFonts w:hint="eastAsia"/>
                <w:color w:val="000000" w:themeColor="text1"/>
                <w:kern w:val="0"/>
                <w:szCs w:val="21"/>
                <w14:textFill>
                  <w14:solidFill>
                    <w14:schemeClr w14:val="tx1"/>
                  </w14:solidFill>
                </w14:textFill>
              </w:rPr>
              <w:t>环函[20</w:t>
            </w:r>
            <w:r>
              <w:rPr>
                <w:rFonts w:hint="eastAsia"/>
                <w:color w:val="000000" w:themeColor="text1"/>
                <w:kern w:val="0"/>
                <w:szCs w:val="21"/>
                <w:lang w:val="en-US" w:eastAsia="zh-CN"/>
                <w14:textFill>
                  <w14:solidFill>
                    <w14:schemeClr w14:val="tx1"/>
                  </w14:solidFill>
                </w14:textFill>
              </w:rPr>
              <w:t>23</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r>
              <w:rPr>
                <w:rFonts w:hint="eastAsia"/>
                <w:color w:val="000000" w:themeColor="text1"/>
                <w:kern w:val="0"/>
                <w:szCs w:val="21"/>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规划及规划环境影响评价符合性分析</w:t>
            </w:r>
          </w:p>
        </w:tc>
        <w:tc>
          <w:tcPr>
            <w:tcW w:w="7981" w:type="dxa"/>
            <w:gridSpan w:val="4"/>
            <w:vAlign w:val="center"/>
          </w:tcPr>
          <w:p>
            <w:pPr>
              <w:autoSpaceDE w:val="0"/>
              <w:autoSpaceDN w:val="0"/>
              <w:adjustRightInd w:val="0"/>
              <w:snapToGrid w:val="0"/>
              <w:spacing w:line="360" w:lineRule="auto"/>
              <w:ind w:firstLine="422" w:firstLineChars="200"/>
              <w:rPr>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1、与《云南东川产业园区总体规划修编（2021-2035）》的相符性分析</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w:t>
            </w:r>
            <w:r>
              <w:rPr>
                <w:rFonts w:hint="eastAsia"/>
                <w:b/>
                <w:bCs/>
                <w:color w:val="000000" w:themeColor="text1"/>
                <w:kern w:val="0"/>
                <w:szCs w:val="21"/>
                <w14:textFill>
                  <w14:solidFill>
                    <w14:schemeClr w14:val="tx1"/>
                  </w14:solidFill>
                </w14:textFill>
              </w:rPr>
              <w:t>云南东川产业园区总体规划修编（2021-2035）</w:t>
            </w:r>
            <w:r>
              <w:rPr>
                <w:rFonts w:hint="eastAsia"/>
                <w:color w:val="000000" w:themeColor="text1"/>
                <w:kern w:val="0"/>
                <w:szCs w:val="21"/>
                <w14:textFill>
                  <w14:solidFill>
                    <w14:schemeClr w14:val="tx1"/>
                  </w14:solidFill>
                </w14:textFill>
              </w:rPr>
              <w:t>》，园区空间布局为“一园三片区”，规划总面积13.7087km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，其中四方地片区5.4699km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、碧谷片区6.6795km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vertAlign w:val="baseline"/>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天生桥片区1.5593km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，总规划面积较上版规划减少22.5313km</w:t>
            </w:r>
            <w:r>
              <w:rPr>
                <w:rFonts w:hint="eastAsia"/>
                <w:color w:val="000000" w:themeColor="text1"/>
                <w:kern w:val="0"/>
                <w:szCs w:val="21"/>
                <w:vertAlign w:val="superscript"/>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《规划》以</w:t>
            </w:r>
            <w:r>
              <w:rPr>
                <w:rFonts w:hint="eastAsia"/>
                <w:b/>
                <w:bCs/>
                <w:color w:val="000000" w:themeColor="text1"/>
                <w:kern w:val="0"/>
                <w:szCs w:val="21"/>
                <w14:textFill>
                  <w14:solidFill>
                    <w14:schemeClr w14:val="tx1"/>
                  </w14:solidFill>
                </w14:textFill>
              </w:rPr>
              <w:t>新材料</w:t>
            </w:r>
            <w:r>
              <w:rPr>
                <w:rFonts w:hint="eastAsia"/>
                <w:color w:val="000000" w:themeColor="text1"/>
                <w:kern w:val="0"/>
                <w:szCs w:val="21"/>
                <w14:textFill>
                  <w14:solidFill>
                    <w14:schemeClr w14:val="tx1"/>
                  </w14:solidFill>
                </w14:textFill>
              </w:rPr>
              <w:t>为主导产业，冶金、消费品与食品产业为辅助产业。其中，四方地片区重点布局先进有色金属材料及稀贵金属材料、化工新材料、新型建材产业、新能源材料产业</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碧谷片区以先进有色金属材料、</w:t>
            </w:r>
            <w:r>
              <w:rPr>
                <w:rFonts w:hint="eastAsia"/>
                <w:b/>
                <w:bCs/>
                <w:color w:val="000000" w:themeColor="text1"/>
                <w:kern w:val="0"/>
                <w:szCs w:val="21"/>
                <w14:textFill>
                  <w14:solidFill>
                    <w14:schemeClr w14:val="tx1"/>
                  </w14:solidFill>
                </w14:textFill>
              </w:rPr>
              <w:t>新能源材料产业</w:t>
            </w:r>
            <w:r>
              <w:rPr>
                <w:rFonts w:hint="eastAsia"/>
                <w:color w:val="000000" w:themeColor="text1"/>
                <w:kern w:val="0"/>
                <w:szCs w:val="21"/>
                <w14:textFill>
                  <w14:solidFill>
                    <w14:schemeClr w14:val="tx1"/>
                  </w14:solidFill>
                </w14:textFill>
              </w:rPr>
              <w:t>、建筑建材产业和消费品</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含再生纸回收利用</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与食品加工产业</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非烟轻工</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为主导</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天生桥片区重点发展以“城市矿产”为主的循环经济、新能源和新型建材产业。</w:t>
            </w:r>
          </w:p>
          <w:p>
            <w:pPr>
              <w:autoSpaceDE w:val="0"/>
              <w:autoSpaceDN w:val="0"/>
              <w:adjustRightInd w:val="0"/>
              <w:snapToGrid w:val="0"/>
              <w:spacing w:line="360" w:lineRule="auto"/>
              <w:ind w:firstLine="420" w:firstLineChars="200"/>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《规划》营业收入目标为1000亿，规划期限为2021-2035年</w:t>
            </w:r>
            <w:r>
              <w:rPr>
                <w:rFonts w:hint="eastAsia"/>
                <w:color w:val="000000" w:themeColor="text1"/>
                <w:kern w:val="0"/>
                <w:szCs w:val="21"/>
                <w:lang w:eastAsia="zh-CN"/>
                <w14:textFill>
                  <w14:solidFill>
                    <w14:schemeClr w14:val="tx1"/>
                  </w14:solidFill>
                </w14:textFill>
              </w:rPr>
              <w:t>。</w:t>
            </w:r>
          </w:p>
          <w:p>
            <w:pPr>
              <w:autoSpaceDE w:val="0"/>
              <w:autoSpaceDN w:val="0"/>
              <w:adjustRightInd w:val="0"/>
              <w:snapToGrid w:val="0"/>
              <w:spacing w:line="360" w:lineRule="auto"/>
              <w:ind w:firstLine="420" w:firstLineChars="200"/>
              <w:rPr>
                <w:rFonts w:hint="eastAsia"/>
                <w:b/>
                <w:bCs/>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本项目位于云南省昆明市东川区碧谷工业园区（新格路与碧龙路交叉口南上段标准化厂房内），属于碧谷工业片区；本项目属于C3099其他非金属矿物制品制造，</w:t>
            </w:r>
            <w:r>
              <w:rPr>
                <w:rFonts w:hint="eastAsia"/>
                <w:b/>
                <w:bCs/>
                <w:color w:val="000000" w:themeColor="text1"/>
                <w:kern w:val="0"/>
                <w:szCs w:val="21"/>
                <w:lang w:val="en-US" w:eastAsia="zh-CN"/>
                <w14:textFill>
                  <w14:solidFill>
                    <w14:schemeClr w14:val="tx1"/>
                  </w14:solidFill>
                </w14:textFill>
              </w:rPr>
              <w:t>产品为多晶硅，用于光伏太阳能板，属于光伏新能源材料，是园区规划主导产业</w:t>
            </w:r>
            <w:r>
              <w:rPr>
                <w:rFonts w:hint="eastAsia"/>
                <w:color w:val="000000" w:themeColor="text1"/>
                <w:kern w:val="0"/>
                <w:szCs w:val="21"/>
                <w:lang w:val="en-US" w:eastAsia="zh-CN"/>
                <w14:textFill>
                  <w14:solidFill>
                    <w14:schemeClr w14:val="tx1"/>
                  </w14:solidFill>
                </w14:textFill>
              </w:rPr>
              <w:t>。</w:t>
            </w:r>
            <w:r>
              <w:rPr>
                <w:rFonts w:hint="eastAsia"/>
                <w:b/>
                <w:bCs/>
                <w:color w:val="000000" w:themeColor="text1"/>
                <w:kern w:val="0"/>
                <w:szCs w:val="21"/>
                <w:lang w:val="en-US" w:eastAsia="zh-CN"/>
                <w14:textFill>
                  <w14:solidFill>
                    <w14:schemeClr w14:val="tx1"/>
                  </w14:solidFill>
                </w14:textFill>
              </w:rPr>
              <w:t>本项目符合园区的未来发展规划。</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为此，</w:t>
            </w:r>
            <w:r>
              <w:rPr>
                <w:rFonts w:hint="eastAsia"/>
                <w:color w:val="000000" w:themeColor="text1"/>
                <w:kern w:val="0"/>
                <w:szCs w:val="21"/>
                <w14:textFill>
                  <w14:solidFill>
                    <w14:schemeClr w14:val="tx1"/>
                  </w14:solidFill>
                </w14:textFill>
              </w:rPr>
              <w:t>东川再就业特色产业园区管理委员会于202</w:t>
            </w:r>
            <w:r>
              <w:rPr>
                <w:rFonts w:hint="eastAsia"/>
                <w:color w:val="000000" w:themeColor="text1"/>
                <w:kern w:val="0"/>
                <w:szCs w:val="21"/>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年</w:t>
            </w:r>
            <w:r>
              <w:rPr>
                <w:rFonts w:hint="eastAsia"/>
                <w:color w:val="000000" w:themeColor="text1"/>
                <w:kern w:val="0"/>
                <w:szCs w:val="21"/>
                <w:lang w:val="en-US" w:eastAsia="zh-CN"/>
                <w14:textFill>
                  <w14:solidFill>
                    <w14:schemeClr w14:val="tx1"/>
                  </w14:solidFill>
                </w14:textFill>
              </w:rPr>
              <w:t>10</w:t>
            </w:r>
            <w:r>
              <w:rPr>
                <w:rFonts w:hint="eastAsia"/>
                <w:color w:val="000000" w:themeColor="text1"/>
                <w:kern w:val="0"/>
                <w:szCs w:val="21"/>
                <w14:textFill>
                  <w14:solidFill>
                    <w14:schemeClr w14:val="tx1"/>
                  </w14:solidFill>
                </w14:textFill>
              </w:rPr>
              <w:t>月2</w:t>
            </w:r>
            <w:r>
              <w:rPr>
                <w:rFonts w:hint="eastAsia"/>
                <w:color w:val="000000" w:themeColor="text1"/>
                <w:kern w:val="0"/>
                <w:szCs w:val="21"/>
                <w:lang w:val="en-US" w:eastAsia="zh-CN"/>
                <w14:textFill>
                  <w14:solidFill>
                    <w14:schemeClr w14:val="tx1"/>
                  </w14:solidFill>
                </w14:textFill>
              </w:rPr>
              <w:t>6</w:t>
            </w:r>
            <w:r>
              <w:rPr>
                <w:rFonts w:hint="eastAsia"/>
                <w:color w:val="000000" w:themeColor="text1"/>
                <w:kern w:val="0"/>
                <w:szCs w:val="21"/>
                <w14:textFill>
                  <w14:solidFill>
                    <w14:schemeClr w14:val="tx1"/>
                  </w14:solidFill>
                </w14:textFill>
              </w:rPr>
              <w:t>日下发了《东川再就业特色产业园区管理委员会关于</w:t>
            </w:r>
            <w:r>
              <w:rPr>
                <w:rFonts w:hint="eastAsia"/>
                <w:color w:val="000000" w:themeColor="text1"/>
                <w:kern w:val="0"/>
                <w:szCs w:val="21"/>
                <w:lang w:val="en-US" w:eastAsia="zh-CN"/>
                <w14:textFill>
                  <w14:solidFill>
                    <w14:schemeClr w14:val="tx1"/>
                  </w14:solidFill>
                </w14:textFill>
              </w:rPr>
              <w:t>昆明市东川区嘉粟科技有限责任公司多晶硅碎片综合利用项目入</w:t>
            </w:r>
            <w:r>
              <w:rPr>
                <w:rFonts w:hint="eastAsia"/>
                <w:color w:val="000000" w:themeColor="text1"/>
                <w:kern w:val="0"/>
                <w:szCs w:val="21"/>
                <w14:textFill>
                  <w14:solidFill>
                    <w14:schemeClr w14:val="tx1"/>
                  </w14:solidFill>
                </w14:textFill>
              </w:rPr>
              <w:t>驻碧谷工业园区</w:t>
            </w:r>
            <w:r>
              <w:rPr>
                <w:rFonts w:hint="eastAsia"/>
                <w:color w:val="000000" w:themeColor="text1"/>
                <w:kern w:val="0"/>
                <w:szCs w:val="21"/>
                <w:lang w:val="en-US" w:eastAsia="zh-CN"/>
                <w14:textFill>
                  <w14:solidFill>
                    <w14:schemeClr w14:val="tx1"/>
                  </w14:solidFill>
                </w14:textFill>
              </w:rPr>
              <w:t>标准化厂房</w:t>
            </w:r>
            <w:r>
              <w:rPr>
                <w:rFonts w:hint="eastAsia"/>
                <w:color w:val="000000" w:themeColor="text1"/>
                <w:kern w:val="0"/>
                <w:szCs w:val="21"/>
                <w14:textFill>
                  <w14:solidFill>
                    <w14:schemeClr w14:val="tx1"/>
                  </w14:solidFill>
                </w14:textFill>
              </w:rPr>
              <w:t>的批复》（东特发[202</w:t>
            </w:r>
            <w:r>
              <w:rPr>
                <w:rFonts w:hint="eastAsia"/>
                <w:color w:val="000000" w:themeColor="text1"/>
                <w:kern w:val="0"/>
                <w:szCs w:val="21"/>
                <w:lang w:val="en-US" w:eastAsia="zh-CN"/>
                <w14:textFill>
                  <w14:solidFill>
                    <w14:schemeClr w14:val="tx1"/>
                  </w14:solidFill>
                </w14:textFill>
              </w:rPr>
              <w:t>2</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75</w:t>
            </w:r>
            <w:r>
              <w:rPr>
                <w:rFonts w:hint="eastAsia"/>
                <w:color w:val="000000" w:themeColor="text1"/>
                <w:kern w:val="0"/>
                <w:szCs w:val="21"/>
                <w14:textFill>
                  <w14:solidFill>
                    <w14:schemeClr w14:val="tx1"/>
                  </w14:solidFill>
                </w14:textFill>
              </w:rPr>
              <w:t>号）（详见附件5），同意该项目入驻东川区碧谷工业园区。因此，该项目符合东川区碧谷工业园区的管理规划及管理要求。</w:t>
            </w:r>
          </w:p>
          <w:p>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2、与《云南东川产业园区总体规划修编（2021-2035）环境影响报告书》及其审查意见相符性分析</w:t>
            </w:r>
          </w:p>
          <w:p>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2.1、与报告书相符性分析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本项目位于碧谷片区，因此本次环评仅对</w:t>
            </w:r>
            <w:r>
              <w:rPr>
                <w:rFonts w:hint="eastAsia"/>
                <w:b/>
                <w:bCs/>
                <w:color w:val="000000" w:themeColor="text1"/>
                <w:kern w:val="0"/>
                <w:szCs w:val="21"/>
                <w14:textFill>
                  <w14:solidFill>
                    <w14:schemeClr w14:val="tx1"/>
                  </w14:solidFill>
                </w14:textFill>
              </w:rPr>
              <w:t>碧谷片区</w:t>
            </w:r>
            <w:r>
              <w:rPr>
                <w:rFonts w:hint="eastAsia"/>
                <w:color w:val="000000" w:themeColor="text1"/>
                <w:kern w:val="0"/>
                <w:szCs w:val="21"/>
                <w14:textFill>
                  <w14:solidFill>
                    <w14:schemeClr w14:val="tx1"/>
                  </w14:solidFill>
                </w14:textFill>
              </w:rPr>
              <w:t>进行相关介绍和符合性分析。</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规划范围</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碧谷片区位于东川中心城区北部，规划面积782.52公顷，规划范围东至东起路大寨村级道路一线、南至老干沟一线、西至小新村铁路沿线凯通公司、北至龙潭社区小龙潭小组。</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规划期限</w:t>
            </w:r>
          </w:p>
          <w:p>
            <w:pPr>
              <w:autoSpaceDE w:val="0"/>
              <w:autoSpaceDN w:val="0"/>
              <w:adjustRightInd w:val="0"/>
              <w:snapToGrid w:val="0"/>
              <w:spacing w:line="360" w:lineRule="auto"/>
              <w:ind w:firstLine="420" w:firstLineChars="200"/>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本次规划的期限为20</w:t>
            </w:r>
            <w:r>
              <w:rPr>
                <w:rFonts w:hint="eastAsia"/>
                <w:color w:val="000000" w:themeColor="text1"/>
                <w:kern w:val="0"/>
                <w:szCs w:val="21"/>
                <w:lang w:val="en-US" w:eastAsia="zh-CN"/>
                <w14:textFill>
                  <w14:solidFill>
                    <w14:schemeClr w14:val="tx1"/>
                  </w14:solidFill>
                </w14:textFill>
              </w:rPr>
              <w:t>21</w:t>
            </w:r>
            <w:r>
              <w:rPr>
                <w:rFonts w:hint="eastAsia"/>
                <w:color w:val="000000" w:themeColor="text1"/>
                <w:kern w:val="0"/>
                <w:szCs w:val="21"/>
                <w14:textFill>
                  <w14:solidFill>
                    <w14:schemeClr w14:val="tx1"/>
                  </w14:solidFill>
                </w14:textFill>
              </w:rPr>
              <w:t>~2</w:t>
            </w:r>
            <w:r>
              <w:rPr>
                <w:rFonts w:hint="eastAsia"/>
                <w:color w:val="000000" w:themeColor="text1"/>
                <w:kern w:val="0"/>
                <w:szCs w:val="21"/>
                <w:lang w:val="en-US" w:eastAsia="zh-CN"/>
                <w14:textFill>
                  <w14:solidFill>
                    <w14:schemeClr w14:val="tx1"/>
                  </w14:solidFill>
                </w14:textFill>
              </w:rPr>
              <w:t>03</w:t>
            </w:r>
            <w:r>
              <w:rPr>
                <w:rFonts w:hint="eastAsia"/>
                <w:color w:val="000000" w:themeColor="text1"/>
                <w:kern w:val="0"/>
                <w:szCs w:val="21"/>
                <w14:textFill>
                  <w14:solidFill>
                    <w14:schemeClr w14:val="tx1"/>
                  </w14:solidFill>
                </w14:textFill>
              </w:rPr>
              <w:t>5年。分近期、中期和远期建设，其中</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近期2021-2025年</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中期2026-2030年</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远期2031-2035年</w:t>
            </w:r>
            <w:r>
              <w:rPr>
                <w:rFonts w:hint="eastAsia"/>
                <w:color w:val="000000" w:themeColor="text1"/>
                <w:kern w:val="0"/>
                <w:szCs w:val="21"/>
                <w:lang w:eastAsia="zh-CN"/>
                <w14:textFill>
                  <w14:solidFill>
                    <w14:schemeClr w14:val="tx1"/>
                  </w14:solidFill>
                </w14:textFill>
              </w:rPr>
              <w:t>。</w:t>
            </w:r>
          </w:p>
          <w:p>
            <w:pPr>
              <w:numPr>
                <w:ilvl w:val="0"/>
                <w:numId w:val="2"/>
              </w:num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规划定位</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根据相关规划要求，结合东川产业园区位条件和本身的产业优势和发展潜力，园区定位为:</w:t>
            </w:r>
          </w:p>
          <w:p>
            <w:pPr>
              <w:autoSpaceDE w:val="0"/>
              <w:autoSpaceDN w:val="0"/>
              <w:adjustRightInd w:val="0"/>
              <w:snapToGrid w:val="0"/>
              <w:spacing w:line="360" w:lineRule="auto"/>
              <w:ind w:firstLine="422" w:firstLineChars="200"/>
              <w:rPr>
                <w:rFonts w:hint="eastAsia" w:eastAsia="宋体"/>
                <w:color w:val="000000" w:themeColor="text1"/>
                <w:kern w:val="0"/>
                <w:szCs w:val="21"/>
                <w:lang w:eastAsia="zh-CN"/>
                <w14:textFill>
                  <w14:solidFill>
                    <w14:schemeClr w14:val="tx1"/>
                  </w14:solidFill>
                </w14:textFill>
              </w:rPr>
            </w:pPr>
            <w:r>
              <w:rPr>
                <w:rFonts w:hint="eastAsia"/>
                <w:b/>
                <w:bCs/>
                <w:color w:val="000000" w:themeColor="text1"/>
                <w:kern w:val="0"/>
                <w:szCs w:val="21"/>
                <w14:textFill>
                  <w14:solidFill>
                    <w14:schemeClr w14:val="tx1"/>
                  </w14:solidFill>
                </w14:textFill>
              </w:rPr>
              <w:t>国家资源枯竭型城市产业转型发展示范区</w:t>
            </w:r>
            <w:r>
              <w:rPr>
                <w:rFonts w:hint="eastAsia"/>
                <w:color w:val="000000" w:themeColor="text1"/>
                <w:kern w:val="0"/>
                <w:szCs w:val="21"/>
                <w:lang w:eastAsia="zh-CN"/>
                <w14:textFill>
                  <w14:solidFill>
                    <w14:schemeClr w14:val="tx1"/>
                  </w14:solidFill>
                </w14:textFill>
              </w:rPr>
              <w:t>；</w:t>
            </w:r>
            <w:r>
              <w:rPr>
                <w:rFonts w:hint="eastAsia"/>
                <w:b/>
                <w:bCs/>
                <w:color w:val="000000" w:themeColor="text1"/>
                <w:kern w:val="0"/>
                <w:szCs w:val="21"/>
                <w14:textFill>
                  <w14:solidFill>
                    <w14:schemeClr w14:val="tx1"/>
                  </w14:solidFill>
                </w14:textFill>
              </w:rPr>
              <w:t>国家工业资源综合利用示范基地</w:t>
            </w:r>
            <w:r>
              <w:rPr>
                <w:rFonts w:hint="eastAsia"/>
                <w:color w:val="000000" w:themeColor="text1"/>
                <w:kern w:val="0"/>
                <w:szCs w:val="21"/>
                <w:lang w:eastAsia="zh-CN"/>
                <w14:textFill>
                  <w14:solidFill>
                    <w14:schemeClr w14:val="tx1"/>
                  </w14:solidFill>
                </w14:textFill>
              </w:rPr>
              <w:t>；</w:t>
            </w:r>
            <w:r>
              <w:rPr>
                <w:rFonts w:hint="eastAsia"/>
                <w:b/>
                <w:bCs/>
                <w:color w:val="000000" w:themeColor="text1"/>
                <w:kern w:val="0"/>
                <w:szCs w:val="21"/>
                <w14:textFill>
                  <w14:solidFill>
                    <w14:schemeClr w14:val="tx1"/>
                  </w14:solidFill>
                </w14:textFill>
              </w:rPr>
              <w:t>云南有色及稀贵金属新材料产业示范基地</w:t>
            </w:r>
            <w:r>
              <w:rPr>
                <w:rFonts w:hint="eastAsia"/>
                <w:color w:val="000000" w:themeColor="text1"/>
                <w:kern w:val="0"/>
                <w:szCs w:val="21"/>
                <w:lang w:eastAsia="zh-CN"/>
                <w14:textFill>
                  <w14:solidFill>
                    <w14:schemeClr w14:val="tx1"/>
                  </w14:solidFill>
                </w14:textFill>
              </w:rPr>
              <w:t>。</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材料产业园区，依托东川工业资源综合利用基地</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国家级</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，以现状产业升级为主，建设成为有色及稀贵金属、精细磷化工、新材料产业区。</w:t>
            </w:r>
          </w:p>
          <w:p>
            <w:pPr>
              <w:autoSpaceDE w:val="0"/>
              <w:autoSpaceDN w:val="0"/>
              <w:adjustRightInd w:val="0"/>
              <w:snapToGrid w:val="0"/>
              <w:spacing w:line="360" w:lineRule="auto"/>
              <w:ind w:firstLine="422" w:firstLineChars="200"/>
              <w:rPr>
                <w:rFonts w:hint="eastAsia"/>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碧谷片区</w:t>
            </w:r>
            <w:r>
              <w:rPr>
                <w:rFonts w:hint="eastAsia"/>
                <w:b/>
                <w:bCs/>
                <w:color w:val="000000" w:themeColor="text1"/>
                <w:kern w:val="0"/>
                <w:szCs w:val="21"/>
                <w:lang w:val="en-US" w:eastAsia="zh-CN"/>
                <w14:textFill>
                  <w14:solidFill>
                    <w14:schemeClr w14:val="tx1"/>
                  </w14:solidFill>
                </w14:textFill>
              </w:rPr>
              <w:t>定位：</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易地扶贫搬迁创业就业区和产城融合带动区，利用交通区位优势和东川北部新城发展机遇，打造兼具园区和城市功能的产城一体区。</w:t>
            </w:r>
          </w:p>
          <w:p>
            <w:pPr>
              <w:autoSpaceDE w:val="0"/>
              <w:autoSpaceDN w:val="0"/>
              <w:adjustRightInd w:val="0"/>
              <w:snapToGrid w:val="0"/>
              <w:spacing w:line="360" w:lineRule="auto"/>
              <w:ind w:firstLine="422" w:firstLineChars="200"/>
              <w:rPr>
                <w:rFonts w:hint="eastAsia"/>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碧谷片区</w:t>
            </w:r>
            <w:r>
              <w:rPr>
                <w:rFonts w:hint="eastAsia"/>
                <w:b/>
                <w:bCs/>
                <w:color w:val="000000" w:themeColor="text1"/>
                <w:kern w:val="0"/>
                <w:szCs w:val="21"/>
                <w:lang w:val="en-US" w:eastAsia="zh-CN"/>
                <w14:textFill>
                  <w14:solidFill>
                    <w14:schemeClr w14:val="tx1"/>
                  </w14:solidFill>
                </w14:textFill>
              </w:rPr>
              <w:t>定位：</w:t>
            </w:r>
          </w:p>
          <w:p>
            <w:pPr>
              <w:autoSpaceDE w:val="0"/>
              <w:autoSpaceDN w:val="0"/>
              <w:adjustRightInd w:val="0"/>
              <w:snapToGrid w:val="0"/>
              <w:spacing w:line="360" w:lineRule="auto"/>
              <w:ind w:firstLine="420" w:firstLineChars="200"/>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主导产业</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重点发展以矿山机械设备、环保专用设备、</w:t>
            </w:r>
            <w:r>
              <w:rPr>
                <w:rFonts w:hint="eastAsia"/>
                <w:b/>
                <w:bCs/>
                <w:color w:val="000000" w:themeColor="text1"/>
                <w:kern w:val="0"/>
                <w:szCs w:val="21"/>
                <w14:textFill>
                  <w14:solidFill>
                    <w14:schemeClr w14:val="tx1"/>
                  </w14:solidFill>
                </w14:textFill>
              </w:rPr>
              <w:t>新能源设备</w:t>
            </w:r>
            <w:r>
              <w:rPr>
                <w:rFonts w:hint="eastAsia"/>
                <w:color w:val="000000" w:themeColor="text1"/>
                <w:kern w:val="0"/>
                <w:szCs w:val="21"/>
                <w14:textFill>
                  <w14:solidFill>
                    <w14:schemeClr w14:val="tx1"/>
                  </w14:solidFill>
                </w14:textFill>
              </w:rPr>
              <w:t>、电子元器件、家电生产等为重点的装备制造业</w:t>
            </w:r>
            <w:r>
              <w:rPr>
                <w:rFonts w:hint="eastAsia"/>
                <w:color w:val="000000" w:themeColor="text1"/>
                <w:kern w:val="0"/>
                <w:szCs w:val="21"/>
                <w:lang w:eastAsia="zh-CN"/>
                <w14:textFill>
                  <w14:solidFill>
                    <w14:schemeClr w14:val="tx1"/>
                  </w14:solidFill>
                </w14:textFill>
              </w:rPr>
              <w:t>；</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配套产业</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配套发展铜基新材料、建筑建材产业、商贸物流、</w:t>
            </w:r>
            <w:r>
              <w:rPr>
                <w:rFonts w:hint="eastAsia"/>
                <w:b/>
                <w:bCs/>
                <w:color w:val="000000" w:themeColor="text1"/>
                <w:kern w:val="0"/>
                <w:szCs w:val="21"/>
                <w14:textFill>
                  <w14:solidFill>
                    <w14:schemeClr w14:val="tx1"/>
                  </w14:solidFill>
                </w14:textFill>
              </w:rPr>
              <w:t>新能源产业</w:t>
            </w:r>
            <w:r>
              <w:rPr>
                <w:rFonts w:hint="eastAsia"/>
                <w:b/>
                <w:bCs/>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轻工消费品制造及食品生产加工产业，辅助发展其他耦合轻工业和生产性服务业等。</w:t>
            </w:r>
          </w:p>
          <w:p>
            <w:pPr>
              <w:autoSpaceDE w:val="0"/>
              <w:autoSpaceDN w:val="0"/>
              <w:adjustRightInd w:val="0"/>
              <w:snapToGrid w:val="0"/>
              <w:spacing w:line="360" w:lineRule="auto"/>
              <w:ind w:firstLine="422" w:firstLineChars="200"/>
              <w:rPr>
                <w:rFonts w:hint="eastAsia" w:eastAsia="宋体"/>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环境准入负面清单：</w:t>
            </w:r>
          </w:p>
          <w:p>
            <w:pPr>
              <w:pStyle w:val="62"/>
              <w:ind w:firstLine="0" w:firstLineChars="0"/>
              <w:jc w:val="center"/>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表1-</w:t>
            </w:r>
            <w:r>
              <w:rPr>
                <w:rFonts w:hint="eastAsia"/>
                <w:b/>
                <w:bCs/>
                <w:color w:val="000000" w:themeColor="text1"/>
                <w:sz w:val="21"/>
                <w:szCs w:val="21"/>
                <w:lang w:val="en-US" w:eastAsia="zh-CN"/>
                <w14:textFill>
                  <w14:solidFill>
                    <w14:schemeClr w14:val="tx1"/>
                  </w14:solidFill>
                </w14:textFill>
              </w:rPr>
              <w:t>1</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碧谷片区</w:t>
            </w:r>
            <w:r>
              <w:rPr>
                <w:rFonts w:hint="eastAsia"/>
                <w:b/>
                <w:bCs/>
                <w:color w:val="000000" w:themeColor="text1"/>
                <w:sz w:val="21"/>
                <w:szCs w:val="21"/>
                <w14:textFill>
                  <w14:solidFill>
                    <w14:schemeClr w14:val="tx1"/>
                  </w14:solidFill>
                </w14:textFill>
              </w:rPr>
              <w:t>管控单元及管控要求</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739"/>
              <w:gridCol w:w="761"/>
              <w:gridCol w:w="3012"/>
              <w:gridCol w:w="25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20" w:type="dxa"/>
                  <w:tcBorders>
                    <w:tl2br w:val="nil"/>
                    <w:tr2bl w:val="nil"/>
                  </w:tcBorders>
                  <w:vAlign w:val="center"/>
                </w:tcPr>
                <w:p>
                  <w:pPr>
                    <w:jc w:val="center"/>
                    <w:rPr>
                      <w:rFonts w:hint="default" w:eastAsia="宋体"/>
                      <w:b/>
                      <w:color w:val="000000" w:themeColor="text1"/>
                      <w:spacing w:val="4"/>
                      <w:kern w:val="24"/>
                      <w:szCs w:val="21"/>
                      <w:lang w:val="en-US" w:eastAsia="zh-CN"/>
                      <w14:textFill>
                        <w14:solidFill>
                          <w14:schemeClr w14:val="tx1"/>
                        </w14:solidFill>
                      </w14:textFill>
                    </w:rPr>
                  </w:pPr>
                  <w:r>
                    <w:rPr>
                      <w:rFonts w:hint="eastAsia"/>
                      <w:b/>
                      <w:color w:val="000000" w:themeColor="text1"/>
                      <w:spacing w:val="4"/>
                      <w:kern w:val="24"/>
                      <w:szCs w:val="21"/>
                      <w:lang w:val="en-US" w:eastAsia="zh-CN"/>
                      <w14:textFill>
                        <w14:solidFill>
                          <w14:schemeClr w14:val="tx1"/>
                        </w14:solidFill>
                      </w14:textFill>
                    </w:rPr>
                    <w:t>管控单元</w:t>
                  </w:r>
                </w:p>
              </w:tc>
              <w:tc>
                <w:tcPr>
                  <w:tcW w:w="739" w:type="dxa"/>
                  <w:tcBorders>
                    <w:tl2br w:val="nil"/>
                    <w:tr2bl w:val="nil"/>
                  </w:tcBorders>
                  <w:vAlign w:val="center"/>
                </w:tcPr>
                <w:p>
                  <w:pPr>
                    <w:jc w:val="center"/>
                    <w:rPr>
                      <w:rFonts w:hint="default" w:eastAsia="宋体"/>
                      <w:b/>
                      <w:color w:val="000000" w:themeColor="text1"/>
                      <w:spacing w:val="4"/>
                      <w:kern w:val="24"/>
                      <w:szCs w:val="21"/>
                      <w:lang w:val="en-US" w:eastAsia="zh-CN"/>
                      <w14:textFill>
                        <w14:solidFill>
                          <w14:schemeClr w14:val="tx1"/>
                        </w14:solidFill>
                      </w14:textFill>
                    </w:rPr>
                  </w:pPr>
                  <w:r>
                    <w:rPr>
                      <w:rFonts w:hint="eastAsia"/>
                      <w:b/>
                      <w:color w:val="000000" w:themeColor="text1"/>
                      <w:spacing w:val="4"/>
                      <w:kern w:val="24"/>
                      <w:szCs w:val="21"/>
                      <w:lang w:val="en-US" w:eastAsia="zh-CN"/>
                      <w14:textFill>
                        <w14:solidFill>
                          <w14:schemeClr w14:val="tx1"/>
                        </w14:solidFill>
                      </w14:textFill>
                    </w:rPr>
                    <w:t>单元范围</w:t>
                  </w:r>
                </w:p>
              </w:tc>
              <w:tc>
                <w:tcPr>
                  <w:tcW w:w="761" w:type="dxa"/>
                  <w:tcBorders>
                    <w:tl2br w:val="nil"/>
                    <w:tr2bl w:val="nil"/>
                  </w:tcBorders>
                  <w:vAlign w:val="center"/>
                </w:tcPr>
                <w:p>
                  <w:pPr>
                    <w:jc w:val="center"/>
                    <w:rPr>
                      <w:rFonts w:hint="default" w:eastAsia="宋体"/>
                      <w:b/>
                      <w:color w:val="000000" w:themeColor="text1"/>
                      <w:spacing w:val="4"/>
                      <w:kern w:val="24"/>
                      <w:szCs w:val="21"/>
                      <w:lang w:val="en-US" w:eastAsia="zh-CN"/>
                      <w14:textFill>
                        <w14:solidFill>
                          <w14:schemeClr w14:val="tx1"/>
                        </w14:solidFill>
                      </w14:textFill>
                    </w:rPr>
                  </w:pPr>
                  <w:r>
                    <w:rPr>
                      <w:rFonts w:hint="eastAsia"/>
                      <w:b/>
                      <w:color w:val="000000" w:themeColor="text1"/>
                      <w:spacing w:val="4"/>
                      <w:kern w:val="24"/>
                      <w:szCs w:val="21"/>
                      <w:lang w:val="en-US" w:eastAsia="zh-CN"/>
                      <w14:textFill>
                        <w14:solidFill>
                          <w14:schemeClr w14:val="tx1"/>
                        </w14:solidFill>
                      </w14:textFill>
                    </w:rPr>
                    <w:t>管控类别</w:t>
                  </w:r>
                </w:p>
              </w:tc>
              <w:tc>
                <w:tcPr>
                  <w:tcW w:w="3012" w:type="dxa"/>
                  <w:tcBorders>
                    <w:tl2br w:val="nil"/>
                    <w:tr2bl w:val="nil"/>
                  </w:tcBorders>
                  <w:vAlign w:val="center"/>
                </w:tcPr>
                <w:p>
                  <w:pPr>
                    <w:jc w:val="center"/>
                    <w:rPr>
                      <w:rFonts w:hint="default"/>
                      <w:b/>
                      <w:color w:val="000000" w:themeColor="text1"/>
                      <w:spacing w:val="4"/>
                      <w:kern w:val="24"/>
                      <w:szCs w:val="21"/>
                      <w:lang w:val="en-US" w:eastAsia="zh-CN"/>
                      <w14:textFill>
                        <w14:solidFill>
                          <w14:schemeClr w14:val="tx1"/>
                        </w14:solidFill>
                      </w14:textFill>
                    </w:rPr>
                  </w:pPr>
                  <w:r>
                    <w:rPr>
                      <w:rFonts w:hint="eastAsia"/>
                      <w:b/>
                      <w:color w:val="000000" w:themeColor="text1"/>
                      <w:spacing w:val="4"/>
                      <w:kern w:val="24"/>
                      <w:szCs w:val="21"/>
                      <w:lang w:val="en-US" w:eastAsia="zh-CN"/>
                      <w14:textFill>
                        <w14:solidFill>
                          <w14:schemeClr w14:val="tx1"/>
                        </w14:solidFill>
                      </w14:textFill>
                    </w:rPr>
                    <w:t>管控要求</w:t>
                  </w:r>
                </w:p>
              </w:tc>
              <w:tc>
                <w:tcPr>
                  <w:tcW w:w="2597" w:type="dxa"/>
                  <w:tcBorders>
                    <w:tl2br w:val="nil"/>
                    <w:tr2bl w:val="nil"/>
                  </w:tcBorders>
                  <w:vAlign w:val="center"/>
                </w:tcPr>
                <w:p>
                  <w:pPr>
                    <w:jc w:val="center"/>
                    <w:rPr>
                      <w:rFonts w:hint="default"/>
                      <w:b/>
                      <w:color w:val="000000" w:themeColor="text1"/>
                      <w:spacing w:val="4"/>
                      <w:kern w:val="24"/>
                      <w:szCs w:val="21"/>
                      <w:lang w:val="en-US" w:eastAsia="zh-CN"/>
                      <w14:textFill>
                        <w14:solidFill>
                          <w14:schemeClr w14:val="tx1"/>
                        </w14:solidFill>
                      </w14:textFill>
                    </w:rPr>
                  </w:pPr>
                  <w:r>
                    <w:rPr>
                      <w:rFonts w:hint="eastAsia"/>
                      <w:b/>
                      <w:color w:val="000000" w:themeColor="text1"/>
                      <w:spacing w:val="4"/>
                      <w:kern w:val="24"/>
                      <w:szCs w:val="21"/>
                      <w:lang w:val="en-US" w:eastAsia="zh-CN"/>
                      <w14:textFill>
                        <w14:solidFill>
                          <w14:schemeClr w14:val="tx1"/>
                        </w14:solidFill>
                      </w14:textFill>
                    </w:rPr>
                    <w:t>相符性分析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1" w:hRule="atLeast"/>
                <w:jc w:val="center"/>
              </w:trPr>
              <w:tc>
                <w:tcPr>
                  <w:tcW w:w="820" w:type="dxa"/>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重点管控单元</w:t>
                  </w:r>
                </w:p>
              </w:tc>
              <w:tc>
                <w:tcPr>
                  <w:tcW w:w="739" w:type="dxa"/>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碧谷片区</w:t>
                  </w:r>
                </w:p>
              </w:tc>
              <w:tc>
                <w:tcPr>
                  <w:tcW w:w="761" w:type="dxa"/>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产业布局约束</w:t>
                  </w:r>
                </w:p>
              </w:tc>
              <w:tc>
                <w:tcPr>
                  <w:tcW w:w="301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1、入驻项目须符合国家及云南省相关产业政策、符合园区规划产业布局</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严禁《产业结构调整指导目录》</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2019年本</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中淘汰类及限制类项目入驻</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严禁《环境保护综合名录</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2021年版</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 中高风险高污染行业入驻</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根据《产业结构调整指导目录（2019年本）》，项目属于鼓励类中“二十八、信息产业—51、先进的各类太阳能光伏电池及高纯晶体硅材料”</w:t>
                  </w:r>
                  <w:r>
                    <w:rPr>
                      <w:rFonts w:hint="eastAsia"/>
                      <w:color w:val="000000" w:themeColor="text1"/>
                      <w:spacing w:val="4"/>
                      <w:kern w:val="24"/>
                      <w:szCs w:val="21"/>
                      <w:lang w:val="en-US" w:eastAsia="zh-CN"/>
                      <w14:textFill>
                        <w14:solidFill>
                          <w14:schemeClr w14:val="tx1"/>
                        </w14:solidFill>
                      </w14:textFill>
                    </w:rPr>
                    <w:t>，符合国家和云南省的产业政策；不属于</w:t>
                  </w:r>
                  <w:r>
                    <w:rPr>
                      <w:rFonts w:hint="default" w:eastAsia="宋体"/>
                      <w:color w:val="000000" w:themeColor="text1"/>
                      <w:spacing w:val="4"/>
                      <w:kern w:val="24"/>
                      <w:szCs w:val="21"/>
                      <w:lang w:val="en-US" w:eastAsia="zh-CN"/>
                      <w14:textFill>
                        <w14:solidFill>
                          <w14:schemeClr w14:val="tx1"/>
                        </w14:solidFill>
                      </w14:textFill>
                    </w:rPr>
                    <w:t>《环境保护综合名录</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2021年版</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 中高风险高污染行业</w:t>
                  </w:r>
                  <w:r>
                    <w:rPr>
                      <w:rFonts w:hint="eastAsia"/>
                      <w:color w:val="000000" w:themeColor="text1"/>
                      <w:spacing w:val="4"/>
                      <w:kern w:val="24"/>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14:textFill>
                        <w14:solidFill>
                          <w14:schemeClr w14:val="tx1"/>
                        </w14:solidFill>
                      </w14:textFill>
                    </w:rPr>
                  </w:pPr>
                </w:p>
              </w:tc>
              <w:tc>
                <w:tcPr>
                  <w:tcW w:w="301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2、严禁排放国家《有毒有害大气污染物名录》废气污染物的企业、不符合园区产业规划的企业入园</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本项目不排放</w:t>
                  </w:r>
                  <w:r>
                    <w:rPr>
                      <w:rFonts w:hint="default" w:eastAsia="宋体"/>
                      <w:color w:val="000000" w:themeColor="text1"/>
                      <w:spacing w:val="4"/>
                      <w:kern w:val="24"/>
                      <w:szCs w:val="21"/>
                      <w:lang w:val="en-US" w:eastAsia="zh-CN"/>
                      <w14:textFill>
                        <w14:solidFill>
                          <w14:schemeClr w14:val="tx1"/>
                        </w14:solidFill>
                      </w14:textFill>
                    </w:rPr>
                    <w:t>《有毒有害大气污染物名录》废气污染物</w:t>
                  </w:r>
                  <w:r>
                    <w:rPr>
                      <w:rFonts w:hint="eastAsia"/>
                      <w:color w:val="000000" w:themeColor="text1"/>
                      <w:spacing w:val="4"/>
                      <w:kern w:val="24"/>
                      <w:szCs w:val="21"/>
                      <w:lang w:val="en-US" w:eastAsia="zh-CN"/>
                      <w14:textFill>
                        <w14:solidFill>
                          <w14:schemeClr w14:val="tx1"/>
                        </w14:solidFill>
                      </w14:textFill>
                    </w:rPr>
                    <w:t>，符合园区产业规划。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1" w:hRule="atLeast"/>
                <w:jc w:val="center"/>
              </w:trPr>
              <w:tc>
                <w:tcPr>
                  <w:tcW w:w="820"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739"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761"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301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3、产生国家《有毒有害大气污染物名录》废气污染物及与园区产业规划不符的现有企业，不得技改扩建，远期根据产业定位逐步关停或报迁至合规片区或园区，满足区域的管控要求</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本项目不排放</w:t>
                  </w:r>
                  <w:r>
                    <w:rPr>
                      <w:rFonts w:hint="default" w:eastAsia="宋体"/>
                      <w:color w:val="000000" w:themeColor="text1"/>
                      <w:spacing w:val="4"/>
                      <w:kern w:val="24"/>
                      <w:szCs w:val="21"/>
                      <w:lang w:val="en-US" w:eastAsia="zh-CN"/>
                      <w14:textFill>
                        <w14:solidFill>
                          <w14:schemeClr w14:val="tx1"/>
                        </w14:solidFill>
                      </w14:textFill>
                    </w:rPr>
                    <w:t>《有毒有害大气污染物名录》废气污染物</w:t>
                  </w:r>
                  <w:r>
                    <w:rPr>
                      <w:rFonts w:hint="eastAsia"/>
                      <w:color w:val="000000" w:themeColor="text1"/>
                      <w:spacing w:val="4"/>
                      <w:kern w:val="24"/>
                      <w:szCs w:val="21"/>
                      <w:lang w:val="en-US" w:eastAsia="zh-CN"/>
                      <w14:textFill>
                        <w14:solidFill>
                          <w14:schemeClr w14:val="tx1"/>
                        </w14:solidFill>
                      </w14:textFill>
                    </w:rPr>
                    <w:t>，符合园区产业规划。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20"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39"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761" w:type="dxa"/>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污染物排放管控</w:t>
                  </w:r>
                </w:p>
              </w:tc>
              <w:tc>
                <w:tcPr>
                  <w:tcW w:w="301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1、碧谷片区中水回用率</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25%</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严格按照</w:t>
                  </w:r>
                  <w:r>
                    <w:rPr>
                      <w:rFonts w:hint="eastAsia"/>
                      <w:color w:val="000000" w:themeColor="text1"/>
                      <w:sz w:val="21"/>
                      <w:szCs w:val="21"/>
                      <w:lang w:val="en-GB"/>
                      <w14:textFill>
                        <w14:solidFill>
                          <w14:schemeClr w14:val="tx1"/>
                        </w14:solidFill>
                      </w14:textFill>
                    </w:rPr>
                    <w:t>“雨污分流、一水多用、循环使用”的原则，</w:t>
                  </w:r>
                  <w:r>
                    <w:rPr>
                      <w:rFonts w:hint="eastAsia"/>
                      <w:color w:val="000000" w:themeColor="text1"/>
                      <w:sz w:val="21"/>
                      <w:szCs w:val="21"/>
                      <w14:textFill>
                        <w14:solidFill>
                          <w14:schemeClr w14:val="tx1"/>
                        </w14:solidFill>
                      </w14:textFill>
                    </w:rPr>
                    <w:t>仅排放生活污水，符合相关园区规划要求</w:t>
                  </w:r>
                  <w:r>
                    <w:rPr>
                      <w:rFonts w:hint="eastAsia"/>
                      <w:color w:val="000000" w:themeColor="text1"/>
                      <w:spacing w:val="4"/>
                      <w:kern w:val="24"/>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301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default" w:eastAsia="宋体"/>
                      <w:color w:val="000000" w:themeColor="text1"/>
                      <w:spacing w:val="4"/>
                      <w:kern w:val="24"/>
                      <w:szCs w:val="21"/>
                      <w:lang w:val="en-US" w:eastAsia="zh-CN"/>
                      <w14:textFill>
                        <w14:solidFill>
                          <w14:schemeClr w14:val="tx1"/>
                        </w14:solidFill>
                      </w14:textFill>
                    </w:rPr>
                    <w:t>2、入驻企业工业废水须自行预处理后达《污水综合排放标准》</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GB</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-1996</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表1和表4三级标准及《污水排入城镇下水道水质标准》</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GB/T</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-2015</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表1</w:t>
                  </w:r>
                  <w:r>
                    <w:rPr>
                      <w:rFonts w:hint="eastAsia"/>
                      <w:color w:val="000000" w:themeColor="text1"/>
                      <w:spacing w:val="4"/>
                      <w:kern w:val="24"/>
                      <w:szCs w:val="21"/>
                      <w:lang w:val="en-US" w:eastAsia="zh-CN"/>
                      <w14:textFill>
                        <w14:solidFill>
                          <w14:schemeClr w14:val="tx1"/>
                        </w14:solidFill>
                      </w14:textFill>
                    </w:rPr>
                    <w:t>中</w:t>
                  </w:r>
                  <w:r>
                    <w:rPr>
                      <w:rFonts w:hint="default" w:eastAsia="宋体"/>
                      <w:color w:val="000000" w:themeColor="text1"/>
                      <w:spacing w:val="4"/>
                      <w:kern w:val="24"/>
                      <w:szCs w:val="21"/>
                      <w:lang w:val="en-US" w:eastAsia="zh-CN"/>
                      <w14:textFill>
                        <w14:solidFill>
                          <w14:schemeClr w14:val="tx1"/>
                        </w14:solidFill>
                      </w14:textFill>
                    </w:rPr>
                    <w:t>A等级标准后方可排入园区污水处理处理</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生活污水经化粪池处理达</w:t>
                  </w:r>
                  <w:r>
                    <w:rPr>
                      <w:rFonts w:hint="default" w:eastAsia="宋体"/>
                      <w:color w:val="000000" w:themeColor="text1"/>
                      <w:spacing w:val="4"/>
                      <w:kern w:val="24"/>
                      <w:szCs w:val="21"/>
                      <w:lang w:val="en-US" w:eastAsia="zh-CN"/>
                      <w14:textFill>
                        <w14:solidFill>
                          <w14:schemeClr w14:val="tx1"/>
                        </w14:solidFill>
                      </w14:textFill>
                    </w:rPr>
                    <w:t>《污水综合排放标准》</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GB</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-1996</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表1和表4三级标准及《污水排入城镇下水道水质标准》</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GB/T</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-2015</w:t>
                  </w:r>
                  <w:r>
                    <w:rPr>
                      <w:rFonts w:hint="eastAsia"/>
                      <w:color w:val="000000" w:themeColor="text1"/>
                      <w:spacing w:val="4"/>
                      <w:kern w:val="24"/>
                      <w:szCs w:val="21"/>
                      <w:lang w:val="en-US" w:eastAsia="zh-CN"/>
                      <w14:textFill>
                        <w14:solidFill>
                          <w14:schemeClr w14:val="tx1"/>
                        </w14:solidFill>
                      </w14:textFill>
                    </w:rPr>
                    <w:t>）</w:t>
                  </w:r>
                  <w:r>
                    <w:rPr>
                      <w:rFonts w:hint="default" w:eastAsia="宋体"/>
                      <w:color w:val="000000" w:themeColor="text1"/>
                      <w:spacing w:val="4"/>
                      <w:kern w:val="24"/>
                      <w:szCs w:val="21"/>
                      <w:lang w:val="en-US" w:eastAsia="zh-CN"/>
                      <w14:textFill>
                        <w14:solidFill>
                          <w14:schemeClr w14:val="tx1"/>
                        </w14:solidFill>
                      </w14:textFill>
                    </w:rPr>
                    <w:t>表1</w:t>
                  </w:r>
                  <w:r>
                    <w:rPr>
                      <w:rFonts w:hint="eastAsia"/>
                      <w:color w:val="000000" w:themeColor="text1"/>
                      <w:spacing w:val="4"/>
                      <w:kern w:val="24"/>
                      <w:szCs w:val="21"/>
                      <w:lang w:val="en-US" w:eastAsia="zh-CN"/>
                      <w14:textFill>
                        <w14:solidFill>
                          <w14:schemeClr w14:val="tx1"/>
                        </w14:solidFill>
                      </w14:textFill>
                    </w:rPr>
                    <w:t>中</w:t>
                  </w:r>
                  <w:r>
                    <w:rPr>
                      <w:rFonts w:hint="default" w:eastAsia="宋体"/>
                      <w:color w:val="000000" w:themeColor="text1"/>
                      <w:spacing w:val="4"/>
                      <w:kern w:val="24"/>
                      <w:szCs w:val="21"/>
                      <w:lang w:val="en-US" w:eastAsia="zh-CN"/>
                      <w14:textFill>
                        <w14:solidFill>
                          <w14:schemeClr w14:val="tx1"/>
                        </w14:solidFill>
                      </w14:textFill>
                    </w:rPr>
                    <w:t>A等级标准</w:t>
                  </w:r>
                  <w:r>
                    <w:rPr>
                      <w:rFonts w:hint="eastAsia"/>
                      <w:color w:val="000000" w:themeColor="text1"/>
                      <w:kern w:val="0"/>
                      <w:szCs w:val="21"/>
                      <w:lang w:val="en-US" w:eastAsia="zh-CN"/>
                      <w14:textFill>
                        <w14:solidFill>
                          <w14:schemeClr w14:val="tx1"/>
                        </w14:solidFill>
                      </w14:textFill>
                    </w:rPr>
                    <w:t>后纳管。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820" w:type="dxa"/>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739" w:type="dxa"/>
                  <w:vMerge w:val="continue"/>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p>
              </w:tc>
              <w:tc>
                <w:tcPr>
                  <w:tcW w:w="761" w:type="dxa"/>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环境风险防控</w:t>
                  </w:r>
                </w:p>
              </w:tc>
              <w:tc>
                <w:tcPr>
                  <w:tcW w:w="3012" w:type="dxa"/>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eastAsia="宋体"/>
                      <w:color w:val="000000" w:themeColor="text1"/>
                      <w:spacing w:val="4"/>
                      <w:kern w:val="24"/>
                      <w:szCs w:val="21"/>
                      <w:lang w:val="en-US" w:eastAsia="zh-CN"/>
                      <w14:textFill>
                        <w14:solidFill>
                          <w14:schemeClr w14:val="tx1"/>
                        </w14:solidFill>
                      </w14:textFill>
                    </w:rPr>
                    <w:t>1、不得布置日常储量构成重大危险源的项目</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本项目风险物质为机油，最大储量为1t，不构成重大危险源。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0" w:hRule="atLeast"/>
                <w:jc w:val="center"/>
              </w:trPr>
              <w:tc>
                <w:tcPr>
                  <w:tcW w:w="820"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1" w:type="dxa"/>
                  <w:vMerge w:val="continue"/>
                  <w:tcBorders>
                    <w:tl2br w:val="nil"/>
                    <w:tr2bl w:val="nil"/>
                  </w:tcBorders>
                  <w:vAlign w:val="center"/>
                </w:tcPr>
                <w:p>
                  <w:pPr>
                    <w:jc w:val="center"/>
                    <w:rPr>
                      <w:color w:val="000000" w:themeColor="text1"/>
                      <w14:textFill>
                        <w14:solidFill>
                          <w14:schemeClr w14:val="tx1"/>
                        </w14:solidFill>
                      </w14:textFill>
                    </w:rPr>
                  </w:pPr>
                </w:p>
              </w:tc>
              <w:tc>
                <w:tcPr>
                  <w:tcW w:w="3012" w:type="dxa"/>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eastAsia="宋体"/>
                      <w:color w:val="000000" w:themeColor="text1"/>
                      <w:spacing w:val="4"/>
                      <w:kern w:val="24"/>
                      <w:szCs w:val="21"/>
                      <w:lang w:val="en-US" w:eastAsia="zh-CN"/>
                      <w14:textFill>
                        <w14:solidFill>
                          <w14:schemeClr w14:val="tx1"/>
                        </w14:solidFill>
                      </w14:textFill>
                    </w:rPr>
                    <w:t>2、入驻企业根据本评价地下水分区管控要求进行管控，严格管控项目的入驻，对洗马塘 每泉点、小新街1#泉点、小新街2#泉点、小龙潭村泉点、大龙潭村泉点等进行保护</w:t>
                  </w:r>
                  <w:r>
                    <w:rPr>
                      <w:rFonts w:hint="eastAsia"/>
                      <w:color w:val="000000" w:themeColor="text1"/>
                      <w:spacing w:val="4"/>
                      <w:kern w:val="24"/>
                      <w:szCs w:val="21"/>
                      <w:lang w:val="en-US" w:eastAsia="zh-CN"/>
                      <w14:textFill>
                        <w14:solidFill>
                          <w14:schemeClr w14:val="tx1"/>
                        </w14:solidFill>
                      </w14:textFill>
                    </w:rPr>
                    <w:t>，</w:t>
                  </w:r>
                  <w:r>
                    <w:rPr>
                      <w:rFonts w:hint="eastAsia" w:eastAsia="宋体"/>
                      <w:color w:val="000000" w:themeColor="text1"/>
                      <w:spacing w:val="4"/>
                      <w:kern w:val="24"/>
                      <w:szCs w:val="21"/>
                      <w:lang w:val="en-US" w:eastAsia="zh-CN"/>
                      <w14:textFill>
                        <w14:solidFill>
                          <w14:schemeClr w14:val="tx1"/>
                        </w14:solidFill>
                      </w14:textFill>
                    </w:rPr>
                    <w:t>严禁随意占用</w:t>
                  </w:r>
                  <w:r>
                    <w:rPr>
                      <w:rFonts w:hint="eastAsia"/>
                      <w:color w:val="000000" w:themeColor="text1"/>
                      <w:spacing w:val="4"/>
                      <w:kern w:val="24"/>
                      <w:szCs w:val="21"/>
                      <w:lang w:val="en-US" w:eastAsia="zh-CN"/>
                      <w14:textFill>
                        <w14:solidFill>
                          <w14:schemeClr w14:val="tx1"/>
                        </w14:solidFill>
                      </w14:textFill>
                    </w:rPr>
                    <w:t>。</w:t>
                  </w:r>
                </w:p>
              </w:tc>
              <w:tc>
                <w:tcPr>
                  <w:tcW w:w="2597"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本项目不涉及上述的泉点。</w:t>
                  </w:r>
                </w:p>
              </w:tc>
            </w:tr>
          </w:tbl>
          <w:p>
            <w:pPr>
              <w:autoSpaceDE w:val="0"/>
              <w:autoSpaceDN w:val="0"/>
              <w:adjustRightInd w:val="0"/>
              <w:snapToGrid w:val="0"/>
              <w:spacing w:line="360" w:lineRule="auto"/>
              <w:ind w:firstLine="422" w:firstLineChars="200"/>
              <w:rPr>
                <w:rFonts w:hint="default" w:eastAsia="宋体"/>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相符性分析：</w:t>
            </w:r>
            <w:r>
              <w:rPr>
                <w:rFonts w:hint="eastAsia"/>
                <w:color w:val="000000" w:themeColor="text1"/>
                <w:kern w:val="0"/>
                <w:szCs w:val="21"/>
                <w14:textFill>
                  <w14:solidFill>
                    <w14:schemeClr w14:val="tx1"/>
                  </w14:solidFill>
                </w14:textFill>
              </w:rPr>
              <w:t>本项目位于碧谷片区，属于C3099其他非金属矿物制品制造，</w:t>
            </w:r>
            <w:r>
              <w:rPr>
                <w:rFonts w:hint="eastAsia"/>
                <w:b/>
                <w:bCs/>
                <w:color w:val="000000" w:themeColor="text1"/>
                <w:kern w:val="0"/>
                <w:szCs w:val="21"/>
                <w:lang w:val="en-US" w:eastAsia="zh-CN"/>
                <w14:textFill>
                  <w14:solidFill>
                    <w14:schemeClr w14:val="tx1"/>
                  </w14:solidFill>
                </w14:textFill>
              </w:rPr>
              <w:t>产品为多晶硅，用于光伏太阳能板，属于光伏新能源材料，是园区规划主导产业</w:t>
            </w:r>
            <w:r>
              <w:rPr>
                <w:rFonts w:hint="eastAsia"/>
                <w:color w:val="000000" w:themeColor="text1"/>
                <w:kern w:val="0"/>
                <w:szCs w:val="21"/>
                <w:lang w:val="en-US" w:eastAsia="zh-CN"/>
                <w14:textFill>
                  <w14:solidFill>
                    <w14:schemeClr w14:val="tx1"/>
                  </w14:solidFill>
                </w14:textFill>
              </w:rPr>
              <w:t>。</w:t>
            </w:r>
            <w:r>
              <w:rPr>
                <w:rFonts w:hint="eastAsia"/>
                <w:b/>
                <w:bCs/>
                <w:color w:val="000000" w:themeColor="text1"/>
                <w:kern w:val="0"/>
                <w:szCs w:val="21"/>
                <w:lang w:val="en-US" w:eastAsia="zh-CN"/>
                <w14:textFill>
                  <w14:solidFill>
                    <w14:schemeClr w14:val="tx1"/>
                  </w14:solidFill>
                </w14:textFill>
              </w:rPr>
              <w:t>本项目符合园区发展规划。对照表1-1，</w:t>
            </w:r>
            <w:r>
              <w:rPr>
                <w:rFonts w:hint="eastAsia"/>
                <w:color w:val="000000" w:themeColor="text1"/>
                <w:kern w:val="0"/>
                <w:szCs w:val="21"/>
                <w:lang w:val="en-US" w:eastAsia="zh-CN"/>
                <w14:textFill>
                  <w14:solidFill>
                    <w14:schemeClr w14:val="tx1"/>
                  </w14:solidFill>
                </w14:textFill>
              </w:rPr>
              <w:t>本项目符合园区产业定位及规划要求相关环保措施要求。</w:t>
            </w:r>
          </w:p>
          <w:p>
            <w:pPr>
              <w:autoSpaceDE w:val="0"/>
              <w:autoSpaceDN w:val="0"/>
              <w:adjustRightInd w:val="0"/>
              <w:snapToGrid w:val="0"/>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2.2、与昆环函[2023]1号相符性分析</w:t>
            </w:r>
          </w:p>
          <w:p>
            <w:pPr>
              <w:pStyle w:val="62"/>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《云南东川产业园区总体规划修编（2021-2035）环境影响报告书》于20</w:t>
            </w:r>
            <w:r>
              <w:rPr>
                <w:rFonts w:hint="eastAsia"/>
                <w:color w:val="000000" w:themeColor="text1"/>
                <w:sz w:val="21"/>
                <w:szCs w:val="21"/>
                <w:lang w:val="en-US" w:eastAsia="zh-CN"/>
                <w14:textFill>
                  <w14:solidFill>
                    <w14:schemeClr w14:val="tx1"/>
                  </w14:solidFill>
                </w14:textFill>
              </w:rPr>
              <w:t>23</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日取得</w:t>
            </w:r>
            <w:r>
              <w:rPr>
                <w:rFonts w:hint="eastAsia"/>
                <w:color w:val="000000" w:themeColor="text1"/>
                <w:sz w:val="21"/>
                <w:szCs w:val="21"/>
                <w:lang w:val="en-US" w:eastAsia="zh-CN"/>
                <w14:textFill>
                  <w14:solidFill>
                    <w14:schemeClr w14:val="tx1"/>
                  </w14:solidFill>
                </w14:textFill>
              </w:rPr>
              <w:t>昆明市</w:t>
            </w:r>
            <w:r>
              <w:rPr>
                <w:rFonts w:hint="eastAsia"/>
                <w:color w:val="000000" w:themeColor="text1"/>
                <w:sz w:val="21"/>
                <w:szCs w:val="21"/>
                <w14:textFill>
                  <w14:solidFill>
                    <w14:schemeClr w14:val="tx1"/>
                  </w14:solidFill>
                </w14:textFill>
              </w:rPr>
              <w:t>生态环境</w:t>
            </w:r>
            <w:r>
              <w:rPr>
                <w:rFonts w:hint="eastAsia"/>
                <w:color w:val="000000" w:themeColor="text1"/>
                <w:sz w:val="21"/>
                <w:szCs w:val="21"/>
                <w:lang w:val="en-US" w:eastAsia="zh-CN"/>
                <w14:textFill>
                  <w14:solidFill>
                    <w14:schemeClr w14:val="tx1"/>
                  </w14:solidFill>
                </w14:textFill>
              </w:rPr>
              <w:t>局</w:t>
            </w:r>
            <w:r>
              <w:rPr>
                <w:rFonts w:hint="eastAsia"/>
                <w:color w:val="000000" w:themeColor="text1"/>
                <w:sz w:val="21"/>
                <w:szCs w:val="21"/>
                <w14:textFill>
                  <w14:solidFill>
                    <w14:schemeClr w14:val="tx1"/>
                  </w14:solidFill>
                </w14:textFill>
              </w:rPr>
              <w:t>审查意见（昆环函[2023]1号）。</w:t>
            </w:r>
          </w:p>
          <w:p>
            <w:pPr>
              <w:pStyle w:val="62"/>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表1-</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 xml:space="preserve"> 项目建设与审查意见及专家组意见的符合性分析</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4680"/>
              <w:gridCol w:w="1652"/>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b/>
                      <w:color w:val="000000" w:themeColor="text1"/>
                      <w:spacing w:val="4"/>
                      <w:kern w:val="24"/>
                      <w:szCs w:val="21"/>
                      <w14:textFill>
                        <w14:solidFill>
                          <w14:schemeClr w14:val="tx1"/>
                        </w14:solidFill>
                      </w14:textFill>
                    </w:rPr>
                    <w:t>序号</w:t>
                  </w:r>
                </w:p>
              </w:tc>
              <w:tc>
                <w:tcPr>
                  <w:tcW w:w="468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审查意见要求</w:t>
                  </w:r>
                </w:p>
              </w:tc>
              <w:tc>
                <w:tcPr>
                  <w:tcW w:w="165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项目情况</w:t>
                  </w:r>
                </w:p>
              </w:tc>
              <w:tc>
                <w:tcPr>
                  <w:tcW w:w="83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一</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坚持绿色、低碳、高质量发展理念，完善和加强规划引导，落实生态环境分区管控要求，区域统筹保护好生态空间。根据区域发展战略，坚持生态优先、高效集约发展，加强与国土空间规划及产业园区优化提升工作的协调衔接，进一步优化发展定位、功能布局、产业结构和实施时序，布局开发应确保满足国土空间规划和“三区三线”管控要求。产业开发应符合国家产业政策和相关规划，有效控制园区开发强度。实现产业发展与生态环境保护、人居环境安全相协调，引导园区低碳化、绿色化、循环化发展。</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本项目位于碧谷片区，符合其产业定位、功能布局、产业结构和时序等，满足其空间规划的相关要求。</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4680" w:type="dxa"/>
                  <w:tcBorders>
                    <w:tl2br w:val="nil"/>
                    <w:tr2bl w:val="nil"/>
                  </w:tcBorders>
                  <w:vAlign w:val="center"/>
                </w:tcPr>
                <w:p>
                  <w:pPr>
                    <w:numPr>
                      <w:ilvl w:val="0"/>
                      <w:numId w:val="0"/>
                    </w:numPr>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lang w:val="en-US" w:eastAsia="zh-CN"/>
                      <w14:textFill>
                        <w14:solidFill>
                          <w14:schemeClr w14:val="tx1"/>
                        </w14:solidFill>
                      </w14:textFill>
                    </w:rPr>
                    <w:t>二）</w:t>
                  </w:r>
                  <w:r>
                    <w:rPr>
                      <w:rFonts w:hint="eastAsia"/>
                      <w:color w:val="000000" w:themeColor="text1"/>
                      <w:spacing w:val="4"/>
                      <w:kern w:val="24"/>
                      <w:szCs w:val="21"/>
                      <w14:textFill>
                        <w14:solidFill>
                          <w14:schemeClr w14:val="tx1"/>
                        </w14:solidFill>
                      </w14:textFill>
                    </w:rPr>
                    <w:t>进一步优化空间布局，加强空间管控，严格对环境敏感区的保护，严禁不符合管控要求的各类开发和建设活动，协调好生产、生活、生态“三生”空间的关系。</w:t>
                  </w:r>
                </w:p>
                <w:p>
                  <w:pPr>
                    <w:numPr>
                      <w:ilvl w:val="0"/>
                      <w:numId w:val="0"/>
                    </w:numPr>
                    <w:ind w:firstLine="436" w:firstLineChars="200"/>
                    <w:jc w:val="both"/>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区域大气环境容量，严格控制有色金属冶炼、化工发展规模，加快能源结构升级改造和使用清洁能源，促进区域环境质量改善。园区内现有冶炼、化工及传统建筑材料等重污染企业要开展技术升级改造和环保设施的提标改造，实现区域污染物减排和环境质量改善，为后续项目腾出环境容量。园区内现有与规划不符的企业应逐步搬迁。优化调整碧谷片区产业结构，不得布局排放《有毒有害大气污染物名录</w:t>
                  </w:r>
                  <w:r>
                    <w:rPr>
                      <w:rFonts w:hint="eastAsia"/>
                      <w:color w:val="000000" w:themeColor="text1"/>
                      <w:spacing w:val="4"/>
                      <w:kern w:val="24"/>
                      <w:szCs w:val="21"/>
                      <w:lang w:val="en-US"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2018年)》中污染物的企业。</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w:t>
                  </w: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不</w:t>
                  </w:r>
                  <w:r>
                    <w:rPr>
                      <w:rFonts w:hint="eastAsia"/>
                      <w:color w:val="000000" w:themeColor="text1"/>
                      <w:spacing w:val="4"/>
                      <w:kern w:val="24"/>
                      <w:szCs w:val="21"/>
                      <w14:textFill>
                        <w14:solidFill>
                          <w14:schemeClr w14:val="tx1"/>
                        </w14:solidFill>
                      </w14:textFill>
                    </w:rPr>
                    <w:t>排放《有毒有害大气污染物名录</w:t>
                  </w:r>
                  <w:r>
                    <w:rPr>
                      <w:rFonts w:hint="eastAsia"/>
                      <w:color w:val="000000" w:themeColor="text1"/>
                      <w:spacing w:val="4"/>
                      <w:kern w:val="24"/>
                      <w:szCs w:val="21"/>
                      <w:lang w:val="en-US"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2018年)》中</w:t>
                  </w:r>
                  <w:r>
                    <w:rPr>
                      <w:rFonts w:hint="eastAsia"/>
                      <w:color w:val="000000" w:themeColor="text1"/>
                      <w:spacing w:val="4"/>
                      <w:kern w:val="24"/>
                      <w:szCs w:val="21"/>
                      <w:lang w:val="en-US" w:eastAsia="zh-CN"/>
                      <w14:textFill>
                        <w14:solidFill>
                          <w14:schemeClr w14:val="tx1"/>
                        </w14:solidFill>
                      </w14:textFill>
                    </w:rPr>
                    <w:t>的</w:t>
                  </w:r>
                  <w:r>
                    <w:rPr>
                      <w:rFonts w:hint="eastAsia"/>
                      <w:color w:val="000000" w:themeColor="text1"/>
                      <w:spacing w:val="4"/>
                      <w:kern w:val="24"/>
                      <w:szCs w:val="21"/>
                      <w14:textFill>
                        <w14:solidFill>
                          <w14:schemeClr w14:val="tx1"/>
                        </w14:solidFill>
                      </w14:textFill>
                    </w:rPr>
                    <w:t>污染物</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lang w:val="en-US" w:eastAsia="zh-CN"/>
                      <w14:textFill>
                        <w14:solidFill>
                          <w14:schemeClr w14:val="tx1"/>
                        </w14:solidFill>
                      </w14:textFill>
                    </w:rPr>
                    <w:t>不属于上述所列的重污染企业，符合园区产业规划</w:t>
                  </w:r>
                  <w:r>
                    <w:rPr>
                      <w:rFonts w:hint="eastAsia"/>
                      <w:color w:val="000000" w:themeColor="text1"/>
                      <w:spacing w:val="4"/>
                      <w:kern w:val="24"/>
                      <w:szCs w:val="21"/>
                      <w14:textFill>
                        <w14:solidFill>
                          <w14:schemeClr w14:val="tx1"/>
                        </w14:solidFill>
                      </w14:textFill>
                    </w:rPr>
                    <w:t>。</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680" w:type="dxa"/>
                  <w:tcBorders>
                    <w:tl2br w:val="nil"/>
                    <w:tr2bl w:val="nil"/>
                  </w:tcBorders>
                  <w:vAlign w:val="center"/>
                </w:tcPr>
                <w:p>
                  <w:pPr>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三</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严守环境质量底线，严格落实环境管控单元管控要</w:t>
                  </w:r>
                  <w:r>
                    <w:rPr>
                      <w:rFonts w:hint="eastAsia"/>
                      <w:color w:val="000000" w:themeColor="text1"/>
                      <w:spacing w:val="4"/>
                      <w:kern w:val="24"/>
                      <w:szCs w:val="21"/>
                      <w:lang w:val="en-US" w:eastAsia="zh-CN"/>
                      <w14:textFill>
                        <w14:solidFill>
                          <w14:schemeClr w14:val="tx1"/>
                        </w14:solidFill>
                      </w14:textFill>
                    </w:rPr>
                    <w:t>求</w:t>
                  </w:r>
                  <w:r>
                    <w:rPr>
                      <w:rFonts w:hint="eastAsia"/>
                      <w:color w:val="000000" w:themeColor="text1"/>
                      <w:spacing w:val="4"/>
                      <w:kern w:val="24"/>
                      <w:szCs w:val="21"/>
                      <w14:textFill>
                        <w14:solidFill>
                          <w14:schemeClr w14:val="tx1"/>
                        </w14:solidFill>
                      </w14:textFill>
                    </w:rPr>
                    <w:t>。</w:t>
                  </w:r>
                </w:p>
                <w:p>
                  <w:p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国家、云南省和“三线一单”有关大气污染防治的相关要求，落实主要污染物区域削减方案，严格执行园区大气污染物管控要求，合理确定产业规模、布局、建设时序。有色金属冶炼、化工、建材等“两高”行业应实行主要污染物区域等量削减，重点行业重点重金属排放减量替代比例不得低于 1.2:1，铅锌冶炼和铜冶炼企业须执行颗粒物和重点重金属污染物特别排放限值。</w:t>
                  </w:r>
                </w:p>
                <w:p>
                  <w:p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入驻企业应采用先进的生产工艺、装备、清洁能源与原料，从源头上控制污染物的产生</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采用先进高效的污染防治措施做好大气污染物的减排工作。</w:t>
                  </w:r>
                </w:p>
                <w:p>
                  <w:pPr>
                    <w:ind w:firstLine="436" w:firstLineChars="200"/>
                    <w:jc w:val="both"/>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重视园区废水收集、处理、回用、排放的环境管理。全面实施“雨污分流”“清污分流”制度，提高入驻企业工业用水重复利用率和中水回用率，加快污水处理厂建设</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根据小江水环境容量，适时对污水处理厂进行提标改造。结合水污染防治方案，加强摩洛河、功山河、响水河、黄水等、小清河、小江等河道严格执行《地下水管理条例》相关规定，严格水文地质工程地质勘察，合理规避岩溶发育区，做好地下水污染防治和监控，入驻企业按相关规范要求采取针对性防渗措施，确保区域地下水安全。进一步完善固体废物集中处置设施，做好工业固废的处置及监管等工作，确保入园企业的固废得到妥善处置加强土壤环境跟踪监测，确保满足土壤环境管控要求按照碳达峰、碳中和相关政策要求，积极开展减污降碳协同管控，推广园区能源梯级利用等节能低碳技术。做好产业布局、结构调整、节能审查与能耗双控的衔接，推动园区绿色低碳发展。</w:t>
                  </w:r>
                </w:p>
              </w:tc>
              <w:tc>
                <w:tcPr>
                  <w:tcW w:w="1652" w:type="dxa"/>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w:t>
                  </w:r>
                  <w:r>
                    <w:rPr>
                      <w:rFonts w:hint="eastAsia"/>
                      <w:color w:val="000000" w:themeColor="text1"/>
                      <w:spacing w:val="4"/>
                      <w:kern w:val="24"/>
                      <w:szCs w:val="21"/>
                      <w:lang w:val="en-US" w:eastAsia="zh-CN"/>
                      <w14:textFill>
                        <w14:solidFill>
                          <w14:schemeClr w14:val="tx1"/>
                        </w14:solidFill>
                      </w14:textFill>
                    </w:rPr>
                    <w:t>质量公报</w:t>
                  </w:r>
                  <w:r>
                    <w:rPr>
                      <w:rFonts w:hint="eastAsia"/>
                      <w:color w:val="000000" w:themeColor="text1"/>
                      <w:spacing w:val="4"/>
                      <w:kern w:val="24"/>
                      <w:szCs w:val="21"/>
                      <w14:textFill>
                        <w14:solidFill>
                          <w14:schemeClr w14:val="tx1"/>
                        </w14:solidFill>
                      </w14:textFill>
                    </w:rPr>
                    <w:t>，区域环境能够满足标准要求，且本项目不属于重污染企业</w:t>
                  </w:r>
                  <w:r>
                    <w:rPr>
                      <w:rFonts w:hint="eastAsia"/>
                      <w:color w:val="000000" w:themeColor="text1"/>
                      <w:spacing w:val="4"/>
                      <w:kern w:val="24"/>
                      <w:szCs w:val="21"/>
                      <w:lang w:val="en-US" w:eastAsia="zh-CN"/>
                      <w14:textFill>
                        <w14:solidFill>
                          <w14:schemeClr w14:val="tx1"/>
                        </w14:solidFill>
                      </w14:textFill>
                    </w:rPr>
                    <w:t>和上述“两高”项目</w:t>
                  </w:r>
                  <w:r>
                    <w:rPr>
                      <w:rFonts w:hint="eastAsia"/>
                      <w:color w:val="000000" w:themeColor="text1"/>
                      <w:spacing w:val="4"/>
                      <w:kern w:val="24"/>
                      <w:szCs w:val="21"/>
                      <w14:textFill>
                        <w14:solidFill>
                          <w14:schemeClr w14:val="tx1"/>
                        </w14:solidFill>
                      </w14:textFill>
                    </w:rPr>
                    <w:t>，为非金属加工项目，符合相关要求。</w:t>
                  </w: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项目不涉及地下水评价，仅提出相应的地下水防治措施。</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四</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制定准入清单，严格入园项目生态环境准入管理。加强“两高”行业生态环境源头防控，引进的项目应采用先进适用的工艺技术和装备，单位产品物耗、能耗、水耗等应达到国内清洁生产先进水平。推进技术研发型、创新型产业发展，提升产业的技术水平和产业园区的绿色低碳化水平。入园项目需符合国家产业政策、产业布局规划要求，符合“三线一单”大气水、土壤等重点管控单元要求。</w:t>
                  </w:r>
                </w:p>
              </w:tc>
              <w:tc>
                <w:tcPr>
                  <w:tcW w:w="1652" w:type="dxa"/>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根据表1-1，本项目满足碧谷片区管控单元及管控要求；且本项目不属于“两高”项目。</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5</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五</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建立健全区域环境风险防范和生态安全保障体系加强园区内危险化学品的生产、使用、贮运等管理，统筹考虑园区污染防治、生态恢复与建设、环境风险防范、环境管理等事宜。建立企业-园区-区域环境风险防控体系，健全应急响应联动机制，强化预警能力建设，严格落实环境风险应急与防范措施，编制园区环境风险应急预案并加强演练，保障区域环境安</w:t>
                  </w:r>
                  <w:r>
                    <w:rPr>
                      <w:rFonts w:hint="eastAsia"/>
                      <w:color w:val="000000" w:themeColor="text1"/>
                      <w:spacing w:val="4"/>
                      <w:kern w:val="24"/>
                      <w:szCs w:val="21"/>
                      <w:lang w:val="en-US" w:eastAsia="zh-CN"/>
                      <w14:textFill>
                        <w14:solidFill>
                          <w14:schemeClr w14:val="tx1"/>
                        </w14:solidFill>
                      </w14:textFill>
                    </w:rPr>
                    <w:t>全</w:t>
                  </w:r>
                  <w:r>
                    <w:rPr>
                      <w:rFonts w:hint="eastAsia"/>
                      <w:color w:val="000000" w:themeColor="text1"/>
                      <w:spacing w:val="4"/>
                      <w:kern w:val="24"/>
                      <w:szCs w:val="21"/>
                      <w14:textFill>
                        <w14:solidFill>
                          <w14:schemeClr w14:val="tx1"/>
                        </w14:solidFill>
                      </w14:textFill>
                    </w:rPr>
                    <w:t>。</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不涉及危险化学品的生产、使用、贮运等</w:t>
                  </w:r>
                  <w:r>
                    <w:rPr>
                      <w:rFonts w:hint="eastAsia"/>
                      <w:color w:val="000000" w:themeColor="text1"/>
                      <w:spacing w:val="4"/>
                      <w:kern w:val="24"/>
                      <w:szCs w:val="21"/>
                      <w14:textFill>
                        <w14:solidFill>
                          <w14:schemeClr w14:val="tx1"/>
                        </w14:solidFill>
                      </w14:textFill>
                    </w:rPr>
                    <w:t>。</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6</w:t>
                  </w:r>
                </w:p>
              </w:tc>
              <w:tc>
                <w:tcPr>
                  <w:tcW w:w="4680" w:type="dxa"/>
                  <w:tcBorders>
                    <w:tl2br w:val="nil"/>
                    <w:tr2bl w:val="nil"/>
                  </w:tcBorders>
                  <w:vAlign w:val="center"/>
                </w:tcPr>
                <w:p>
                  <w:pPr>
                    <w:jc w:val="center"/>
                    <w:rPr>
                      <w:rFonts w:hint="eastAsia"/>
                      <w:color w:val="000000" w:themeColor="text1"/>
                      <w:spacing w:val="4"/>
                      <w:kern w:val="24"/>
                      <w:szCs w:val="21"/>
                      <w:lang w:eastAsia="zh-CN"/>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六）建立环境质量监测网络并共享数据。根据园区功能分区、产业布局、重点企业分布、特征污染物排放、环境敏感目标分布等情况，统筹安排环境监测监控网络建设。四方地片区、天生桥片区应设置环境空气自动监测站，定期做好区域大气、地表水、地下水、土壤等环境要素的跟踪监测与管理。根据监测结果、实际环境影响、不良环境影响减缓措施的有效性完善环境管理并适时优化调整《规划》。</w:t>
                  </w:r>
                </w:p>
              </w:tc>
              <w:tc>
                <w:tcPr>
                  <w:tcW w:w="1652" w:type="dxa"/>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项目拟制定监测计划。</w:t>
                  </w:r>
                </w:p>
              </w:tc>
              <w:tc>
                <w:tcPr>
                  <w:tcW w:w="830" w:type="dxa"/>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767" w:type="dxa"/>
                  <w:tcBorders>
                    <w:tl2br w:val="nil"/>
                    <w:tr2bl w:val="nil"/>
                  </w:tcBorders>
                  <w:vAlign w:val="center"/>
                </w:tcPr>
                <w:p>
                  <w:pPr>
                    <w:jc w:val="center"/>
                    <w:rPr>
                      <w:rFonts w:hint="eastAsia" w:eastAsia="宋体"/>
                      <w:color w:val="000000" w:themeColor="text1"/>
                      <w:spacing w:val="4"/>
                      <w:kern w:val="24"/>
                      <w:szCs w:val="21"/>
                      <w:lang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7</w:t>
                  </w:r>
                </w:p>
              </w:tc>
              <w:tc>
                <w:tcPr>
                  <w:tcW w:w="468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七</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定期发布环境信息，建立畅通的公众参与平台。加强与周边公众的沟通，主动接受社会监督，及时解决公众关心的环境问题，满足公众合理的环境诉求。对涉及到的居民搬迁应制定搬迁方案，并尽快实施。</w:t>
                  </w:r>
                </w:p>
              </w:tc>
              <w:tc>
                <w:tcPr>
                  <w:tcW w:w="1652"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项目不涉及居民搬迁。</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pStyle w:val="62"/>
              <w:ind w:firstLine="420"/>
              <w:jc w:val="both"/>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对照表1-2，</w:t>
            </w: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val="en-GB"/>
                <w14:textFill>
                  <w14:solidFill>
                    <w14:schemeClr w14:val="tx1"/>
                  </w14:solidFill>
                </w14:textFill>
              </w:rPr>
              <w:t>符合</w:t>
            </w:r>
            <w:r>
              <w:rPr>
                <w:rFonts w:hint="eastAsia"/>
                <w:color w:val="000000" w:themeColor="text1"/>
                <w:sz w:val="21"/>
                <w:szCs w:val="21"/>
                <w:lang w:val="en-US" w:eastAsia="zh-CN"/>
                <w14:textFill>
                  <w14:solidFill>
                    <w14:schemeClr w14:val="tx1"/>
                  </w14:solidFill>
                </w14:textFill>
              </w:rPr>
              <w:t>审查意见及</w:t>
            </w:r>
            <w:r>
              <w:rPr>
                <w:rFonts w:hint="eastAsia"/>
                <w:color w:val="000000" w:themeColor="text1"/>
                <w:sz w:val="21"/>
                <w:szCs w:val="21"/>
                <w:lang w:val="en-GB"/>
                <w14:textFill>
                  <w14:solidFill>
                    <w14:schemeClr w14:val="tx1"/>
                  </w14:solidFill>
                </w14:textFill>
              </w:rPr>
              <w:t>规划</w:t>
            </w:r>
            <w:r>
              <w:rPr>
                <w:rFonts w:hint="eastAsia"/>
                <w:color w:val="000000" w:themeColor="text1"/>
                <w:sz w:val="21"/>
                <w:szCs w:val="21"/>
                <w:lang w:val="en-US" w:eastAsia="zh-CN"/>
                <w14:textFill>
                  <w14:solidFill>
                    <w14:schemeClr w14:val="tx1"/>
                  </w14:solidFill>
                </w14:textFill>
              </w:rPr>
              <w:t>的相关</w:t>
            </w:r>
            <w:r>
              <w:rPr>
                <w:rFonts w:hint="eastAsia"/>
                <w:color w:val="000000" w:themeColor="text1"/>
                <w:sz w:val="21"/>
                <w:szCs w:val="21"/>
                <w:lang w:val="en-GB"/>
                <w14:textFill>
                  <w14:solidFill>
                    <w14:schemeClr w14:val="tx1"/>
                  </w14:solidFill>
                </w14:textFill>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89"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7981" w:type="dxa"/>
            <w:gridSpan w:val="4"/>
            <w:vAlign w:val="center"/>
          </w:tcPr>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1、“三线一单”符合性分析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①“生态保护红线”符合性分析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云南省人民政府关于发布云南省生态保护红线的通知》（云政发[2018]32号），基本格局呈“三屏两带”。“三屏”：青藏高原南缘滇西北高山峡谷生态屏障、哀牢山—无量山山地生态屏障、南部边境热带森林生态屏障。“两带”：金沙江、澜沧江、红河干热河谷地带，东南部喀斯特地带。</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本项目位于云南省昆明市东川区碧谷工业园区，位于规划工业园区内，占地为工业用地，不在生态红线范围内，符合生态保护红线要求。</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②“环境质量底线”符合性分析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环境质量：根据《2022年度昆明市生态环境状况公报》，2022年，昆明市主城区环境空气优良率达100%，其中优246天、良119天。与2021年相比，优级天数增加37天，环境空气污染综合指数降低13.68%，空气质量大幅改善。各县（市）区环境空气质量总体保持良好。与2021年相比，安宁市、禄劝县、石林县、嵩明县、富民县、宜良县、寻甸县环境空气综合污染指数有所下降，东川区环境空气综合污染指数有所上升。总体达《环境空气质量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-2012）中的二级标准；</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地表水环境质量：根据《2022年度昆明市生态环境状况公报》，小江四级电站断面水质类别保持Ⅱ类不变；保持为优良水体，满足</w:t>
            </w:r>
            <w:r>
              <w:rPr>
                <w:color w:val="000000" w:themeColor="text1"/>
                <w:kern w:val="0"/>
                <w:szCs w:val="21"/>
                <w14:textFill>
                  <w14:solidFill>
                    <w14:schemeClr w14:val="tx1"/>
                  </w14:solidFill>
                </w14:textFill>
              </w:rPr>
              <w:t>《地表水环境质量标准》（GB</w:t>
            </w: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-2002）Ⅳ类</w:t>
            </w:r>
            <w:r>
              <w:rPr>
                <w:rFonts w:hint="eastAsia"/>
                <w:color w:val="000000" w:themeColor="text1"/>
                <w:kern w:val="0"/>
                <w:szCs w:val="21"/>
                <w14:textFill>
                  <w14:solidFill>
                    <w14:schemeClr w14:val="tx1"/>
                  </w14:solidFill>
                </w14:textFill>
              </w:rPr>
              <w:t>标准；</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质量：根据《2022年度昆明市生态环境状况公报》，2022年昆明市主城区各类功能区昼间、夜间声环境质量基本达标。主城区昼间区域环境噪声总体水平达二级（较好），主城区道路交通噪声强度等级为一级（好），各县（市）区区域环境噪声总体水平在一级（好）和二级（较好）之间。与2021年相比，东川区、石林县、寻甸县的昼间区域声环境质量平均等效声级上升。整体满足《声环境质量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-2008）中3类区标准要求。</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根据本项目所在地环境现状调查和污染物排放影响预测，项目实施后对区域内环境影响较小，环境质量可以保持现有水平，不会突破项目所在地的环境质量底线。因此项目的建设符合环境质量底线标准的要求。</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③“资源利用上线”符合性分析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用地为工业用地，不会突破当地资源利用上限。项目所需的原料均为外购，项目消耗水、电等均由市政供水公司、供电公司供应。根据工程分析、现场调查及环境影响分析，本项目实施后只要认真落实本评价提出的各项环保措施，并实施污染物排放总量控制要求，其周围环境质量基本能维持现有水平，符合项目所在地资源利用上线要求。</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④“环境准入负面清单”符合性分析</w:t>
            </w:r>
          </w:p>
          <w:p>
            <w:pPr>
              <w:autoSpaceDE w:val="0"/>
              <w:autoSpaceDN w:val="0"/>
              <w:adjustRightInd w:val="0"/>
              <w:snapToGrid w:val="0"/>
              <w:spacing w:line="360" w:lineRule="auto"/>
              <w:ind w:firstLine="420" w:firstLineChars="20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本项目位于碧谷工业园区，对照《云南东川产业园区总体规划修编（2021-2035）环境影响报告书》环境准入负面清单</w:t>
            </w:r>
            <w:r>
              <w:rPr>
                <w:rFonts w:hint="eastAsia"/>
                <w:color w:val="000000" w:themeColor="text1"/>
                <w:kern w:val="0"/>
                <w:szCs w:val="21"/>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碧谷片区管控单元及管控要求</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详见表1-1），本项目不在其负面清单内，属于园区主导产业，符合园区规划。</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2、</w:t>
            </w:r>
            <w:r>
              <w:rPr>
                <w:rFonts w:hint="eastAsia"/>
                <w:b/>
                <w:bCs/>
                <w:color w:val="000000" w:themeColor="text1"/>
                <w:kern w:val="0"/>
                <w:szCs w:val="21"/>
                <w14:textFill>
                  <w14:solidFill>
                    <w14:schemeClr w14:val="tx1"/>
                  </w14:solidFill>
                </w14:textFill>
              </w:rPr>
              <w:t>与《昆明市“三线一单”生态环境分区管控实施意见》符合性分析</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对照《昆明市人民政府关于昆明市“三线一单”生态环境分区管控的实施意见》，</w:t>
            </w:r>
            <w:r>
              <w:rPr>
                <w:rFonts w:hint="eastAsia"/>
                <w:color w:val="000000" w:themeColor="text1"/>
                <w:kern w:val="0"/>
                <w:szCs w:val="21"/>
                <w:lang w:val="en-US" w:eastAsia="zh-CN"/>
                <w14:textFill>
                  <w14:solidFill>
                    <w14:schemeClr w14:val="tx1"/>
                  </w14:solidFill>
                </w14:textFill>
              </w:rPr>
              <w:t>本项目位于云南东川再就业特色产业园区-碧谷片区，单元编码为：ZH******20005，属重点管控单元。</w:t>
            </w:r>
            <w:r>
              <w:rPr>
                <w:rFonts w:hint="eastAsia"/>
                <w:color w:val="000000" w:themeColor="text1"/>
                <w:kern w:val="0"/>
                <w:szCs w:val="21"/>
                <w14:textFill>
                  <w14:solidFill>
                    <w14:schemeClr w14:val="tx1"/>
                  </w14:solidFill>
                </w14:textFill>
              </w:rPr>
              <w:t>项目与其相符性如下。</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w:t>
            </w:r>
            <w:r>
              <w:rPr>
                <w:rFonts w:hint="eastAsia"/>
                <w:b/>
                <w:bCs/>
                <w:color w:val="000000" w:themeColor="text1"/>
                <w:kern w:val="0"/>
                <w:szCs w:val="21"/>
                <w:lang w:val="en-US" w:eastAsia="zh-CN"/>
                <w14:textFill>
                  <w14:solidFill>
                    <w14:schemeClr w14:val="tx1"/>
                  </w14:solidFill>
                </w14:textFill>
              </w:rPr>
              <w:t>3</w:t>
            </w:r>
            <w:r>
              <w:rPr>
                <w:rFonts w:hint="eastAsia"/>
                <w:b/>
                <w:bCs/>
                <w:color w:val="000000" w:themeColor="text1"/>
                <w:kern w:val="0"/>
                <w:szCs w:val="21"/>
                <w14:textFill>
                  <w14:solidFill>
                    <w14:schemeClr w14:val="tx1"/>
                  </w14:solidFill>
                </w14:textFill>
              </w:rPr>
              <w:t xml:space="preserve"> 与《昆明市“三线一单”生态环境分区管控的实施意见》符合性分析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70"/>
              <w:gridCol w:w="3423"/>
              <w:gridCol w:w="2250"/>
              <w:gridCol w:w="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gridSpan w:val="2"/>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类别</w:t>
                  </w:r>
                </w:p>
              </w:tc>
              <w:tc>
                <w:tcPr>
                  <w:tcW w:w="2204"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lang w:val="en-US" w:eastAsia="zh-CN"/>
                      <w14:textFill>
                        <w14:solidFill>
                          <w14:schemeClr w14:val="tx1"/>
                        </w14:solidFill>
                      </w14:textFill>
                    </w:rPr>
                    <w:t>文件</w:t>
                  </w:r>
                  <w:r>
                    <w:rPr>
                      <w:rFonts w:hint="eastAsia"/>
                      <w:b/>
                      <w:bCs/>
                      <w:color w:val="000000" w:themeColor="text1"/>
                      <w:spacing w:val="4"/>
                      <w:kern w:val="24"/>
                      <w:szCs w:val="21"/>
                      <w14:textFill>
                        <w14:solidFill>
                          <w14:schemeClr w14:val="tx1"/>
                        </w14:solidFill>
                      </w14:textFill>
                    </w:rPr>
                    <w:t>要求</w:t>
                  </w:r>
                </w:p>
              </w:tc>
              <w:tc>
                <w:tcPr>
                  <w:tcW w:w="1448"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项目情况</w:t>
                  </w:r>
                </w:p>
              </w:tc>
              <w:tc>
                <w:tcPr>
                  <w:tcW w:w="535"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11" w:type="pct"/>
                  <w:gridSpan w:val="2"/>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生态保护红线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执行《云南省人民政府关于发布云南省生态保护红线的通知》（云政发</w:t>
                  </w:r>
                  <w:r>
                    <w:rPr>
                      <w:rFonts w:hint="eastAsia"/>
                      <w:color w:val="000000" w:themeColor="text1"/>
                      <w:spacing w:val="4"/>
                      <w:kern w:val="24"/>
                      <w:szCs w:val="21"/>
                      <w:lang w:val="en-US"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2018</w:t>
                  </w:r>
                  <w:r>
                    <w:rPr>
                      <w:rFonts w:hint="eastAsia"/>
                      <w:color w:val="000000" w:themeColor="text1"/>
                      <w:spacing w:val="4"/>
                      <w:kern w:val="24"/>
                      <w:szCs w:val="21"/>
                      <w:lang w:val="en-US"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32号），将未划入生态保护红线的自然保护区、国家公园、森林公园、风景名胜区、地质公园、湿地公园、县城集中式饮用水水源地、水产种质资源保护区等生态功能重要区、生态环境敏感区划入一般生态空间。</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w:t>
                  </w:r>
                  <w:r>
                    <w:rPr>
                      <w:rFonts w:hint="eastAsia"/>
                      <w:color w:val="000000" w:themeColor="text1"/>
                      <w:spacing w:val="4"/>
                      <w:kern w:val="24"/>
                      <w:szCs w:val="21"/>
                      <w:lang w:val="en-US" w:eastAsia="zh-CN"/>
                      <w14:textFill>
                        <w14:solidFill>
                          <w14:schemeClr w14:val="tx1"/>
                        </w14:solidFill>
                      </w14:textFill>
                    </w:rPr>
                    <w:t>碧谷片区，用地类型为</w:t>
                  </w:r>
                  <w:r>
                    <w:rPr>
                      <w:rFonts w:hint="eastAsia"/>
                      <w:color w:val="000000" w:themeColor="text1"/>
                      <w:spacing w:val="4"/>
                      <w:kern w:val="24"/>
                      <w:szCs w:val="21"/>
                      <w14:textFill>
                        <w14:solidFill>
                          <w14:schemeClr w14:val="tx1"/>
                        </w14:solidFill>
                      </w14:textFill>
                    </w:rPr>
                    <w:t>工业用地，不在生态红线范围内，项目符合生态保护红线的相关要求。</w:t>
                  </w:r>
                </w:p>
              </w:tc>
              <w:tc>
                <w:tcPr>
                  <w:tcW w:w="535" w:type="pct"/>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环境质量底线</w:t>
                  </w: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生态</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质量</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到2025年，全市生态环境质量持续改善，生态空间得到优化和有效保护，区域生态安全屏障更加牢固。到2035年，全市生态环境质量实现根本好转，生态功能显著提升，区域生态安全得到全面保障。</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项目位于</w:t>
                  </w:r>
                  <w:r>
                    <w:rPr>
                      <w:rFonts w:hint="eastAsia"/>
                      <w:color w:val="000000" w:themeColor="text1"/>
                      <w:spacing w:val="4"/>
                      <w:kern w:val="24"/>
                      <w:szCs w:val="21"/>
                      <w:lang w:val="en-US" w:eastAsia="zh-CN"/>
                      <w14:textFill>
                        <w14:solidFill>
                          <w14:schemeClr w14:val="tx1"/>
                        </w14:solidFill>
                      </w14:textFill>
                    </w:rPr>
                    <w:t>碧谷片区，用地类型为</w:t>
                  </w:r>
                  <w:r>
                    <w:rPr>
                      <w:rFonts w:hint="eastAsia"/>
                      <w:color w:val="000000" w:themeColor="text1"/>
                      <w:spacing w:val="4"/>
                      <w:kern w:val="24"/>
                      <w:szCs w:val="21"/>
                      <w14:textFill>
                        <w14:solidFill>
                          <w14:schemeClr w14:val="tx1"/>
                        </w14:solidFill>
                      </w14:textFill>
                    </w:rPr>
                    <w:t>工业用地，对生态环境影响较小，不会突破当地生态环境质量底线。</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大气环境质量底线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到2025年，全市环境空气质量总体保持优良，主城建成区空气质量优良天数占比达99%以上，二氧化硫（SO</w:t>
                  </w:r>
                  <w:r>
                    <w:rPr>
                      <w:rFonts w:hint="eastAsia"/>
                      <w:color w:val="000000" w:themeColor="text1"/>
                      <w:spacing w:val="4"/>
                      <w:kern w:val="24"/>
                      <w:szCs w:val="21"/>
                      <w:vertAlign w:val="subscript"/>
                      <w14:textFill>
                        <w14:solidFill>
                          <w14:schemeClr w14:val="tx1"/>
                        </w14:solidFill>
                      </w14:textFill>
                    </w:rPr>
                    <w:t>2</w:t>
                  </w:r>
                  <w:r>
                    <w:rPr>
                      <w:rFonts w:hint="eastAsia"/>
                      <w:color w:val="000000" w:themeColor="text1"/>
                      <w:spacing w:val="4"/>
                      <w:kern w:val="24"/>
                      <w:szCs w:val="21"/>
                      <w14:textFill>
                        <w14:solidFill>
                          <w14:schemeClr w14:val="tx1"/>
                        </w14:solidFill>
                      </w14:textFill>
                    </w:rPr>
                    <w:t>）和氮氧化物（NOx）排放总量控制在省下达的目标以内，主城区空气中颗粒物（PM</w:t>
                  </w:r>
                  <w:r>
                    <w:rPr>
                      <w:rFonts w:hint="eastAsia"/>
                      <w:color w:val="000000" w:themeColor="text1"/>
                      <w:spacing w:val="4"/>
                      <w:kern w:val="24"/>
                      <w:szCs w:val="21"/>
                      <w:vertAlign w:val="subscript"/>
                      <w14:textFill>
                        <w14:solidFill>
                          <w14:schemeClr w14:val="tx1"/>
                        </w14:solidFill>
                      </w14:textFill>
                    </w:rPr>
                    <w:t>10</w:t>
                  </w:r>
                  <w:r>
                    <w:rPr>
                      <w:rFonts w:hint="eastAsia"/>
                      <w:color w:val="000000" w:themeColor="text1"/>
                      <w:spacing w:val="4"/>
                      <w:kern w:val="24"/>
                      <w:szCs w:val="21"/>
                      <w14:textFill>
                        <w14:solidFill>
                          <w14:schemeClr w14:val="tx1"/>
                        </w14:solidFill>
                      </w14:textFill>
                    </w:rPr>
                    <w:t>、PM</w:t>
                  </w:r>
                  <w:r>
                    <w:rPr>
                      <w:rFonts w:hint="eastAsia"/>
                      <w:color w:val="000000" w:themeColor="text1"/>
                      <w:spacing w:val="4"/>
                      <w:kern w:val="24"/>
                      <w:szCs w:val="21"/>
                      <w:vertAlign w:val="subscript"/>
                      <w14:textFill>
                        <w14:solidFill>
                          <w14:schemeClr w14:val="tx1"/>
                        </w14:solidFill>
                      </w14:textFill>
                    </w:rPr>
                    <w:t>2</w:t>
                  </w:r>
                  <w:r>
                    <w:rPr>
                      <w:rFonts w:hint="eastAsia"/>
                      <w:color w:val="000000" w:themeColor="text1"/>
                      <w:spacing w:val="4"/>
                      <w:kern w:val="24"/>
                      <w:szCs w:val="21"/>
                      <w:vertAlign w:val="subscript"/>
                      <w:lang w:val="en-US" w:eastAsia="zh-CN"/>
                      <w14:textFill>
                        <w14:solidFill>
                          <w14:schemeClr w14:val="tx1"/>
                        </w14:solidFill>
                      </w14:textFill>
                    </w:rPr>
                    <w:t>.</w:t>
                  </w:r>
                  <w:r>
                    <w:rPr>
                      <w:rFonts w:hint="eastAsia"/>
                      <w:color w:val="000000" w:themeColor="text1"/>
                      <w:spacing w:val="4"/>
                      <w:kern w:val="24"/>
                      <w:szCs w:val="21"/>
                      <w:vertAlign w:val="subscript"/>
                      <w14:textFill>
                        <w14:solidFill>
                          <w14:schemeClr w14:val="tx1"/>
                        </w14:solidFill>
                      </w14:textFill>
                    </w:rPr>
                    <w:t>5</w:t>
                  </w:r>
                  <w:r>
                    <w:rPr>
                      <w:rFonts w:hint="eastAsia"/>
                      <w:color w:val="000000" w:themeColor="text1"/>
                      <w:spacing w:val="4"/>
                      <w:kern w:val="24"/>
                      <w:szCs w:val="21"/>
                      <w14:textFill>
                        <w14:solidFill>
                          <w14:schemeClr w14:val="tx1"/>
                        </w14:solidFill>
                      </w14:textFill>
                    </w:rPr>
                    <w:t>）稳定达《环境空气质量标准》二级标准以上。到2035年，全市环境空气质量全面改善，各县（市）区、开发（度假）区环境空气质量稳定达到国家二级标准。</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项目区属于环境空气质量达标区，项目</w:t>
                  </w:r>
                  <w:r>
                    <w:rPr>
                      <w:rFonts w:hint="eastAsia"/>
                      <w:color w:val="000000" w:themeColor="text1"/>
                      <w:spacing w:val="4"/>
                      <w:kern w:val="24"/>
                      <w:szCs w:val="21"/>
                      <w:lang w:val="en-US" w:eastAsia="zh-CN"/>
                      <w14:textFill>
                        <w14:solidFill>
                          <w14:schemeClr w14:val="tx1"/>
                        </w14:solidFill>
                      </w14:textFill>
                    </w:rPr>
                    <w:t>铸锭过程为物理变化，且为真空炉，切割会产生少量粉尘，经布袋除尘器处置后，</w:t>
                  </w:r>
                  <w:r>
                    <w:rPr>
                      <w:rFonts w:hint="eastAsia"/>
                      <w:color w:val="000000" w:themeColor="text1"/>
                      <w:spacing w:val="4"/>
                      <w:kern w:val="24"/>
                      <w:szCs w:val="21"/>
                      <w14:textFill>
                        <w14:solidFill>
                          <w14:schemeClr w14:val="tx1"/>
                        </w14:solidFill>
                      </w14:textFill>
                    </w:rPr>
                    <w:t>对大气环境质量影响较小，不会突破当地环境质量底线。</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水环境质量底线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到2025年，纳入国家和省级考核的地表水监测断面水质优良率稳步提升，滇池流域、阳宗海流域水环境质量明显改善，水生态系统功能逐步恢复，滇池草海水质达IV类，滇池外海水质达 IV类（化学需氧量≤40毫克/升），阳宗海水质达Ⅲ类，集中式饮用水源水质巩固改善。到2035年，地表水体水质优良率全面提升，各监测断面水质达到水环境功能要求，消除劣V类水体，集中式饮用水水源水质稳定达标。</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项目实行雨污分流体制。项目生产用水循环使用，不外排，生活污水通过化粪池处理后排入园区污水管网</w:t>
                  </w:r>
                  <w:r>
                    <w:rPr>
                      <w:rFonts w:hint="eastAsia"/>
                      <w:color w:val="000000" w:themeColor="text1"/>
                      <w:spacing w:val="4"/>
                      <w:kern w:val="24"/>
                      <w:szCs w:val="21"/>
                      <w:lang w:val="en-US" w:eastAsia="zh-CN"/>
                      <w14:textFill>
                        <w14:solidFill>
                          <w14:schemeClr w14:val="tx1"/>
                        </w14:solidFill>
                      </w14:textFill>
                    </w:rPr>
                    <w:t>进行纳管</w:t>
                  </w:r>
                  <w:r>
                    <w:rPr>
                      <w:rFonts w:hint="eastAsia"/>
                      <w:color w:val="000000" w:themeColor="text1"/>
                      <w:spacing w:val="4"/>
                      <w:kern w:val="24"/>
                      <w:szCs w:val="21"/>
                      <w14:textFill>
                        <w14:solidFill>
                          <w14:schemeClr w14:val="tx1"/>
                        </w14:solidFill>
                      </w14:textFill>
                    </w:rPr>
                    <w:t>。项目废水不直接排放，对区域地表水环境影响不大。</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16" w:type="pct"/>
                  <w:vMerge w:val="continue"/>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土壤</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风险</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防控</w:t>
                  </w:r>
                </w:p>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底线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农用地和建设用地土壤环境安全得到有效保障，土壤环境风险得到全面管控。</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厂房采取分区防渗措施，危险废物设置危险废物暂存间暂存，并委托有资质单位定期清运处置。危废暂存间地面和四周墙裙进行重点防渗处理，并设置围堰等应急设施。项目采取了土壤污染防控措施，对土壤环境质量影响较小。</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316" w:type="pct"/>
                  <w:vMerge w:val="restar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资源利用上线</w:t>
                  </w:r>
                </w:p>
              </w:tc>
              <w:tc>
                <w:tcPr>
                  <w:tcW w:w="495"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水资源利用上线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按照国家、省、市有关要求和规划，按时完成全市用水总量、用水效率、限制纳污“三条红线”水资源上限控制指标。</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项目运营过程中用水主要为冷却用水及生活用水，冷却水循环使用。项目用水量较少，不属于高耗水项目。</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能源利用上线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按时完成单位GDP能耗下降率、能源消费总量等能源控制指标。</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项目生产过程中使用电能，能源消耗量相对区域能源利用总量较少，不属于高耗能项目。</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土地资源利用上线</w:t>
                  </w:r>
                </w:p>
              </w:tc>
              <w:tc>
                <w:tcPr>
                  <w:tcW w:w="2204"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按时完成耕地保有量、基本农田保护面积、建设用地总规模等土地资源利用上限控制指标。</w:t>
                  </w:r>
                </w:p>
              </w:tc>
              <w:tc>
                <w:tcPr>
                  <w:tcW w:w="1448"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项目不占用耕地及基本农田，用地类型为工业用地，不会突破当地土地资源利用上线。</w:t>
                  </w:r>
                </w:p>
              </w:tc>
              <w:tc>
                <w:tcPr>
                  <w:tcW w:w="535"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restar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云南东川再就业特色产业园区</w:t>
                  </w: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空间布局约束</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重点发展重化工、有色冶金、铸造、有色金属和稀贵金属加工、机械制造、</w:t>
                  </w:r>
                  <w:r>
                    <w:rPr>
                      <w:rFonts w:hint="eastAsia"/>
                      <w:b/>
                      <w:bCs/>
                      <w:color w:val="000000" w:themeColor="text1"/>
                      <w:spacing w:val="4"/>
                      <w:kern w:val="24"/>
                      <w:szCs w:val="21"/>
                      <w14:textFill>
                        <w14:solidFill>
                          <w14:schemeClr w14:val="tx1"/>
                        </w14:solidFill>
                      </w14:textFill>
                    </w:rPr>
                    <w:t>机电设备</w:t>
                  </w:r>
                  <w:r>
                    <w:rPr>
                      <w:rFonts w:hint="eastAsia"/>
                      <w:color w:val="000000" w:themeColor="text1"/>
                      <w:spacing w:val="4"/>
                      <w:kern w:val="24"/>
                      <w:szCs w:val="21"/>
                      <w14:textFill>
                        <w14:solidFill>
                          <w14:schemeClr w14:val="tx1"/>
                        </w14:solidFill>
                      </w14:textFill>
                    </w:rPr>
                    <w:t>、黄金精加工、建筑建材以及食品加工、生物医药行业。</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本项目位于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w:t>
                  </w:r>
                  <w:r>
                    <w:rPr>
                      <w:rFonts w:hint="eastAsia"/>
                      <w:color w:val="000000" w:themeColor="text1"/>
                      <w:spacing w:val="4"/>
                      <w:kern w:val="24"/>
                      <w:szCs w:val="21"/>
                      <w:lang w:val="en-US" w:eastAsia="zh-CN"/>
                      <w14:textFill>
                        <w14:solidFill>
                          <w14:schemeClr w14:val="tx1"/>
                        </w14:solidFill>
                      </w14:textFill>
                    </w:rPr>
                    <w:t>产品用于光伏新能源材料行业，可生产机电设备，</w:t>
                  </w:r>
                  <w:r>
                    <w:rPr>
                      <w:rFonts w:hint="eastAsia"/>
                      <w:color w:val="000000" w:themeColor="text1"/>
                      <w:spacing w:val="4"/>
                      <w:kern w:val="24"/>
                      <w:szCs w:val="21"/>
                      <w14:textFill>
                        <w14:solidFill>
                          <w14:schemeClr w14:val="tx1"/>
                        </w14:solidFill>
                      </w14:textFill>
                    </w:rPr>
                    <w:t>与</w:t>
                  </w:r>
                  <w:r>
                    <w:rPr>
                      <w:rFonts w:hint="eastAsia"/>
                      <w:color w:val="000000" w:themeColor="text1"/>
                      <w:spacing w:val="4"/>
                      <w:kern w:val="24"/>
                      <w:szCs w:val="21"/>
                      <w:lang w:val="en-US" w:eastAsia="zh-CN"/>
                      <w14:textFill>
                        <w14:solidFill>
                          <w14:schemeClr w14:val="tx1"/>
                        </w14:solidFill>
                      </w14:textFill>
                    </w:rPr>
                    <w:t>空间</w:t>
                  </w:r>
                  <w:r>
                    <w:rPr>
                      <w:rFonts w:hint="eastAsia"/>
                      <w:color w:val="000000" w:themeColor="text1"/>
                      <w:spacing w:val="4"/>
                      <w:kern w:val="24"/>
                      <w:szCs w:val="21"/>
                      <w14:textFill>
                        <w14:solidFill>
                          <w14:schemeClr w14:val="tx1"/>
                        </w14:solidFill>
                      </w14:textFill>
                    </w:rPr>
                    <w:t>产业布局不冲突。</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污染物排放管控</w:t>
                  </w:r>
                </w:p>
              </w:tc>
              <w:tc>
                <w:tcPr>
                  <w:tcW w:w="2204" w:type="pct"/>
                  <w:tcBorders>
                    <w:tl2br w:val="nil"/>
                    <w:tr2bl w:val="nil"/>
                  </w:tcBorders>
                  <w:vAlign w:val="center"/>
                </w:tcPr>
                <w:p>
                  <w:pPr>
                    <w:jc w:val="left"/>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1.四方地组团禁止再安排重污染企业，防止加重该区域的环境污染。</w:t>
                  </w:r>
                </w:p>
                <w:p>
                  <w:pPr>
                    <w:jc w:val="left"/>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2.碧谷片区靠近城区一侧安排居住及轻污染的工业项目，该地区地势较低，不得布置空气污染较重的项目。</w:t>
                  </w:r>
                </w:p>
                <w:p>
                  <w:pPr>
                    <w:jc w:val="left"/>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3.对门山片区不宜作为工业片区，作为城市服务功能区，靠近城区一侧应营造绿化带和布置低噪声影响项目。</w:t>
                  </w:r>
                </w:p>
                <w:p>
                  <w:pPr>
                    <w:jc w:val="left"/>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4.阿旺片区不宜布局空气污染大的项目。</w:t>
                  </w:r>
                </w:p>
              </w:tc>
              <w:tc>
                <w:tcPr>
                  <w:tcW w:w="1448"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w:t>
                  </w: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为光伏铸锭项目，不排放废气，属于轻污染项目</w:t>
                  </w:r>
                  <w:r>
                    <w:rPr>
                      <w:rFonts w:hint="eastAsia"/>
                      <w:color w:val="000000" w:themeColor="text1"/>
                      <w:spacing w:val="4"/>
                      <w:kern w:val="24"/>
                      <w:szCs w:val="21"/>
                      <w14:textFill>
                        <w14:solidFill>
                          <w14:schemeClr w14:val="tx1"/>
                        </w14:solidFill>
                      </w14:textFill>
                    </w:rPr>
                    <w:t>。</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环境风险防控</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p>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对门山片区发展生物制药及食品加工业时不得使用氨冷冻方式，以免氨泄露造成风险。</w:t>
                  </w:r>
                </w:p>
                <w:p>
                  <w:pPr>
                    <w:jc w:val="center"/>
                    <w:rPr>
                      <w:color w:val="000000" w:themeColor="text1"/>
                      <w:spacing w:val="4"/>
                      <w:kern w:val="24"/>
                      <w:szCs w:val="21"/>
                      <w14:textFill>
                        <w14:solidFill>
                          <w14:schemeClr w14:val="tx1"/>
                        </w14:solidFill>
                      </w14:textFill>
                    </w:rPr>
                  </w:pPr>
                </w:p>
              </w:tc>
              <w:tc>
                <w:tcPr>
                  <w:tcW w:w="1448"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本项目位于碧谷片区，不属于对门山片区。</w:t>
                  </w:r>
                </w:p>
              </w:tc>
              <w:tc>
                <w:tcPr>
                  <w:tcW w:w="535"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16" w:type="pct"/>
                  <w:vMerge w:val="continue"/>
                  <w:tcBorders>
                    <w:tl2br w:val="nil"/>
                    <w:tr2bl w:val="nil"/>
                  </w:tcBorders>
                  <w:vAlign w:val="center"/>
                </w:tcPr>
                <w:p>
                  <w:pPr>
                    <w:jc w:val="center"/>
                    <w:rPr>
                      <w:color w:val="000000" w:themeColor="text1"/>
                      <w:spacing w:val="4"/>
                      <w:kern w:val="24"/>
                      <w:szCs w:val="21"/>
                      <w14:textFill>
                        <w14:solidFill>
                          <w14:schemeClr w14:val="tx1"/>
                        </w14:solidFill>
                      </w14:textFill>
                    </w:rPr>
                  </w:pPr>
                </w:p>
              </w:tc>
              <w:tc>
                <w:tcPr>
                  <w:tcW w:w="495"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资源开发效率要求</w:t>
                  </w:r>
                </w:p>
              </w:tc>
              <w:tc>
                <w:tcPr>
                  <w:tcW w:w="2204"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城市污水再生利用率在20%以上。工业污水处理达标率达到100%。</w:t>
                  </w:r>
                </w:p>
              </w:tc>
              <w:tc>
                <w:tcPr>
                  <w:tcW w:w="1448" w:type="pct"/>
                  <w:tcBorders>
                    <w:tl2br w:val="nil"/>
                    <w:tr2bl w:val="nil"/>
                  </w:tcBorders>
                  <w:vAlign w:val="center"/>
                </w:tcPr>
                <w:p>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本项目仅排放生活污水，废水处理达标率100%。</w:t>
                  </w:r>
                </w:p>
              </w:tc>
              <w:tc>
                <w:tcPr>
                  <w:tcW w:w="535" w:type="pct"/>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bl>
          <w:p>
            <w:pPr>
              <w:autoSpaceDE w:val="0"/>
              <w:autoSpaceDN w:val="0"/>
              <w:adjustRightInd w:val="0"/>
              <w:snapToGrid w:val="0"/>
              <w:spacing w:line="360" w:lineRule="auto"/>
              <w:ind w:firstLine="420" w:firstLineChars="200"/>
              <w:rPr>
                <w:rFonts w:hint="eastAsia"/>
                <w:b/>
                <w:bCs/>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综上所述，本项目建设符合《昆明市人民政府关于昆明市“三线一单”生态环境分区管控的实施意见》要求</w:t>
            </w:r>
            <w:r>
              <w:rPr>
                <w:rFonts w:hint="eastAsia"/>
                <w:b w:val="0"/>
                <w:bCs w:val="0"/>
                <w:color w:val="000000" w:themeColor="text1"/>
                <w:kern w:val="0"/>
                <w:szCs w:val="21"/>
                <w:lang w:eastAsia="zh-CN"/>
                <w14:textFill>
                  <w14:solidFill>
                    <w14:schemeClr w14:val="tx1"/>
                  </w14:solidFill>
                </w14:textFill>
              </w:rPr>
              <w:t>。</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3</w:t>
            </w:r>
            <w:r>
              <w:rPr>
                <w:rFonts w:hint="eastAsia"/>
                <w:b/>
                <w:bCs/>
                <w:color w:val="000000" w:themeColor="text1"/>
                <w:kern w:val="0"/>
                <w:szCs w:val="21"/>
                <w14:textFill>
                  <w14:solidFill>
                    <w14:schemeClr w14:val="tx1"/>
                  </w14:solidFill>
                </w14:textFill>
              </w:rPr>
              <w:t>、产业政策符合性分析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本项目为多晶硅加工项目，对照《产业结构调整指导目录（2019年本）》、《促进产业结构调整暂行规定》、《云南省工业产业结构调整指导目录》（2006年本），项目属于鼓励类</w:t>
            </w:r>
            <w:r>
              <w:rPr>
                <w:rStyle w:val="28"/>
                <w:rFonts w:hint="eastAsia"/>
                <w:color w:val="000000" w:themeColor="text1"/>
                <w:kern w:val="0"/>
                <w:szCs w:val="20"/>
                <w:lang w:val="en-US" w:eastAsia="zh-CN"/>
                <w14:textFill>
                  <w14:solidFill>
                    <w14:schemeClr w14:val="tx1"/>
                  </w14:solidFill>
                </w14:textFill>
              </w:rPr>
              <w:t>中“二十八、信息产业—</w:t>
            </w:r>
            <w:r>
              <w:rPr>
                <w:rStyle w:val="28"/>
                <w:color w:val="000000" w:themeColor="text1"/>
                <w:kern w:val="0"/>
                <w:szCs w:val="20"/>
                <w14:textFill>
                  <w14:solidFill>
                    <w14:schemeClr w14:val="tx1"/>
                  </w14:solidFill>
                </w14:textFill>
              </w:rPr>
              <w:t>51、先进的各类太阳能光伏电池及高纯晶体硅材料</w:t>
            </w:r>
            <w:r>
              <w:rPr>
                <w:rStyle w:val="28"/>
                <w:rFonts w:hint="eastAsia"/>
                <w:color w:val="000000" w:themeColor="text1"/>
                <w:kern w:val="0"/>
                <w:szCs w:val="20"/>
                <w:lang w:eastAsia="zh-CN"/>
                <w14:textFill>
                  <w14:solidFill>
                    <w14:schemeClr w14:val="tx1"/>
                  </w14:solidFill>
                </w14:textFill>
              </w:rPr>
              <w:t>”</w:t>
            </w:r>
            <w:r>
              <w:rPr>
                <w:rFonts w:hint="eastAsia"/>
                <w:color w:val="000000" w:themeColor="text1"/>
                <w:kern w:val="0"/>
                <w:szCs w:val="21"/>
                <w14:textFill>
                  <w14:solidFill>
                    <w14:schemeClr w14:val="tx1"/>
                  </w14:solidFill>
                </w14:textFill>
              </w:rPr>
              <w:t>，项目建设符合当前产业政策。</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本项目已取得昆明市东川区发展和改革局备案证，项目代码为：</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04</w:t>
            </w:r>
            <w:r>
              <w:rPr>
                <w:rFonts w:hint="eastAsia"/>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w:t>
            </w:r>
            <w:r>
              <w:rPr>
                <w:rFonts w:hint="eastAsia"/>
                <w:color w:val="000000" w:themeColor="text1"/>
                <w:kern w:val="0"/>
                <w:szCs w:val="21"/>
                <w14:textFill>
                  <w14:solidFill>
                    <w14:schemeClr w14:val="tx1"/>
                  </w14:solidFill>
                </w14:textFill>
              </w:rPr>
              <w:t>。项目的建设符合昆明市产业政策。</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4</w:t>
            </w:r>
            <w:r>
              <w:rPr>
                <w:rFonts w:hint="eastAsia"/>
                <w:b/>
                <w:bCs/>
                <w:color w:val="000000" w:themeColor="text1"/>
                <w:kern w:val="0"/>
                <w:szCs w:val="21"/>
                <w14:textFill>
                  <w14:solidFill>
                    <w14:schemeClr w14:val="tx1"/>
                  </w14:solidFill>
                </w14:textFill>
              </w:rPr>
              <w:t>、与《云南省长江经济带发展负面清单指南实施细则（试行，2022年版）》符合性分析</w:t>
            </w:r>
          </w:p>
          <w:p>
            <w:pPr>
              <w:autoSpaceDE w:val="0"/>
              <w:autoSpaceDN w:val="0"/>
              <w:adjustRightInd w:val="0"/>
              <w:snapToGrid w:val="0"/>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表1-</w:t>
            </w:r>
            <w:r>
              <w:rPr>
                <w:rFonts w:hint="eastAsia"/>
                <w:b/>
                <w:bCs/>
                <w:color w:val="000000" w:themeColor="text1"/>
                <w:kern w:val="0"/>
                <w:szCs w:val="21"/>
                <w:lang w:val="en-US" w:eastAsia="zh-CN"/>
                <w14:textFill>
                  <w14:solidFill>
                    <w14:schemeClr w14:val="tx1"/>
                  </w14:solidFill>
                </w14:textFill>
              </w:rPr>
              <w:t>4</w:t>
            </w:r>
            <w:r>
              <w:rPr>
                <w:rFonts w:hint="eastAsia"/>
                <w:b/>
                <w:bCs/>
                <w:color w:val="000000" w:themeColor="text1"/>
                <w:kern w:val="0"/>
                <w:szCs w:val="21"/>
                <w14:textFill>
                  <w14:solidFill>
                    <w14:schemeClr w14:val="tx1"/>
                  </w14:solidFill>
                </w14:textFill>
              </w:rPr>
              <w:t xml:space="preserve"> 项目与《云南省长江经济带发展负面清单指南实施细则（试行，2022年版）》符合性分析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4531"/>
              <w:gridCol w:w="1858"/>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Borders>
                    <w:tl2br w:val="nil"/>
                    <w:tr2bl w:val="nil"/>
                  </w:tcBorders>
                  <w:vAlign w:val="center"/>
                </w:tcPr>
                <w:p>
                  <w:pPr>
                    <w:jc w:val="center"/>
                    <w:rPr>
                      <w:rFonts w:hint="eastAsia" w:eastAsia="宋体"/>
                      <w:b/>
                      <w:bCs/>
                      <w:color w:val="000000" w:themeColor="text1"/>
                      <w:spacing w:val="4"/>
                      <w:kern w:val="24"/>
                      <w:szCs w:val="21"/>
                      <w:lang w:eastAsia="zh-CN"/>
                      <w14:textFill>
                        <w14:solidFill>
                          <w14:schemeClr w14:val="tx1"/>
                        </w14:solidFill>
                      </w14:textFill>
                    </w:rPr>
                  </w:pPr>
                  <w:r>
                    <w:rPr>
                      <w:rFonts w:hint="eastAsia"/>
                      <w:b/>
                      <w:bCs/>
                      <w:color w:val="000000" w:themeColor="text1"/>
                      <w:spacing w:val="4"/>
                      <w:kern w:val="24"/>
                      <w:szCs w:val="21"/>
                      <w:lang w:val="en-US" w:eastAsia="zh-CN"/>
                      <w14:textFill>
                        <w14:solidFill>
                          <w14:schemeClr w14:val="tx1"/>
                        </w14:solidFill>
                      </w14:textFill>
                    </w:rPr>
                    <w:t>序号</w:t>
                  </w:r>
                </w:p>
              </w:tc>
              <w:tc>
                <w:tcPr>
                  <w:tcW w:w="2917"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lang w:val="en-US" w:eastAsia="zh-CN"/>
                      <w14:textFill>
                        <w14:solidFill>
                          <w14:schemeClr w14:val="tx1"/>
                        </w14:solidFill>
                      </w14:textFill>
                    </w:rPr>
                    <w:t>相关</w:t>
                  </w:r>
                  <w:r>
                    <w:rPr>
                      <w:rFonts w:hint="eastAsia"/>
                      <w:b/>
                      <w:bCs/>
                      <w:color w:val="000000" w:themeColor="text1"/>
                      <w:spacing w:val="4"/>
                      <w:kern w:val="24"/>
                      <w:szCs w:val="21"/>
                      <w14:textFill>
                        <w14:solidFill>
                          <w14:schemeClr w14:val="tx1"/>
                        </w14:solidFill>
                      </w14:textFill>
                    </w:rPr>
                    <w:t>要求</w:t>
                  </w:r>
                </w:p>
              </w:tc>
              <w:tc>
                <w:tcPr>
                  <w:tcW w:w="1196"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本项目建设情况</w:t>
                  </w:r>
                </w:p>
              </w:tc>
              <w:tc>
                <w:tcPr>
                  <w:tcW w:w="512" w:type="pct"/>
                  <w:tcBorders>
                    <w:tl2br w:val="nil"/>
                    <w:tr2bl w:val="nil"/>
                  </w:tcBorders>
                  <w:vAlign w:val="center"/>
                </w:tcPr>
                <w:p>
                  <w:pPr>
                    <w:jc w:val="center"/>
                    <w:rPr>
                      <w:b/>
                      <w:bCs/>
                      <w:color w:val="000000" w:themeColor="text1"/>
                      <w:spacing w:val="4"/>
                      <w:kern w:val="24"/>
                      <w:szCs w:val="21"/>
                      <w14:textFill>
                        <w14:solidFill>
                          <w14:schemeClr w14:val="tx1"/>
                        </w14:solidFill>
                      </w14:textFill>
                    </w:rPr>
                  </w:pPr>
                  <w:r>
                    <w:rPr>
                      <w:rFonts w:hint="eastAsia"/>
                      <w:b/>
                      <w:bCs/>
                      <w:color w:val="000000" w:themeColor="text1"/>
                      <w:spacing w:val="4"/>
                      <w:kern w:val="24"/>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3" w:type="pct"/>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1</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第一条 禁止新建、改建和扩建不符合《全国内河航道与港口布局规划》等全国港口规划和《昭通市港口码头岸线规划</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金沙江段2019年-2035年</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》、《景洪港总体规划</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2019-2035年</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》等州</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市</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级以上港口布局规划以及港口总体规划的码头项目。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本项目为</w:t>
                  </w:r>
                  <w:r>
                    <w:rPr>
                      <w:rFonts w:hint="eastAsia"/>
                      <w:color w:val="000000" w:themeColor="text1"/>
                      <w:spacing w:val="4"/>
                      <w:kern w:val="24"/>
                      <w:szCs w:val="21"/>
                      <w:lang w:val="en-US" w:eastAsia="zh-CN"/>
                      <w14:textFill>
                        <w14:solidFill>
                          <w14:schemeClr w14:val="tx1"/>
                        </w14:solidFill>
                      </w14:textFill>
                    </w:rPr>
                    <w:t>光伏铸锭项目，属</w:t>
                  </w:r>
                  <w:r>
                    <w:rPr>
                      <w:rFonts w:hint="eastAsia"/>
                      <w:color w:val="000000" w:themeColor="text1"/>
                      <w:spacing w:val="4"/>
                      <w:kern w:val="24"/>
                      <w:szCs w:val="21"/>
                      <w14:textFill>
                        <w14:solidFill>
                          <w14:schemeClr w14:val="tx1"/>
                        </w14:solidFill>
                      </w14:textFill>
                    </w:rPr>
                    <w:t>C3099其他非金属矿物制品制造，</w:t>
                  </w:r>
                  <w:r>
                    <w:rPr>
                      <w:rFonts w:hint="eastAsia"/>
                      <w:color w:val="000000" w:themeColor="text1"/>
                      <w:spacing w:val="4"/>
                      <w:kern w:val="24"/>
                      <w:szCs w:val="21"/>
                      <w:lang w:val="en-US" w:eastAsia="zh-CN"/>
                      <w14:textFill>
                        <w14:solidFill>
                          <w14:schemeClr w14:val="tx1"/>
                        </w14:solidFill>
                      </w14:textFill>
                    </w:rPr>
                    <w:t>不属于上述港口规划码头项目</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Borders>
                    <w:tl2br w:val="nil"/>
                    <w:tr2bl w:val="nil"/>
                  </w:tcBorders>
                  <w:vAlign w:val="center"/>
                </w:tcPr>
                <w:p>
                  <w:pPr>
                    <w:jc w:val="center"/>
                    <w:rPr>
                      <w:rFonts w:hint="eastAsia" w:eastAsia="宋体"/>
                      <w:color w:val="000000" w:themeColor="text1"/>
                      <w:spacing w:val="4"/>
                      <w:kern w:val="24"/>
                      <w:szCs w:val="21"/>
                      <w:lang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2</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第二条 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，用地性质属工业用地，项目的建设不涉及自然保护区。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373" w:type="pct"/>
                  <w:tcBorders>
                    <w:tl2br w:val="nil"/>
                    <w:tr2bl w:val="nil"/>
                  </w:tcBorders>
                  <w:vAlign w:val="center"/>
                </w:tcPr>
                <w:p>
                  <w:pPr>
                    <w:jc w:val="center"/>
                    <w:rPr>
                      <w:rFonts w:hint="eastAsia" w:eastAsia="宋体"/>
                      <w:color w:val="000000" w:themeColor="text1"/>
                      <w:spacing w:val="4"/>
                      <w:kern w:val="24"/>
                      <w:szCs w:val="21"/>
                      <w:lang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3</w:t>
                  </w:r>
                </w:p>
              </w:tc>
              <w:tc>
                <w:tcPr>
                  <w:tcW w:w="2917"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第三条 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禁止在风景名胜区内设立开发区和在核心景区内建设宾馆、会所、培训中心、疗养院以及与风景名胜资源保护无关的投资建设项目。</w:t>
                  </w:r>
                </w:p>
              </w:tc>
              <w:tc>
                <w:tcPr>
                  <w:tcW w:w="1196"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，用地性质属工业用地，项目的建设不涉及风景名胜区。</w:t>
                  </w:r>
                </w:p>
              </w:tc>
              <w:tc>
                <w:tcPr>
                  <w:tcW w:w="512" w:type="pct"/>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4</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第四条 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，用地性质属工业用地，项目的建设不涉及饮用水源保护区。</w:t>
                  </w:r>
                </w:p>
              </w:tc>
              <w:tc>
                <w:tcPr>
                  <w:tcW w:w="512" w:type="pct"/>
                  <w:tcBorders>
                    <w:tl2br w:val="nil"/>
                    <w:tr2bl w:val="nil"/>
                  </w:tcBorders>
                  <w:vAlign w:val="center"/>
                </w:tcPr>
                <w:p>
                  <w:pPr>
                    <w:jc w:val="center"/>
                    <w:rPr>
                      <w:rFonts w:hint="default"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5</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第五条</w:t>
                  </w:r>
                  <w:r>
                    <w:rPr>
                      <w:rFonts w:hint="eastAsia"/>
                      <w:color w:val="000000" w:themeColor="text1"/>
                      <w:spacing w:val="4"/>
                      <w:kern w:val="24"/>
                      <w:szCs w:val="21"/>
                      <w:lang w:val="en-US" w:eastAsia="zh-CN"/>
                      <w14:textFill>
                        <w14:solidFill>
                          <w14:schemeClr w14:val="tx1"/>
                        </w14:solidFill>
                      </w14:textFill>
                    </w:rPr>
                    <w:t xml:space="preserve"> </w:t>
                  </w:r>
                  <w:r>
                    <w:rPr>
                      <w:rFonts w:hint="eastAsia"/>
                      <w:color w:val="000000" w:themeColor="text1"/>
                      <w:spacing w:val="4"/>
                      <w:kern w:val="24"/>
                      <w:szCs w:val="21"/>
                      <w14:textFill>
                        <w14:solidFill>
                          <w14:schemeClr w14:val="tx1"/>
                        </w14:solidFill>
                      </w14:textFill>
                    </w:rPr>
                    <w:t>禁止在水产种质资源保护区的岸线和河段范围内新建围湖造田、围湖造地或围填海等投资建设项目。禁止擅自征收、占用国家湿地公园的土地</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禁止在国家湿地公园内挖沙、采矿，以及建设度假村、高尔夫球场等任何不符合主体功能定位的投资建设项目。</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，用地性质属工业用地，项目的建设不涉及</w:t>
                  </w:r>
                  <w:r>
                    <w:rPr>
                      <w:rFonts w:hint="eastAsia"/>
                      <w:color w:val="000000" w:themeColor="text1"/>
                      <w:spacing w:val="4"/>
                      <w:kern w:val="24"/>
                      <w:szCs w:val="21"/>
                      <w:lang w:val="en-US" w:eastAsia="zh-CN"/>
                      <w14:textFill>
                        <w14:solidFill>
                          <w14:schemeClr w14:val="tx1"/>
                        </w14:solidFill>
                      </w14:textFill>
                    </w:rPr>
                    <w:t>水产</w:t>
                  </w:r>
                  <w:r>
                    <w:rPr>
                      <w:rFonts w:hint="eastAsia"/>
                      <w:color w:val="000000" w:themeColor="text1"/>
                      <w:spacing w:val="4"/>
                      <w:kern w:val="24"/>
                      <w:szCs w:val="21"/>
                      <w14:textFill>
                        <w14:solidFill>
                          <w14:schemeClr w14:val="tx1"/>
                        </w14:solidFill>
                      </w14:textFill>
                    </w:rPr>
                    <w:t>种质资源保护区</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国家湿地公园</w:t>
                  </w:r>
                  <w:r>
                    <w:rPr>
                      <w:rFonts w:hint="eastAsia"/>
                      <w:color w:val="000000" w:themeColor="text1"/>
                      <w:spacing w:val="4"/>
                      <w:kern w:val="24"/>
                      <w:szCs w:val="21"/>
                      <w:lang w:val="en-US" w:eastAsia="zh-CN"/>
                      <w14:textFill>
                        <w14:solidFill>
                          <w14:schemeClr w14:val="tx1"/>
                        </w14:solidFill>
                      </w14:textFill>
                    </w:rPr>
                    <w:t>等保护区</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6</w:t>
                  </w:r>
                </w:p>
              </w:tc>
              <w:tc>
                <w:tcPr>
                  <w:tcW w:w="2917" w:type="pct"/>
                  <w:tcBorders>
                    <w:tl2br w:val="nil"/>
                    <w:tr2bl w:val="nil"/>
                  </w:tcBorders>
                  <w:vAlign w:val="center"/>
                </w:tcPr>
                <w:p>
                  <w:pPr>
                    <w:jc w:val="center"/>
                    <w:rPr>
                      <w:rFonts w:hint="eastAsia" w:eastAsia="宋体"/>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14:textFill>
                        <w14:solidFill>
                          <w14:schemeClr w14:val="tx1"/>
                        </w14:solidFill>
                      </w14:textFill>
                    </w:rPr>
                    <w:t>第六条 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w:t>
                  </w:r>
                  <w:r>
                    <w:rPr>
                      <w:rFonts w:hint="eastAsia"/>
                      <w:color w:val="000000" w:themeColor="text1"/>
                      <w:spacing w:val="4"/>
                      <w:kern w:val="24"/>
                      <w:szCs w:val="21"/>
                      <w:lang w:val="en-US" w:eastAsia="zh-CN"/>
                      <w14:textFill>
                        <w14:solidFill>
                          <w14:schemeClr w14:val="tx1"/>
                        </w14:solidFill>
                      </w14:textFill>
                    </w:rPr>
                    <w:t>目</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，用地性质属工业用地，项目的建设不涉及长江流域河湖岸线</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金沙江岸线保护区</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金沙江干流、九大高原湖泊保护区</w:t>
                  </w:r>
                  <w:r>
                    <w:rPr>
                      <w:rFonts w:hint="eastAsia"/>
                      <w:color w:val="000000" w:themeColor="text1"/>
                      <w:spacing w:val="4"/>
                      <w:kern w:val="24"/>
                      <w:szCs w:val="21"/>
                      <w:lang w:val="en-US" w:eastAsia="zh-CN"/>
                      <w14:textFill>
                        <w14:solidFill>
                          <w14:schemeClr w14:val="tx1"/>
                        </w14:solidFill>
                      </w14:textFill>
                    </w:rPr>
                    <w:t>等保护区</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7</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第七条 禁止在金沙江干流、长江一级支流建设除党中央国务院、国家投资主管部门、省级有关部门批复同意以外的过江基础设施项目</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禁止未经许可在金沙江干流、长江一级支流、九大高原湖泊流域新设、改设或扩大排污口。</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w:t>
                  </w:r>
                  <w:r>
                    <w:rPr>
                      <w:rFonts w:hint="eastAsia"/>
                      <w:color w:val="000000" w:themeColor="text1"/>
                      <w:spacing w:val="4"/>
                      <w:kern w:val="24"/>
                      <w:szCs w:val="21"/>
                      <w:lang w:val="en-US" w:eastAsia="zh-CN"/>
                      <w14:textFill>
                        <w14:solidFill>
                          <w14:schemeClr w14:val="tx1"/>
                        </w14:solidFill>
                      </w14:textFill>
                    </w:rPr>
                    <w:t>项目不</w:t>
                  </w:r>
                  <w:r>
                    <w:rPr>
                      <w:rFonts w:hint="eastAsia"/>
                      <w:color w:val="000000" w:themeColor="text1"/>
                      <w:spacing w:val="4"/>
                      <w:kern w:val="24"/>
                      <w:szCs w:val="21"/>
                      <w14:textFill>
                        <w14:solidFill>
                          <w14:schemeClr w14:val="tx1"/>
                        </w14:solidFill>
                      </w14:textFill>
                    </w:rPr>
                    <w:t>在金沙江</w:t>
                  </w:r>
                  <w:r>
                    <w:rPr>
                      <w:rFonts w:hint="eastAsia"/>
                      <w:color w:val="000000" w:themeColor="text1"/>
                      <w:spacing w:val="4"/>
                      <w:kern w:val="24"/>
                      <w:szCs w:val="21"/>
                      <w:lang w:val="en-US" w:eastAsia="zh-CN"/>
                      <w14:textFill>
                        <w14:solidFill>
                          <w14:schemeClr w14:val="tx1"/>
                        </w14:solidFill>
                      </w14:textFill>
                    </w:rPr>
                    <w:t>干流</w:t>
                  </w:r>
                  <w:r>
                    <w:rPr>
                      <w:rFonts w:hint="eastAsia"/>
                      <w:color w:val="000000" w:themeColor="text1"/>
                      <w:spacing w:val="4"/>
                      <w:kern w:val="24"/>
                      <w:szCs w:val="21"/>
                      <w14:textFill>
                        <w14:solidFill>
                          <w14:schemeClr w14:val="tx1"/>
                        </w14:solidFill>
                      </w14:textFill>
                    </w:rPr>
                    <w:t>、长江一级支流</w:t>
                  </w:r>
                  <w:r>
                    <w:rPr>
                      <w:rFonts w:hint="eastAsia"/>
                      <w:color w:val="000000" w:themeColor="text1"/>
                      <w:spacing w:val="4"/>
                      <w:kern w:val="24"/>
                      <w:szCs w:val="21"/>
                      <w:lang w:val="en-US" w:eastAsia="zh-CN"/>
                      <w14:textFill>
                        <w14:solidFill>
                          <w14:schemeClr w14:val="tx1"/>
                        </w14:solidFill>
                      </w14:textFill>
                    </w:rPr>
                    <w:t>范围内</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8</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第八条 禁止在金沙江干流、长江一级支流、水生生物保护区和长江流域禁捕水域开展天然渔业资源生产性捕捞。</w:t>
                  </w:r>
                </w:p>
              </w:tc>
              <w:tc>
                <w:tcPr>
                  <w:tcW w:w="1196" w:type="pct"/>
                  <w:tcBorders>
                    <w:tl2br w:val="nil"/>
                    <w:tr2bl w:val="nil"/>
                  </w:tcBorders>
                  <w:vAlign w:val="center"/>
                </w:tcPr>
                <w:p>
                  <w:pPr>
                    <w:jc w:val="center"/>
                    <w:rPr>
                      <w:rFonts w:hint="eastAsia" w:eastAsia="宋体"/>
                      <w:color w:val="000000" w:themeColor="text1"/>
                      <w:spacing w:val="4"/>
                      <w:kern w:val="24"/>
                      <w:szCs w:val="21"/>
                      <w:lang w:eastAsia="zh-CN"/>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，用地性质属工业用地，不</w:t>
                  </w:r>
                  <w:r>
                    <w:rPr>
                      <w:rFonts w:hint="eastAsia"/>
                      <w:color w:val="000000" w:themeColor="text1"/>
                      <w:spacing w:val="4"/>
                      <w:kern w:val="24"/>
                      <w:szCs w:val="21"/>
                      <w:lang w:val="en-US" w:eastAsia="zh-CN"/>
                      <w14:textFill>
                        <w14:solidFill>
                          <w14:schemeClr w14:val="tx1"/>
                        </w14:solidFill>
                      </w14:textFill>
                    </w:rPr>
                    <w:t>涉及</w:t>
                  </w:r>
                  <w:r>
                    <w:rPr>
                      <w:rFonts w:hint="eastAsia"/>
                      <w:color w:val="000000" w:themeColor="text1"/>
                      <w:spacing w:val="4"/>
                      <w:kern w:val="24"/>
                      <w:szCs w:val="21"/>
                      <w14:textFill>
                        <w14:solidFill>
                          <w14:schemeClr w14:val="tx1"/>
                        </w14:solidFill>
                      </w14:textFill>
                    </w:rPr>
                    <w:t>金沙江干流、长江一级支流、水生生物保护区和长江流域禁捕水域</w:t>
                  </w:r>
                  <w:r>
                    <w:rPr>
                      <w:rFonts w:hint="eastAsia"/>
                      <w:color w:val="000000" w:themeColor="text1"/>
                      <w:spacing w:val="4"/>
                      <w:kern w:val="24"/>
                      <w:szCs w:val="21"/>
                      <w:lang w:eastAsia="zh-CN"/>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9</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第九条 禁止在金沙江干流</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，用地性质属工业用地，</w:t>
                  </w:r>
                  <w:r>
                    <w:rPr>
                      <w:rFonts w:hint="eastAsia"/>
                      <w:color w:val="000000" w:themeColor="text1"/>
                      <w:spacing w:val="4"/>
                      <w:kern w:val="24"/>
                      <w:szCs w:val="21"/>
                      <w:lang w:val="en-US" w:eastAsia="zh-CN"/>
                      <w14:textFill>
                        <w14:solidFill>
                          <w14:schemeClr w14:val="tx1"/>
                        </w14:solidFill>
                      </w14:textFill>
                    </w:rPr>
                    <w:t>不在</w:t>
                  </w:r>
                  <w:r>
                    <w:rPr>
                      <w:rFonts w:hint="eastAsia"/>
                      <w:color w:val="000000" w:themeColor="text1"/>
                      <w:spacing w:val="4"/>
                      <w:kern w:val="24"/>
                      <w:szCs w:val="21"/>
                      <w14:textFill>
                        <w14:solidFill>
                          <w14:schemeClr w14:val="tx1"/>
                        </w14:solidFill>
                      </w14:textFill>
                    </w:rPr>
                    <w:t>金沙江干流</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长江一级支流和九大高原湖泊岸线一公里范围</w:t>
                  </w:r>
                  <w:r>
                    <w:rPr>
                      <w:rFonts w:hint="eastAsia"/>
                      <w:color w:val="000000" w:themeColor="text1"/>
                      <w:spacing w:val="4"/>
                      <w:kern w:val="24"/>
                      <w:szCs w:val="21"/>
                      <w:lang w:val="en-US" w:eastAsia="zh-CN"/>
                      <w14:textFill>
                        <w14:solidFill>
                          <w14:schemeClr w14:val="tx1"/>
                        </w14:solidFill>
                      </w14:textFill>
                    </w:rPr>
                    <w:t>内</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10</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第十条 禁止在合规园区外新建、扩建钢铁、石化、化工</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焦化、建材、有色、制浆造纸行业中的高污染项目。</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位</w:t>
                  </w:r>
                  <w:r>
                    <w:rPr>
                      <w:rFonts w:hint="eastAsia"/>
                      <w:color w:val="000000" w:themeColor="text1"/>
                      <w:spacing w:val="4"/>
                      <w:kern w:val="24"/>
                      <w:szCs w:val="21"/>
                      <w14:textFill>
                        <w14:solidFill>
                          <w14:schemeClr w14:val="tx1"/>
                        </w14:solidFill>
                      </w14:textFill>
                    </w:rPr>
                    <w:t>于</w:t>
                  </w:r>
                  <w:r>
                    <w:rPr>
                      <w:rFonts w:hint="eastAsia"/>
                      <w:color w:val="000000" w:themeColor="text1"/>
                      <w:spacing w:val="4"/>
                      <w:kern w:val="24"/>
                      <w:szCs w:val="21"/>
                      <w:lang w:val="en-US" w:eastAsia="zh-CN"/>
                      <w14:textFill>
                        <w14:solidFill>
                          <w14:schemeClr w14:val="tx1"/>
                        </w14:solidFill>
                      </w14:textFill>
                    </w:rPr>
                    <w:t>碧谷片区</w:t>
                  </w:r>
                  <w:r>
                    <w:rPr>
                      <w:rFonts w:hint="eastAsia"/>
                      <w:color w:val="000000" w:themeColor="text1"/>
                      <w:spacing w:val="4"/>
                      <w:kern w:val="24"/>
                      <w:szCs w:val="21"/>
                      <w14:textFill>
                        <w14:solidFill>
                          <w14:schemeClr w14:val="tx1"/>
                        </w14:solidFill>
                      </w14:textFill>
                    </w:rPr>
                    <w:t>，</w:t>
                  </w:r>
                  <w:r>
                    <w:rPr>
                      <w:rFonts w:hint="eastAsia"/>
                      <w:color w:val="000000" w:themeColor="text1"/>
                      <w:spacing w:val="4"/>
                      <w:kern w:val="24"/>
                      <w:szCs w:val="21"/>
                      <w:lang w:val="en-US" w:eastAsia="zh-CN"/>
                      <w14:textFill>
                        <w14:solidFill>
                          <w14:schemeClr w14:val="tx1"/>
                        </w14:solidFill>
                      </w14:textFill>
                    </w:rPr>
                    <w:t>且不属于上述高污染项目</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11</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项目不属于列入《云南省城镇人口密集区危险化学品生产企业搬迁改造名单》的搬迁改造企业在原址新建、扩建危险化学品生产项目。</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373"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12</w:t>
                  </w:r>
                </w:p>
              </w:tc>
              <w:tc>
                <w:tcPr>
                  <w:tcW w:w="2917"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第十二条 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按、电石、焦炭、黄磷、烧碱、纯碱、聚氯乙烯等行业新增产能。</w:t>
                  </w:r>
                </w:p>
              </w:tc>
              <w:tc>
                <w:tcPr>
                  <w:tcW w:w="1196" w:type="pct"/>
                  <w:tcBorders>
                    <w:tl2br w:val="nil"/>
                    <w:tr2bl w:val="nil"/>
                  </w:tcBorders>
                  <w:vAlign w:val="center"/>
                </w:tcPr>
                <w:p>
                  <w:pPr>
                    <w:jc w:val="center"/>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根据《产业结构调整指导目录</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2019 年本</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w:t>
                  </w:r>
                  <w:r>
                    <w:rPr>
                      <w:rFonts w:hint="eastAsia"/>
                      <w:color w:val="000000" w:themeColor="text1"/>
                      <w:spacing w:val="4"/>
                      <w:kern w:val="24"/>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项目属于鼓励类</w:t>
                  </w:r>
                  <w:r>
                    <w:rPr>
                      <w:rStyle w:val="28"/>
                      <w:rFonts w:hint="eastAsia"/>
                      <w:color w:val="000000" w:themeColor="text1"/>
                      <w:kern w:val="0"/>
                      <w:szCs w:val="20"/>
                      <w:lang w:val="en-US" w:eastAsia="zh-CN"/>
                      <w14:textFill>
                        <w14:solidFill>
                          <w14:schemeClr w14:val="tx1"/>
                        </w14:solidFill>
                      </w14:textFill>
                    </w:rPr>
                    <w:t>中“二十八、信息产业—</w:t>
                  </w:r>
                  <w:r>
                    <w:rPr>
                      <w:rStyle w:val="28"/>
                      <w:color w:val="000000" w:themeColor="text1"/>
                      <w:kern w:val="0"/>
                      <w:szCs w:val="20"/>
                      <w14:textFill>
                        <w14:solidFill>
                          <w14:schemeClr w14:val="tx1"/>
                        </w14:solidFill>
                      </w14:textFill>
                    </w:rPr>
                    <w:t>51、先进的各类太阳能光伏电池及高纯晶体硅材料</w:t>
                  </w:r>
                  <w:r>
                    <w:rPr>
                      <w:rStyle w:val="28"/>
                      <w:rFonts w:hint="eastAsia"/>
                      <w:color w:val="000000" w:themeColor="text1"/>
                      <w:kern w:val="0"/>
                      <w:szCs w:val="20"/>
                      <w:lang w:eastAsia="zh-CN"/>
                      <w14:textFill>
                        <w14:solidFill>
                          <w14:schemeClr w14:val="tx1"/>
                        </w14:solidFill>
                      </w14:textFill>
                    </w:rPr>
                    <w:t>”</w:t>
                  </w:r>
                  <w:r>
                    <w:rPr>
                      <w:rFonts w:hint="eastAsia"/>
                      <w:color w:val="000000" w:themeColor="text1"/>
                      <w:spacing w:val="4"/>
                      <w:kern w:val="24"/>
                      <w:szCs w:val="21"/>
                      <w14:textFill>
                        <w14:solidFill>
                          <w14:schemeClr w14:val="tx1"/>
                        </w14:solidFill>
                      </w14:textFill>
                    </w:rPr>
                    <w:t>。</w:t>
                  </w:r>
                </w:p>
              </w:tc>
              <w:tc>
                <w:tcPr>
                  <w:tcW w:w="512" w:type="pct"/>
                  <w:tcBorders>
                    <w:tl2br w:val="nil"/>
                    <w:tr2bl w:val="nil"/>
                  </w:tcBorders>
                  <w:vAlign w:val="center"/>
                </w:tcPr>
                <w:p>
                  <w:pPr>
                    <w:jc w:val="center"/>
                    <w:rPr>
                      <w:rFonts w:hint="default"/>
                      <w:color w:val="000000" w:themeColor="text1"/>
                      <w:spacing w:val="4"/>
                      <w:kern w:val="24"/>
                      <w:szCs w:val="21"/>
                      <w:lang w:val="en-US" w:eastAsia="zh-CN"/>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符合</w:t>
                  </w:r>
                </w:p>
              </w:tc>
            </w:tr>
          </w:tbl>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根据上表，项目建设符合《云南省长江经济带发展负面清单指南实施细则</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试行，2022年版</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》的相关要求。</w:t>
            </w:r>
          </w:p>
          <w:p>
            <w:pPr>
              <w:autoSpaceDE w:val="0"/>
              <w:autoSpaceDN w:val="0"/>
              <w:adjustRightInd w:val="0"/>
              <w:snapToGrid w:val="0"/>
              <w:spacing w:line="360" w:lineRule="auto"/>
              <w:rPr>
                <w:rFonts w:hint="eastAsia"/>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5</w:t>
            </w:r>
            <w:r>
              <w:rPr>
                <w:rFonts w:hint="eastAsia"/>
                <w:b/>
                <w:bCs/>
                <w:color w:val="000000" w:themeColor="text1"/>
                <w:kern w:val="0"/>
                <w:szCs w:val="21"/>
                <w14:textFill>
                  <w14:solidFill>
                    <w14:schemeClr w14:val="tx1"/>
                  </w14:solidFill>
                </w14:textFill>
              </w:rPr>
              <w:t>、与《昆明市大气污染防治条例》相符性分析</w:t>
            </w: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项目与《昆明市大气污染防治条例》相符性分析见表1-</w:t>
            </w:r>
            <w:r>
              <w:rPr>
                <w:rFonts w:hint="eastAsia"/>
                <w:color w:val="000000" w:themeColor="text1"/>
                <w:kern w:val="0"/>
                <w:szCs w:val="21"/>
                <w:lang w:val="en-US" w:eastAsia="zh-CN"/>
                <w14:textFill>
                  <w14:solidFill>
                    <w14:schemeClr w14:val="tx1"/>
                  </w14:solidFill>
                </w14:textFill>
              </w:rPr>
              <w:t>5</w:t>
            </w:r>
            <w:r>
              <w:rPr>
                <w:rFonts w:hint="eastAsia"/>
                <w:color w:val="000000" w:themeColor="text1"/>
                <w:kern w:val="0"/>
                <w:szCs w:val="21"/>
                <w14:textFill>
                  <w14:solidFill>
                    <w14:schemeClr w14:val="tx1"/>
                  </w14:solidFill>
                </w14:textFill>
              </w:rPr>
              <w:t>。</w:t>
            </w:r>
          </w:p>
          <w:p>
            <w:pPr>
              <w:autoSpaceDE w:val="0"/>
              <w:autoSpaceDN w:val="0"/>
              <w:adjustRightInd w:val="0"/>
              <w:snapToGrid w:val="0"/>
              <w:spacing w:line="360" w:lineRule="auto"/>
              <w:jc w:val="center"/>
              <w:rPr>
                <w:rFonts w:hint="eastAsia"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表1-</w:t>
            </w:r>
            <w:r>
              <w:rPr>
                <w:rFonts w:hint="eastAsia" w:ascii="Times New Roman" w:hAnsi="Times New Roman" w:cs="Times New Roman"/>
                <w:b/>
                <w:bCs/>
                <w:color w:val="000000" w:themeColor="text1"/>
                <w:kern w:val="0"/>
                <w:szCs w:val="21"/>
                <w:lang w:val="en-US" w:eastAsia="zh-CN"/>
                <w14:textFill>
                  <w14:solidFill>
                    <w14:schemeClr w14:val="tx1"/>
                  </w14:solidFill>
                </w14:textFill>
              </w:rPr>
              <w:t>5</w:t>
            </w:r>
            <w:r>
              <w:rPr>
                <w:rFonts w:hint="eastAsia" w:ascii="Times New Roman" w:hAnsi="Times New Roman" w:cs="Times New Roman"/>
                <w:b/>
                <w:bCs/>
                <w:color w:val="000000" w:themeColor="text1"/>
                <w:kern w:val="0"/>
                <w:szCs w:val="21"/>
                <w14:textFill>
                  <w14:solidFill>
                    <w14:schemeClr w14:val="tx1"/>
                  </w14:solidFill>
                </w14:textFill>
              </w:rPr>
              <w:t xml:space="preserve"> 与《昆明市大气污染防治条例》的符合性分析</w:t>
            </w:r>
          </w:p>
          <w:tbl>
            <w:tblPr>
              <w:tblStyle w:val="23"/>
              <w:tblW w:w="79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4992"/>
              <w:gridCol w:w="1340"/>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b/>
                      <w:color w:val="000000" w:themeColor="text1"/>
                      <w:spacing w:val="4"/>
                      <w:kern w:val="24"/>
                      <w:szCs w:val="21"/>
                      <w14:textFill>
                        <w14:solidFill>
                          <w14:schemeClr w14:val="tx1"/>
                        </w14:solidFill>
                      </w14:textFill>
                    </w:rPr>
                    <w:t>序号</w:t>
                  </w:r>
                </w:p>
              </w:tc>
              <w:tc>
                <w:tcPr>
                  <w:tcW w:w="4992"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昆明市大气污染防治条例要求</w:t>
                  </w:r>
                </w:p>
              </w:tc>
              <w:tc>
                <w:tcPr>
                  <w:tcW w:w="134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项目情况</w:t>
                  </w:r>
                </w:p>
              </w:tc>
              <w:tc>
                <w:tcPr>
                  <w:tcW w:w="830" w:type="dxa"/>
                  <w:tcBorders>
                    <w:tl2br w:val="nil"/>
                    <w:tr2bl w:val="nil"/>
                  </w:tcBorders>
                  <w:vAlign w:val="center"/>
                </w:tcPr>
                <w:p>
                  <w:pPr>
                    <w:jc w:val="center"/>
                    <w:rPr>
                      <w:b/>
                      <w:color w:val="000000" w:themeColor="text1"/>
                      <w:spacing w:val="4"/>
                      <w:kern w:val="24"/>
                      <w:szCs w:val="21"/>
                      <w14:textFill>
                        <w14:solidFill>
                          <w14:schemeClr w14:val="tx1"/>
                        </w14:solidFill>
                      </w14:textFill>
                    </w:rPr>
                  </w:pPr>
                  <w:r>
                    <w:rPr>
                      <w:rFonts w:hint="eastAsia"/>
                      <w:b/>
                      <w:color w:val="000000" w:themeColor="text1"/>
                      <w:spacing w:val="4"/>
                      <w:kern w:val="24"/>
                      <w:szCs w:val="21"/>
                      <w14:textFill>
                        <w14:solidFill>
                          <w14:schemeClr w14:val="tx1"/>
                        </w14:solidFill>
                      </w14:textFill>
                    </w:rPr>
                    <w:t>是否符合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4992" w:type="dxa"/>
                  <w:tcBorders>
                    <w:tl2br w:val="nil"/>
                    <w:tr2bl w:val="nil"/>
                  </w:tcBorders>
                  <w:vAlign w:val="center"/>
                </w:tcPr>
                <w:p>
                  <w:pPr>
                    <w:ind w:firstLine="436" w:firstLineChars="200"/>
                    <w:jc w:val="both"/>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本项目废气为颗粒物，均达标排放。</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4992" w:type="dxa"/>
                  <w:tcBorders>
                    <w:tl2br w:val="nil"/>
                    <w:tr2bl w:val="nil"/>
                  </w:tcBorders>
                  <w:vAlign w:val="center"/>
                </w:tcPr>
                <w:p>
                  <w:pPr>
                    <w:numPr>
                      <w:ilvl w:val="0"/>
                      <w:numId w:val="0"/>
                    </w:num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下列产生含挥发性有机物废气的生产和服务活动，应当在密闭空间或者设备中进行，并按照规定安装、使用污染防治设施；无法密闭的，应当采取高效处理措施减少废气排放：</w:t>
                  </w:r>
                </w:p>
                <w:p>
                  <w:pPr>
                    <w:numPr>
                      <w:ilvl w:val="0"/>
                      <w:numId w:val="3"/>
                    </w:num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石油炼制及有机化学品、合成树脂、合成纤维、合成橡胶等行业；</w:t>
                  </w:r>
                </w:p>
                <w:p>
                  <w:pPr>
                    <w:numPr>
                      <w:ilvl w:val="0"/>
                      <w:numId w:val="3"/>
                    </w:num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制药、农药、涂料、油墨、胶粘剂、橡胶和塑料加工等行业；</w:t>
                  </w:r>
                </w:p>
                <w:p>
                  <w:pPr>
                    <w:numPr>
                      <w:ilvl w:val="0"/>
                      <w:numId w:val="3"/>
                    </w:num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汽车、家具、集装箱、电子产品、工程机械等行业；</w:t>
                  </w:r>
                </w:p>
                <w:p>
                  <w:pPr>
                    <w:numPr>
                      <w:ilvl w:val="0"/>
                      <w:numId w:val="3"/>
                    </w:numPr>
                    <w:ind w:firstLine="436" w:firstLineChars="200"/>
                    <w:jc w:val="both"/>
                    <w:rPr>
                      <w:rFonts w:hint="eastAsia"/>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塑料软包装印刷、印铁制罐等行业；</w:t>
                  </w:r>
                </w:p>
                <w:p>
                  <w:pPr>
                    <w:numPr>
                      <w:ilvl w:val="0"/>
                      <w:numId w:val="3"/>
                    </w:numPr>
                    <w:ind w:firstLine="436" w:firstLineChars="200"/>
                    <w:jc w:val="both"/>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其他产生挥发性有机物的生产和服务活动。</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w:t>
                  </w:r>
                  <w:r>
                    <w:rPr>
                      <w:rFonts w:hint="eastAsia"/>
                      <w:color w:val="000000" w:themeColor="text1"/>
                      <w:spacing w:val="4"/>
                      <w:kern w:val="24"/>
                      <w:szCs w:val="21"/>
                      <w14:textFill>
                        <w14:solidFill>
                          <w14:schemeClr w14:val="tx1"/>
                        </w14:solidFill>
                      </w14:textFill>
                    </w:rPr>
                    <w:t>项目</w:t>
                  </w:r>
                  <w:r>
                    <w:rPr>
                      <w:rFonts w:hint="eastAsia"/>
                      <w:color w:val="000000" w:themeColor="text1"/>
                      <w:spacing w:val="4"/>
                      <w:kern w:val="24"/>
                      <w:szCs w:val="21"/>
                      <w:lang w:val="en-US" w:eastAsia="zh-CN"/>
                      <w14:textFill>
                        <w14:solidFill>
                          <w14:schemeClr w14:val="tx1"/>
                        </w14:solidFill>
                      </w14:textFill>
                    </w:rPr>
                    <w:t>不涉及挥发性有机物废气排放</w:t>
                  </w:r>
                  <w:r>
                    <w:rPr>
                      <w:rFonts w:hint="eastAsia"/>
                      <w:color w:val="000000" w:themeColor="text1"/>
                      <w:spacing w:val="4"/>
                      <w:kern w:val="24"/>
                      <w:szCs w:val="21"/>
                      <w14:textFill>
                        <w14:solidFill>
                          <w14:schemeClr w14:val="tx1"/>
                        </w14:solidFill>
                      </w14:textFill>
                    </w:rPr>
                    <w:t>。</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6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p>
              </w:tc>
              <w:tc>
                <w:tcPr>
                  <w:tcW w:w="4992" w:type="dxa"/>
                  <w:tcBorders>
                    <w:tl2br w:val="nil"/>
                    <w:tr2bl w:val="nil"/>
                  </w:tcBorders>
                  <w:vAlign w:val="center"/>
                </w:tcPr>
                <w:p>
                  <w:pPr>
                    <w:ind w:firstLine="436" w:firstLineChars="200"/>
                    <w:jc w:val="both"/>
                    <w:rPr>
                      <w:color w:val="000000" w:themeColor="text1"/>
                      <w:spacing w:val="4"/>
                      <w:kern w:val="24"/>
                      <w:szCs w:val="21"/>
                      <w14:textFill>
                        <w14:solidFill>
                          <w14:schemeClr w14:val="tx1"/>
                        </w14:solidFill>
                      </w14:textFill>
                    </w:rPr>
                  </w:pPr>
                  <w:r>
                    <w:rPr>
                      <w:rFonts w:hint="eastAsia"/>
                      <w:color w:val="000000" w:themeColor="text1"/>
                      <w:spacing w:val="4"/>
                      <w:kern w:val="24"/>
                      <w:szCs w:val="21"/>
                      <w:lang w:eastAsia="zh-CN"/>
                      <w14:textFill>
                        <w14:solidFill>
                          <w14:schemeClr w14:val="tx1"/>
                        </w14:solidFill>
                      </w14:textFill>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r>
                    <w:rPr>
                      <w:rFonts w:hint="eastAsia"/>
                      <w:color w:val="000000" w:themeColor="text1"/>
                      <w:spacing w:val="4"/>
                      <w:kern w:val="24"/>
                      <w:szCs w:val="21"/>
                      <w14:textFill>
                        <w14:solidFill>
                          <w14:schemeClr w14:val="tx1"/>
                        </w14:solidFill>
                      </w14:textFill>
                    </w:rPr>
                    <w:t>。</w:t>
                  </w:r>
                </w:p>
              </w:tc>
              <w:tc>
                <w:tcPr>
                  <w:tcW w:w="134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lang w:val="en-US" w:eastAsia="zh-CN"/>
                      <w14:textFill>
                        <w14:solidFill>
                          <w14:schemeClr w14:val="tx1"/>
                        </w14:solidFill>
                      </w14:textFill>
                    </w:rPr>
                    <w:t>本项目不涉及</w:t>
                  </w:r>
                  <w:r>
                    <w:rPr>
                      <w:rFonts w:hint="eastAsia"/>
                      <w:color w:val="000000" w:themeColor="text1"/>
                      <w:spacing w:val="4"/>
                      <w:kern w:val="24"/>
                      <w:szCs w:val="21"/>
                      <w14:textFill>
                        <w14:solidFill>
                          <w14:schemeClr w14:val="tx1"/>
                        </w14:solidFill>
                      </w14:textFill>
                    </w:rPr>
                    <w:t>。</w:t>
                  </w:r>
                </w:p>
              </w:tc>
              <w:tc>
                <w:tcPr>
                  <w:tcW w:w="83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符合</w:t>
                  </w:r>
                </w:p>
              </w:tc>
            </w:tr>
          </w:tbl>
          <w:p>
            <w:pPr>
              <w:autoSpaceDE w:val="0"/>
              <w:autoSpaceDN w:val="0"/>
              <w:adjustRightInd w:val="0"/>
              <w:snapToGrid w:val="0"/>
              <w:spacing w:line="360" w:lineRule="auto"/>
              <w:ind w:firstLine="420" w:firstLineChars="200"/>
              <w:rPr>
                <w:rFonts w:hint="eastAsia"/>
                <w:color w:val="000000" w:themeColor="text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综上，项目符合《昆明市大气污染防治条例》相关要求。</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6</w:t>
            </w:r>
            <w:r>
              <w:rPr>
                <w:rFonts w:hint="eastAsia"/>
                <w:b/>
                <w:bCs/>
                <w:color w:val="000000" w:themeColor="text1"/>
                <w:kern w:val="0"/>
                <w:szCs w:val="21"/>
                <w14:textFill>
                  <w14:solidFill>
                    <w14:schemeClr w14:val="tx1"/>
                  </w14:solidFill>
                </w14:textFill>
              </w:rPr>
              <w:t>、选址合理性分析</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本项目位于碧谷工业园区，</w:t>
            </w:r>
            <w:r>
              <w:rPr>
                <w:rFonts w:hint="eastAsia"/>
                <w:color w:val="000000" w:themeColor="text1"/>
                <w:kern w:val="0"/>
                <w:szCs w:val="21"/>
                <w:lang w:val="en-US" w:eastAsia="zh-CN"/>
                <w14:textFill>
                  <w14:solidFill>
                    <w14:schemeClr w14:val="tx1"/>
                  </w14:solidFill>
                </w14:textFill>
              </w:rPr>
              <w:t>为光伏铸锭项目，属于光伏新能源新材料产业，符合园区主导产业及规划定位</w:t>
            </w:r>
            <w:r>
              <w:rPr>
                <w:rFonts w:hint="eastAsia"/>
                <w:color w:val="000000" w:themeColor="text1"/>
                <w:kern w:val="0"/>
                <w:szCs w:val="21"/>
                <w14:textFill>
                  <w14:solidFill>
                    <w14:schemeClr w14:val="tx1"/>
                  </w14:solidFill>
                </w14:textFill>
              </w:rPr>
              <w:t>。根据企业提供的土地证，云（2021）东川区不动产权第</w:t>
            </w:r>
            <w:r>
              <w:rPr>
                <w:rFonts w:hint="eastAsia"/>
                <w:color w:val="000000" w:themeColor="text1"/>
                <w:kern w:val="0"/>
                <w:szCs w:val="21"/>
                <w:lang w:eastAsia="zh-CN"/>
                <w14:textFill>
                  <w14:solidFill>
                    <w14:schemeClr w14:val="tx1"/>
                  </w14:solidFill>
                </w14:textFill>
              </w:rPr>
              <w:t>0000***</w:t>
            </w:r>
            <w:r>
              <w:rPr>
                <w:rFonts w:hint="eastAsia"/>
                <w:color w:val="000000" w:themeColor="text1"/>
                <w:kern w:val="0"/>
                <w:szCs w:val="21"/>
                <w14:textFill>
                  <w14:solidFill>
                    <w14:schemeClr w14:val="tx1"/>
                  </w14:solidFill>
                </w14:textFill>
              </w:rPr>
              <w:t>号，用地性质为工业用地，</w:t>
            </w:r>
            <w:r>
              <w:rPr>
                <w:rFonts w:hint="eastAsia"/>
                <w:color w:val="000000" w:themeColor="text1"/>
                <w:kern w:val="0"/>
                <w:szCs w:val="21"/>
                <w:lang w:val="en-US" w:eastAsia="zh-CN"/>
                <w14:textFill>
                  <w14:solidFill>
                    <w14:schemeClr w14:val="tx1"/>
                  </w14:solidFill>
                </w14:textFill>
              </w:rPr>
              <w:t>对照“附图8</w:t>
            </w:r>
            <w:r>
              <w:rPr>
                <w:rFonts w:hint="eastAsia"/>
                <w:color w:val="000000" w:themeColor="text1"/>
                <w:kern w:val="0"/>
                <w:szCs w:val="21"/>
                <w14:textFill>
                  <w14:solidFill>
                    <w14:schemeClr w14:val="tx1"/>
                  </w14:solidFill>
                </w14:textFill>
              </w:rPr>
              <w:t>项目所在碧谷工业片区用地规划图</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本项目规划用地性质为工业用地，用地性质与规划相符。</w:t>
            </w:r>
          </w:p>
          <w:p>
            <w:pPr>
              <w:autoSpaceDE w:val="0"/>
              <w:autoSpaceDN w:val="0"/>
              <w:adjustRightInd w:val="0"/>
              <w:snapToGrid w:val="0"/>
              <w:spacing w:line="360" w:lineRule="auto"/>
              <w:ind w:firstLine="48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项目选址未建立在自然保护区、风景名胜区、饮用水源地和其他需要特殊保护的区域，选址不在环境敏感区域。此外项目周边500米无自然保护区、文物保护等敏感目标。项目位于工业园区，</w:t>
            </w:r>
            <w:r>
              <w:rPr>
                <w:rFonts w:hint="eastAsia"/>
                <w:color w:val="000000" w:themeColor="text1"/>
                <w:kern w:val="0"/>
                <w:szCs w:val="21"/>
                <w:lang w:val="en-US" w:eastAsia="zh-CN"/>
                <w14:textFill>
                  <w14:solidFill>
                    <w14:schemeClr w14:val="tx1"/>
                  </w14:solidFill>
                </w14:textFill>
              </w:rPr>
              <w:t>区域大气环境质量达标，</w:t>
            </w:r>
            <w:r>
              <w:rPr>
                <w:rFonts w:hint="eastAsia"/>
                <w:color w:val="000000" w:themeColor="text1"/>
                <w:kern w:val="0"/>
                <w:szCs w:val="21"/>
                <w14:textFill>
                  <w14:solidFill>
                    <w14:schemeClr w14:val="tx1"/>
                  </w14:solidFill>
                </w14:textFill>
              </w:rPr>
              <w:t>经治理后的</w:t>
            </w:r>
            <w:r>
              <w:rPr>
                <w:rFonts w:hint="eastAsia"/>
                <w:color w:val="000000" w:themeColor="text1"/>
                <w:kern w:val="0"/>
                <w:szCs w:val="21"/>
                <w:lang w:val="en-US" w:eastAsia="zh-CN"/>
                <w14:textFill>
                  <w14:solidFill>
                    <w14:schemeClr w14:val="tx1"/>
                  </w14:solidFill>
                </w14:textFill>
              </w:rPr>
              <w:t>废气、</w:t>
            </w:r>
            <w:r>
              <w:rPr>
                <w:rFonts w:hint="eastAsia"/>
                <w:color w:val="000000" w:themeColor="text1"/>
                <w:kern w:val="0"/>
                <w:szCs w:val="21"/>
                <w14:textFill>
                  <w14:solidFill>
                    <w14:schemeClr w14:val="tx1"/>
                  </w14:solidFill>
                </w14:textFill>
              </w:rPr>
              <w:t>废</w:t>
            </w:r>
            <w:r>
              <w:rPr>
                <w:rFonts w:hint="eastAsia"/>
                <w:color w:val="000000" w:themeColor="text1"/>
                <w:kern w:val="0"/>
                <w:szCs w:val="21"/>
                <w:lang w:val="en-US" w:eastAsia="zh-CN"/>
                <w14:textFill>
                  <w14:solidFill>
                    <w14:schemeClr w14:val="tx1"/>
                  </w14:solidFill>
                </w14:textFill>
              </w:rPr>
              <w:t>水</w:t>
            </w:r>
            <w:r>
              <w:rPr>
                <w:rFonts w:hint="eastAsia"/>
                <w:color w:val="000000" w:themeColor="text1"/>
                <w:kern w:val="0"/>
                <w:szCs w:val="21"/>
                <w14:textFill>
                  <w14:solidFill>
                    <w14:schemeClr w14:val="tx1"/>
                  </w14:solidFill>
                </w14:textFill>
              </w:rPr>
              <w:t>、噪声均可达标排放，固废得到有效处置，对周围环境影响较小。综上所述，项目选址是合理可行的。</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7</w:t>
            </w:r>
            <w:r>
              <w:rPr>
                <w:rFonts w:hint="eastAsia"/>
                <w:b/>
                <w:bCs/>
                <w:color w:val="000000" w:themeColor="text1"/>
                <w:kern w:val="0"/>
                <w:szCs w:val="21"/>
                <w14:textFill>
                  <w14:solidFill>
                    <w14:schemeClr w14:val="tx1"/>
                  </w14:solidFill>
                </w14:textFill>
              </w:rPr>
              <w:t>、平面布置合理性分析</w:t>
            </w: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项目平面布置根据功能、工艺流程、物流特点设计。整个项目功能分区明确，布局紧凑，工艺线路清晰流畅，噪声较大的</w:t>
            </w:r>
            <w:r>
              <w:rPr>
                <w:rFonts w:hint="eastAsia"/>
                <w:color w:val="000000" w:themeColor="text1"/>
                <w:kern w:val="0"/>
                <w:szCs w:val="21"/>
                <w:lang w:val="en-US" w:eastAsia="zh-CN"/>
                <w14:textFill>
                  <w14:solidFill>
                    <w14:schemeClr w14:val="tx1"/>
                  </w14:solidFill>
                </w14:textFill>
              </w:rPr>
              <w:t>铸锭炉</w:t>
            </w:r>
            <w:r>
              <w:rPr>
                <w:rFonts w:hint="eastAsia"/>
                <w:color w:val="000000" w:themeColor="text1"/>
                <w:kern w:val="0"/>
                <w:szCs w:val="21"/>
                <w14:textFill>
                  <w14:solidFill>
                    <w14:schemeClr w14:val="tx1"/>
                  </w14:solidFill>
                </w14:textFill>
              </w:rPr>
              <w:t>布置于在</w:t>
            </w:r>
            <w:r>
              <w:rPr>
                <w:rFonts w:hint="eastAsia"/>
                <w:color w:val="000000" w:themeColor="text1"/>
                <w:kern w:val="0"/>
                <w:szCs w:val="21"/>
                <w:lang w:val="en-US" w:eastAsia="zh-CN"/>
                <w14:textFill>
                  <w14:solidFill>
                    <w14:schemeClr w14:val="tx1"/>
                  </w14:solidFill>
                </w14:textFill>
              </w:rPr>
              <w:t>厂房中部</w:t>
            </w:r>
            <w:r>
              <w:rPr>
                <w:rFonts w:hint="eastAsia"/>
                <w:color w:val="000000" w:themeColor="text1"/>
                <w:kern w:val="0"/>
                <w:szCs w:val="21"/>
                <w14:textFill>
                  <w14:solidFill>
                    <w14:schemeClr w14:val="tx1"/>
                  </w14:solidFill>
                </w14:textFill>
              </w:rPr>
              <w:t>，办公区布置在</w:t>
            </w:r>
            <w:r>
              <w:rPr>
                <w:rFonts w:hint="eastAsia"/>
                <w:color w:val="000000" w:themeColor="text1"/>
                <w:kern w:val="0"/>
                <w:szCs w:val="21"/>
                <w:lang w:val="en-US" w:eastAsia="zh-CN"/>
                <w14:textFill>
                  <w14:solidFill>
                    <w14:schemeClr w14:val="tx1"/>
                  </w14:solidFill>
                </w14:textFill>
              </w:rPr>
              <w:t>厂房北</w:t>
            </w:r>
            <w:r>
              <w:rPr>
                <w:rFonts w:hint="eastAsia"/>
                <w:color w:val="000000" w:themeColor="text1"/>
                <w:kern w:val="0"/>
                <w:szCs w:val="21"/>
                <w14:textFill>
                  <w14:solidFill>
                    <w14:schemeClr w14:val="tx1"/>
                  </w14:solidFill>
                </w14:textFill>
              </w:rPr>
              <w:t>侧</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循环冷却池布置在厂房外北侧的空地上，原料区和产品区位于厂房南侧，厂房入口位于东侧</w:t>
            </w:r>
            <w:r>
              <w:rPr>
                <w:rFonts w:hint="eastAsia"/>
                <w:color w:val="000000" w:themeColor="text1"/>
                <w:kern w:val="0"/>
                <w:szCs w:val="21"/>
                <w14:textFill>
                  <w14:solidFill>
                    <w14:schemeClr w14:val="tx1"/>
                  </w14:solidFill>
                </w14:textFill>
              </w:rPr>
              <w:t>。从功能分区上，</w:t>
            </w:r>
            <w:r>
              <w:rPr>
                <w:rFonts w:hint="eastAsia"/>
                <w:color w:val="000000" w:themeColor="text1"/>
                <w:kern w:val="0"/>
                <w:szCs w:val="21"/>
                <w:lang w:val="en-US" w:eastAsia="zh-CN"/>
                <w14:textFill>
                  <w14:solidFill>
                    <w14:schemeClr w14:val="tx1"/>
                  </w14:solidFill>
                </w14:textFill>
              </w:rPr>
              <w:t>办公</w:t>
            </w:r>
            <w:r>
              <w:rPr>
                <w:rFonts w:hint="eastAsia"/>
                <w:color w:val="000000" w:themeColor="text1"/>
                <w:kern w:val="0"/>
                <w:szCs w:val="21"/>
                <w14:textFill>
                  <w14:solidFill>
                    <w14:schemeClr w14:val="tx1"/>
                  </w14:solidFill>
                </w14:textFill>
              </w:rPr>
              <w:t>区、成品</w:t>
            </w:r>
            <w:r>
              <w:rPr>
                <w:rFonts w:hint="eastAsia"/>
                <w:color w:val="000000" w:themeColor="text1"/>
                <w:kern w:val="0"/>
                <w:szCs w:val="21"/>
                <w:lang w:val="en-US" w:eastAsia="zh-CN"/>
                <w14:textFill>
                  <w14:solidFill>
                    <w14:schemeClr w14:val="tx1"/>
                  </w14:solidFill>
                </w14:textFill>
              </w:rPr>
              <w:t>区</w:t>
            </w:r>
            <w:r>
              <w:rPr>
                <w:rFonts w:hint="eastAsia"/>
                <w:color w:val="000000" w:themeColor="text1"/>
                <w:kern w:val="0"/>
                <w:szCs w:val="21"/>
                <w14:textFill>
                  <w14:solidFill>
                    <w14:schemeClr w14:val="tx1"/>
                  </w14:solidFill>
                </w14:textFill>
              </w:rPr>
              <w:t>与生产</w:t>
            </w:r>
            <w:r>
              <w:rPr>
                <w:rFonts w:hint="eastAsia"/>
                <w:color w:val="000000" w:themeColor="text1"/>
                <w:kern w:val="0"/>
                <w:szCs w:val="21"/>
                <w:lang w:val="en-US" w:eastAsia="zh-CN"/>
                <w14:textFill>
                  <w14:solidFill>
                    <w14:schemeClr w14:val="tx1"/>
                  </w14:solidFill>
                </w14:textFill>
              </w:rPr>
              <w:t>区（铸锭区）</w:t>
            </w:r>
            <w:r>
              <w:rPr>
                <w:rFonts w:hint="eastAsia"/>
                <w:color w:val="000000" w:themeColor="text1"/>
                <w:kern w:val="0"/>
                <w:szCs w:val="21"/>
                <w14:textFill>
                  <w14:solidFill>
                    <w14:schemeClr w14:val="tx1"/>
                  </w14:solidFill>
                </w14:textFill>
              </w:rPr>
              <w:t>位置分开，相对独立，减少车间噪声对职工的影响。出入口位于厂</w:t>
            </w:r>
            <w:r>
              <w:rPr>
                <w:rFonts w:hint="eastAsia"/>
                <w:color w:val="000000" w:themeColor="text1"/>
                <w:kern w:val="0"/>
                <w:szCs w:val="21"/>
                <w:lang w:val="en-US" w:eastAsia="zh-CN"/>
                <w14:textFill>
                  <w14:solidFill>
                    <w14:schemeClr w14:val="tx1"/>
                  </w14:solidFill>
                </w14:textFill>
              </w:rPr>
              <w:t>房东</w:t>
            </w:r>
            <w:r>
              <w:rPr>
                <w:rFonts w:hint="eastAsia"/>
                <w:color w:val="000000" w:themeColor="text1"/>
                <w:kern w:val="0"/>
                <w:szCs w:val="21"/>
                <w14:textFill>
                  <w14:solidFill>
                    <w14:schemeClr w14:val="tx1"/>
                  </w14:solidFill>
                </w14:textFill>
              </w:rPr>
              <w:t>侧，出入口与外部道路相通，以方便物资和人员进出。项目整体布局紧凑，功能分区明确。项目总平面布置图见附图5。</w:t>
            </w: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p>
          <w:p>
            <w:pPr>
              <w:autoSpaceDE w:val="0"/>
              <w:autoSpaceDN w:val="0"/>
              <w:adjustRightInd w:val="0"/>
              <w:snapToGrid w:val="0"/>
              <w:spacing w:line="360" w:lineRule="auto"/>
              <w:rPr>
                <w:rFonts w:hint="eastAsia" w:eastAsia="宋体"/>
                <w:color w:val="000000" w:themeColor="text1"/>
                <w:kern w:val="0"/>
                <w:szCs w:val="21"/>
                <w:lang w:val="en-US" w:eastAsia="zh-CN"/>
                <w14:textFill>
                  <w14:solidFill>
                    <w14:schemeClr w14:val="tx1"/>
                  </w14:solidFill>
                </w14:textFill>
              </w:rPr>
            </w:pPr>
          </w:p>
          <w:p>
            <w:pPr>
              <w:autoSpaceDE w:val="0"/>
              <w:autoSpaceDN w:val="0"/>
              <w:adjustRightInd w:val="0"/>
              <w:snapToGrid w:val="0"/>
              <w:spacing w:line="360" w:lineRule="auto"/>
              <w:rPr>
                <w:color w:val="000000" w:themeColor="text1"/>
                <w:kern w:val="0"/>
                <w:szCs w:val="21"/>
                <w14:textFill>
                  <w14:solidFill>
                    <w14:schemeClr w14:val="tx1"/>
                  </w14:solidFill>
                </w14:textFill>
              </w:rPr>
            </w:pPr>
          </w:p>
          <w:p>
            <w:pPr>
              <w:autoSpaceDE w:val="0"/>
              <w:autoSpaceDN w:val="0"/>
              <w:adjustRightInd w:val="0"/>
              <w:snapToGrid w:val="0"/>
              <w:spacing w:line="360" w:lineRule="auto"/>
              <w:rPr>
                <w:color w:val="000000" w:themeColor="text1"/>
                <w:kern w:val="0"/>
                <w:szCs w:val="21"/>
                <w14:textFill>
                  <w14:solidFill>
                    <w14:schemeClr w14:val="tx1"/>
                  </w14:solidFill>
                </w14:textFill>
              </w:rPr>
            </w:pPr>
          </w:p>
          <w:p>
            <w:pPr>
              <w:autoSpaceDE w:val="0"/>
              <w:autoSpaceDN w:val="0"/>
              <w:adjustRightInd w:val="0"/>
              <w:snapToGrid w:val="0"/>
              <w:spacing w:line="360" w:lineRule="auto"/>
              <w:rPr>
                <w:color w:val="000000" w:themeColor="text1"/>
                <w:kern w:val="0"/>
                <w:szCs w:val="21"/>
                <w14:textFill>
                  <w14:solidFill>
                    <w14:schemeClr w14:val="tx1"/>
                  </w14:solidFill>
                </w14:textFill>
              </w:rPr>
            </w:pPr>
          </w:p>
          <w:p>
            <w:pPr>
              <w:autoSpaceDE w:val="0"/>
              <w:autoSpaceDN w:val="0"/>
              <w:adjustRightInd w:val="0"/>
              <w:snapToGrid w:val="0"/>
              <w:spacing w:line="360" w:lineRule="auto"/>
              <w:rPr>
                <w:color w:val="000000" w:themeColor="text1"/>
                <w:kern w:val="0"/>
                <w:szCs w:val="21"/>
                <w14:textFill>
                  <w14:solidFill>
                    <w14:schemeClr w14:val="tx1"/>
                  </w14:solidFill>
                </w14:textFill>
              </w:rPr>
            </w:pPr>
          </w:p>
        </w:tc>
      </w:tr>
    </w:tbl>
    <w:p>
      <w:pPr>
        <w:spacing w:line="360" w:lineRule="auto"/>
        <w:rPr>
          <w:rFonts w:eastAsia="黑体"/>
          <w:color w:val="000000" w:themeColor="text1"/>
          <w:sz w:val="30"/>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bookmarkStart w:id="18" w:name="_Toc21316"/>
      <w:bookmarkStart w:id="19" w:name="_Toc25526"/>
      <w:r>
        <w:rPr>
          <w:rFonts w:hint="eastAsia" w:ascii="黑体" w:hAnsi="黑体" w:eastAsia="黑体"/>
          <w:snapToGrid w:val="0"/>
          <w:color w:val="000000" w:themeColor="text1"/>
          <w:sz w:val="30"/>
          <w:szCs w:val="30"/>
          <w14:textFill>
            <w14:solidFill>
              <w14:schemeClr w14:val="tx1"/>
            </w14:solidFill>
          </w14:textFill>
        </w:rPr>
        <w:t>二、建设项目工程分析</w:t>
      </w:r>
      <w:bookmarkEnd w:id="18"/>
      <w:bookmarkEnd w:id="1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823" w:type="dxa"/>
            <w:vAlign w:val="center"/>
          </w:tcPr>
          <w:p>
            <w:pPr>
              <w:pStyle w:val="19"/>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建设内容</w:t>
            </w:r>
          </w:p>
        </w:tc>
        <w:tc>
          <w:tcPr>
            <w:tcW w:w="8161" w:type="dxa"/>
          </w:tcPr>
          <w:p>
            <w:pPr>
              <w:spacing w:line="360" w:lineRule="auto"/>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1、项目由来</w:t>
            </w:r>
          </w:p>
          <w:p>
            <w:pPr>
              <w:autoSpaceDE w:val="0"/>
              <w:autoSpaceDN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昆明市东川区嘉粟科技有限责任公司成立于202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月2</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日，是一家进行多晶硅生产加工的企业。公司拟投资6698万元租赁昆明市东川工业投资开发有限公司位于昆明市东川区碧谷工业片区的空置厂房建设“多晶硅碎片综合利用项目”，拟购置多晶硅铸锭炉20套，行车2台，上料设备8套等，项目建成后</w:t>
            </w:r>
            <w:r>
              <w:rPr>
                <w:rFonts w:hint="eastAsia"/>
                <w:color w:val="000000" w:themeColor="text1"/>
                <w:szCs w:val="21"/>
                <w:lang w:val="en-US" w:eastAsia="zh-CN"/>
                <w14:textFill>
                  <w14:solidFill>
                    <w14:schemeClr w14:val="tx1"/>
                  </w14:solidFill>
                </w14:textFill>
              </w:rPr>
              <w:t>可形成年处置2000t</w:t>
            </w:r>
            <w:r>
              <w:rPr>
                <w:rFonts w:hint="eastAsia"/>
                <w:color w:val="000000" w:themeColor="text1"/>
                <w:szCs w:val="21"/>
                <w14:textFill>
                  <w14:solidFill>
                    <w14:schemeClr w14:val="tx1"/>
                  </w14:solidFill>
                </w14:textFill>
              </w:rPr>
              <w:t>光伏材料多晶硅碎屑</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同时年产18</w:t>
            </w:r>
            <w:r>
              <w:rPr>
                <w:rFonts w:hint="eastAsia"/>
                <w:color w:val="000000" w:themeColor="text1"/>
                <w:szCs w:val="21"/>
                <w14:textFill>
                  <w14:solidFill>
                    <w14:schemeClr w14:val="tx1"/>
                  </w14:solidFill>
                </w14:textFill>
              </w:rPr>
              <w:t>00吨高纯度硅材料</w:t>
            </w:r>
            <w:r>
              <w:rPr>
                <w:rFonts w:hint="eastAsia"/>
                <w:color w:val="000000" w:themeColor="text1"/>
                <w:szCs w:val="21"/>
                <w:lang w:val="en-US" w:eastAsia="zh-CN"/>
                <w14:textFill>
                  <w14:solidFill>
                    <w14:schemeClr w14:val="tx1"/>
                  </w14:solidFill>
                </w14:textFill>
              </w:rPr>
              <w:t>生产线一条。</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中华人民共和国国务院第682号令《建设项目环境保护管理条例》及《中华人民共和国环境影响评价法》等的有关规定，该项目建设需开展环境影响评价工作。根据《建设项目环境影响评价分类管理名录》（2021年版）等有关法律、法规的要求，项目属于“二十七、非金属矿物制品业30—60石墨及其他非金属矿物制品制造309—其他”</w:t>
            </w:r>
            <w:r>
              <w:rPr>
                <w:color w:val="000000" w:themeColor="text1"/>
                <w:szCs w:val="21"/>
                <w14:textFill>
                  <w14:solidFill>
                    <w14:schemeClr w14:val="tx1"/>
                  </w14:solidFill>
                </w14:textFill>
              </w:rPr>
              <w:t>，应该编制环境影响报告表。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受昆明市东川区嘉粟科技有限责任公司的委托（附件1），</w:t>
            </w:r>
            <w:r>
              <w:rPr>
                <w:rFonts w:hint="eastAsia"/>
                <w:color w:val="000000" w:themeColor="text1"/>
                <w:szCs w:val="21"/>
                <w:lang w:val="en-US" w:eastAsia="zh-CN"/>
                <w14:textFill>
                  <w14:solidFill>
                    <w14:schemeClr w14:val="tx1"/>
                  </w14:solidFill>
                </w14:textFill>
              </w:rPr>
              <w:t>我</w:t>
            </w:r>
            <w:r>
              <w:rPr>
                <w:rFonts w:hint="eastAsia"/>
                <w:color w:val="000000" w:themeColor="text1"/>
                <w:szCs w:val="21"/>
                <w14:textFill>
                  <w14:solidFill>
                    <w14:schemeClr w14:val="tx1"/>
                  </w14:solidFill>
                </w14:textFill>
              </w:rPr>
              <w:t>司承担本建设项目的环境影响报告表的编制。我公司接受委托后，按照环境影响评价技术导则的要求，通过现场踏勘、资料收集，在工程分析的基础上，对本项目可能造成的环境影响进行分析评价，编制了《多晶硅碎片综合利用项目环境影响报告表》，供建设单位上报审批。</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2、建设项目基本概况</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项目名称：</w:t>
            </w:r>
            <w:r>
              <w:rPr>
                <w:rFonts w:hint="eastAsia"/>
                <w:color w:val="000000" w:themeColor="text1"/>
                <w:szCs w:val="21"/>
                <w14:textFill>
                  <w14:solidFill>
                    <w14:schemeClr w14:val="tx1"/>
                  </w14:solidFill>
                </w14:textFill>
              </w:rPr>
              <w:t>多晶硅碎片综合利用项目</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建设单位：</w:t>
            </w:r>
            <w:r>
              <w:rPr>
                <w:rFonts w:hint="eastAsia" w:ascii="宋体" w:hAnsi="宋体"/>
                <w:color w:val="000000" w:themeColor="text1"/>
                <w:szCs w:val="21"/>
                <w14:textFill>
                  <w14:solidFill>
                    <w14:schemeClr w14:val="tx1"/>
                  </w14:solidFill>
                </w14:textFill>
              </w:rPr>
              <w:t>昆明市东川区嘉粟科技有限责任公司</w:t>
            </w:r>
          </w:p>
          <w:p>
            <w:pPr>
              <w:spacing w:line="360" w:lineRule="auto"/>
              <w:ind w:firstLine="420" w:firstLineChars="200"/>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建设地点：云南省昆明市东川区碧谷工业园区（新格路与碧龙路交叉口南上段标准化厂房内）</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E：</w:t>
            </w:r>
            <w:r>
              <w:rPr>
                <w:rFonts w:hint="eastAsia"/>
                <w:color w:val="000000" w:themeColor="text1"/>
                <w:szCs w:val="21"/>
                <w14:textFill>
                  <w14:solidFill>
                    <w14:schemeClr w14:val="tx1"/>
                  </w14:solidFill>
                </w14:textFill>
              </w:rPr>
              <w:t>103.163344716</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N：</w:t>
            </w:r>
            <w:r>
              <w:rPr>
                <w:rFonts w:hint="eastAsia"/>
                <w:color w:val="000000" w:themeColor="text1"/>
                <w:szCs w:val="21"/>
                <w14:textFill>
                  <w14:solidFill>
                    <w14:schemeClr w14:val="tx1"/>
                  </w14:solidFill>
                </w14:textFill>
              </w:rPr>
              <w:t>26.128254025</w:t>
            </w:r>
            <w:r>
              <w:rPr>
                <w:rFonts w:hint="eastAsia"/>
                <w:color w:val="000000" w:themeColor="text1"/>
                <w:szCs w:val="21"/>
                <w:lang w:val="en-US" w:eastAsia="zh-CN"/>
                <w14:textFill>
                  <w14:solidFill>
                    <w14:schemeClr w14:val="tx1"/>
                  </w14:solidFill>
                </w14:textFill>
              </w:rPr>
              <w:t>°</w:t>
            </w:r>
            <w:r>
              <w:rPr>
                <w:rFonts w:hint="eastAsia"/>
                <w:color w:val="000000" w:themeColor="text1"/>
                <w:szCs w:val="21"/>
                <w:lang w:eastAsia="zh-CN"/>
                <w14:textFill>
                  <w14:solidFill>
                    <w14:schemeClr w14:val="tx1"/>
                  </w14:solidFill>
                </w14:textFill>
              </w:rPr>
              <w:t>）</w:t>
            </w:r>
          </w:p>
          <w:p>
            <w:pPr>
              <w:autoSpaceDE w:val="0"/>
              <w:autoSpaceDN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生产</w:t>
            </w:r>
            <w:r>
              <w:rPr>
                <w:rFonts w:hint="eastAsia" w:ascii="宋体" w:hAnsi="宋体"/>
                <w:color w:val="000000" w:themeColor="text1"/>
                <w:szCs w:val="21"/>
                <w14:textFill>
                  <w14:solidFill>
                    <w14:schemeClr w14:val="tx1"/>
                  </w14:solidFill>
                </w14:textFill>
              </w:rPr>
              <w:t>规模：</w:t>
            </w:r>
            <w:r>
              <w:rPr>
                <w:rFonts w:hint="eastAsia"/>
                <w:color w:val="000000" w:themeColor="text1"/>
                <w:szCs w:val="21"/>
                <w14:textFill>
                  <w14:solidFill>
                    <w14:schemeClr w14:val="tx1"/>
                  </w14:solidFill>
                </w14:textFill>
              </w:rPr>
              <w:t>年处置2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00t光伏材料多晶硅碎屑，同时年产</w:t>
            </w: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00吨高纯度硅材料生产线一条。</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建设性质：新建</w:t>
            </w:r>
          </w:p>
          <w:p>
            <w:pPr>
              <w:spacing w:line="360" w:lineRule="auto"/>
              <w:ind w:firstLine="420" w:firstLineChars="200"/>
              <w:rPr>
                <w:bCs/>
                <w:color w:val="000000" w:themeColor="text1"/>
                <w:kern w:val="24"/>
                <w:szCs w:val="21"/>
                <w14:textFill>
                  <w14:solidFill>
                    <w14:schemeClr w14:val="tx1"/>
                  </w14:solidFill>
                </w14:textFill>
              </w:rPr>
            </w:pPr>
            <w:r>
              <w:rPr>
                <w:rFonts w:hint="eastAsia"/>
                <w:color w:val="000000" w:themeColor="text1"/>
                <w:szCs w:val="21"/>
                <w14:textFill>
                  <w14:solidFill>
                    <w14:schemeClr w14:val="tx1"/>
                  </w14:solidFill>
                </w14:textFill>
              </w:rPr>
              <w:t>建设项目投资：6698万元，资金来源为企业自筹</w:t>
            </w:r>
          </w:p>
          <w:p>
            <w:pPr>
              <w:spacing w:line="360" w:lineRule="auto"/>
              <w:rPr>
                <w:rFonts w:hAnsi="宋体"/>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w:t>
            </w:r>
            <w:r>
              <w:rPr>
                <w:rFonts w:hAnsi="宋体"/>
                <w:b/>
                <w:color w:val="000000" w:themeColor="text1"/>
                <w:szCs w:val="21"/>
                <w14:textFill>
                  <w14:solidFill>
                    <w14:schemeClr w14:val="tx1"/>
                  </w14:solidFill>
                </w14:textFill>
              </w:rPr>
              <w:t>工程</w:t>
            </w:r>
            <w:r>
              <w:rPr>
                <w:rFonts w:hint="eastAsia" w:hAnsi="宋体"/>
                <w:b/>
                <w:color w:val="000000" w:themeColor="text1"/>
                <w:szCs w:val="21"/>
                <w14:textFill>
                  <w14:solidFill>
                    <w14:schemeClr w14:val="tx1"/>
                  </w14:solidFill>
                </w14:textFill>
              </w:rPr>
              <w:t>内容及规模</w:t>
            </w:r>
          </w:p>
          <w:p>
            <w:pPr>
              <w:pStyle w:val="76"/>
              <w:shd w:val="clear"/>
              <w:spacing w:line="360" w:lineRule="auto"/>
              <w:ind w:firstLine="420"/>
              <w:jc w:val="both"/>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本项目总投资6698万元，位于云南省昆明市东川区碧谷工业园区，租用园区建设标准厂房7栋1楼，总建筑面积为</w:t>
            </w:r>
            <w:r>
              <w:rPr>
                <w:rFonts w:hint="eastAsia" w:eastAsia="宋体"/>
                <w:bCs/>
                <w:color w:val="000000" w:themeColor="text1"/>
                <w:sz w:val="21"/>
                <w:szCs w:val="21"/>
                <w:lang w:val="en-US" w:eastAsia="zh-CN"/>
                <w14:textFill>
                  <w14:solidFill>
                    <w14:schemeClr w14:val="tx1"/>
                  </w14:solidFill>
                </w14:textFill>
              </w:rPr>
              <w:t>3</w:t>
            </w:r>
            <w:r>
              <w:rPr>
                <w:rFonts w:hint="eastAsia" w:eastAsia="宋体"/>
                <w:bCs/>
                <w:color w:val="000000" w:themeColor="text1"/>
                <w:sz w:val="21"/>
                <w:szCs w:val="21"/>
                <w14:textFill>
                  <w14:solidFill>
                    <w14:schemeClr w14:val="tx1"/>
                  </w14:solidFill>
                </w14:textFill>
              </w:rPr>
              <w:t>500m</w:t>
            </w:r>
            <w:r>
              <w:rPr>
                <w:rFonts w:hint="eastAsia" w:eastAsia="宋体"/>
                <w:bCs/>
                <w:color w:val="000000" w:themeColor="text1"/>
                <w:sz w:val="21"/>
                <w:szCs w:val="21"/>
                <w:vertAlign w:val="superscript"/>
                <w14:textFill>
                  <w14:solidFill>
                    <w14:schemeClr w14:val="tx1"/>
                  </w14:solidFill>
                </w14:textFill>
              </w:rPr>
              <w:t>2</w:t>
            </w:r>
            <w:r>
              <w:rPr>
                <w:rFonts w:hint="eastAsia" w:eastAsia="宋体"/>
                <w:bCs/>
                <w:color w:val="000000" w:themeColor="text1"/>
                <w:sz w:val="21"/>
                <w:szCs w:val="21"/>
                <w14:textFill>
                  <w14:solidFill>
                    <w14:schemeClr w14:val="tx1"/>
                  </w14:solidFill>
                </w14:textFill>
              </w:rPr>
              <w:t>。具体工程组成见表2-1。</w:t>
            </w:r>
          </w:p>
          <w:p>
            <w:pPr>
              <w:pStyle w:val="76"/>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表2-1项目工程组成一览表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80"/>
              <w:gridCol w:w="1061"/>
              <w:gridCol w:w="4400"/>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tcBorders>
                    <w:tl2br w:val="nil"/>
                    <w:tr2bl w:val="nil"/>
                  </w:tcBorders>
                  <w:vAlign w:val="center"/>
                </w:tcPr>
                <w:p>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工程分类</w:t>
                  </w:r>
                </w:p>
              </w:tc>
              <w:tc>
                <w:tcPr>
                  <w:tcW w:w="553" w:type="pct"/>
                  <w:tcBorders>
                    <w:tl2br w:val="nil"/>
                    <w:tr2bl w:val="nil"/>
                  </w:tcBorders>
                  <w:vAlign w:val="center"/>
                </w:tcPr>
                <w:p>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建设内容</w:t>
                  </w:r>
                </w:p>
              </w:tc>
              <w:tc>
                <w:tcPr>
                  <w:tcW w:w="667" w:type="pct"/>
                  <w:tcBorders>
                    <w:tl2br w:val="nil"/>
                    <w:tr2bl w:val="nil"/>
                  </w:tcBorders>
                  <w:vAlign w:val="center"/>
                </w:tcPr>
                <w:p>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建筑面积</w:t>
                  </w:r>
                </w:p>
              </w:tc>
              <w:tc>
                <w:tcPr>
                  <w:tcW w:w="2769" w:type="pct"/>
                  <w:tcBorders>
                    <w:tl2br w:val="nil"/>
                    <w:tr2bl w:val="nil"/>
                  </w:tcBorders>
                  <w:vAlign w:val="center"/>
                </w:tcPr>
                <w:p>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规模及主要内容</w:t>
                  </w:r>
                </w:p>
              </w:tc>
              <w:tc>
                <w:tcPr>
                  <w:tcW w:w="572" w:type="pct"/>
                  <w:tcBorders>
                    <w:tl2br w:val="nil"/>
                    <w:tr2bl w:val="nil"/>
                  </w:tcBorders>
                  <w:vAlign w:val="center"/>
                </w:tcPr>
                <w:p>
                  <w:pPr>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3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主体工程</w:t>
                  </w:r>
                </w:p>
              </w:tc>
              <w:tc>
                <w:tcPr>
                  <w:tcW w:w="553"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2</w:t>
                  </w:r>
                </w:p>
              </w:tc>
              <w:tc>
                <w:tcPr>
                  <w:tcW w:w="2769"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1F，砖混结构，设有20套多晶硅铸锭炉，配备20台冷水机等。</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/（租赁）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37" w:type="pct"/>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辅助工程</w:t>
                  </w: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原料区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vertAlign w:val="superscript"/>
                      <w14:textFill>
                        <w14:solidFill>
                          <w14:schemeClr w14:val="tx1"/>
                        </w14:solidFill>
                      </w14:textFill>
                    </w:rPr>
                    <w:t>2</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1F，位于生产车间</w:t>
                  </w:r>
                  <w:r>
                    <w:rPr>
                      <w:rFonts w:hint="eastAsia"/>
                      <w:color w:val="000000" w:themeColor="text1"/>
                      <w:szCs w:val="21"/>
                      <w:lang w:val="en-US" w:eastAsia="zh-CN"/>
                      <w14:textFill>
                        <w14:solidFill>
                          <w14:schemeClr w14:val="tx1"/>
                        </w14:solidFill>
                      </w14:textFill>
                    </w:rPr>
                    <w:t>内-南侧</w:t>
                  </w:r>
                  <w:r>
                    <w:rPr>
                      <w:rFonts w:hint="eastAsia"/>
                      <w:color w:val="000000" w:themeColor="text1"/>
                      <w:szCs w:val="21"/>
                      <w14:textFill>
                        <w14:solidFill>
                          <w14:schemeClr w14:val="tx1"/>
                        </w14:solidFill>
                      </w14:textFill>
                    </w:rPr>
                    <w:t>，主要用于存放外购的硅边角料材料。</w:t>
                  </w:r>
                </w:p>
              </w:tc>
              <w:tc>
                <w:tcPr>
                  <w:tcW w:w="572" w:type="pct"/>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位于生产车间内</w:t>
                  </w: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 xml:space="preserve">成品区 </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vertAlign w:val="superscript"/>
                      <w14:textFill>
                        <w14:solidFill>
                          <w14:schemeClr w14:val="tx1"/>
                        </w14:solidFill>
                      </w14:textFill>
                    </w:rPr>
                    <w:t>2</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1F，位于生产车间</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东</w:t>
                  </w:r>
                  <w:r>
                    <w:rPr>
                      <w:rFonts w:hint="eastAsia"/>
                      <w:color w:val="000000" w:themeColor="text1"/>
                      <w:szCs w:val="21"/>
                      <w:lang w:val="en-US" w:eastAsia="zh-CN"/>
                      <w14:textFill>
                        <w14:solidFill>
                          <w14:schemeClr w14:val="tx1"/>
                        </w14:solidFill>
                      </w14:textFill>
                    </w:rPr>
                    <w:t>南角</w:t>
                  </w:r>
                  <w:r>
                    <w:rPr>
                      <w:rFonts w:hint="eastAsia"/>
                      <w:color w:val="000000" w:themeColor="text1"/>
                      <w:szCs w:val="21"/>
                      <w14:textFill>
                        <w14:solidFill>
                          <w14:schemeClr w14:val="tx1"/>
                        </w14:solidFill>
                      </w14:textFill>
                    </w:rPr>
                    <w:t>，主要用于存放成品。</w:t>
                  </w:r>
                </w:p>
              </w:tc>
              <w:tc>
                <w:tcPr>
                  <w:tcW w:w="572"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int="default"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切割区</w:t>
                  </w:r>
                </w:p>
              </w:tc>
              <w:tc>
                <w:tcPr>
                  <w:tcW w:w="667"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2769" w:type="pct"/>
                  <w:tcBorders>
                    <w:tl2br w:val="nil"/>
                    <w:tr2bl w:val="nil"/>
                  </w:tcBorders>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1F，位于生产车间</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东</w:t>
                  </w:r>
                  <w:r>
                    <w:rPr>
                      <w:rFonts w:hint="eastAsia"/>
                      <w:color w:val="000000" w:themeColor="text1"/>
                      <w:szCs w:val="21"/>
                      <w:lang w:val="en-US" w:eastAsia="zh-CN"/>
                      <w14:textFill>
                        <w14:solidFill>
                          <w14:schemeClr w14:val="tx1"/>
                        </w14:solidFill>
                      </w14:textFill>
                    </w:rPr>
                    <w:t>侧</w:t>
                  </w:r>
                  <w:r>
                    <w:rPr>
                      <w:rFonts w:hint="eastAsia"/>
                      <w:color w:val="000000" w:themeColor="text1"/>
                      <w:szCs w:val="21"/>
                      <w14:textFill>
                        <w14:solidFill>
                          <w14:schemeClr w14:val="tx1"/>
                        </w14:solidFill>
                      </w14:textFill>
                    </w:rPr>
                    <w:t>，主要用于</w:t>
                  </w:r>
                  <w:r>
                    <w:rPr>
                      <w:rFonts w:hint="eastAsia"/>
                      <w:color w:val="000000" w:themeColor="text1"/>
                      <w:szCs w:val="21"/>
                      <w:lang w:val="en-US" w:eastAsia="zh-CN"/>
                      <w14:textFill>
                        <w14:solidFill>
                          <w14:schemeClr w14:val="tx1"/>
                        </w14:solidFill>
                      </w14:textFill>
                    </w:rPr>
                    <w:t>切割和打磨铸锭好的硅锭</w:t>
                  </w:r>
                  <w:r>
                    <w:rPr>
                      <w:rFonts w:hint="eastAsia"/>
                      <w:color w:val="000000" w:themeColor="text1"/>
                      <w:szCs w:val="21"/>
                      <w14:textFill>
                        <w14:solidFill>
                          <w14:schemeClr w14:val="tx1"/>
                        </w14:solidFill>
                      </w14:textFill>
                    </w:rPr>
                    <w:t>。</w:t>
                  </w:r>
                </w:p>
              </w:tc>
              <w:tc>
                <w:tcPr>
                  <w:tcW w:w="572"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int="default" w:hAnsi="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检测区</w:t>
                  </w:r>
                </w:p>
              </w:tc>
              <w:tc>
                <w:tcPr>
                  <w:tcW w:w="667" w:type="pct"/>
                  <w:tcBorders>
                    <w:tl2br w:val="nil"/>
                    <w:tr2bl w:val="nil"/>
                  </w:tcBorders>
                  <w:vAlign w:val="center"/>
                </w:tcPr>
                <w:p>
                  <w:pPr>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50m</w:t>
                  </w:r>
                  <w:r>
                    <w:rPr>
                      <w:rFonts w:hint="eastAsia"/>
                      <w:color w:val="000000" w:themeColor="text1"/>
                      <w:szCs w:val="21"/>
                      <w:vertAlign w:val="superscript"/>
                      <w:lang w:val="en-US" w:eastAsia="zh-CN"/>
                      <w14:textFill>
                        <w14:solidFill>
                          <w14:schemeClr w14:val="tx1"/>
                        </w14:solidFill>
                      </w14:textFill>
                    </w:rPr>
                    <w:t>2</w:t>
                  </w:r>
                </w:p>
              </w:tc>
              <w:tc>
                <w:tcPr>
                  <w:tcW w:w="2769" w:type="pct"/>
                  <w:tcBorders>
                    <w:tl2br w:val="nil"/>
                    <w:tr2bl w:val="nil"/>
                  </w:tcBorders>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1F，位于生产车间</w:t>
                  </w:r>
                  <w:r>
                    <w:rPr>
                      <w:rFonts w:hint="eastAsia"/>
                      <w:color w:val="000000" w:themeColor="text1"/>
                      <w:szCs w:val="21"/>
                      <w:lang w:val="en-US" w:eastAsia="zh-CN"/>
                      <w14:textFill>
                        <w14:solidFill>
                          <w14:schemeClr w14:val="tx1"/>
                        </w14:solidFill>
                      </w14:textFill>
                    </w:rPr>
                    <w:t>内-</w:t>
                  </w:r>
                  <w:r>
                    <w:rPr>
                      <w:rFonts w:hint="eastAsia"/>
                      <w:color w:val="000000" w:themeColor="text1"/>
                      <w:szCs w:val="21"/>
                      <w14:textFill>
                        <w14:solidFill>
                          <w14:schemeClr w14:val="tx1"/>
                        </w14:solidFill>
                      </w14:textFill>
                    </w:rPr>
                    <w:t>东</w:t>
                  </w:r>
                  <w:r>
                    <w:rPr>
                      <w:rFonts w:hint="eastAsia"/>
                      <w:color w:val="000000" w:themeColor="text1"/>
                      <w:szCs w:val="21"/>
                      <w:lang w:val="en-US" w:eastAsia="zh-CN"/>
                      <w14:textFill>
                        <w14:solidFill>
                          <w14:schemeClr w14:val="tx1"/>
                        </w14:solidFill>
                      </w14:textFill>
                    </w:rPr>
                    <w:t>侧</w:t>
                  </w:r>
                  <w:r>
                    <w:rPr>
                      <w:rFonts w:hint="eastAsia"/>
                      <w:color w:val="000000" w:themeColor="text1"/>
                      <w:szCs w:val="21"/>
                      <w14:textFill>
                        <w14:solidFill>
                          <w14:schemeClr w14:val="tx1"/>
                        </w14:solidFill>
                      </w14:textFill>
                    </w:rPr>
                    <w:t>，主要用于</w:t>
                  </w:r>
                  <w:r>
                    <w:rPr>
                      <w:rFonts w:hint="eastAsia"/>
                      <w:color w:val="000000" w:themeColor="text1"/>
                      <w:szCs w:val="21"/>
                      <w:lang w:val="en-US" w:eastAsia="zh-CN"/>
                      <w14:textFill>
                        <w14:solidFill>
                          <w14:schemeClr w14:val="tx1"/>
                        </w14:solidFill>
                      </w14:textFill>
                    </w:rPr>
                    <w:t>物理检测硅锭是否损伤，坑洼</w:t>
                  </w:r>
                  <w:r>
                    <w:rPr>
                      <w:rFonts w:hint="eastAsia"/>
                      <w:color w:val="000000" w:themeColor="text1"/>
                      <w:szCs w:val="21"/>
                      <w14:textFill>
                        <w14:solidFill>
                          <w14:schemeClr w14:val="tx1"/>
                        </w14:solidFill>
                      </w14:textFill>
                    </w:rPr>
                    <w:t>。</w:t>
                  </w:r>
                </w:p>
              </w:tc>
              <w:tc>
                <w:tcPr>
                  <w:tcW w:w="572"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办公区</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2</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1F，位于生产车间</w:t>
                  </w:r>
                  <w:r>
                    <w:rPr>
                      <w:rFonts w:hint="eastAsia"/>
                      <w:color w:val="000000" w:themeColor="text1"/>
                      <w:szCs w:val="21"/>
                      <w:lang w:val="en-US" w:eastAsia="zh-CN"/>
                      <w14:textFill>
                        <w14:solidFill>
                          <w14:schemeClr w14:val="tx1"/>
                        </w14:solidFill>
                      </w14:textFill>
                    </w:rPr>
                    <w:t>内-北</w:t>
                  </w:r>
                  <w:r>
                    <w:rPr>
                      <w:rFonts w:hint="eastAsia"/>
                      <w:color w:val="000000" w:themeColor="text1"/>
                      <w:szCs w:val="21"/>
                      <w14:textFill>
                        <w14:solidFill>
                          <w14:schemeClr w14:val="tx1"/>
                        </w14:solidFill>
                      </w14:textFill>
                    </w:rPr>
                    <w:t>侧，用于接待顾客及日常的办公。</w:t>
                  </w:r>
                </w:p>
              </w:tc>
              <w:tc>
                <w:tcPr>
                  <w:tcW w:w="572"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437" w:type="pct"/>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公用工程</w:t>
                  </w: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供电</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由园区供电管网供电</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供水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w:t>
                  </w:r>
                  <w:r>
                    <w:rPr>
                      <w:rFonts w:hint="eastAsia"/>
                      <w:color w:val="000000" w:themeColor="text1"/>
                      <w:szCs w:val="21"/>
                      <w:lang w:val="en-US" w:eastAsia="zh-CN"/>
                      <w14:textFill>
                        <w14:solidFill>
                          <w14:schemeClr w14:val="tx1"/>
                        </w14:solidFill>
                      </w14:textFill>
                    </w:rPr>
                    <w:t>园区</w:t>
                  </w:r>
                  <w:r>
                    <w:rPr>
                      <w:rFonts w:hint="eastAsia"/>
                      <w:color w:val="000000" w:themeColor="text1"/>
                      <w:szCs w:val="21"/>
                      <w14:textFill>
                        <w14:solidFill>
                          <w14:schemeClr w14:val="tx1"/>
                        </w14:solidFill>
                      </w14:textFill>
                    </w:rPr>
                    <w:t>市政管网供水</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排水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雨、污分流制。雨水经收集后排入雨水管网；根据调查，目前四方地与碧谷工业园区污水处理厂及项目区域市政污水管网已建成，生活污水经化粪池处理后，通过市政污水管网进入四方地与碧谷园区污水处理厂处理</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冷却循环水定期补水，不外排；生产废水经沉淀池处理后循环使用，定期补水，不外排</w:t>
                  </w:r>
                  <w:r>
                    <w:rPr>
                      <w:color w:val="000000" w:themeColor="text1"/>
                      <w:szCs w:val="21"/>
                      <w14:textFill>
                        <w14:solidFill>
                          <w14:schemeClr w14:val="tx1"/>
                        </w14:solidFill>
                      </w14:textFill>
                    </w:rPr>
                    <w:t>。</w:t>
                  </w:r>
                </w:p>
              </w:tc>
              <w:tc>
                <w:tcPr>
                  <w:tcW w:w="572"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雨水管网依托；新建化粪池</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int="eastAsia"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凉水塔</w:t>
                  </w:r>
                </w:p>
              </w:tc>
              <w:tc>
                <w:tcPr>
                  <w:tcW w:w="667"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10m</w:t>
                  </w:r>
                  <w:r>
                    <w:rPr>
                      <w:rFonts w:hint="eastAsia"/>
                      <w:color w:val="000000" w:themeColor="text1"/>
                      <w:szCs w:val="21"/>
                      <w:vertAlign w:val="superscript"/>
                      <w:lang w:val="en-US" w:eastAsia="zh-CN"/>
                      <w14:textFill>
                        <w14:solidFill>
                          <w14:schemeClr w14:val="tx1"/>
                        </w14:solidFill>
                      </w14:textFill>
                    </w:rPr>
                    <w:t>2</w:t>
                  </w:r>
                </w:p>
              </w:tc>
              <w:tc>
                <w:tcPr>
                  <w:tcW w:w="2769"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用于铸锭炉冷却水循环，约200m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w:t>
                  </w:r>
                </w:p>
              </w:tc>
              <w:tc>
                <w:tcPr>
                  <w:tcW w:w="572" w:type="pct"/>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int="default"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氩气站</w:t>
                  </w:r>
                </w:p>
              </w:tc>
              <w:tc>
                <w:tcPr>
                  <w:tcW w:w="667" w:type="pct"/>
                  <w:tcBorders>
                    <w:tl2br w:val="nil"/>
                    <w:tr2bl w:val="nil"/>
                  </w:tcBorders>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5m</w:t>
                  </w:r>
                  <w:r>
                    <w:rPr>
                      <w:rFonts w:hint="eastAsia"/>
                      <w:color w:val="000000" w:themeColor="text1"/>
                      <w:szCs w:val="21"/>
                      <w:vertAlign w:val="superscript"/>
                      <w:lang w:val="en-US" w:eastAsia="zh-CN"/>
                      <w14:textFill>
                        <w14:solidFill>
                          <w14:schemeClr w14:val="tx1"/>
                        </w14:solidFill>
                      </w14:textFill>
                    </w:rPr>
                    <w:t>2</w:t>
                  </w:r>
                </w:p>
              </w:tc>
              <w:tc>
                <w:tcPr>
                  <w:tcW w:w="2769"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用于铸锭过程吹真空，约10t容量。</w:t>
                  </w:r>
                </w:p>
              </w:tc>
              <w:tc>
                <w:tcPr>
                  <w:tcW w:w="572" w:type="pct"/>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437" w:type="pct"/>
                  <w:vMerge w:val="restar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环保工程</w:t>
                  </w:r>
                </w:p>
              </w:tc>
              <w:tc>
                <w:tcPr>
                  <w:tcW w:w="553" w:type="pct"/>
                  <w:vMerge w:val="restar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废气</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投料粉尘</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投料粉尘</w:t>
                  </w:r>
                  <w:r>
                    <w:rPr>
                      <w:rFonts w:hint="eastAsia"/>
                      <w:color w:val="000000" w:themeColor="text1"/>
                      <w:szCs w:val="21"/>
                      <w14:textFill>
                        <w14:solidFill>
                          <w14:schemeClr w14:val="tx1"/>
                        </w14:solidFill>
                      </w14:textFill>
                    </w:rPr>
                    <w:t>经集气收集+布袋除尘器处理+15m高的1#排气筒排放</w:t>
                  </w:r>
                </w:p>
              </w:tc>
              <w:tc>
                <w:tcPr>
                  <w:tcW w:w="572" w:type="pct"/>
                  <w:tcBorders>
                    <w:tl2br w:val="nil"/>
                    <w:tr2bl w:val="nil"/>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7" w:type="pct"/>
                  <w:vMerge w:val="continue"/>
                  <w:tcBorders>
                    <w:tl2br w:val="nil"/>
                    <w:tr2bl w:val="nil"/>
                  </w:tcBorders>
                  <w:vAlign w:val="center"/>
                </w:tcPr>
                <w:p>
                  <w:pPr>
                    <w:snapToGrid w:val="0"/>
                    <w:jc w:val="center"/>
                    <w:rPr>
                      <w:rFonts w:hint="eastAsia"/>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int="eastAsia"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熔融烟尘</w:t>
                  </w:r>
                </w:p>
              </w:tc>
              <w:tc>
                <w:tcPr>
                  <w:tcW w:w="2769" w:type="pct"/>
                  <w:tcBorders>
                    <w:tl2br w:val="nil"/>
                    <w:tr2bl w:val="nil"/>
                  </w:tcBorders>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熔融烟尘经集气收集+布袋除尘器处理+15m高的</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#排气筒排放</w:t>
                  </w:r>
                </w:p>
              </w:tc>
              <w:tc>
                <w:tcPr>
                  <w:tcW w:w="572" w:type="pct"/>
                  <w:tcBorders>
                    <w:tl2br w:val="nil"/>
                    <w:tr2bl w:val="nil"/>
                  </w:tcBorders>
                  <w:vAlign w:val="center"/>
                </w:tcPr>
                <w:p>
                  <w:pPr>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atLeast"/>
                <w:jc w:val="center"/>
              </w:trPr>
              <w:tc>
                <w:tcPr>
                  <w:tcW w:w="437" w:type="pct"/>
                  <w:vMerge w:val="continue"/>
                  <w:tcBorders>
                    <w:tl2br w:val="nil"/>
                    <w:tr2bl w:val="nil"/>
                  </w:tcBorders>
                  <w:vAlign w:val="center"/>
                </w:tcPr>
                <w:p>
                  <w:pPr>
                    <w:snapToGrid w:val="0"/>
                    <w:jc w:val="center"/>
                    <w:rPr>
                      <w:rFonts w:hint="eastAsia"/>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int="eastAsia"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切割和磨面粉尘</w:t>
                  </w:r>
                </w:p>
              </w:tc>
              <w:tc>
                <w:tcPr>
                  <w:tcW w:w="2769" w:type="pct"/>
                  <w:tcBorders>
                    <w:tl2br w:val="nil"/>
                    <w:tr2bl w:val="nil"/>
                  </w:tcBorders>
                  <w:vAlign w:val="center"/>
                </w:tcPr>
                <w:p>
                  <w:pPr>
                    <w:snapToGrid w:val="0"/>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切割和磨面工序采用湿法作业，极少量粉尘产生后，被切口和磨口处喷出的水流给携带走，不会散逸到空气中，不定量评价</w:t>
                  </w:r>
                </w:p>
              </w:tc>
              <w:tc>
                <w:tcPr>
                  <w:tcW w:w="572" w:type="pct"/>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restar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废水</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化粪池</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1个，容积</w:t>
                  </w:r>
                  <w:r>
                    <w:rPr>
                      <w:rFonts w:hint="eastAsia"/>
                      <w:color w:val="000000" w:themeColor="text1"/>
                      <w:szCs w:val="21"/>
                      <w:lang w:val="en-US" w:eastAsia="zh-CN"/>
                      <w14:textFill>
                        <w14:solidFill>
                          <w14:schemeClr w14:val="tx1"/>
                        </w14:solidFill>
                      </w14:textFill>
                    </w:rPr>
                    <w:t>30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p>
              </w:tc>
              <w:tc>
                <w:tcPr>
                  <w:tcW w:w="572" w:type="pct"/>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int="eastAsia"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rFonts w:hint="default"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冷却循环水池</w:t>
                  </w:r>
                </w:p>
              </w:tc>
              <w:tc>
                <w:tcPr>
                  <w:tcW w:w="2769" w:type="pct"/>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w:t>
                  </w:r>
                  <w:r>
                    <w:rPr>
                      <w:rFonts w:hint="eastAsia"/>
                      <w:color w:val="000000" w:themeColor="text1"/>
                      <w:szCs w:val="21"/>
                      <w14:textFill>
                        <w14:solidFill>
                          <w14:schemeClr w14:val="tx1"/>
                        </w14:solidFill>
                      </w14:textFill>
                    </w:rPr>
                    <w:t>容积200m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池顶板底部、水池内壁、底板及池中各构件均刷有机硅防水，一布三涂</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塔体柱子、梁、构造柱、顶板底面等均采用海灰色氰凝PA-103混凝土专用防水防腐涂料防腐，防腐前基底要求干燥、平整，不平处腻子找平。</w:t>
                  </w:r>
                </w:p>
              </w:tc>
              <w:tc>
                <w:tcPr>
                  <w:tcW w:w="572" w:type="pct"/>
                  <w:tcBorders>
                    <w:tl2br w:val="nil"/>
                    <w:tr2bl w:val="nil"/>
                  </w:tcBorders>
                  <w:vAlign w:val="center"/>
                </w:tcPr>
                <w:p>
                  <w:pPr>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int="eastAsia"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rFonts w:hint="default" w:hAnsi="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沉淀池</w:t>
                  </w:r>
                </w:p>
              </w:tc>
              <w:tc>
                <w:tcPr>
                  <w:tcW w:w="2769" w:type="pct"/>
                  <w:tcBorders>
                    <w:tl2br w:val="nil"/>
                    <w:tr2bl w:val="nil"/>
                  </w:tcBorders>
                  <w:vAlign w:val="center"/>
                </w:tcPr>
                <w:p>
                  <w:pPr>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w:t>
                  </w:r>
                  <w:r>
                    <w:rPr>
                      <w:rFonts w:hint="eastAsia"/>
                      <w:color w:val="000000" w:themeColor="text1"/>
                      <w:szCs w:val="21"/>
                      <w14:textFill>
                        <w14:solidFill>
                          <w14:schemeClr w14:val="tx1"/>
                        </w14:solidFill>
                      </w14:textFill>
                    </w:rPr>
                    <w:t>容积</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0m</w:t>
                  </w:r>
                  <w:r>
                    <w:rPr>
                      <w:rFonts w:hint="eastAsia"/>
                      <w:color w:val="000000" w:themeColor="text1"/>
                      <w:szCs w:val="21"/>
                      <w:vertAlign w:val="superscript"/>
                      <w14:textFill>
                        <w14:solidFill>
                          <w14:schemeClr w14:val="tx1"/>
                        </w14:solidFill>
                      </w14:textFill>
                    </w:rPr>
                    <w:t>3</w:t>
                  </w:r>
                </w:p>
              </w:tc>
              <w:tc>
                <w:tcPr>
                  <w:tcW w:w="572" w:type="pct"/>
                  <w:tcBorders>
                    <w:tl2br w:val="nil"/>
                    <w:tr2bl w:val="nil"/>
                  </w:tcBorders>
                  <w:vAlign w:val="center"/>
                </w:tcPr>
                <w:p>
                  <w:pPr>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restar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固废</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一般固废存放间</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占地面积20m</w:t>
                  </w:r>
                  <w:r>
                    <w:rPr>
                      <w:rFonts w:hint="eastAsia"/>
                      <w:color w:val="000000" w:themeColor="text1"/>
                      <w:szCs w:val="21"/>
                      <w:vertAlign w:val="superscript"/>
                      <w14:textFill>
                        <w14:solidFill>
                          <w14:schemeClr w14:val="tx1"/>
                        </w14:solidFill>
                      </w14:textFill>
                    </w:rPr>
                    <w:t>2</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环评提出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占地面积10m</w:t>
                  </w:r>
                  <w:r>
                    <w:rPr>
                      <w:rFonts w:hint="eastAsia"/>
                      <w:color w:val="000000" w:themeColor="text1"/>
                      <w:szCs w:val="21"/>
                      <w:vertAlign w:val="superscript"/>
                      <w14:textFill>
                        <w14:solidFill>
                          <w14:schemeClr w14:val="tx1"/>
                        </w14:solidFill>
                      </w14:textFill>
                    </w:rPr>
                    <w:t>2</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环评提出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7" w:hRule="atLeast"/>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vMerge w:val="continue"/>
                  <w:tcBorders>
                    <w:tl2br w:val="nil"/>
                    <w:tr2bl w:val="nil"/>
                  </w:tcBorders>
                  <w:vAlign w:val="center"/>
                </w:tcPr>
                <w:p>
                  <w:pPr>
                    <w:snapToGrid w:val="0"/>
                    <w:jc w:val="center"/>
                    <w:rPr>
                      <w:rFonts w:hAnsi="宋体"/>
                      <w:color w:val="000000" w:themeColor="text1"/>
                      <w:szCs w:val="21"/>
                      <w14:textFill>
                        <w14:solidFill>
                          <w14:schemeClr w14:val="tx1"/>
                        </w14:solidFill>
                      </w14:textFill>
                    </w:rPr>
                  </w:pP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eastAsiaTheme="minorEastAsia"/>
                      <w:color w:val="000000" w:themeColor="text1"/>
                      <w:kern w:val="21"/>
                      <w:szCs w:val="21"/>
                      <w14:textFill>
                        <w14:solidFill>
                          <w14:schemeClr w14:val="tx1"/>
                        </w14:solidFill>
                      </w14:textFill>
                    </w:rPr>
                    <w:t>定期收集，委托环卫部门清运</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vMerge w:val="continue"/>
                  <w:tcBorders>
                    <w:tl2br w:val="nil"/>
                    <w:tr2bl w:val="nil"/>
                  </w:tcBorders>
                  <w:vAlign w:val="center"/>
                </w:tcPr>
                <w:p>
                  <w:pPr>
                    <w:snapToGrid w:val="0"/>
                    <w:jc w:val="center"/>
                    <w:rPr>
                      <w:color w:val="000000" w:themeColor="text1"/>
                      <w:szCs w:val="21"/>
                      <w14:textFill>
                        <w14:solidFill>
                          <w14:schemeClr w14:val="tx1"/>
                        </w14:solidFill>
                      </w14:textFill>
                    </w:rPr>
                  </w:pPr>
                </w:p>
              </w:tc>
              <w:tc>
                <w:tcPr>
                  <w:tcW w:w="553" w:type="pct"/>
                  <w:tcBorders>
                    <w:tl2br w:val="nil"/>
                    <w:tr2bl w:val="nil"/>
                  </w:tcBorders>
                  <w:vAlign w:val="center"/>
                </w:tcPr>
                <w:p>
                  <w:pPr>
                    <w:snapToGrid w:val="0"/>
                    <w:jc w:val="center"/>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噪声</w:t>
                  </w:r>
                </w:p>
              </w:tc>
              <w:tc>
                <w:tcPr>
                  <w:tcW w:w="667"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769"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隔声减振措施</w:t>
                  </w:r>
                </w:p>
              </w:tc>
              <w:tc>
                <w:tcPr>
                  <w:tcW w:w="572" w:type="pct"/>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环评提出</w:t>
                  </w:r>
                </w:p>
              </w:tc>
            </w:tr>
          </w:tbl>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4、产品方案及原辅料、设备</w:t>
            </w:r>
          </w:p>
          <w:p>
            <w:pPr>
              <w:pStyle w:val="76"/>
              <w:spacing w:line="360" w:lineRule="auto"/>
              <w:ind w:firstLine="420"/>
              <w:jc w:val="both"/>
              <w:rPr>
                <w:rFonts w:eastAsia="宋体"/>
                <w:bCs/>
                <w:color w:val="000000" w:themeColor="text1"/>
                <w:sz w:val="21"/>
                <w:szCs w:val="21"/>
                <w14:textFill>
                  <w14:solidFill>
                    <w14:schemeClr w14:val="tx1"/>
                  </w14:solidFill>
                </w14:textFill>
              </w:rPr>
            </w:pPr>
            <w:r>
              <w:rPr>
                <w:rFonts w:hint="eastAsia" w:eastAsia="宋体"/>
                <w:bCs/>
                <w:color w:val="000000" w:themeColor="text1"/>
                <w:sz w:val="21"/>
                <w:szCs w:val="21"/>
                <w14:textFill>
                  <w14:solidFill>
                    <w14:schemeClr w14:val="tx1"/>
                  </w14:solidFill>
                </w14:textFill>
              </w:rPr>
              <w:t>（1）项目产品方案见下表。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本项目建成后可形成年处置光伏材料多晶硅碎屑2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00吨，同时年产</w:t>
            </w: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00吨高纯度硅材料的生产能力。</w:t>
            </w:r>
          </w:p>
          <w:p>
            <w:pPr>
              <w:pStyle w:val="76"/>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表2-2  项目主体工程及产品方案</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377"/>
              <w:gridCol w:w="1330"/>
              <w:gridCol w:w="1081"/>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工程名称（车间或生产线）</w:t>
                  </w:r>
                </w:p>
              </w:tc>
              <w:tc>
                <w:tcPr>
                  <w:tcW w:w="1495"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产品名称及规格</w:t>
                  </w:r>
                </w:p>
              </w:tc>
              <w:tc>
                <w:tcPr>
                  <w:tcW w:w="837"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年设计能力</w:t>
                  </w:r>
                </w:p>
              </w:tc>
              <w:tc>
                <w:tcPr>
                  <w:tcW w:w="680"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单位</w:t>
                  </w:r>
                </w:p>
              </w:tc>
              <w:tc>
                <w:tcPr>
                  <w:tcW w:w="735"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运行时</w:t>
                  </w:r>
                  <w:r>
                    <w:rPr>
                      <w:rFonts w:hint="eastAsia" w:eastAsia="宋体"/>
                      <w:color w:val="000000" w:themeColor="text1"/>
                      <w:szCs w:val="21"/>
                      <w14:textFill>
                        <w14:solidFill>
                          <w14:schemeClr w14:val="tx1"/>
                        </w14:solidFill>
                      </w14:textFill>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tcBorders>
                    <w:top w:val="single" w:color="auto" w:sz="12" w:space="0"/>
                    <w:bottom w:val="single" w:color="auto" w:sz="12"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多晶硅铸锭生产线</w:t>
                  </w:r>
                </w:p>
              </w:tc>
              <w:tc>
                <w:tcPr>
                  <w:tcW w:w="1495" w:type="pct"/>
                  <w:tcBorders>
                    <w:top w:val="single" w:color="auto" w:sz="12" w:space="0"/>
                    <w:bottom w:val="single" w:color="auto" w:sz="12" w:space="0"/>
                  </w:tcBorders>
                  <w:vAlign w:val="center"/>
                </w:tcPr>
                <w:p>
                  <w:pPr>
                    <w:pStyle w:val="79"/>
                    <w:rPr>
                      <w:rFonts w:hint="eastAsia" w:eastAsia="宋体"/>
                      <w:color w:val="000000" w:themeColor="text1"/>
                      <w:lang w:eastAsia="zh-CN"/>
                      <w14:textFill>
                        <w14:solidFill>
                          <w14:schemeClr w14:val="tx1"/>
                        </w14:solidFill>
                      </w14:textFill>
                    </w:rPr>
                  </w:pPr>
                  <w:r>
                    <w:rPr>
                      <w:rFonts w:eastAsia="宋体"/>
                      <w:color w:val="000000" w:themeColor="text1"/>
                      <w14:textFill>
                        <w14:solidFill>
                          <w14:schemeClr w14:val="tx1"/>
                        </w14:solidFill>
                      </w14:textFill>
                    </w:rPr>
                    <w:t>高纯度硅材料</w:t>
                  </w:r>
                  <w:r>
                    <w:rPr>
                      <w:rStyle w:val="28"/>
                      <w:rFonts w:hint="eastAsia" w:eastAsia="宋体"/>
                      <w:color w:val="000000" w:themeColor="text1"/>
                      <w:kern w:val="0"/>
                      <w:szCs w:val="20"/>
                      <w:lang w:eastAsia="zh-CN"/>
                      <w14:textFill>
                        <w14:solidFill>
                          <w14:schemeClr w14:val="tx1"/>
                        </w14:solidFill>
                      </w14:textFill>
                    </w:rPr>
                    <w:t>（</w:t>
                  </w:r>
                  <w:r>
                    <w:rPr>
                      <w:rStyle w:val="28"/>
                      <w:rFonts w:eastAsia="宋体"/>
                      <w:color w:val="000000" w:themeColor="text1"/>
                      <w:kern w:val="0"/>
                      <w:szCs w:val="20"/>
                      <w14:textFill>
                        <w14:solidFill>
                          <w14:schemeClr w14:val="tx1"/>
                        </w14:solidFill>
                      </w14:textFill>
                    </w:rPr>
                    <w:t>硅锭</w:t>
                  </w:r>
                  <w:r>
                    <w:rPr>
                      <w:rStyle w:val="28"/>
                      <w:rFonts w:hint="eastAsia" w:eastAsia="宋体"/>
                      <w:color w:val="000000" w:themeColor="text1"/>
                      <w:kern w:val="0"/>
                      <w:szCs w:val="20"/>
                      <w:lang w:eastAsia="zh-CN"/>
                      <w14:textFill>
                        <w14:solidFill>
                          <w14:schemeClr w14:val="tx1"/>
                        </w14:solidFill>
                      </w14:textFill>
                    </w:rPr>
                    <w:t>）</w:t>
                  </w:r>
                </w:p>
              </w:tc>
              <w:tc>
                <w:tcPr>
                  <w:tcW w:w="837" w:type="pct"/>
                  <w:tcBorders>
                    <w:top w:val="single" w:color="auto" w:sz="12" w:space="0"/>
                    <w:bottom w:val="single" w:color="auto" w:sz="12"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18</w:t>
                  </w:r>
                  <w:r>
                    <w:rPr>
                      <w:rFonts w:hint="eastAsia" w:eastAsia="宋体"/>
                      <w:color w:val="000000" w:themeColor="text1"/>
                      <w14:textFill>
                        <w14:solidFill>
                          <w14:schemeClr w14:val="tx1"/>
                        </w14:solidFill>
                      </w14:textFill>
                    </w:rPr>
                    <w:t>00</w:t>
                  </w:r>
                </w:p>
              </w:tc>
              <w:tc>
                <w:tcPr>
                  <w:tcW w:w="680" w:type="pct"/>
                  <w:tcBorders>
                    <w:top w:val="single" w:color="auto" w:sz="12" w:space="0"/>
                    <w:bottom w:val="single" w:color="auto" w:sz="12"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吨/年</w:t>
                  </w:r>
                </w:p>
              </w:tc>
              <w:tc>
                <w:tcPr>
                  <w:tcW w:w="735" w:type="pct"/>
                  <w:tcBorders>
                    <w:top w:val="single" w:color="auto" w:sz="12" w:space="0"/>
                    <w:bottom w:val="single" w:color="auto" w:sz="12"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72</w:t>
                  </w:r>
                  <w:r>
                    <w:rPr>
                      <w:rFonts w:eastAsia="宋体"/>
                      <w:color w:val="000000" w:themeColor="text1"/>
                      <w14:textFill>
                        <w14:solidFill>
                          <w14:schemeClr w14:val="tx1"/>
                        </w14:solidFill>
                      </w14:textFill>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1" w:type="pct"/>
                  <w:tcBorders>
                    <w:top w:val="single" w:color="auto" w:sz="12" w:space="0"/>
                  </w:tcBorders>
                  <w:vAlign w:val="center"/>
                </w:tcPr>
                <w:p>
                  <w:pPr>
                    <w:pStyle w:val="7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产品照片</w:t>
                  </w:r>
                </w:p>
              </w:tc>
              <w:tc>
                <w:tcPr>
                  <w:tcW w:w="1495" w:type="pct"/>
                  <w:tcBorders>
                    <w:top w:val="single" w:color="auto" w:sz="12" w:space="0"/>
                  </w:tcBorders>
                  <w:vAlign w:val="center"/>
                </w:tcPr>
                <w:p>
                  <w:pPr>
                    <w:pStyle w:val="79"/>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1351915" cy="1934845"/>
                        <wp:effectExtent l="0" t="0" r="635" b="8255"/>
                        <wp:docPr id="1" name="图片 1" descr="32d4790e17d4af6e5d78ae6b686f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4790e17d4af6e5d78ae6b686fda2"/>
                                <pic:cNvPicPr>
                                  <a:picLocks noChangeAspect="1"/>
                                </pic:cNvPicPr>
                              </pic:nvPicPr>
                              <pic:blipFill>
                                <a:blip r:embed="rId18"/>
                                <a:stretch>
                                  <a:fillRect/>
                                </a:stretch>
                              </pic:blipFill>
                              <pic:spPr>
                                <a:xfrm>
                                  <a:off x="0" y="0"/>
                                  <a:ext cx="1351915" cy="1934845"/>
                                </a:xfrm>
                                <a:prstGeom prst="rect">
                                  <a:avLst/>
                                </a:prstGeom>
                              </pic:spPr>
                            </pic:pic>
                          </a:graphicData>
                        </a:graphic>
                      </wp:inline>
                    </w:drawing>
                  </w:r>
                </w:p>
              </w:tc>
              <w:tc>
                <w:tcPr>
                  <w:tcW w:w="2252" w:type="pct"/>
                  <w:gridSpan w:val="3"/>
                  <w:tcBorders>
                    <w:top w:val="single" w:color="auto" w:sz="12" w:space="0"/>
                  </w:tcBorders>
                  <w:vAlign w:val="center"/>
                </w:tcPr>
                <w:p>
                  <w:pPr>
                    <w:pStyle w:val="79"/>
                    <w:rPr>
                      <w:rFonts w:hint="eastAsia" w:eastAsia="宋体"/>
                      <w:color w:val="000000" w:themeColor="text1"/>
                      <w:vertAlign w:val="baseline"/>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备注：最终产品为硅锭，一般为长方体，截面为正方形（边长157.2×157.2mm，误差范围±0.2mm），长度一般约278mm，硅密度为2330kg/m</w:t>
                  </w:r>
                  <w:r>
                    <w:rPr>
                      <w:rFonts w:hint="eastAsia" w:eastAsia="宋体"/>
                      <w:color w:val="000000" w:themeColor="text1"/>
                      <w:vertAlign w:val="superscript"/>
                      <w:lang w:val="en-US" w:eastAsia="zh-CN"/>
                      <w14:textFill>
                        <w14:solidFill>
                          <w14:schemeClr w14:val="tx1"/>
                        </w14:solidFill>
                      </w14:textFill>
                    </w:rPr>
                    <w:t>3</w:t>
                  </w:r>
                  <w:r>
                    <w:rPr>
                      <w:rFonts w:hint="eastAsia" w:eastAsia="宋体"/>
                      <w:color w:val="000000" w:themeColor="text1"/>
                      <w:vertAlign w:val="baseline"/>
                      <w:lang w:val="en-US" w:eastAsia="zh-CN"/>
                      <w14:textFill>
                        <w14:solidFill>
                          <w14:schemeClr w14:val="tx1"/>
                        </w14:solidFill>
                      </w14:textFill>
                    </w:rPr>
                    <w:t>，单块硅锭约16kg，年产约11.25万块硅锭。</w:t>
                  </w:r>
                </w:p>
                <w:p>
                  <w:pPr>
                    <w:pStyle w:val="79"/>
                    <w:rPr>
                      <w:rFonts w:hint="default" w:eastAsia="宋体"/>
                      <w:color w:val="000000" w:themeColor="text1"/>
                      <w:vertAlign w:val="baseline"/>
                      <w:lang w:val="en-US" w:eastAsia="zh-CN"/>
                      <w14:textFill>
                        <w14:solidFill>
                          <w14:schemeClr w14:val="tx1"/>
                        </w14:solidFill>
                      </w14:textFill>
                    </w:rPr>
                  </w:pPr>
                  <w:r>
                    <w:rPr>
                      <w:rFonts w:hint="eastAsia" w:eastAsia="宋体"/>
                      <w:b/>
                      <w:bCs/>
                      <w:color w:val="000000" w:themeColor="text1"/>
                      <w:vertAlign w:val="baseline"/>
                      <w:lang w:val="en-US" w:eastAsia="zh-CN"/>
                      <w14:textFill>
                        <w14:solidFill>
                          <w14:schemeClr w14:val="tx1"/>
                        </w14:solidFill>
                      </w14:textFill>
                    </w:rPr>
                    <w:t>硅锭截面积是固定的，长度亦可根据客户需求进行定制。</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根据云南省有色金属及制品质量监督检验站出具的产品检测报告（附件13），产品中各成分如下：</w:t>
            </w:r>
          </w:p>
          <w:p>
            <w:pPr>
              <w:pStyle w:val="76"/>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表2-3  产品中各元素占比</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231"/>
              <w:gridCol w:w="1050"/>
              <w:gridCol w:w="1249"/>
              <w:gridCol w:w="1160"/>
              <w:gridCol w:w="1481"/>
              <w:gridCol w:w="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元素</w:t>
                  </w:r>
                </w:p>
              </w:tc>
              <w:tc>
                <w:tcPr>
                  <w:tcW w:w="774"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Si</w:t>
                  </w:r>
                </w:p>
              </w:tc>
              <w:tc>
                <w:tcPr>
                  <w:tcW w:w="660"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Fe</w:t>
                  </w:r>
                </w:p>
              </w:tc>
              <w:tc>
                <w:tcPr>
                  <w:tcW w:w="786"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Al</w:t>
                  </w:r>
                </w:p>
              </w:tc>
              <w:tc>
                <w:tcPr>
                  <w:tcW w:w="730"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Ca</w:t>
                  </w:r>
                </w:p>
              </w:tc>
              <w:tc>
                <w:tcPr>
                  <w:tcW w:w="931"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P</w:t>
                  </w:r>
                </w:p>
              </w:tc>
              <w:tc>
                <w:tcPr>
                  <w:tcW w:w="484"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占比</w:t>
                  </w:r>
                </w:p>
              </w:tc>
              <w:tc>
                <w:tcPr>
                  <w:tcW w:w="774"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99.989%</w:t>
                  </w:r>
                </w:p>
              </w:tc>
              <w:tc>
                <w:tcPr>
                  <w:tcW w:w="660"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0.0008%</w:t>
                  </w:r>
                </w:p>
              </w:tc>
              <w:tc>
                <w:tcPr>
                  <w:tcW w:w="786"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0.0008%</w:t>
                  </w:r>
                </w:p>
              </w:tc>
              <w:tc>
                <w:tcPr>
                  <w:tcW w:w="730"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0.0017%</w:t>
                  </w:r>
                </w:p>
              </w:tc>
              <w:tc>
                <w:tcPr>
                  <w:tcW w:w="931"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＜0.001%（根据元素核算约为0.0007%）</w:t>
                  </w:r>
                </w:p>
              </w:tc>
              <w:tc>
                <w:tcPr>
                  <w:tcW w:w="484"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18</w:t>
                  </w:r>
                  <w:r>
                    <w:rPr>
                      <w:rFonts w:hint="eastAsia" w:eastAsia="宋体"/>
                      <w:color w:val="000000" w:themeColor="text1"/>
                      <w14:textFill>
                        <w14:solidFill>
                          <w14:schemeClr w14:val="tx1"/>
                        </w14:solidFill>
                      </w14:textFill>
                    </w:rPr>
                    <w:t>00t</w:t>
                  </w:r>
                </w:p>
              </w:tc>
              <w:tc>
                <w:tcPr>
                  <w:tcW w:w="1231"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1799.802</w:t>
                  </w:r>
                </w:p>
              </w:tc>
              <w:tc>
                <w:tcPr>
                  <w:tcW w:w="1050"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c>
                <w:tcPr>
                  <w:tcW w:w="1249"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c>
                <w:tcPr>
                  <w:tcW w:w="1160"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0.0306</w:t>
                  </w:r>
                </w:p>
              </w:tc>
              <w:tc>
                <w:tcPr>
                  <w:tcW w:w="1481"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0.0126</w:t>
                  </w:r>
                </w:p>
              </w:tc>
              <w:tc>
                <w:tcPr>
                  <w:tcW w:w="769"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0.126</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（2）本项目主要原辅材料见下表。</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表2-4 项目主要原辅材料年用量</w:t>
            </w:r>
          </w:p>
          <w:tbl>
            <w:tblPr>
              <w:tblStyle w:val="23"/>
              <w:tblW w:w="79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114"/>
              <w:gridCol w:w="1270"/>
              <w:gridCol w:w="1098"/>
              <w:gridCol w:w="793"/>
              <w:gridCol w:w="804"/>
              <w:gridCol w:w="23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序号</w:t>
                  </w:r>
                </w:p>
              </w:tc>
              <w:tc>
                <w:tcPr>
                  <w:tcW w:w="1114" w:type="dxa"/>
                  <w:tcBorders>
                    <w:tl2br w:val="nil"/>
                    <w:tr2bl w:val="nil"/>
                  </w:tcBorders>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原辅材料名称</w:t>
                  </w:r>
                </w:p>
              </w:tc>
              <w:tc>
                <w:tcPr>
                  <w:tcW w:w="1270" w:type="dxa"/>
                  <w:tcBorders>
                    <w:tl2br w:val="nil"/>
                    <w:tr2bl w:val="nil"/>
                  </w:tcBorders>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组分/规格</w:t>
                  </w:r>
                </w:p>
              </w:tc>
              <w:tc>
                <w:tcPr>
                  <w:tcW w:w="1098" w:type="dxa"/>
                  <w:tcBorders>
                    <w:tl2br w:val="nil"/>
                    <w:tr2bl w:val="nil"/>
                  </w:tcBorders>
                  <w:tcMar>
                    <w:top w:w="15" w:type="dxa"/>
                    <w:left w:w="15" w:type="dxa"/>
                    <w:right w:w="15" w:type="dxa"/>
                  </w:tcMar>
                  <w:vAlign w:val="center"/>
                </w:tcPr>
                <w:p>
                  <w:pPr>
                    <w:widowControl/>
                    <w:jc w:val="center"/>
                    <w:textAlignment w:val="center"/>
                    <w:rPr>
                      <w:b/>
                      <w:color w:val="000000" w:themeColor="text1"/>
                      <w:kern w:val="0"/>
                      <w:szCs w:val="21"/>
                      <w:lang w:bidi="ar"/>
                      <w14:textFill>
                        <w14:solidFill>
                          <w14:schemeClr w14:val="tx1"/>
                        </w14:solidFill>
                      </w14:textFill>
                    </w:rPr>
                  </w:pPr>
                  <w:r>
                    <w:rPr>
                      <w:b/>
                      <w:color w:val="000000" w:themeColor="text1"/>
                      <w:kern w:val="0"/>
                      <w:szCs w:val="21"/>
                      <w:lang w:bidi="ar"/>
                      <w14:textFill>
                        <w14:solidFill>
                          <w14:schemeClr w14:val="tx1"/>
                        </w14:solidFill>
                      </w14:textFill>
                    </w:rPr>
                    <w:t>用量</w:t>
                  </w:r>
                </w:p>
              </w:tc>
              <w:tc>
                <w:tcPr>
                  <w:tcW w:w="793" w:type="dxa"/>
                  <w:tcBorders>
                    <w:tl2br w:val="nil"/>
                    <w:tr2bl w:val="nil"/>
                  </w:tcBorders>
                  <w:tcMar>
                    <w:top w:w="15" w:type="dxa"/>
                    <w:left w:w="15" w:type="dxa"/>
                    <w:right w:w="15" w:type="dxa"/>
                  </w:tcMar>
                  <w:vAlign w:val="center"/>
                </w:tcPr>
                <w:p>
                  <w:pPr>
                    <w:widowControl/>
                    <w:jc w:val="center"/>
                    <w:textAlignment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最大储存量</w:t>
                  </w:r>
                </w:p>
              </w:tc>
              <w:tc>
                <w:tcPr>
                  <w:tcW w:w="804" w:type="dxa"/>
                  <w:tcBorders>
                    <w:tl2br w:val="nil"/>
                    <w:tr2bl w:val="nil"/>
                  </w:tcBorders>
                  <w:tcMar>
                    <w:top w:w="15" w:type="dxa"/>
                    <w:left w:w="15" w:type="dxa"/>
                    <w:right w:w="15" w:type="dxa"/>
                  </w:tcMar>
                  <w:vAlign w:val="center"/>
                </w:tcPr>
                <w:p>
                  <w:pPr>
                    <w:widowControl/>
                    <w:jc w:val="center"/>
                    <w:textAlignment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包装储存方式</w:t>
                  </w:r>
                </w:p>
              </w:tc>
              <w:tc>
                <w:tcPr>
                  <w:tcW w:w="2356" w:type="dxa"/>
                  <w:tcBorders>
                    <w:tl2br w:val="nil"/>
                    <w:tr2bl w:val="nil"/>
                  </w:tcBorders>
                  <w:tcMar>
                    <w:top w:w="15" w:type="dxa"/>
                    <w:left w:w="15" w:type="dxa"/>
                    <w:right w:w="15" w:type="dxa"/>
                  </w:tcMar>
                  <w:vAlign w:val="center"/>
                </w:tcPr>
                <w:p>
                  <w:pPr>
                    <w:spacing w:line="320" w:lineRule="exact"/>
                    <w:jc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来源及运输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1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光伏材料多晶硅碎屑</w:t>
                  </w:r>
                </w:p>
              </w:tc>
              <w:tc>
                <w:tcPr>
                  <w:tcW w:w="127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Si、SiO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等</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00t/a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吨袋</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来源江西久顺科技有限公司的边角料，汽运。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11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机油</w:t>
                  </w:r>
                </w:p>
              </w:tc>
              <w:tc>
                <w:tcPr>
                  <w:tcW w:w="127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114" w:type="dxa"/>
                  <w:tcBorders>
                    <w:tl2br w:val="nil"/>
                    <w:tr2bl w:val="nil"/>
                  </w:tcBorders>
                  <w:tcMar>
                    <w:top w:w="15" w:type="dxa"/>
                    <w:left w:w="15" w:type="dxa"/>
                    <w:right w:w="15"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免喷涂坩埚</w:t>
                  </w:r>
                </w:p>
              </w:tc>
              <w:tc>
                <w:tcPr>
                  <w:tcW w:w="1270" w:type="dxa"/>
                  <w:tcBorders>
                    <w:tl2br w:val="nil"/>
                    <w:tr2bl w:val="nil"/>
                  </w:tcBorders>
                  <w:tcMar>
                    <w:top w:w="15" w:type="dxa"/>
                    <w:left w:w="15" w:type="dxa"/>
                    <w:right w:w="15"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10t/a</w:t>
                  </w:r>
                </w:p>
              </w:tc>
              <w:tc>
                <w:tcPr>
                  <w:tcW w:w="793" w:type="dxa"/>
                  <w:tcBorders>
                    <w:tl2br w:val="nil"/>
                    <w:tr2bl w:val="nil"/>
                  </w:tcBorders>
                  <w:tcMar>
                    <w:top w:w="15" w:type="dxa"/>
                    <w:left w:w="15" w:type="dxa"/>
                    <w:right w:w="15"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5t</w:t>
                  </w:r>
                </w:p>
              </w:tc>
              <w:tc>
                <w:tcPr>
                  <w:tcW w:w="804" w:type="dxa"/>
                  <w:tcBorders>
                    <w:tl2br w:val="nil"/>
                    <w:tr2bl w:val="nil"/>
                  </w:tcBorders>
                  <w:tcMar>
                    <w:top w:w="15" w:type="dxa"/>
                    <w:left w:w="15" w:type="dxa"/>
                    <w:right w:w="15"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堆存</w:t>
                  </w:r>
                </w:p>
              </w:tc>
              <w:tc>
                <w:tcPr>
                  <w:tcW w:w="2356" w:type="dxa"/>
                  <w:tcBorders>
                    <w:tl2br w:val="nil"/>
                    <w:tr2bl w:val="nil"/>
                  </w:tcBorders>
                  <w:tcMar>
                    <w:top w:w="15" w:type="dxa"/>
                    <w:left w:w="15" w:type="dxa"/>
                    <w:right w:w="15"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1"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11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27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1438.73万</w:t>
                  </w:r>
                  <w:r>
                    <w:rPr>
                      <w:color w:val="000000" w:themeColor="text1"/>
                      <w:szCs w:val="21"/>
                      <w14:textFill>
                        <w14:solidFill>
                          <w14:schemeClr w14:val="tx1"/>
                        </w14:solidFill>
                      </w14:textFill>
                    </w:rPr>
                    <w:t>kw·h/a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市政电网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480" w:type="dxa"/>
                  <w:tcBorders>
                    <w:tl2br w:val="nil"/>
                    <w:tr2bl w:val="nil"/>
                  </w:tcBorders>
                  <w:tcMar>
                    <w:top w:w="15" w:type="dxa"/>
                    <w:left w:w="15" w:type="dxa"/>
                    <w:right w:w="15" w:type="dxa"/>
                  </w:tcMar>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11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1270"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98"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2130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793"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04"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56" w:type="dxa"/>
                  <w:tcBorders>
                    <w:tl2br w:val="nil"/>
                    <w:tr2bl w:val="nil"/>
                  </w:tcBorders>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市政管网</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根据云南省有色金属及制品质量监督检验站出具的原料检测报告（附件12），外购原料中各成分如下：</w:t>
            </w:r>
          </w:p>
          <w:p>
            <w:pPr>
              <w:pStyle w:val="76"/>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表2-5  原料中各元素占比</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231"/>
              <w:gridCol w:w="1050"/>
              <w:gridCol w:w="1249"/>
              <w:gridCol w:w="1160"/>
              <w:gridCol w:w="1481"/>
              <w:gridCol w:w="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元素</w:t>
                  </w:r>
                </w:p>
              </w:tc>
              <w:tc>
                <w:tcPr>
                  <w:tcW w:w="774"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Si</w:t>
                  </w:r>
                </w:p>
              </w:tc>
              <w:tc>
                <w:tcPr>
                  <w:tcW w:w="660"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Fe</w:t>
                  </w:r>
                </w:p>
              </w:tc>
              <w:tc>
                <w:tcPr>
                  <w:tcW w:w="786"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Al</w:t>
                  </w:r>
                </w:p>
              </w:tc>
              <w:tc>
                <w:tcPr>
                  <w:tcW w:w="730"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Ca</w:t>
                  </w:r>
                </w:p>
              </w:tc>
              <w:tc>
                <w:tcPr>
                  <w:tcW w:w="931"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P</w:t>
                  </w:r>
                </w:p>
              </w:tc>
              <w:tc>
                <w:tcPr>
                  <w:tcW w:w="484" w:type="pct"/>
                  <w:tcBorders>
                    <w:bottom w:val="single" w:color="auto" w:sz="12" w:space="0"/>
                  </w:tcBorders>
                  <w:vAlign w:val="center"/>
                </w:tcPr>
                <w:p>
                  <w:pPr>
                    <w:pStyle w:val="78"/>
                    <w:rPr>
                      <w:rFonts w:eastAsia="宋体"/>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占比</w:t>
                  </w:r>
                </w:p>
              </w:tc>
              <w:tc>
                <w:tcPr>
                  <w:tcW w:w="774"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99.752%</w:t>
                  </w:r>
                </w:p>
              </w:tc>
              <w:tc>
                <w:tcPr>
                  <w:tcW w:w="660"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0.038%</w:t>
                  </w:r>
                </w:p>
              </w:tc>
              <w:tc>
                <w:tcPr>
                  <w:tcW w:w="786"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0.033%</w:t>
                  </w:r>
                </w:p>
              </w:tc>
              <w:tc>
                <w:tcPr>
                  <w:tcW w:w="730"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0.046%</w:t>
                  </w:r>
                </w:p>
              </w:tc>
              <w:tc>
                <w:tcPr>
                  <w:tcW w:w="931"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＜0.001%（根据元素核算约为0.001%）</w:t>
                  </w:r>
                </w:p>
              </w:tc>
              <w:tc>
                <w:tcPr>
                  <w:tcW w:w="484" w:type="pct"/>
                  <w:tcBorders>
                    <w:top w:val="single" w:color="auto" w:sz="12" w:space="0"/>
                    <w:bottom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tcBorders>
                    <w:top w:val="single" w:color="auto" w:sz="4" w:space="0"/>
                  </w:tcBorders>
                  <w:vAlign w:val="center"/>
                </w:tcPr>
                <w:p>
                  <w:pPr>
                    <w:pStyle w:val="79"/>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hint="eastAsia" w:eastAsia="宋体"/>
                      <w:color w:val="000000" w:themeColor="text1"/>
                      <w:lang w:val="en-US" w:eastAsia="zh-CN"/>
                      <w14:textFill>
                        <w14:solidFill>
                          <w14:schemeClr w14:val="tx1"/>
                        </w14:solidFill>
                      </w14:textFill>
                    </w:rPr>
                    <w:t>0</w:t>
                  </w:r>
                  <w:r>
                    <w:rPr>
                      <w:rFonts w:hint="eastAsia" w:eastAsia="宋体"/>
                      <w:color w:val="000000" w:themeColor="text1"/>
                      <w14:textFill>
                        <w14:solidFill>
                          <w14:schemeClr w14:val="tx1"/>
                        </w14:solidFill>
                      </w14:textFill>
                    </w:rPr>
                    <w:t>00吨</w:t>
                  </w:r>
                </w:p>
              </w:tc>
              <w:tc>
                <w:tcPr>
                  <w:tcW w:w="1231"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1995.04</w:t>
                  </w:r>
                </w:p>
              </w:tc>
              <w:tc>
                <w:tcPr>
                  <w:tcW w:w="1050"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0.76</w:t>
                  </w:r>
                </w:p>
              </w:tc>
              <w:tc>
                <w:tcPr>
                  <w:tcW w:w="1249"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0.66</w:t>
                  </w:r>
                </w:p>
              </w:tc>
              <w:tc>
                <w:tcPr>
                  <w:tcW w:w="1160"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0.92</w:t>
                  </w:r>
                </w:p>
              </w:tc>
              <w:tc>
                <w:tcPr>
                  <w:tcW w:w="1481"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769" w:type="dxa"/>
                  <w:tcBorders>
                    <w:top w:val="single" w:color="auto" w:sz="4" w:space="0"/>
                  </w:tcBorders>
                  <w:vAlign w:val="center"/>
                </w:tcPr>
                <w:p>
                  <w:pPr>
                    <w:widowControl/>
                    <w:jc w:val="center"/>
                    <w:textAlignment w:val="center"/>
                    <w:rPr>
                      <w:rFonts w:eastAsia="宋体"/>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r>
          </w:tbl>
          <w:p>
            <w:pPr>
              <w:spacing w:line="360" w:lineRule="auto"/>
              <w:ind w:firstLine="422" w:firstLineChars="200"/>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原料来源说明：</w:t>
            </w:r>
          </w:p>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本项目多晶硅碎屑来源于江西久顺科技有限公司，根据该公司提供的环评批复（附件18），多晶硅碎屑主要来源于配料、拉单晶、切割等工序产生，为光伏行业所产生的边角料。</w:t>
            </w:r>
          </w:p>
          <w:p>
            <w:pPr>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根据附件13，云南省有色金属及制品质量监督检验站出具的原料检测报告，多晶硅碎屑的主要成分为Si、Fe、Al、Ca、P、C等，成分详见表2-5。</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（3）本项目主要生产设备见下表。</w:t>
            </w:r>
          </w:p>
          <w:p>
            <w:pPr>
              <w:pStyle w:val="76"/>
              <w:spacing w:line="240" w:lineRule="auto"/>
              <w:ind w:firstLine="0" w:firstLineChars="0"/>
              <w:jc w:val="center"/>
              <w:rPr>
                <w:rFonts w:eastAsia="宋体"/>
                <w:b/>
                <w:color w:val="000000" w:themeColor="text1"/>
                <w:sz w:val="21"/>
                <w:szCs w:val="21"/>
                <w14:textFill>
                  <w14:solidFill>
                    <w14:schemeClr w14:val="tx1"/>
                  </w14:solidFill>
                </w14:textFill>
              </w:rPr>
            </w:pPr>
            <w:r>
              <w:rPr>
                <w:rFonts w:hint="eastAsia" w:eastAsia="宋体"/>
                <w:b/>
                <w:color w:val="000000" w:themeColor="text1"/>
                <w:sz w:val="21"/>
                <w:szCs w:val="21"/>
                <w14:textFill>
                  <w14:solidFill>
                    <w14:schemeClr w14:val="tx1"/>
                  </w14:solidFill>
                </w14:textFill>
              </w:rPr>
              <w:t>表2-6 建设项目主要设备表</w:t>
            </w:r>
          </w:p>
          <w:tbl>
            <w:tblPr>
              <w:tblStyle w:val="24"/>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750"/>
              <w:gridCol w:w="2288"/>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bottom w:val="single" w:color="auto" w:sz="12" w:space="0"/>
                  </w:tcBorders>
                  <w:vAlign w:val="center"/>
                </w:tcPr>
                <w:p>
                  <w:pPr>
                    <w:jc w:val="center"/>
                    <w:rPr>
                      <w:bCs/>
                      <w:iCs/>
                      <w:color w:val="000000" w:themeColor="text1"/>
                      <w:spacing w:val="6"/>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2750" w:type="dxa"/>
                  <w:tcBorders>
                    <w:bottom w:val="single" w:color="auto" w:sz="12" w:space="0"/>
                  </w:tcBorders>
                  <w:vAlign w:val="center"/>
                </w:tcPr>
                <w:p>
                  <w:pPr>
                    <w:jc w:val="center"/>
                    <w:rPr>
                      <w:bCs/>
                      <w:iCs/>
                      <w:color w:val="000000" w:themeColor="text1"/>
                      <w:spacing w:val="6"/>
                      <w:szCs w:val="21"/>
                      <w14:textFill>
                        <w14:solidFill>
                          <w14:schemeClr w14:val="tx1"/>
                        </w14:solidFill>
                      </w14:textFill>
                    </w:rPr>
                  </w:pPr>
                  <w:r>
                    <w:rPr>
                      <w:rFonts w:hint="eastAsia"/>
                      <w:b/>
                      <w:color w:val="000000" w:themeColor="text1"/>
                      <w:szCs w:val="21"/>
                      <w14:textFill>
                        <w14:solidFill>
                          <w14:schemeClr w14:val="tx1"/>
                        </w14:solidFill>
                      </w14:textFill>
                    </w:rPr>
                    <w:t>名称</w:t>
                  </w:r>
                </w:p>
              </w:tc>
              <w:tc>
                <w:tcPr>
                  <w:tcW w:w="2288" w:type="dxa"/>
                  <w:tcBorders>
                    <w:bottom w:val="single" w:color="auto" w:sz="12"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型号</w:t>
                  </w:r>
                </w:p>
              </w:tc>
              <w:tc>
                <w:tcPr>
                  <w:tcW w:w="2123" w:type="dxa"/>
                  <w:tcBorders>
                    <w:bottom w:val="single" w:color="auto" w:sz="12"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数量（台/套）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single" w:color="auto" w:sz="12" w:space="0"/>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750" w:type="dxa"/>
                  <w:tcBorders>
                    <w:top w:val="single" w:color="auto" w:sz="12" w:space="0"/>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多晶硅铸锭炉</w:t>
                  </w:r>
                </w:p>
              </w:tc>
              <w:tc>
                <w:tcPr>
                  <w:tcW w:w="2288" w:type="dxa"/>
                  <w:tcBorders>
                    <w:top w:val="single" w:color="auto" w:sz="12" w:space="0"/>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J2-660</w:t>
                  </w:r>
                </w:p>
              </w:tc>
              <w:tc>
                <w:tcPr>
                  <w:tcW w:w="2123" w:type="dxa"/>
                  <w:tcBorders>
                    <w:top w:val="single" w:color="auto" w:sz="12" w:space="0"/>
                    <w:tl2br w:val="nil"/>
                    <w:tr2bl w:val="nil"/>
                  </w:tcBorders>
                </w:tcPr>
                <w:p>
                  <w:pPr>
                    <w:jc w:val="center"/>
                    <w:rPr>
                      <w:bCs/>
                      <w:iCs/>
                      <w:color w:val="000000" w:themeColor="text1"/>
                      <w:spacing w:val="6"/>
                      <w:szCs w:val="21"/>
                      <w14:textFill>
                        <w14:solidFill>
                          <w14:schemeClr w14:val="tx1"/>
                        </w14:solidFill>
                      </w14:textFill>
                    </w:rPr>
                  </w:pPr>
                  <w:r>
                    <w:rPr>
                      <w:rFonts w:hint="eastAsia"/>
                      <w:color w:val="000000" w:themeColor="text1"/>
                      <w:szCs w:val="21"/>
                      <w14:textFill>
                        <w14:solidFill>
                          <w14:schemeClr w14:val="tx1"/>
                        </w14:solidFill>
                      </w14:textFill>
                    </w:rPr>
                    <w:t>20套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叉车</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bCs/>
                      <w:iCs/>
                      <w:color w:val="000000" w:themeColor="text1"/>
                      <w:spacing w:val="6"/>
                      <w:szCs w:val="21"/>
                      <w14:textFill>
                        <w14:solidFill>
                          <w14:schemeClr w14:val="tx1"/>
                        </w14:solidFill>
                      </w14:textFill>
                    </w:rPr>
                  </w:pPr>
                  <w:r>
                    <w:rPr>
                      <w:rFonts w:hint="eastAsia"/>
                      <w:color w:val="000000" w:themeColor="text1"/>
                      <w:szCs w:val="21"/>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行车</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bCs/>
                      <w:iCs/>
                      <w:color w:val="000000" w:themeColor="text1"/>
                      <w:spacing w:val="6"/>
                      <w:szCs w:val="21"/>
                      <w14:textFill>
                        <w14:solidFill>
                          <w14:schemeClr w14:val="tx1"/>
                        </w14:solidFill>
                      </w14:textFill>
                    </w:rPr>
                  </w:pPr>
                  <w:r>
                    <w:rPr>
                      <w:rFonts w:hint="eastAsia"/>
                      <w:color w:val="000000" w:themeColor="text1"/>
                      <w:szCs w:val="21"/>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上料设备</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装载机</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起重设备</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手拖车</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硅片少子寿命仪</w:t>
                  </w:r>
                </w:p>
              </w:tc>
              <w:tc>
                <w:tcPr>
                  <w:tcW w:w="2288"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SEMILAB WT-2000D</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2750"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红外探伤仪</w:t>
                  </w:r>
                </w:p>
              </w:tc>
              <w:tc>
                <w:tcPr>
                  <w:tcW w:w="2288"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SEMILAB IRB-55</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电阻率测试仪</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氩气系统</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水冷式冷水机组</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2750"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普通水供应系统</w:t>
                  </w:r>
                </w:p>
              </w:tc>
              <w:tc>
                <w:tcPr>
                  <w:tcW w:w="2288"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2750"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开方机</w:t>
                  </w:r>
                </w:p>
              </w:tc>
              <w:tc>
                <w:tcPr>
                  <w:tcW w:w="2288" w:type="dxa"/>
                  <w:tcBorders>
                    <w:tl2br w:val="nil"/>
                    <w:tr2bl w:val="nil"/>
                  </w:tcBorders>
                  <w:vAlign w:val="top"/>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S1000</w:t>
                  </w:r>
                </w:p>
              </w:tc>
              <w:tc>
                <w:tcPr>
                  <w:tcW w:w="2123" w:type="dxa"/>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2750"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数控多晶硅双平面磨研机</w:t>
                  </w:r>
                </w:p>
              </w:tc>
              <w:tc>
                <w:tcPr>
                  <w:tcW w:w="2288"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WSK015/1</w:t>
                  </w:r>
                </w:p>
              </w:tc>
              <w:tc>
                <w:tcPr>
                  <w:tcW w:w="2123"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dxa"/>
                  <w:tcBorders>
                    <w:tl2br w:val="nil"/>
                    <w:tr2bl w:val="nil"/>
                  </w:tcBorders>
                  <w:vAlign w:val="top"/>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2750"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3刀6位环线截断机</w:t>
                  </w:r>
                </w:p>
              </w:tc>
              <w:tc>
                <w:tcPr>
                  <w:tcW w:w="2288" w:type="dxa"/>
                  <w:tcBorders>
                    <w:tl2br w:val="nil"/>
                    <w:tr2bl w:val="nil"/>
                  </w:tcBorders>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123"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top"/>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w:t>
                  </w:r>
                </w:p>
              </w:tc>
              <w:tc>
                <w:tcPr>
                  <w:tcW w:w="2750"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倒角机</w:t>
                  </w:r>
                </w:p>
              </w:tc>
              <w:tc>
                <w:tcPr>
                  <w:tcW w:w="2288" w:type="dxa"/>
                  <w:tcBorders>
                    <w:tl2br w:val="nil"/>
                    <w:tr2bl w:val="nil"/>
                  </w:tcBorders>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123" w:type="dxa"/>
                  <w:tcBorders>
                    <w:tl2br w:val="nil"/>
                    <w:tr2bl w:val="nil"/>
                  </w:tcBorders>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1台</w:t>
                  </w:r>
                </w:p>
              </w:tc>
            </w:tr>
          </w:tbl>
          <w:p>
            <w:pPr>
              <w:spacing w:line="360" w:lineRule="auto"/>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5、劳动定员及工作制度</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项目劳动员工50人。不设食宿，员工均为周边居民。项目生产实施三班制，每班8小时，年工作时间300天，年工作7200h。</w:t>
            </w:r>
          </w:p>
          <w:p>
            <w:pPr>
              <w:spacing w:line="360" w:lineRule="auto"/>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6、厂区平面布置</w:t>
            </w:r>
          </w:p>
          <w:p>
            <w:pPr>
              <w:autoSpaceDE w:val="0"/>
              <w:autoSpaceDN w:val="0"/>
              <w:adjustRightInd w:val="0"/>
              <w:snapToGrid w:val="0"/>
              <w:spacing w:line="360" w:lineRule="auto"/>
              <w:ind w:firstLine="480"/>
              <w:rPr>
                <w:rFonts w:hint="eastAsia"/>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本项目利用现有厂区进行建设，租赁厂区面积</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，生产车间内设有1条生产线，</w:t>
            </w:r>
            <w:r>
              <w:rPr>
                <w:rFonts w:hint="eastAsia"/>
                <w:color w:val="000000" w:themeColor="text1"/>
                <w:kern w:val="0"/>
                <w:szCs w:val="21"/>
                <w14:textFill>
                  <w14:solidFill>
                    <w14:schemeClr w14:val="tx1"/>
                  </w14:solidFill>
                </w14:textFill>
              </w:rPr>
              <w:t>噪声较大的</w:t>
            </w:r>
            <w:r>
              <w:rPr>
                <w:rFonts w:hint="eastAsia"/>
                <w:color w:val="000000" w:themeColor="text1"/>
                <w:kern w:val="0"/>
                <w:szCs w:val="21"/>
                <w:lang w:val="en-US" w:eastAsia="zh-CN"/>
                <w14:textFill>
                  <w14:solidFill>
                    <w14:schemeClr w14:val="tx1"/>
                  </w14:solidFill>
                </w14:textFill>
              </w:rPr>
              <w:t>铸锭炉</w:t>
            </w:r>
            <w:r>
              <w:rPr>
                <w:rFonts w:hint="eastAsia"/>
                <w:color w:val="000000" w:themeColor="text1"/>
                <w:kern w:val="0"/>
                <w:szCs w:val="21"/>
                <w14:textFill>
                  <w14:solidFill>
                    <w14:schemeClr w14:val="tx1"/>
                  </w14:solidFill>
                </w14:textFill>
              </w:rPr>
              <w:t>布置于在</w:t>
            </w:r>
            <w:r>
              <w:rPr>
                <w:rFonts w:hint="eastAsia"/>
                <w:color w:val="000000" w:themeColor="text1"/>
                <w:kern w:val="0"/>
                <w:szCs w:val="21"/>
                <w:lang w:val="en-US" w:eastAsia="zh-CN"/>
                <w14:textFill>
                  <w14:solidFill>
                    <w14:schemeClr w14:val="tx1"/>
                  </w14:solidFill>
                </w14:textFill>
              </w:rPr>
              <w:t>厂房中部</w:t>
            </w:r>
            <w:r>
              <w:rPr>
                <w:rFonts w:hint="eastAsia"/>
                <w:color w:val="000000" w:themeColor="text1"/>
                <w:kern w:val="0"/>
                <w:szCs w:val="21"/>
                <w14:textFill>
                  <w14:solidFill>
                    <w14:schemeClr w14:val="tx1"/>
                  </w14:solidFill>
                </w14:textFill>
              </w:rPr>
              <w:t>，办公区布置在</w:t>
            </w:r>
            <w:r>
              <w:rPr>
                <w:rFonts w:hint="eastAsia"/>
                <w:color w:val="000000" w:themeColor="text1"/>
                <w:kern w:val="0"/>
                <w:szCs w:val="21"/>
                <w:lang w:val="en-US" w:eastAsia="zh-CN"/>
                <w14:textFill>
                  <w14:solidFill>
                    <w14:schemeClr w14:val="tx1"/>
                  </w14:solidFill>
                </w14:textFill>
              </w:rPr>
              <w:t>厂房北</w:t>
            </w:r>
            <w:r>
              <w:rPr>
                <w:rFonts w:hint="eastAsia"/>
                <w:color w:val="000000" w:themeColor="text1"/>
                <w:kern w:val="0"/>
                <w:szCs w:val="21"/>
                <w14:textFill>
                  <w14:solidFill>
                    <w14:schemeClr w14:val="tx1"/>
                  </w14:solidFill>
                </w14:textFill>
              </w:rPr>
              <w:t>侧</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循环冷却池布置在厂房外北侧的空地上，原料区和产品区位于厂房南侧，厂房入口位于东侧</w:t>
            </w:r>
            <w:r>
              <w:rPr>
                <w:rFonts w:hint="eastAsia"/>
                <w:color w:val="000000" w:themeColor="text1"/>
                <w:kern w:val="0"/>
                <w:szCs w:val="21"/>
                <w14:textFill>
                  <w14:solidFill>
                    <w14:schemeClr w14:val="tx1"/>
                  </w14:solidFill>
                </w14:textFill>
              </w:rPr>
              <w:t>。从功能分区上，</w:t>
            </w:r>
            <w:r>
              <w:rPr>
                <w:rFonts w:hint="eastAsia"/>
                <w:color w:val="000000" w:themeColor="text1"/>
                <w:kern w:val="0"/>
                <w:szCs w:val="21"/>
                <w:lang w:val="en-US" w:eastAsia="zh-CN"/>
                <w14:textFill>
                  <w14:solidFill>
                    <w14:schemeClr w14:val="tx1"/>
                  </w14:solidFill>
                </w14:textFill>
              </w:rPr>
              <w:t>办公</w:t>
            </w:r>
            <w:r>
              <w:rPr>
                <w:rFonts w:hint="eastAsia"/>
                <w:color w:val="000000" w:themeColor="text1"/>
                <w:kern w:val="0"/>
                <w:szCs w:val="21"/>
                <w14:textFill>
                  <w14:solidFill>
                    <w14:schemeClr w14:val="tx1"/>
                  </w14:solidFill>
                </w14:textFill>
              </w:rPr>
              <w:t>区、成品</w:t>
            </w:r>
            <w:r>
              <w:rPr>
                <w:rFonts w:hint="eastAsia"/>
                <w:color w:val="000000" w:themeColor="text1"/>
                <w:kern w:val="0"/>
                <w:szCs w:val="21"/>
                <w:lang w:val="en-US" w:eastAsia="zh-CN"/>
                <w14:textFill>
                  <w14:solidFill>
                    <w14:schemeClr w14:val="tx1"/>
                  </w14:solidFill>
                </w14:textFill>
              </w:rPr>
              <w:t>区</w:t>
            </w:r>
            <w:r>
              <w:rPr>
                <w:rFonts w:hint="eastAsia"/>
                <w:color w:val="000000" w:themeColor="text1"/>
                <w:kern w:val="0"/>
                <w:szCs w:val="21"/>
                <w14:textFill>
                  <w14:solidFill>
                    <w14:schemeClr w14:val="tx1"/>
                  </w14:solidFill>
                </w14:textFill>
              </w:rPr>
              <w:t>与生产</w:t>
            </w:r>
            <w:r>
              <w:rPr>
                <w:rFonts w:hint="eastAsia"/>
                <w:color w:val="000000" w:themeColor="text1"/>
                <w:kern w:val="0"/>
                <w:szCs w:val="21"/>
                <w:lang w:val="en-US" w:eastAsia="zh-CN"/>
                <w14:textFill>
                  <w14:solidFill>
                    <w14:schemeClr w14:val="tx1"/>
                  </w14:solidFill>
                </w14:textFill>
              </w:rPr>
              <w:t>区（铸锭区）</w:t>
            </w:r>
            <w:r>
              <w:rPr>
                <w:rFonts w:hint="eastAsia"/>
                <w:color w:val="000000" w:themeColor="text1"/>
                <w:kern w:val="0"/>
                <w:szCs w:val="21"/>
                <w14:textFill>
                  <w14:solidFill>
                    <w14:schemeClr w14:val="tx1"/>
                  </w14:solidFill>
                </w14:textFill>
              </w:rPr>
              <w:t>位置分开，相对独立，减少车间噪声对职工的影响。出入口位于厂</w:t>
            </w:r>
            <w:r>
              <w:rPr>
                <w:rFonts w:hint="eastAsia"/>
                <w:color w:val="000000" w:themeColor="text1"/>
                <w:kern w:val="0"/>
                <w:szCs w:val="21"/>
                <w:lang w:val="en-US" w:eastAsia="zh-CN"/>
                <w14:textFill>
                  <w14:solidFill>
                    <w14:schemeClr w14:val="tx1"/>
                  </w14:solidFill>
                </w14:textFill>
              </w:rPr>
              <w:t>房东</w:t>
            </w:r>
            <w:r>
              <w:rPr>
                <w:rFonts w:hint="eastAsia"/>
                <w:color w:val="000000" w:themeColor="text1"/>
                <w:kern w:val="0"/>
                <w:szCs w:val="21"/>
                <w14:textFill>
                  <w14:solidFill>
                    <w14:schemeClr w14:val="tx1"/>
                  </w14:solidFill>
                </w14:textFill>
              </w:rPr>
              <w:t>侧，出入口与外部道路相通，以方便物资和人员进出。项目整体布局紧凑，功能分区明确。项目总平面布置图见附图5。</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7、公用及辅助工程</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（1）给水</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项目用水由市政自来水管网提供，年用水量为</w:t>
            </w:r>
            <w:r>
              <w:rPr>
                <w:rFonts w:hint="eastAsia"/>
                <w:bCs/>
                <w:color w:val="000000" w:themeColor="text1"/>
                <w:szCs w:val="21"/>
                <w:lang w:val="en-US" w:eastAsia="zh-CN"/>
                <w14:textFill>
                  <w14:solidFill>
                    <w14:schemeClr w14:val="tx1"/>
                  </w14:solidFill>
                </w14:textFill>
              </w:rPr>
              <w:t>2130</w:t>
            </w:r>
            <w:r>
              <w:rPr>
                <w:rFonts w:hint="eastAsia"/>
                <w:bCs/>
                <w:color w:val="000000" w:themeColor="text1"/>
                <w:szCs w:val="21"/>
                <w14:textFill>
                  <w14:solidFill>
                    <w14:schemeClr w14:val="tx1"/>
                  </w14:solidFill>
                </w14:textFill>
              </w:rPr>
              <w:t>t/a，本项目水平衡图见下图：</w:t>
            </w:r>
          </w:p>
          <w:p>
            <w:pPr>
              <w:autoSpaceDE w:val="0"/>
              <w:autoSpaceDN w:val="0"/>
              <w:adjustRightInd w:val="0"/>
              <w:spacing w:line="360" w:lineRule="auto"/>
              <w:jc w:val="center"/>
              <w:rPr>
                <w:rFonts w:hAnsi="宋体"/>
                <w:color w:val="000000" w:themeColor="text1"/>
                <w:kern w:val="0"/>
                <w:sz w:val="24"/>
                <w14:textFill>
                  <w14:solidFill>
                    <w14:schemeClr w14:val="tx1"/>
                  </w14:solidFill>
                </w14:textFill>
              </w:rPr>
            </w:pPr>
            <w:r>
              <w:rPr>
                <w:rFonts w:hAnsi="宋体"/>
                <w:color w:val="000000" w:themeColor="text1"/>
                <w:kern w:val="0"/>
                <w:sz w:val="24"/>
                <w14:textFill>
                  <w14:solidFill>
                    <w14:schemeClr w14:val="tx1"/>
                  </w14:solidFill>
                </w14:textFill>
              </w:rPr>
              <w:object>
                <v:shape id="_x0000_i1025" o:spt="75" type="#_x0000_t75" style="height:277.5pt;width:376.5pt;" o:ole="t" filled="f" o:preferrelative="t" stroked="f" coordsize="21600,21600">
                  <v:path/>
                  <v:fill on="f" focussize="0,0"/>
                  <v:stroke on="f"/>
                  <v:imagedata r:id="rId20" o:title=""/>
                  <o:lock v:ext="edit" aspectratio="f"/>
                  <w10:wrap type="none"/>
                  <w10:anchorlock/>
                </v:shape>
                <o:OLEObject Type="Embed" ProgID="Visio.Drawing.15" ShapeID="_x0000_i1025" DrawAspect="Content" ObjectID="_1468075725" r:id="rId19">
                  <o:LockedField>false</o:LockedField>
                </o:OLEObject>
              </w:object>
            </w:r>
          </w:p>
          <w:p>
            <w:pPr>
              <w:spacing w:line="360" w:lineRule="auto"/>
              <w:jc w:val="center"/>
              <w:rPr>
                <w:rFonts w:hint="eastAsia" w:eastAsia="宋体"/>
                <w:b/>
                <w:color w:val="000000" w:themeColor="text1"/>
                <w:szCs w:val="21"/>
                <w:lang w:eastAsia="zh-CN"/>
                <w14:textFill>
                  <w14:solidFill>
                    <w14:schemeClr w14:val="tx1"/>
                  </w14:solidFill>
                </w14:textFill>
              </w:rPr>
            </w:pPr>
            <w:r>
              <w:rPr>
                <w:rFonts w:hint="eastAsia"/>
                <w:b/>
                <w:color w:val="000000" w:themeColor="text1"/>
                <w:szCs w:val="21"/>
                <w14:textFill>
                  <w14:solidFill>
                    <w14:schemeClr w14:val="tx1"/>
                  </w14:solidFill>
                </w14:textFill>
              </w:rPr>
              <w:t>图2-1 项目水平衡图    单位：m</w:t>
            </w:r>
            <w:r>
              <w:rPr>
                <w:rFonts w:hint="eastAsia"/>
                <w:b/>
                <w:color w:val="000000" w:themeColor="text1"/>
                <w:szCs w:val="21"/>
                <w:vertAlign w:val="superscript"/>
                <w14:textFill>
                  <w14:solidFill>
                    <w14:schemeClr w14:val="tx1"/>
                  </w14:solidFill>
                </w14:textFill>
              </w:rPr>
              <w:t>3</w:t>
            </w:r>
            <w:r>
              <w:rPr>
                <w:rFonts w:hint="eastAsia"/>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d</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（2）排水</w:t>
            </w:r>
          </w:p>
          <w:p>
            <w:pPr>
              <w:autoSpaceDE w:val="0"/>
              <w:autoSpaceDN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采用雨、污分流制。雨水经收集后排入雨水管网；生活污水经化粪池处理后，经四方地碧谷工业园区污水处理厂处理达标后排放</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冷却循环水定期补水，不外排；生产废水经沉淀池处理后循环使用，定期补水，不外排</w:t>
            </w:r>
            <w:r>
              <w:rPr>
                <w:rFonts w:hint="eastAsia"/>
                <w:bCs/>
                <w:color w:val="000000" w:themeColor="text1"/>
                <w:szCs w:val="21"/>
                <w14:textFill>
                  <w14:solidFill>
                    <w14:schemeClr w14:val="tx1"/>
                  </w14:solidFill>
                </w14:textFill>
              </w:rPr>
              <w:t>。</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（3）供电</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厂区的电源来自城市供电网，预计年用电量为</w:t>
            </w:r>
            <w:r>
              <w:rPr>
                <w:rFonts w:hint="eastAsia"/>
                <w:color w:val="000000" w:themeColor="text1"/>
                <w:szCs w:val="21"/>
                <w14:textFill>
                  <w14:solidFill>
                    <w14:schemeClr w14:val="tx1"/>
                  </w14:solidFill>
                </w14:textFill>
              </w:rPr>
              <w:t>1438.73</w:t>
            </w:r>
            <w:r>
              <w:rPr>
                <w:rFonts w:hint="eastAsia"/>
                <w:bCs/>
                <w:color w:val="000000" w:themeColor="text1"/>
                <w:szCs w:val="21"/>
                <w14:textFill>
                  <w14:solidFill>
                    <w14:schemeClr w14:val="tx1"/>
                  </w14:solidFill>
                </w14:textFill>
              </w:rPr>
              <w:t>万度。</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8、项目环保投资估算</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项目总投资6698万元，环保措施投资</w:t>
            </w:r>
            <w:r>
              <w:rPr>
                <w:rFonts w:hint="eastAsia"/>
                <w:bCs/>
                <w:color w:val="000000" w:themeColor="text1"/>
                <w:szCs w:val="21"/>
                <w:lang w:val="en-US" w:eastAsia="zh-CN"/>
                <w14:textFill>
                  <w14:solidFill>
                    <w14:schemeClr w14:val="tx1"/>
                  </w14:solidFill>
                </w14:textFill>
              </w:rPr>
              <w:t>65</w:t>
            </w:r>
            <w:r>
              <w:rPr>
                <w:rFonts w:hint="eastAsia"/>
                <w:bCs/>
                <w:color w:val="000000" w:themeColor="text1"/>
                <w:szCs w:val="21"/>
                <w14:textFill>
                  <w14:solidFill>
                    <w14:schemeClr w14:val="tx1"/>
                  </w14:solidFill>
                </w14:textFill>
              </w:rPr>
              <w:t>万元，占总投资比例的</w:t>
            </w:r>
            <w:r>
              <w:rPr>
                <w:rFonts w:hint="eastAsia"/>
                <w:bCs/>
                <w:color w:val="000000" w:themeColor="text1"/>
                <w:szCs w:val="21"/>
                <w:lang w:val="en-US" w:eastAsia="zh-CN"/>
                <w14:textFill>
                  <w14:solidFill>
                    <w14:schemeClr w14:val="tx1"/>
                  </w14:solidFill>
                </w14:textFill>
              </w:rPr>
              <w:t>0.97</w:t>
            </w:r>
            <w:r>
              <w:rPr>
                <w:rFonts w:hint="eastAsia"/>
                <w:bCs/>
                <w:color w:val="000000" w:themeColor="text1"/>
                <w:szCs w:val="21"/>
                <w14:textFill>
                  <w14:solidFill>
                    <w14:schemeClr w14:val="tx1"/>
                  </w14:solidFill>
                </w14:textFill>
              </w:rPr>
              <w:t>%。环保投资明细表见下表2-7。</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表2-7 项目环保投资一览表</w:t>
            </w:r>
          </w:p>
          <w:tbl>
            <w:tblPr>
              <w:tblStyle w:val="23"/>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8"/>
              <w:gridCol w:w="2840"/>
              <w:gridCol w:w="1575"/>
              <w:gridCol w:w="2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jc w:val="center"/>
              </w:trPr>
              <w:tc>
                <w:tcPr>
                  <w:tcW w:w="694" w:type="dxa"/>
                  <w:tcBorders>
                    <w:tl2br w:val="nil"/>
                    <w:tr2bl w:val="nil"/>
                  </w:tcBorders>
                  <w:vAlign w:val="center"/>
                </w:tcPr>
                <w:p>
                  <w:pPr>
                    <w:pStyle w:val="80"/>
                    <w:spacing w:line="240" w:lineRule="auto"/>
                    <w:rPr>
                      <w:rFonts w:ascii="Times New Roman"/>
                      <w:b/>
                      <w:bCs/>
                      <w:color w:val="000000" w:themeColor="text1"/>
                      <w:szCs w:val="21"/>
                      <w14:textFill>
                        <w14:solidFill>
                          <w14:schemeClr w14:val="tx1"/>
                        </w14:solidFill>
                      </w14:textFill>
                    </w:rPr>
                  </w:pPr>
                  <w:r>
                    <w:rPr>
                      <w:rFonts w:hint="eastAsia" w:ascii="Times New Roman"/>
                      <w:b/>
                      <w:bCs/>
                      <w:color w:val="000000" w:themeColor="text1"/>
                      <w:szCs w:val="21"/>
                      <w14:textFill>
                        <w14:solidFill>
                          <w14:schemeClr w14:val="tx1"/>
                        </w14:solidFill>
                      </w14:textFill>
                    </w:rPr>
                    <w:t>序号</w:t>
                  </w:r>
                </w:p>
              </w:tc>
              <w:tc>
                <w:tcPr>
                  <w:tcW w:w="708" w:type="dxa"/>
                  <w:tcBorders>
                    <w:tl2br w:val="nil"/>
                    <w:tr2bl w:val="nil"/>
                  </w:tcBorders>
                  <w:vAlign w:val="center"/>
                </w:tcPr>
                <w:p>
                  <w:pPr>
                    <w:pStyle w:val="80"/>
                    <w:spacing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项目</w:t>
                  </w:r>
                </w:p>
              </w:tc>
              <w:tc>
                <w:tcPr>
                  <w:tcW w:w="2840" w:type="dxa"/>
                  <w:tcBorders>
                    <w:tl2br w:val="nil"/>
                    <w:tr2bl w:val="nil"/>
                  </w:tcBorders>
                  <w:vAlign w:val="center"/>
                </w:tcPr>
                <w:p>
                  <w:pPr>
                    <w:pStyle w:val="80"/>
                    <w:spacing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环保设施</w:t>
                  </w:r>
                </w:p>
              </w:tc>
              <w:tc>
                <w:tcPr>
                  <w:tcW w:w="1575" w:type="dxa"/>
                  <w:tcBorders>
                    <w:tl2br w:val="nil"/>
                    <w:tr2bl w:val="nil"/>
                  </w:tcBorders>
                  <w:vAlign w:val="center"/>
                </w:tcPr>
                <w:p>
                  <w:pPr>
                    <w:pStyle w:val="80"/>
                    <w:spacing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投资(万元)</w:t>
                  </w:r>
                </w:p>
              </w:tc>
              <w:tc>
                <w:tcPr>
                  <w:tcW w:w="2020" w:type="dxa"/>
                  <w:tcBorders>
                    <w:tl2br w:val="nil"/>
                    <w:tr2bl w:val="nil"/>
                  </w:tcBorders>
                  <w:vAlign w:val="center"/>
                </w:tcPr>
                <w:p>
                  <w:pPr>
                    <w:pStyle w:val="80"/>
                    <w:spacing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94" w:type="dxa"/>
                  <w:vMerge w:val="restart"/>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w:t>
                  </w:r>
                </w:p>
              </w:tc>
              <w:tc>
                <w:tcPr>
                  <w:tcW w:w="708" w:type="dxa"/>
                  <w:vMerge w:val="restart"/>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废气</w:t>
                  </w:r>
                </w:p>
              </w:tc>
              <w:tc>
                <w:tcPr>
                  <w:tcW w:w="2840"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布袋除尘器，2套</w:t>
                  </w:r>
                </w:p>
              </w:tc>
              <w:tc>
                <w:tcPr>
                  <w:tcW w:w="1575"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10</w:t>
                  </w:r>
                </w:p>
              </w:tc>
              <w:tc>
                <w:tcPr>
                  <w:tcW w:w="2020"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94" w:type="dxa"/>
                  <w:vMerge w:val="continue"/>
                  <w:tcBorders>
                    <w:tl2br w:val="nil"/>
                    <w:tr2bl w:val="nil"/>
                  </w:tcBorders>
                  <w:vAlign w:val="center"/>
                </w:tcPr>
                <w:p>
                  <w:pPr>
                    <w:pStyle w:val="80"/>
                    <w:spacing w:line="240" w:lineRule="auto"/>
                    <w:rPr>
                      <w:rFonts w:hint="eastAsia" w:ascii="Times New Roman"/>
                      <w:color w:val="000000" w:themeColor="text1"/>
                      <w:szCs w:val="21"/>
                      <w14:textFill>
                        <w14:solidFill>
                          <w14:schemeClr w14:val="tx1"/>
                        </w14:solidFill>
                      </w14:textFill>
                    </w:rPr>
                  </w:pPr>
                </w:p>
              </w:tc>
              <w:tc>
                <w:tcPr>
                  <w:tcW w:w="708" w:type="dxa"/>
                  <w:vMerge w:val="continue"/>
                  <w:tcBorders>
                    <w:tl2br w:val="nil"/>
                    <w:tr2bl w:val="nil"/>
                  </w:tcBorders>
                  <w:vAlign w:val="center"/>
                </w:tcPr>
                <w:p>
                  <w:pPr>
                    <w:pStyle w:val="80"/>
                    <w:spacing w:line="240" w:lineRule="auto"/>
                    <w:rPr>
                      <w:rFonts w:hint="eastAsia" w:ascii="Times New Roman"/>
                      <w:color w:val="000000" w:themeColor="text1"/>
                      <w:szCs w:val="21"/>
                      <w14:textFill>
                        <w14:solidFill>
                          <w14:schemeClr w14:val="tx1"/>
                        </w14:solidFill>
                      </w14:textFill>
                    </w:rPr>
                  </w:pPr>
                </w:p>
              </w:tc>
              <w:tc>
                <w:tcPr>
                  <w:tcW w:w="2840"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湿式作业喷头</w:t>
                  </w:r>
                </w:p>
              </w:tc>
              <w:tc>
                <w:tcPr>
                  <w:tcW w:w="1575"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2</w:t>
                  </w:r>
                </w:p>
              </w:tc>
              <w:tc>
                <w:tcPr>
                  <w:tcW w:w="2020"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94" w:type="dxa"/>
                  <w:vMerge w:val="restart"/>
                  <w:tcBorders>
                    <w:tl2br w:val="nil"/>
                    <w:tr2bl w:val="nil"/>
                  </w:tcBorders>
                  <w:vAlign w:val="center"/>
                </w:tcPr>
                <w:p>
                  <w:pPr>
                    <w:pStyle w:val="80"/>
                    <w:spacing w:line="240" w:lineRule="auto"/>
                    <w:rPr>
                      <w:rFonts w:hint="eastAsia" w:ascii="Times New Roman" w:eastAsia="宋体"/>
                      <w:color w:val="000000" w:themeColor="text1"/>
                      <w:szCs w:val="21"/>
                      <w:lang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2</w:t>
                  </w:r>
                </w:p>
              </w:tc>
              <w:tc>
                <w:tcPr>
                  <w:tcW w:w="708" w:type="dxa"/>
                  <w:vMerge w:val="restart"/>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废水</w:t>
                  </w:r>
                </w:p>
              </w:tc>
              <w:tc>
                <w:tcPr>
                  <w:tcW w:w="284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冷却</w:t>
                  </w:r>
                  <w:r>
                    <w:rPr>
                      <w:rFonts w:ascii="Times New Roman"/>
                      <w:color w:val="000000" w:themeColor="text1"/>
                      <w:szCs w:val="21"/>
                      <w14:textFill>
                        <w14:solidFill>
                          <w14:schemeClr w14:val="tx1"/>
                        </w14:solidFill>
                      </w14:textFill>
                    </w:rPr>
                    <w:t>循环水池</w:t>
                  </w:r>
                  <w:r>
                    <w:rPr>
                      <w:rFonts w:hint="eastAsia" w:ascii="Times New Roman"/>
                      <w:color w:val="000000" w:themeColor="text1"/>
                      <w:szCs w:val="21"/>
                      <w14:textFill>
                        <w14:solidFill>
                          <w14:schemeClr w14:val="tx1"/>
                        </w14:solidFill>
                      </w14:textFill>
                    </w:rPr>
                    <w:t>，容积200</w:t>
                  </w:r>
                  <w:r>
                    <w:rPr>
                      <w:rFonts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p>
              </w:tc>
              <w:tc>
                <w:tcPr>
                  <w:tcW w:w="1575"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20</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94" w:type="dxa"/>
                  <w:vMerge w:val="continue"/>
                  <w:tcBorders>
                    <w:tl2br w:val="nil"/>
                    <w:tr2bl w:val="nil"/>
                  </w:tcBorders>
                  <w:vAlign w:val="center"/>
                </w:tcPr>
                <w:p>
                  <w:pPr>
                    <w:pStyle w:val="80"/>
                    <w:spacing w:line="240" w:lineRule="auto"/>
                    <w:rPr>
                      <w:rFonts w:hint="eastAsia" w:ascii="Times New Roman"/>
                      <w:color w:val="000000" w:themeColor="text1"/>
                      <w:szCs w:val="21"/>
                      <w14:textFill>
                        <w14:solidFill>
                          <w14:schemeClr w14:val="tx1"/>
                        </w14:solidFill>
                      </w14:textFill>
                    </w:rPr>
                  </w:pPr>
                </w:p>
              </w:tc>
              <w:tc>
                <w:tcPr>
                  <w:tcW w:w="708" w:type="dxa"/>
                  <w:vMerge w:val="continue"/>
                  <w:tcBorders>
                    <w:tl2br w:val="nil"/>
                    <w:tr2bl w:val="nil"/>
                  </w:tcBorders>
                  <w:vAlign w:val="center"/>
                </w:tcPr>
                <w:p>
                  <w:pPr>
                    <w:pStyle w:val="80"/>
                    <w:spacing w:line="240" w:lineRule="auto"/>
                    <w:rPr>
                      <w:rFonts w:hint="eastAsia" w:ascii="Times New Roman"/>
                      <w:color w:val="000000" w:themeColor="text1"/>
                      <w:szCs w:val="21"/>
                      <w14:textFill>
                        <w14:solidFill>
                          <w14:schemeClr w14:val="tx1"/>
                        </w14:solidFill>
                      </w14:textFill>
                    </w:rPr>
                  </w:pPr>
                </w:p>
              </w:tc>
              <w:tc>
                <w:tcPr>
                  <w:tcW w:w="2840"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沉淀池，容积60m</w:t>
                  </w:r>
                  <w:r>
                    <w:rPr>
                      <w:rFonts w:hint="eastAsia" w:ascii="Times New Roman"/>
                      <w:color w:val="000000" w:themeColor="text1"/>
                      <w:szCs w:val="21"/>
                      <w:vertAlign w:val="superscript"/>
                      <w:lang w:val="en-US" w:eastAsia="zh-CN"/>
                      <w14:textFill>
                        <w14:solidFill>
                          <w14:schemeClr w14:val="tx1"/>
                        </w14:solidFill>
                      </w14:textFill>
                    </w:rPr>
                    <w:t>3</w:t>
                  </w:r>
                </w:p>
              </w:tc>
              <w:tc>
                <w:tcPr>
                  <w:tcW w:w="1575"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10</w:t>
                  </w:r>
                </w:p>
              </w:tc>
              <w:tc>
                <w:tcPr>
                  <w:tcW w:w="2020"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jc w:val="center"/>
              </w:trPr>
              <w:tc>
                <w:tcPr>
                  <w:tcW w:w="694" w:type="dxa"/>
                  <w:vMerge w:val="continue"/>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p>
              </w:tc>
              <w:tc>
                <w:tcPr>
                  <w:tcW w:w="708" w:type="dxa"/>
                  <w:vMerge w:val="continue"/>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p>
              </w:tc>
              <w:tc>
                <w:tcPr>
                  <w:tcW w:w="284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化粪池及盖板，容积</w:t>
                  </w:r>
                  <w:r>
                    <w:rPr>
                      <w:rFonts w:hint="eastAsia" w:ascii="Times New Roman"/>
                      <w:color w:val="000000" w:themeColor="text1"/>
                      <w:szCs w:val="21"/>
                      <w:lang w:val="en-US" w:eastAsia="zh-CN"/>
                      <w14:textFill>
                        <w14:solidFill>
                          <w14:schemeClr w14:val="tx1"/>
                        </w14:solidFill>
                      </w14:textFill>
                    </w:rPr>
                    <w:t>30</w:t>
                  </w:r>
                  <w:r>
                    <w:rPr>
                      <w:rFonts w:hint="eastAsia"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p>
              </w:tc>
              <w:tc>
                <w:tcPr>
                  <w:tcW w:w="1575"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5</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4" w:type="dxa"/>
                  <w:tcBorders>
                    <w:tl2br w:val="nil"/>
                    <w:tr2bl w:val="nil"/>
                  </w:tcBorders>
                  <w:vAlign w:val="center"/>
                </w:tcPr>
                <w:p>
                  <w:pPr>
                    <w:widowControl/>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708"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噪声</w:t>
                  </w:r>
                </w:p>
              </w:tc>
              <w:tc>
                <w:tcPr>
                  <w:tcW w:w="284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厂房隔声减震</w:t>
                  </w:r>
                </w:p>
              </w:tc>
              <w:tc>
                <w:tcPr>
                  <w:tcW w:w="1575"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w:t>
                  </w:r>
                  <w:r>
                    <w:rPr>
                      <w:rFonts w:hint="eastAsia" w:ascii="Times New Roman"/>
                      <w:color w:val="000000" w:themeColor="text1"/>
                      <w:szCs w:val="21"/>
                      <w14:textFill>
                        <w14:solidFill>
                          <w14:schemeClr w14:val="tx1"/>
                        </w14:solidFill>
                      </w14:textFill>
                    </w:rPr>
                    <w:t>0</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jc w:val="center"/>
              </w:trPr>
              <w:tc>
                <w:tcPr>
                  <w:tcW w:w="694" w:type="dxa"/>
                  <w:vMerge w:val="restart"/>
                  <w:tcBorders>
                    <w:tl2br w:val="nil"/>
                    <w:tr2bl w:val="nil"/>
                  </w:tcBorders>
                  <w:vAlign w:val="center"/>
                </w:tcPr>
                <w:p>
                  <w:pPr>
                    <w:widowControl/>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708" w:type="dxa"/>
                  <w:vMerge w:val="restart"/>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固体废物</w:t>
                  </w:r>
                </w:p>
              </w:tc>
              <w:tc>
                <w:tcPr>
                  <w:tcW w:w="284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w:t>
                  </w:r>
                  <w:r>
                    <w:rPr>
                      <w:rFonts w:hint="eastAsia" w:ascii="Times New Roman"/>
                      <w:color w:val="000000" w:themeColor="text1"/>
                      <w:szCs w:val="21"/>
                      <w14:textFill>
                        <w14:solidFill>
                          <w14:schemeClr w14:val="tx1"/>
                        </w14:solidFill>
                      </w14:textFill>
                    </w:rPr>
                    <w:t>间固废暂</w:t>
                  </w:r>
                  <w:r>
                    <w:rPr>
                      <w:rFonts w:ascii="Times New Roman"/>
                      <w:color w:val="000000" w:themeColor="text1"/>
                      <w:szCs w:val="21"/>
                      <w14:textFill>
                        <w14:solidFill>
                          <w14:schemeClr w14:val="tx1"/>
                        </w14:solidFill>
                      </w14:textFill>
                    </w:rPr>
                    <w:t>存间，</w:t>
                  </w:r>
                  <w:r>
                    <w:rPr>
                      <w:rFonts w:hint="eastAsia" w:ascii="Times New Roman"/>
                      <w:color w:val="000000" w:themeColor="text1"/>
                      <w:szCs w:val="21"/>
                      <w14:textFill>
                        <w14:solidFill>
                          <w14:schemeClr w14:val="tx1"/>
                        </w14:solidFill>
                      </w14:textFill>
                    </w:rPr>
                    <w:t>面积</w:t>
                  </w:r>
                  <w:r>
                    <w:rPr>
                      <w:rFonts w:ascii="Times New Roman"/>
                      <w:color w:val="000000" w:themeColor="text1"/>
                      <w:szCs w:val="21"/>
                      <w14:textFill>
                        <w14:solidFill>
                          <w14:schemeClr w14:val="tx1"/>
                        </w14:solidFill>
                      </w14:textFill>
                    </w:rPr>
                    <w:t>20</w:t>
                  </w:r>
                  <w:r>
                    <w:rPr>
                      <w:rFonts w:hint="eastAsia" w:ascii="Times New Roman"/>
                      <w:color w:val="000000" w:themeColor="text1"/>
                      <w:szCs w:val="21"/>
                      <w14:textFill>
                        <w14:solidFill>
                          <w14:schemeClr w14:val="tx1"/>
                        </w14:solidFill>
                      </w14:textFill>
                    </w:rPr>
                    <w:t>m</w:t>
                  </w:r>
                  <w:r>
                    <w:rPr>
                      <w:rFonts w:hint="eastAsia" w:ascii="Times New Roman"/>
                      <w:color w:val="000000" w:themeColor="text1"/>
                      <w:szCs w:val="21"/>
                      <w:vertAlign w:val="superscript"/>
                      <w14:textFill>
                        <w14:solidFill>
                          <w14:schemeClr w14:val="tx1"/>
                        </w14:solidFill>
                      </w14:textFill>
                    </w:rPr>
                    <w:t>2</w:t>
                  </w:r>
                </w:p>
              </w:tc>
              <w:tc>
                <w:tcPr>
                  <w:tcW w:w="1575"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jc w:val="center"/>
              </w:trPr>
              <w:tc>
                <w:tcPr>
                  <w:tcW w:w="694" w:type="dxa"/>
                  <w:vMerge w:val="continue"/>
                  <w:tcBorders>
                    <w:tl2br w:val="nil"/>
                    <w:tr2bl w:val="nil"/>
                  </w:tcBorders>
                  <w:vAlign w:val="center"/>
                </w:tcPr>
                <w:p>
                  <w:pPr>
                    <w:widowControl/>
                    <w:jc w:val="center"/>
                    <w:rPr>
                      <w:rFonts w:hint="eastAsia"/>
                      <w:color w:val="000000" w:themeColor="text1"/>
                      <w:lang w:val="en-US" w:eastAsia="zh-CN"/>
                      <w14:textFill>
                        <w14:solidFill>
                          <w14:schemeClr w14:val="tx1"/>
                        </w14:solidFill>
                      </w14:textFill>
                    </w:rPr>
                  </w:pPr>
                </w:p>
              </w:tc>
              <w:tc>
                <w:tcPr>
                  <w:tcW w:w="708" w:type="dxa"/>
                  <w:vMerge w:val="continue"/>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p>
              </w:tc>
              <w:tc>
                <w:tcPr>
                  <w:tcW w:w="2840"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1间危废暂存间，面积10m</w:t>
                  </w:r>
                  <w:r>
                    <w:rPr>
                      <w:rFonts w:hint="eastAsia" w:ascii="Times New Roman"/>
                      <w:color w:val="000000" w:themeColor="text1"/>
                      <w:szCs w:val="21"/>
                      <w:vertAlign w:val="superscript"/>
                      <w:lang w:val="en-US" w:eastAsia="zh-CN"/>
                      <w14:textFill>
                        <w14:solidFill>
                          <w14:schemeClr w14:val="tx1"/>
                        </w14:solidFill>
                      </w14:textFill>
                    </w:rPr>
                    <w:t>2</w:t>
                  </w:r>
                </w:p>
              </w:tc>
              <w:tc>
                <w:tcPr>
                  <w:tcW w:w="1575"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5</w:t>
                  </w:r>
                </w:p>
              </w:tc>
              <w:tc>
                <w:tcPr>
                  <w:tcW w:w="2020" w:type="dxa"/>
                  <w:tcBorders>
                    <w:tl2br w:val="nil"/>
                    <w:tr2bl w:val="nil"/>
                  </w:tcBorders>
                  <w:vAlign w:val="center"/>
                </w:tcPr>
                <w:p>
                  <w:pPr>
                    <w:pStyle w:val="80"/>
                    <w:spacing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4" w:type="dxa"/>
                  <w:vMerge w:val="continue"/>
                  <w:tcBorders>
                    <w:tl2br w:val="nil"/>
                    <w:tr2bl w:val="nil"/>
                  </w:tcBorders>
                  <w:vAlign w:val="center"/>
                </w:tcPr>
                <w:p>
                  <w:pPr>
                    <w:widowControl/>
                    <w:jc w:val="center"/>
                    <w:rPr>
                      <w:color w:val="000000" w:themeColor="text1"/>
                      <w14:textFill>
                        <w14:solidFill>
                          <w14:schemeClr w14:val="tx1"/>
                        </w14:solidFill>
                      </w14:textFill>
                    </w:rPr>
                  </w:pPr>
                </w:p>
              </w:tc>
              <w:tc>
                <w:tcPr>
                  <w:tcW w:w="708" w:type="dxa"/>
                  <w:vMerge w:val="continue"/>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p>
              </w:tc>
              <w:tc>
                <w:tcPr>
                  <w:tcW w:w="284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生活垃圾收集桶若干</w:t>
                  </w:r>
                </w:p>
              </w:tc>
              <w:tc>
                <w:tcPr>
                  <w:tcW w:w="1575"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4242" w:type="dxa"/>
                  <w:gridSpan w:val="3"/>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合计</w:t>
                  </w:r>
                </w:p>
              </w:tc>
              <w:tc>
                <w:tcPr>
                  <w:tcW w:w="1575" w:type="dxa"/>
                  <w:tcBorders>
                    <w:tl2br w:val="nil"/>
                    <w:tr2bl w:val="nil"/>
                  </w:tcBorders>
                  <w:vAlign w:val="center"/>
                </w:tcPr>
                <w:p>
                  <w:pPr>
                    <w:pStyle w:val="80"/>
                    <w:spacing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65</w:t>
                  </w:r>
                </w:p>
              </w:tc>
              <w:tc>
                <w:tcPr>
                  <w:tcW w:w="2020" w:type="dxa"/>
                  <w:tcBorders>
                    <w:tl2br w:val="nil"/>
                    <w:tr2bl w:val="nil"/>
                  </w:tcBorders>
                  <w:vAlign w:val="center"/>
                </w:tcPr>
                <w:p>
                  <w:pPr>
                    <w:pStyle w:val="80"/>
                    <w:spacing w:line="240" w:lineRule="auto"/>
                    <w:rPr>
                      <w:rFonts w:ascii="Times New Roman"/>
                      <w:color w:val="000000" w:themeColor="text1"/>
                      <w:szCs w:val="21"/>
                      <w14:textFill>
                        <w14:solidFill>
                          <w14:schemeClr w14:val="tx1"/>
                        </w14:solidFill>
                      </w14:textFill>
                    </w:rPr>
                  </w:pPr>
                  <w:r>
                    <w:rPr>
                      <w:rFonts w:hint="eastAsia" w:ascii="Times New Roman"/>
                      <w:bCs/>
                      <w:color w:val="000000" w:themeColor="text1"/>
                      <w:szCs w:val="21"/>
                      <w14:textFill>
                        <w14:solidFill>
                          <w14:schemeClr w14:val="tx1"/>
                        </w14:solidFill>
                      </w14:textFill>
                    </w:rPr>
                    <w:t>/</w:t>
                  </w:r>
                </w:p>
              </w:tc>
            </w:tr>
          </w:tbl>
          <w:p>
            <w:pPr>
              <w:spacing w:line="360" w:lineRule="auto"/>
              <w:ind w:firstLine="420" w:firstLineChars="200"/>
              <w:rPr>
                <w:rFonts w:ascii="宋体" w:hAnsi="宋体" w:cs="宋体"/>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19"/>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工艺流程和产排污环节</w:t>
            </w:r>
          </w:p>
        </w:tc>
        <w:tc>
          <w:tcPr>
            <w:tcW w:w="8161" w:type="dxa"/>
          </w:tcPr>
          <w:p>
            <w:pPr>
              <w:spacing w:line="360" w:lineRule="auto"/>
              <w:ind w:firstLine="422" w:firstLineChars="200"/>
              <w:rPr>
                <w:b/>
                <w:color w:val="000000" w:themeColor="text1"/>
                <w:szCs w:val="21"/>
                <w:lang w:val="zh-CN"/>
                <w14:textFill>
                  <w14:solidFill>
                    <w14:schemeClr w14:val="tx1"/>
                  </w14:solidFill>
                </w14:textFill>
              </w:rPr>
            </w:pPr>
            <w:r>
              <w:rPr>
                <w:rFonts w:hint="eastAsia"/>
                <w:b/>
                <w:color w:val="000000" w:themeColor="text1"/>
                <w:szCs w:val="21"/>
                <w14:textFill>
                  <w14:solidFill>
                    <w14:schemeClr w14:val="tx1"/>
                  </w14:solidFill>
                </w14:textFill>
              </w:rPr>
              <w:t>1.</w:t>
            </w:r>
            <w:r>
              <w:rPr>
                <w:rFonts w:hint="eastAsia"/>
                <w:b/>
                <w:color w:val="000000" w:themeColor="text1"/>
                <w:szCs w:val="21"/>
                <w:lang w:val="zh-CN"/>
                <w14:textFill>
                  <w14:solidFill>
                    <w14:schemeClr w14:val="tx1"/>
                  </w14:solidFill>
                </w14:textFill>
              </w:rPr>
              <w:t>施工期</w:t>
            </w:r>
            <w:r>
              <w:rPr>
                <w:rFonts w:hint="eastAsia"/>
                <w:b/>
                <w:color w:val="000000" w:themeColor="text1"/>
                <w:szCs w:val="21"/>
                <w14:textFill>
                  <w14:solidFill>
                    <w14:schemeClr w14:val="tx1"/>
                  </w14:solidFill>
                </w14:textFill>
              </w:rPr>
              <w:t>工艺流程</w:t>
            </w:r>
          </w:p>
          <w:p>
            <w:pPr>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本项目</w:t>
            </w:r>
            <w:r>
              <w:rPr>
                <w:rFonts w:hint="eastAsia"/>
                <w:bCs/>
                <w:color w:val="000000" w:themeColor="text1"/>
                <w:szCs w:val="21"/>
                <w14:textFill>
                  <w14:solidFill>
                    <w14:schemeClr w14:val="tx1"/>
                  </w14:solidFill>
                </w14:textFill>
              </w:rPr>
              <w:t>为新建项目，租赁</w:t>
            </w:r>
            <w:r>
              <w:rPr>
                <w:rFonts w:hint="eastAsia"/>
                <w:color w:val="000000" w:themeColor="text1"/>
                <w:szCs w:val="21"/>
                <w14:textFill>
                  <w14:solidFill>
                    <w14:schemeClr w14:val="tx1"/>
                  </w14:solidFill>
                </w14:textFill>
              </w:rPr>
              <w:t>昆明市东川工业投资开发有限公司位于昆明市东川区碧谷工业片区的新建标准化空置厂房进行生产</w:t>
            </w:r>
            <w:r>
              <w:rPr>
                <w:rFonts w:hint="eastAsia"/>
                <w:bCs/>
                <w:color w:val="000000" w:themeColor="text1"/>
                <w:szCs w:val="21"/>
                <w:lang w:val="zh-CN"/>
                <w14:textFill>
                  <w14:solidFill>
                    <w14:schemeClr w14:val="tx1"/>
                  </w14:solidFill>
                </w14:textFill>
              </w:rPr>
              <w:t>，</w:t>
            </w:r>
            <w:r>
              <w:rPr>
                <w:rFonts w:hint="eastAsia"/>
                <w:bCs/>
                <w:color w:val="000000" w:themeColor="text1"/>
                <w:szCs w:val="21"/>
                <w14:textFill>
                  <w14:solidFill>
                    <w14:schemeClr w14:val="tx1"/>
                  </w14:solidFill>
                </w14:textFill>
              </w:rPr>
              <w:t>不涉及构筑物改建和土建施工，</w:t>
            </w:r>
            <w:r>
              <w:rPr>
                <w:rFonts w:hint="eastAsia"/>
                <w:bCs/>
                <w:color w:val="000000" w:themeColor="text1"/>
                <w:szCs w:val="21"/>
                <w:lang w:val="zh-CN"/>
                <w14:textFill>
                  <w14:solidFill>
                    <w14:schemeClr w14:val="tx1"/>
                  </w14:solidFill>
                </w14:textFill>
              </w:rPr>
              <w:t>设备采购安装调试后</w:t>
            </w:r>
            <w:r>
              <w:rPr>
                <w:rFonts w:hint="eastAsia"/>
                <w:bCs/>
                <w:color w:val="000000" w:themeColor="text1"/>
                <w:szCs w:val="21"/>
                <w14:textFill>
                  <w14:solidFill>
                    <w14:schemeClr w14:val="tx1"/>
                  </w14:solidFill>
                </w14:textFill>
              </w:rPr>
              <w:t>即</w:t>
            </w:r>
            <w:r>
              <w:rPr>
                <w:rFonts w:hint="eastAsia"/>
                <w:bCs/>
                <w:color w:val="000000" w:themeColor="text1"/>
                <w:szCs w:val="21"/>
                <w:lang w:val="zh-CN"/>
                <w14:textFill>
                  <w14:solidFill>
                    <w14:schemeClr w14:val="tx1"/>
                  </w14:solidFill>
                </w14:textFill>
              </w:rPr>
              <w:t>可进行相关生产。</w:t>
            </w:r>
          </w:p>
          <w:p>
            <w:pPr>
              <w:spacing w:line="360" w:lineRule="auto"/>
              <w:ind w:firstLine="420" w:firstLineChars="20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 xml:space="preserve">项目建设施工过程大体包括以下几步进行： </w:t>
            </w:r>
          </w:p>
          <w:p>
            <w:pPr>
              <w:spacing w:line="360" w:lineRule="auto"/>
              <w:ind w:firstLine="420" w:firstLineChars="20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①砖石及砂石运输：运输车辆在运输砖石及砂石等进厂会产生一定量的尾气，主要成分为</w:t>
            </w:r>
            <w:r>
              <w:rPr>
                <w:color w:val="000000" w:themeColor="text1"/>
                <w:kern w:val="0"/>
                <w:szCs w:val="21"/>
                <w:lang w:bidi="ar"/>
                <w14:textFill>
                  <w14:solidFill>
                    <w14:schemeClr w14:val="tx1"/>
                  </w14:solidFill>
                </w14:textFill>
              </w:rPr>
              <w:t>CO</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NOx</w:t>
            </w:r>
            <w:r>
              <w:rPr>
                <w:rFonts w:hint="eastAsia" w:ascii="宋体" w:hAnsi="宋体" w:cs="宋体"/>
                <w:color w:val="000000" w:themeColor="text1"/>
                <w:kern w:val="0"/>
                <w:szCs w:val="21"/>
                <w:lang w:bidi="ar"/>
                <w14:textFill>
                  <w14:solidFill>
                    <w14:schemeClr w14:val="tx1"/>
                  </w14:solidFill>
                </w14:textFill>
              </w:rPr>
              <w:t>和碳氢化合物（</w:t>
            </w:r>
            <w:r>
              <w:rPr>
                <w:color w:val="000000" w:themeColor="text1"/>
                <w:kern w:val="0"/>
                <w:szCs w:val="21"/>
                <w:lang w:bidi="ar"/>
                <w14:textFill>
                  <w14:solidFill>
                    <w14:schemeClr w14:val="tx1"/>
                  </w14:solidFill>
                </w14:textFill>
              </w:rPr>
              <w:t>THC</w:t>
            </w:r>
            <w:r>
              <w:rPr>
                <w:rFonts w:hint="eastAsia" w:ascii="宋体" w:hAnsi="宋体" w:cs="宋体"/>
                <w:color w:val="000000" w:themeColor="text1"/>
                <w:kern w:val="0"/>
                <w:szCs w:val="21"/>
                <w:lang w:bidi="ar"/>
                <w14:textFill>
                  <w14:solidFill>
                    <w14:schemeClr w14:val="tx1"/>
                  </w14:solidFill>
                </w14:textFill>
              </w:rPr>
              <w:t>）等。汽车尾气经扩散后，对周边环境影响较小。</w:t>
            </w:r>
          </w:p>
          <w:p>
            <w:pPr>
              <w:spacing w:line="360" w:lineRule="auto"/>
              <w:ind w:firstLine="420" w:firstLineChars="200"/>
              <w:rPr>
                <w:b/>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②环保设施的建设：本环保设施主要包括危废暂存间的建设和冷却循环水池的建设，目前厂区已硬化，无需对地面进行开挖，混凝土为商混，不产生生产废水。建设过程中会产生少量的废砖块。此阶段会产生少量的粉尘、噪声、固废。施工</w:t>
            </w:r>
            <w:r>
              <w:rPr>
                <w:rFonts w:hint="eastAsia" w:ascii="宋体" w:hAnsi="宋体" w:cs="宋体"/>
                <w:color w:val="000000" w:themeColor="text1"/>
                <w:kern w:val="0"/>
                <w:szCs w:val="21"/>
                <w:lang w:val="en-US" w:eastAsia="zh-CN" w:bidi="ar"/>
                <w14:textFill>
                  <w14:solidFill>
                    <w14:schemeClr w14:val="tx1"/>
                  </w14:solidFill>
                </w14:textFill>
              </w:rPr>
              <w:t>使用商混</w:t>
            </w:r>
            <w:r>
              <w:rPr>
                <w:rFonts w:hint="eastAsia" w:ascii="宋体" w:hAnsi="宋体" w:cs="宋体"/>
                <w:color w:val="000000" w:themeColor="text1"/>
                <w:kern w:val="0"/>
                <w:szCs w:val="21"/>
                <w:lang w:bidi="ar"/>
                <w14:textFill>
                  <w14:solidFill>
                    <w14:schemeClr w14:val="tx1"/>
                  </w14:solidFill>
                </w14:textFill>
              </w:rPr>
              <w:t>，少量的</w:t>
            </w:r>
            <w:r>
              <w:rPr>
                <w:rFonts w:hint="eastAsia" w:ascii="宋体" w:hAnsi="宋体" w:cs="宋体"/>
                <w:color w:val="000000" w:themeColor="text1"/>
                <w:kern w:val="0"/>
                <w:szCs w:val="21"/>
                <w:lang w:val="en-US" w:eastAsia="zh-CN" w:bidi="ar"/>
                <w14:textFill>
                  <w14:solidFill>
                    <w14:schemeClr w14:val="tx1"/>
                  </w14:solidFill>
                </w14:textFill>
              </w:rPr>
              <w:t>运输</w:t>
            </w:r>
            <w:r>
              <w:rPr>
                <w:rFonts w:hint="eastAsia" w:ascii="宋体" w:hAnsi="宋体" w:cs="宋体"/>
                <w:color w:val="000000" w:themeColor="text1"/>
                <w:kern w:val="0"/>
                <w:szCs w:val="21"/>
                <w:lang w:bidi="ar"/>
                <w14:textFill>
                  <w14:solidFill>
                    <w14:schemeClr w14:val="tx1"/>
                  </w14:solidFill>
                </w14:textFill>
              </w:rPr>
              <w:t>粉尘被标准化厂房</w:t>
            </w:r>
            <w:r>
              <w:rPr>
                <w:rFonts w:hint="eastAsia" w:ascii="宋体" w:hAnsi="宋体" w:cs="宋体"/>
                <w:color w:val="000000" w:themeColor="text1"/>
                <w:kern w:val="0"/>
                <w:szCs w:val="21"/>
                <w:lang w:val="en-US" w:eastAsia="zh-CN" w:bidi="ar"/>
                <w14:textFill>
                  <w14:solidFill>
                    <w14:schemeClr w14:val="tx1"/>
                  </w14:solidFill>
                </w14:textFill>
              </w:rPr>
              <w:t>和绿化带</w:t>
            </w:r>
            <w:r>
              <w:rPr>
                <w:rFonts w:hint="eastAsia" w:ascii="宋体" w:hAnsi="宋体" w:cs="宋体"/>
                <w:color w:val="000000" w:themeColor="text1"/>
                <w:kern w:val="0"/>
                <w:szCs w:val="21"/>
                <w:lang w:bidi="ar"/>
                <w14:textFill>
                  <w14:solidFill>
                    <w14:schemeClr w14:val="tx1"/>
                  </w14:solidFill>
                </w14:textFill>
              </w:rPr>
              <w:t xml:space="preserve">阻拦；施工为人工操作，噪声经标准化生产厂房阻隔；施工人员生活垃圾依托项目区的生活垃圾收集桶，由环卫部门定期清运；施工过程中产生的少量废砖块合理处置。综上，施工期间产生的粉尘、噪声、固废对周围环境影响较小。 </w:t>
            </w:r>
          </w:p>
          <w:p>
            <w:pPr>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2.营运期工艺流程</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项目多晶硅铸锭工艺流程及产污情况如图2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所示（其中G-废气、</w:t>
            </w:r>
            <w:r>
              <w:rPr>
                <w:rFonts w:hint="eastAsia"/>
                <w:color w:val="000000" w:themeColor="text1"/>
                <w:szCs w:val="21"/>
                <w:lang w:val="en-US" w:eastAsia="zh-CN"/>
                <w14:textFill>
                  <w14:solidFill>
                    <w14:schemeClr w14:val="tx1"/>
                  </w14:solidFill>
                </w14:textFill>
              </w:rPr>
              <w:t>W-废水、</w:t>
            </w:r>
            <w:r>
              <w:rPr>
                <w:rFonts w:hint="eastAsia"/>
                <w:color w:val="000000" w:themeColor="text1"/>
                <w:szCs w:val="21"/>
                <w14:textFill>
                  <w14:solidFill>
                    <w14:schemeClr w14:val="tx1"/>
                  </w14:solidFill>
                </w14:textFill>
              </w:rPr>
              <w:t>N-噪声</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S-固废</w:t>
            </w:r>
            <w:r>
              <w:rPr>
                <w:rFonts w:hint="eastAsia"/>
                <w:color w:val="000000" w:themeColor="text1"/>
                <w:szCs w:val="21"/>
                <w14:textFill>
                  <w14:solidFill>
                    <w14:schemeClr w14:val="tx1"/>
                  </w14:solidFill>
                </w14:textFill>
              </w:rPr>
              <w:t>）。</w:t>
            </w: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ind w:firstLine="420" w:firstLineChars="200"/>
              <w:rPr>
                <w:rFonts w:hint="eastAsia"/>
                <w:color w:val="000000" w:themeColor="text1"/>
                <w:szCs w:val="21"/>
                <w14:textFill>
                  <w14:solidFill>
                    <w14:schemeClr w14:val="tx1"/>
                  </w14:solidFill>
                </w14:textFill>
              </w:rPr>
            </w:pPr>
          </w:p>
          <w:p>
            <w:pPr>
              <w:spacing w:line="360" w:lineRule="auto"/>
              <w:rPr>
                <w:rFonts w:hint="eastAsia" w:eastAsia="宋体"/>
                <w:color w:val="000000" w:themeColor="text1"/>
                <w:szCs w:val="21"/>
                <w:lang w:val="en-US" w:eastAsia="zh-CN"/>
                <w14:textFill>
                  <w14:solidFill>
                    <w14:schemeClr w14:val="tx1"/>
                  </w14:solidFill>
                </w14:textFill>
              </w:rPr>
            </w:pPr>
          </w:p>
          <w:p>
            <w:pPr>
              <w:spacing w:line="360" w:lineRule="auto"/>
              <w:rPr>
                <w:b/>
                <w:color w:val="000000" w:themeColor="text1"/>
                <w:szCs w:val="21"/>
                <w14:textFill>
                  <w14:solidFill>
                    <w14:schemeClr w14:val="tx1"/>
                  </w14:solidFill>
                </w14:textFill>
              </w:rPr>
            </w:pPr>
            <w:r>
              <w:rPr>
                <w:color w:val="000000" w:themeColor="text1"/>
                <w14:textFill>
                  <w14:solidFill>
                    <w14:schemeClr w14:val="tx1"/>
                  </w14:solidFill>
                </w14:textFill>
              </w:rPr>
              <w:object>
                <v:shape id="_x0000_i1026" o:spt="75" type="#_x0000_t75" style="height:447.75pt;width:387.75pt;" o:ole="t" filled="f" o:preferrelative="t" stroked="f" coordsize="21600,21600">
                  <v:path/>
                  <v:fill on="f" focussize="0,0"/>
                  <v:stroke on="f"/>
                  <v:imagedata r:id="rId22" o:title=""/>
                  <o:lock v:ext="edit" aspectratio="f"/>
                  <w10:wrap type="none"/>
                  <w10:anchorlock/>
                </v:shape>
                <o:OLEObject Type="Embed" ProgID="Visio.Drawing.15" ShapeID="_x0000_i1026" DrawAspect="Content" ObjectID="_1468075726" r:id="rId21">
                  <o:LockedField>false</o:LockedField>
                </o:OLEObject>
              </w:object>
            </w:r>
          </w:p>
          <w:p>
            <w:pPr>
              <w:spacing w:line="360" w:lineRule="auto"/>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图2-3 多晶硅铸锭工艺流程及产污环节图</w:t>
            </w:r>
          </w:p>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工艺</w:t>
            </w:r>
            <w:r>
              <w:rPr>
                <w:rFonts w:hint="eastAsia"/>
                <w:b/>
                <w:bCs/>
                <w:color w:val="000000" w:themeColor="text1"/>
                <w:szCs w:val="21"/>
                <w14:textFill>
                  <w14:solidFill>
                    <w14:schemeClr w14:val="tx1"/>
                  </w14:solidFill>
                </w14:textFill>
              </w:rPr>
              <w:t>流程</w:t>
            </w:r>
            <w:r>
              <w:rPr>
                <w:b/>
                <w:bCs/>
                <w:color w:val="000000" w:themeColor="text1"/>
                <w:szCs w:val="21"/>
                <w14:textFill>
                  <w14:solidFill>
                    <w14:schemeClr w14:val="tx1"/>
                  </w14:solidFill>
                </w14:textFill>
              </w:rPr>
              <w:t>简述：</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外购多晶硅碎料经汽车运输到厂区原料库内，通过叉车运至生产车间，依次经投料、熔融、铸锭、冷却</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开方和截断</w:t>
            </w:r>
            <w:r>
              <w:rPr>
                <w:rFonts w:hint="eastAsia"/>
                <w:color w:val="000000" w:themeColor="text1"/>
                <w:szCs w:val="21"/>
                <w14:textFill>
                  <w14:solidFill>
                    <w14:schemeClr w14:val="tx1"/>
                  </w14:solidFill>
                </w14:textFill>
              </w:rPr>
              <w:t>等生产工序后制成成品存放在成品区。</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具体的生产工艺流程如下：</w:t>
            </w:r>
          </w:p>
          <w:p>
            <w:pPr>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1）原料进厂接收、储存：将外购的多晶硅碎料经入场检测，符合硅含量指标后，暂存与原料区。</w:t>
            </w:r>
          </w:p>
          <w:p>
            <w:pPr>
              <w:spacing w:line="360" w:lineRule="auto"/>
              <w:ind w:firstLine="422" w:firstLineChars="200"/>
              <w:rPr>
                <w:rFonts w:hAnsi="宋体"/>
                <w:b/>
                <w:bCs/>
                <w:color w:val="000000" w:themeColor="text1"/>
                <w:szCs w:val="21"/>
                <w14:textFill>
                  <w14:solidFill>
                    <w14:schemeClr w14:val="tx1"/>
                  </w14:solidFill>
                </w14:textFill>
              </w:rPr>
            </w:pPr>
            <w:r>
              <w:rPr>
                <w:rFonts w:hint="eastAsia" w:hAnsi="宋体"/>
                <w:b/>
                <w:bCs/>
                <w:color w:val="000000" w:themeColor="text1"/>
                <w:szCs w:val="21"/>
                <w:lang w:val="en-US" w:eastAsia="zh-CN"/>
                <w14:textFill>
                  <w14:solidFill>
                    <w14:schemeClr w14:val="tx1"/>
                  </w14:solidFill>
                </w14:textFill>
              </w:rPr>
              <w:t>①</w:t>
            </w:r>
            <w:r>
              <w:rPr>
                <w:rFonts w:hint="eastAsia" w:hAnsi="宋体"/>
                <w:b/>
                <w:bCs/>
                <w:color w:val="000000" w:themeColor="text1"/>
                <w:szCs w:val="21"/>
                <w14:textFill>
                  <w14:solidFill>
                    <w14:schemeClr w14:val="tx1"/>
                  </w14:solidFill>
                </w14:textFill>
              </w:rPr>
              <w:t>原料来源、</w:t>
            </w:r>
            <w:r>
              <w:rPr>
                <w:rFonts w:hint="eastAsia"/>
                <w:b/>
                <w:bCs/>
                <w:color w:val="000000" w:themeColor="text1"/>
                <w:szCs w:val="21"/>
                <w14:textFill>
                  <w14:solidFill>
                    <w14:schemeClr w14:val="tx1"/>
                  </w14:solidFill>
                </w14:textFill>
              </w:rPr>
              <w:t>收集运输</w:t>
            </w:r>
            <w:r>
              <w:rPr>
                <w:rFonts w:hint="eastAsia" w:hAnsi="宋体"/>
                <w:b/>
                <w:bCs/>
                <w:color w:val="000000" w:themeColor="text1"/>
                <w:szCs w:val="21"/>
                <w14:textFill>
                  <w14:solidFill>
                    <w14:schemeClr w14:val="tx1"/>
                  </w14:solidFill>
                </w14:textFill>
              </w:rPr>
              <w:t>及进场要求</w:t>
            </w:r>
          </w:p>
          <w:p>
            <w:pPr>
              <w:widowControl/>
              <w:spacing w:line="360" w:lineRule="auto"/>
              <w:ind w:firstLine="420" w:firstLineChars="200"/>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本项目处理原料主要为光伏企业边角料。</w:t>
            </w:r>
            <w:r>
              <w:rPr>
                <w:rFonts w:hint="eastAsia"/>
                <w:color w:val="000000" w:themeColor="text1"/>
                <w:szCs w:val="21"/>
                <w14:textFill>
                  <w14:solidFill>
                    <w14:schemeClr w14:val="tx1"/>
                  </w14:solidFill>
                </w14:textFill>
              </w:rPr>
              <w:t>由光伏企业自行进行收集，收集的过程中光伏边角料均采用完好无损的吨包装袋进行包装，包装后暂存在企业固废堆场内，待光伏边角料量满足货车装载量后，由企业租用运输车辆将光伏边角料运输至生产厂区原料堆场内堆放。汽车运输的方式，尽可能不上高速公路，避开人口密集、交通拥挤路段，车速适中，兼顾安全可靠性和经济合理性，确保收集运输正常化。</w:t>
            </w:r>
          </w:p>
          <w:p>
            <w:pPr>
              <w:widowControl/>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②</w:t>
            </w:r>
            <w:r>
              <w:rPr>
                <w:rFonts w:hint="eastAsia"/>
                <w:b/>
                <w:bCs/>
                <w:color w:val="000000" w:themeColor="text1"/>
                <w:szCs w:val="21"/>
                <w14:textFill>
                  <w14:solidFill>
                    <w14:schemeClr w14:val="tx1"/>
                  </w14:solidFill>
                </w14:textFill>
              </w:rPr>
              <w:t>接收、储存</w:t>
            </w:r>
          </w:p>
          <w:p>
            <w:pPr>
              <w:widowControl/>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来料接收</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对进场光伏边角料，进行硅含量检验，定期对来料进行抽样送检，原料硅含量要＞99％，一旦发现不合格则退回企业。合格边角料则做好来料台账后入库。</w:t>
            </w:r>
          </w:p>
          <w:p>
            <w:pPr>
              <w:widowControl/>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原料储存</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本项目配备光伏边角料接收人员，从各收集点收运来的光伏边角料进入原料区后，接收人员根据制度进行接收登记，经过简单检验后的进入原料区暂存。本项目处理的光伏边角料呈固态，采用吨袋包装运至公司原料区堆放。吨袋为防水塑料吨袋，在车间内设置原料区，用于储存收购的光伏边角料，最大储存量约500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投料：将外购的多晶硅碎料投入铸锭炉中。</w:t>
            </w:r>
            <w:r>
              <w:rPr>
                <w:rFonts w:hint="eastAsia"/>
                <w:color w:val="000000" w:themeColor="text1"/>
                <w:szCs w:val="21"/>
                <w:lang w:val="en-US" w:eastAsia="zh-CN"/>
                <w14:textFill>
                  <w14:solidFill>
                    <w14:schemeClr w14:val="tx1"/>
                  </w14:solidFill>
                </w14:textFill>
              </w:rPr>
              <w:t>铸锭炉中放入外购的免喷涂坩埚，可有效避免硅熔体和石英坩埚直接接触，解决粘滞问题和降低氧碳杂质浓度。</w:t>
            </w:r>
            <w:r>
              <w:rPr>
                <w:rFonts w:hint="eastAsia"/>
                <w:color w:val="000000" w:themeColor="text1"/>
                <w:szCs w:val="21"/>
                <w14:textFill>
                  <w14:solidFill>
                    <w14:schemeClr w14:val="tx1"/>
                  </w14:solidFill>
                </w14:textFill>
              </w:rPr>
              <w:t>本项目多晶硅碎料多为块状边角料，</w:t>
            </w:r>
            <w:r>
              <w:rPr>
                <w:rFonts w:hint="eastAsia"/>
                <w:color w:val="000000" w:themeColor="text1"/>
                <w:szCs w:val="21"/>
                <w:lang w:val="en-US" w:eastAsia="zh-CN"/>
                <w14:textFill>
                  <w14:solidFill>
                    <w14:schemeClr w14:val="tx1"/>
                  </w14:solidFill>
                </w14:textFill>
              </w:rPr>
              <w:t>投料会产生投料粉尘G1</w:t>
            </w:r>
            <w:r>
              <w:rPr>
                <w:rFonts w:hint="eastAsia"/>
                <w:color w:val="000000" w:themeColor="text1"/>
                <w:szCs w:val="21"/>
                <w14:textFill>
                  <w14:solidFill>
                    <w14:schemeClr w14:val="tx1"/>
                  </w14:solidFill>
                </w14:textFill>
              </w:rPr>
              <w:t>。</w:t>
            </w:r>
          </w:p>
          <w:p>
            <w:pPr>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熔铸：打开水冷却循环系统，电炉送电，</w:t>
            </w:r>
            <w:r>
              <w:rPr>
                <w:rFonts w:hint="eastAsia"/>
                <w:color w:val="000000" w:themeColor="text1"/>
                <w:szCs w:val="21"/>
                <w:lang w:val="en-US" w:eastAsia="zh-CN"/>
                <w14:textFill>
                  <w14:solidFill>
                    <w14:schemeClr w14:val="tx1"/>
                  </w14:solidFill>
                </w14:textFill>
              </w:rPr>
              <w:t>工作温度为</w:t>
            </w:r>
            <w:r>
              <w:rPr>
                <w:rFonts w:hint="eastAsia"/>
                <w:color w:val="000000" w:themeColor="text1"/>
                <w:szCs w:val="21"/>
                <w:lang w:eastAsia="zh-CN"/>
                <w14:textFill>
                  <w14:solidFill>
                    <w14:schemeClr w14:val="tx1"/>
                  </w14:solidFill>
                </w14:textFill>
              </w:rPr>
              <w:t>15</w:t>
            </w:r>
            <w:r>
              <w:rPr>
                <w:rFonts w:hint="eastAsia"/>
                <w:color w:val="000000" w:themeColor="text1"/>
                <w:szCs w:val="21"/>
                <w:lang w:val="en-US" w:eastAsia="zh-CN"/>
                <w14:textFill>
                  <w14:solidFill>
                    <w14:schemeClr w14:val="tx1"/>
                  </w14:solidFill>
                </w14:textFill>
              </w:rPr>
              <w:t>00</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铸锭炉持续加热十个小时后关闭电源。本项目厂区绿化带设置1个200m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的冷却循环水池，冷却效果较好。</w:t>
            </w:r>
            <w:r>
              <w:rPr>
                <w:rFonts w:hint="eastAsia"/>
                <w:color w:val="000000" w:themeColor="text1"/>
                <w:szCs w:val="21"/>
                <w:lang w:val="en-US" w:eastAsia="zh-CN"/>
                <w14:textFill>
                  <w14:solidFill>
                    <w14:schemeClr w14:val="tx1"/>
                  </w14:solidFill>
                </w14:textFill>
              </w:rPr>
              <w:t>熔融过程中会产生熔融烟尘G2。</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冷却：铸锭炉断电状态下冷却6小时，开启炉盖，继续冷却10小时，产品出炉。</w:t>
            </w:r>
          </w:p>
          <w:p>
            <w:pPr>
              <w:widowControl/>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5）脱模：将冷却好的产品进行脱模，敲碎免喷涂坩埚，得到铸锭。会产生废坩埚S1。</w:t>
            </w:r>
          </w:p>
          <w:p>
            <w:pPr>
              <w:widowControl/>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（6）开方：将脱模后的硅锭通过开方机切割成157.2mmx157.2mm的长方体。切方过程中需用水冲洗刀口，起除尘和冷却作用。开方工序会产生废皮料S2、开方废水W1。</w:t>
            </w:r>
          </w:p>
          <w:p>
            <w:pPr>
              <w:widowControl/>
              <w:spacing w:line="360" w:lineRule="auto"/>
              <w:ind w:firstLine="420" w:firstLineChars="20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（7）截断：将开方后的工件，按照客户需求的长度进行截断，截断工序采用湿式作业，无粉尘产生。截断工序会产生废边角料S3、截断废水W2。</w:t>
            </w:r>
          </w:p>
          <w:p>
            <w:pPr>
              <w:widowControl/>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（8）检验：采用寿命仪、红外探伤仪等测试设备测长方体规定是否合格，其中寿命仪分别检测电频率、探伤仪检测是否损伤。检测工序主要产生不合格品 S4。</w:t>
            </w:r>
          </w:p>
          <w:p>
            <w:pPr>
              <w:widowControl/>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磨平、倒角：通过磨面机、倒角机对切方硅棒/硅锭进行表面平磨和倒角，其中精磨作用增加柱面磊晶层和光阻度，达到光滑、平整目的；倒角使锐利直角磨成圆弧形，防止晶片边缘破裂及晶格缺陷产生。同时将硅块头尾去除。平磨和倒角同时进行，在作用过程中需用水打磨，达到清洗和冷却效果，采用自来水进行冲洗。会产生打磨废水W3。</w:t>
            </w:r>
          </w:p>
          <w:p>
            <w:pPr>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营运期产污环节：</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r>
              <w:rPr>
                <w:rFonts w:hint="eastAsia"/>
                <w:bCs/>
                <w:color w:val="000000" w:themeColor="text1"/>
                <w:szCs w:val="21"/>
                <w:lang w:val="en-US" w:eastAsia="zh-CN"/>
                <w14:textFill>
                  <w14:solidFill>
                    <w14:schemeClr w14:val="tx1"/>
                  </w14:solidFill>
                </w14:textFill>
              </w:rPr>
              <w:t>本项目铸锭炉为真空状态，加氩气仅维持真空状态而已。通过高温融化多晶硅边角料，然后冷却使其凝固成硅碇，为全过程物理变化。</w:t>
            </w:r>
            <w:r>
              <w:rPr>
                <w:rFonts w:hint="eastAsia"/>
                <w:bCs/>
                <w:color w:val="000000" w:themeColor="text1"/>
                <w:szCs w:val="21"/>
                <w14:textFill>
                  <w14:solidFill>
                    <w14:schemeClr w14:val="tx1"/>
                  </w14:solidFill>
                </w14:textFill>
              </w:rPr>
              <w:t>运营期产生废气</w:t>
            </w:r>
            <w:r>
              <w:rPr>
                <w:rFonts w:hint="eastAsia"/>
                <w:bCs/>
                <w:color w:val="000000" w:themeColor="text1"/>
                <w:szCs w:val="21"/>
                <w:lang w:val="en-US" w:eastAsia="zh-CN"/>
                <w14:textFill>
                  <w14:solidFill>
                    <w14:schemeClr w14:val="tx1"/>
                  </w14:solidFill>
                </w14:textFill>
              </w:rPr>
              <w:t>为投料粉尘G1、熔融烟尘G2</w:t>
            </w:r>
            <w:r>
              <w:rPr>
                <w:rFonts w:hint="eastAsia"/>
                <w:bCs/>
                <w:color w:val="000000" w:themeColor="text1"/>
                <w:szCs w:val="21"/>
                <w14:textFill>
                  <w14:solidFill>
                    <w14:schemeClr w14:val="tx1"/>
                  </w14:solidFill>
                </w14:textFill>
              </w:rPr>
              <w:t>。</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噪声：项目生产线运行过程中产生的噪声；</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固废：生活垃圾、废包装袋、废坩埚、废边角料、不合格品、沉淀池沉渣、</w:t>
            </w:r>
            <w:r>
              <w:rPr>
                <w:rFonts w:hint="eastAsia"/>
                <w:color w:val="000000" w:themeColor="text1"/>
                <w:szCs w:val="21"/>
                <w:lang w:val="en-US" w:eastAsia="zh-CN"/>
                <w14:textFill>
                  <w14:solidFill>
                    <w14:schemeClr w14:val="tx1"/>
                  </w14:solidFill>
                </w14:textFill>
              </w:rPr>
              <w:t>除尘器回收粉尘、废机油、废机油桶、</w:t>
            </w:r>
            <w:r>
              <w:rPr>
                <w:rFonts w:hint="eastAsia"/>
                <w:color w:val="000000" w:themeColor="text1"/>
                <w:szCs w:val="21"/>
                <w14:textFill>
                  <w14:solidFill>
                    <w14:schemeClr w14:val="tx1"/>
                  </w14:solidFill>
                </w14:textFill>
              </w:rPr>
              <w:t>废含油手套、抹布</w:t>
            </w:r>
            <w:r>
              <w:rPr>
                <w:rFonts w:hint="eastAsia"/>
                <w:bCs/>
                <w:color w:val="000000" w:themeColor="text1"/>
                <w:szCs w:val="21"/>
                <w14:textFill>
                  <w14:solidFill>
                    <w14:schemeClr w14:val="tx1"/>
                  </w14:solidFill>
                </w14:textFill>
              </w:rPr>
              <w:t>；</w:t>
            </w:r>
          </w:p>
          <w:p>
            <w:pPr>
              <w:adjustRightInd/>
              <w:snapToGrid/>
              <w:spacing w:line="360" w:lineRule="auto"/>
              <w:ind w:firstLine="420" w:firstLineChars="200"/>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废水：生活污水。</w:t>
            </w:r>
          </w:p>
          <w:p>
            <w:pPr>
              <w:adjustRightInd/>
              <w:snapToGrid/>
              <w:spacing w:line="360" w:lineRule="auto"/>
              <w:rPr>
                <w:rFonts w:hint="eastAsia"/>
                <w:b/>
                <w:bCs w:val="0"/>
                <w:color w:val="000000" w:themeColor="text1"/>
                <w:szCs w:val="21"/>
                <w:lang w:val="en-US" w:eastAsia="zh-CN"/>
                <w14:textFill>
                  <w14:solidFill>
                    <w14:schemeClr w14:val="tx1"/>
                  </w14:solidFill>
                </w14:textFill>
              </w:rPr>
            </w:pPr>
            <w:r>
              <w:rPr>
                <w:rFonts w:hint="eastAsia"/>
                <w:b/>
                <w:bCs w:val="0"/>
                <w:color w:val="000000" w:themeColor="text1"/>
                <w:szCs w:val="21"/>
                <w:lang w:val="en-US" w:eastAsia="zh-CN"/>
                <w14:textFill>
                  <w14:solidFill>
                    <w14:schemeClr w14:val="tx1"/>
                  </w14:solidFill>
                </w14:textFill>
              </w:rPr>
              <w:t>物料平衡图：</w:t>
            </w:r>
          </w:p>
          <w:p>
            <w:pPr>
              <w:adjustRightInd/>
              <w:snapToGrid/>
              <w:spacing w:line="360" w:lineRule="auto"/>
              <w:rPr>
                <w:rFonts w:hint="eastAsia"/>
                <w:bCs/>
                <w:color w:val="000000" w:themeColor="text1"/>
                <w:szCs w:val="21"/>
                <w:lang w:val="en-US" w:eastAsia="zh-CN"/>
                <w14:textFill>
                  <w14:solidFill>
                    <w14:schemeClr w14:val="tx1"/>
                  </w14:solidFill>
                </w14:textFill>
              </w:rPr>
            </w:pPr>
            <w:r>
              <w:rPr>
                <w:color w:val="000000" w:themeColor="text1"/>
                <w14:textFill>
                  <w14:solidFill>
                    <w14:schemeClr w14:val="tx1"/>
                  </w14:solidFill>
                </w14:textFill>
              </w:rPr>
              <w:object>
                <v:shape id="_x0000_i1027" o:spt="75" type="#_x0000_t75" style="height:447.75pt;width:387.75pt;" o:ole="t" filled="f" o:preferrelative="t" stroked="f" coordsize="21600,21600">
                  <v:path/>
                  <v:fill on="f" focussize="0,0"/>
                  <v:stroke on="f"/>
                  <v:imagedata r:id="rId24" o:title=""/>
                  <o:lock v:ext="edit" aspectratio="f"/>
                  <w10:wrap type="none"/>
                  <w10:anchorlock/>
                </v:shape>
                <o:OLEObject Type="Embed" ProgID="Visio.Drawing.15" ShapeID="_x0000_i1027" DrawAspect="Content" ObjectID="_1468075727" r:id="rId23">
                  <o:LockedField>false</o:LockedField>
                </o:OLEObject>
              </w:object>
            </w:r>
          </w:p>
          <w:p>
            <w:pPr>
              <w:adjustRightInd/>
              <w:snapToGrid/>
              <w:spacing w:line="360" w:lineRule="auto"/>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4</w:t>
            </w:r>
            <w:r>
              <w:rPr>
                <w:rFonts w:hint="eastAsia"/>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项目物料平衡</w:t>
            </w:r>
            <w:r>
              <w:rPr>
                <w:rFonts w:hint="eastAsia"/>
                <w:b/>
                <w:color w:val="000000" w:themeColor="text1"/>
                <w:szCs w:val="21"/>
                <w14:textFill>
                  <w14:solidFill>
                    <w14:schemeClr w14:val="tx1"/>
                  </w14:solidFill>
                </w14:textFill>
              </w:rPr>
              <w:t>图</w:t>
            </w:r>
          </w:p>
          <w:p>
            <w:pPr>
              <w:adjustRightInd/>
              <w:snapToGrid/>
              <w:spacing w:line="360" w:lineRule="auto"/>
              <w:jc w:val="both"/>
              <w:rPr>
                <w:rFonts w:hint="eastAsia" w:ascii="宋体" w:hAnsi="宋体" w:eastAsia="宋体"/>
                <w:bCs/>
                <w:color w:val="000000" w:themeColor="text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823" w:type="dxa"/>
            <w:vAlign w:val="center"/>
          </w:tcPr>
          <w:p>
            <w:pPr>
              <w:pStyle w:val="19"/>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与项目有关的原有环境污染问题</w:t>
            </w:r>
          </w:p>
        </w:tc>
        <w:tc>
          <w:tcPr>
            <w:tcW w:w="8161" w:type="dxa"/>
          </w:tcPr>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本项目为新建项目，租赁</w:t>
            </w:r>
            <w:r>
              <w:rPr>
                <w:rFonts w:hint="eastAsia"/>
                <w:color w:val="000000" w:themeColor="text1"/>
                <w:szCs w:val="21"/>
                <w14:textFill>
                  <w14:solidFill>
                    <w14:schemeClr w14:val="tx1"/>
                  </w14:solidFill>
                </w14:textFill>
              </w:rPr>
              <w:t>昆明市东川工业投资开发有限公司位于昆明市东川区碧谷工业片区的空置厂房</w:t>
            </w:r>
            <w:r>
              <w:rPr>
                <w:rFonts w:hint="eastAsia"/>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厂房位于碧谷工业园区内，为已建好的规划厂房，目前厂房主体结构已建成，配套给水排水管网已建成，现阶段园区主要进行道路建设中。</w:t>
            </w:r>
            <w:r>
              <w:rPr>
                <w:rFonts w:hint="eastAsia"/>
                <w:bCs/>
                <w:color w:val="000000" w:themeColor="text1"/>
                <w:szCs w:val="21"/>
                <w14:textFill>
                  <w14:solidFill>
                    <w14:schemeClr w14:val="tx1"/>
                  </w14:solidFill>
                </w14:textFill>
              </w:rPr>
              <w:t>目前</w:t>
            </w:r>
            <w:r>
              <w:rPr>
                <w:rFonts w:hint="eastAsia"/>
                <w:color w:val="000000" w:themeColor="text1"/>
                <w:szCs w:val="21"/>
                <w14:textFill>
                  <w14:solidFill>
                    <w14:schemeClr w14:val="tx1"/>
                  </w14:solidFill>
                </w14:textFill>
              </w:rPr>
              <w:t>厂区未进行过生产，</w:t>
            </w:r>
            <w:r>
              <w:rPr>
                <w:rFonts w:hint="eastAsia"/>
                <w:bCs/>
                <w:color w:val="000000" w:themeColor="text1"/>
                <w:szCs w:val="21"/>
                <w14:textFill>
                  <w14:solidFill>
                    <w14:schemeClr w14:val="tx1"/>
                  </w14:solidFill>
                </w14:textFill>
              </w:rPr>
              <w:t>场地内无原有污染问题。</w:t>
            </w: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pStyle w:val="8"/>
              <w:rPr>
                <w:rFonts w:hint="eastAsia"/>
                <w:bCs/>
                <w:color w:val="000000" w:themeColor="text1"/>
                <w:szCs w:val="21"/>
                <w14:textFill>
                  <w14:solidFill>
                    <w14:schemeClr w14:val="tx1"/>
                  </w14:solidFill>
                </w14:textFill>
              </w:rPr>
            </w:pPr>
          </w:p>
          <w:p>
            <w:pPr>
              <w:pStyle w:val="9"/>
              <w:rPr>
                <w:rFonts w:hint="eastAsia"/>
                <w:bCs/>
                <w:color w:val="000000" w:themeColor="text1"/>
                <w:szCs w:val="21"/>
                <w14:textFill>
                  <w14:solidFill>
                    <w14:schemeClr w14:val="tx1"/>
                  </w14:solidFill>
                </w14:textFill>
              </w:rPr>
            </w:pPr>
          </w:p>
          <w:p>
            <w:pPr>
              <w:rPr>
                <w:rFonts w:hint="eastAsia"/>
                <w:bCs/>
                <w:color w:val="000000" w:themeColor="text1"/>
                <w:szCs w:val="21"/>
                <w14:textFill>
                  <w14:solidFill>
                    <w14:schemeClr w14:val="tx1"/>
                  </w14:solidFill>
                </w14:textFill>
              </w:rPr>
            </w:pPr>
          </w:p>
          <w:p>
            <w:pPr>
              <w:pStyle w:val="8"/>
              <w:rPr>
                <w:rFonts w:hint="eastAsia"/>
                <w:bCs/>
                <w:color w:val="000000" w:themeColor="text1"/>
                <w:szCs w:val="21"/>
                <w14:textFill>
                  <w14:solidFill>
                    <w14:schemeClr w14:val="tx1"/>
                  </w14:solidFill>
                </w14:textFill>
              </w:rPr>
            </w:pPr>
          </w:p>
          <w:p>
            <w:pPr>
              <w:pStyle w:val="9"/>
              <w:rPr>
                <w:rFonts w:hint="eastAsia"/>
                <w:color w:val="000000" w:themeColor="text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pStyle w:val="8"/>
              <w:rPr>
                <w:rFonts w:hint="eastAsia"/>
                <w:bCs/>
                <w:color w:val="000000" w:themeColor="text1"/>
                <w:szCs w:val="21"/>
                <w14:textFill>
                  <w14:solidFill>
                    <w14:schemeClr w14:val="tx1"/>
                  </w14:solidFill>
                </w14:textFill>
              </w:rPr>
            </w:pPr>
          </w:p>
          <w:p>
            <w:pPr>
              <w:pStyle w:val="9"/>
              <w:rPr>
                <w:rFonts w:hint="eastAsia"/>
                <w:bCs/>
                <w:color w:val="000000" w:themeColor="text1"/>
                <w:szCs w:val="21"/>
                <w14:textFill>
                  <w14:solidFill>
                    <w14:schemeClr w14:val="tx1"/>
                  </w14:solidFill>
                </w14:textFill>
              </w:rPr>
            </w:pPr>
          </w:p>
          <w:p>
            <w:pPr>
              <w:rPr>
                <w:rFonts w:hint="eastAsia"/>
                <w:bCs/>
                <w:color w:val="000000" w:themeColor="text1"/>
                <w:szCs w:val="21"/>
                <w14:textFill>
                  <w14:solidFill>
                    <w14:schemeClr w14:val="tx1"/>
                  </w14:solidFill>
                </w14:textFill>
              </w:rPr>
            </w:pPr>
          </w:p>
          <w:p>
            <w:pPr>
              <w:pStyle w:val="8"/>
              <w:rPr>
                <w:rFonts w:hint="eastAsia"/>
                <w:bCs/>
                <w:color w:val="000000" w:themeColor="text1"/>
                <w:szCs w:val="21"/>
                <w14:textFill>
                  <w14:solidFill>
                    <w14:schemeClr w14:val="tx1"/>
                  </w14:solidFill>
                </w14:textFill>
              </w:rPr>
            </w:pPr>
          </w:p>
          <w:p>
            <w:pPr>
              <w:pStyle w:val="9"/>
              <w:rPr>
                <w:rFonts w:hint="eastAsia"/>
                <w:bCs/>
                <w:color w:val="000000" w:themeColor="text1"/>
                <w:szCs w:val="21"/>
                <w14:textFill>
                  <w14:solidFill>
                    <w14:schemeClr w14:val="tx1"/>
                  </w14:solidFill>
                </w14:textFill>
              </w:rPr>
            </w:pPr>
          </w:p>
          <w:p>
            <w:pPr>
              <w:rPr>
                <w:rFonts w:hint="eastAsia"/>
                <w:color w:val="000000" w:themeColor="text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bCs/>
                <w:color w:val="000000" w:themeColor="text1"/>
                <w:szCs w:val="21"/>
                <w14:textFill>
                  <w14:solidFill>
                    <w14:schemeClr w14:val="tx1"/>
                  </w14:solidFill>
                </w14:textFill>
              </w:rPr>
            </w:pPr>
          </w:p>
          <w:p>
            <w:pPr>
              <w:adjustRightInd w:val="0"/>
              <w:snapToGrid w:val="0"/>
              <w:spacing w:line="360" w:lineRule="auto"/>
              <w:rPr>
                <w:rFonts w:hint="eastAsia" w:ascii="宋体" w:hAnsi="宋体" w:eastAsia="宋体"/>
                <w:bCs/>
                <w:color w:val="000000" w:themeColor="text1"/>
                <w:szCs w:val="21"/>
                <w:lang w:val="en-US" w:eastAsia="zh-CN"/>
                <w14:textFill>
                  <w14:solidFill>
                    <w14:schemeClr w14:val="tx1"/>
                  </w14:solidFill>
                </w14:textFill>
              </w:rPr>
            </w:pPr>
          </w:p>
        </w:tc>
      </w:tr>
    </w:tbl>
    <w:p>
      <w:pPr>
        <w:pStyle w:val="19"/>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bookmarkStart w:id="20" w:name="_Toc27943"/>
      <w:bookmarkStart w:id="21" w:name="_Toc797"/>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bookmarkEnd w:id="20"/>
      <w:bookmarkEnd w:id="2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80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190" w:type="dxa"/>
            <w:vAlign w:val="center"/>
          </w:tcPr>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1.环境空气质量现状</w:t>
            </w:r>
            <w:r>
              <w:rPr>
                <w:rFonts w:hint="eastAsia"/>
                <w:b/>
                <w:color w:val="000000" w:themeColor="text1"/>
                <w:szCs w:val="21"/>
                <w14:textFill>
                  <w14:solidFill>
                    <w14:schemeClr w14:val="tx1"/>
                  </w14:solidFill>
                </w14:textFill>
              </w:rPr>
              <w:tab/>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根据《环境影响评价技术导则-大气环境》（HJ2.2-2018）“6.2.1.1 项目所在区域达标判定，优先采用国家或地方生态环境主管部门公开发布的评价基准年环境质量公告或环境质量报告书中的数据或结论”。本项目位于云南省昆明市东川区碧谷工业园区（新格路与碧龙路交叉口南上段标准化厂房内），区域环境功能区划为二类区，环境空气质量执行《环境空气质量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-2012）二级标准。</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年度昆明市生态环境状况公报》，202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年东川区环境空气质量有所上升</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全年环境空气质量均达到二级标准。根据中国生态环境部推荐平台“基于互联网的环境影响评价技术服务平台”可知昆明202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年全市空气质量污染物年均浓度如下表所示：</w:t>
            </w:r>
          </w:p>
          <w:p>
            <w:pPr>
              <w:pStyle w:val="58"/>
              <w:widowControl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表3-1  202</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年昆明市空气质量污染物年均浓度</w:t>
            </w:r>
          </w:p>
          <w:tbl>
            <w:tblPr>
              <w:tblStyle w:val="23"/>
              <w:tblW w:w="79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877"/>
              <w:gridCol w:w="1250"/>
              <w:gridCol w:w="1283"/>
              <w:gridCol w:w="2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序号</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污染物</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年均浓度</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标准值</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二氧化硫</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9μg/m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6</w:t>
                  </w:r>
                  <w:r>
                    <w:rPr>
                      <w:color w:val="000000" w:themeColor="text1"/>
                      <w:spacing w:val="4"/>
                      <w:kern w:val="24"/>
                      <w:szCs w:val="21"/>
                      <w14:textFill>
                        <w14:solidFill>
                          <w14:schemeClr w14:val="tx1"/>
                        </w14:solidFill>
                      </w14:textFill>
                    </w:rPr>
                    <w:t>0μg/m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达到年均值二级标准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二氧化氮</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26μg/m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w:t>
                  </w:r>
                  <w:r>
                    <w:rPr>
                      <w:color w:val="000000" w:themeColor="text1"/>
                      <w:spacing w:val="4"/>
                      <w:kern w:val="24"/>
                      <w:szCs w:val="21"/>
                      <w14:textFill>
                        <w14:solidFill>
                          <w14:schemeClr w14:val="tx1"/>
                        </w14:solidFill>
                      </w14:textFill>
                    </w:rPr>
                    <w:t>0μg/m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达到年均值二级标准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3</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可吸入颗（PM</w:t>
                  </w:r>
                  <w:r>
                    <w:rPr>
                      <w:color w:val="000000" w:themeColor="text1"/>
                      <w:spacing w:val="4"/>
                      <w:kern w:val="24"/>
                      <w:szCs w:val="21"/>
                      <w:vertAlign w:val="subscript"/>
                      <w14:textFill>
                        <w14:solidFill>
                          <w14:schemeClr w14:val="tx1"/>
                        </w14:solidFill>
                      </w14:textFill>
                    </w:rPr>
                    <w:t>10</w:t>
                  </w:r>
                  <w:r>
                    <w:rPr>
                      <w:color w:val="000000" w:themeColor="text1"/>
                      <w:spacing w:val="4"/>
                      <w:kern w:val="24"/>
                      <w:szCs w:val="21"/>
                      <w14:textFill>
                        <w14:solidFill>
                          <w14:schemeClr w14:val="tx1"/>
                        </w14:solidFill>
                      </w14:textFill>
                    </w:rPr>
                    <w:t>）</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42μg/m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7</w:t>
                  </w:r>
                  <w:r>
                    <w:rPr>
                      <w:color w:val="000000" w:themeColor="text1"/>
                      <w:spacing w:val="4"/>
                      <w:kern w:val="24"/>
                      <w:szCs w:val="21"/>
                      <w14:textFill>
                        <w14:solidFill>
                          <w14:schemeClr w14:val="tx1"/>
                        </w14:solidFill>
                      </w14:textFill>
                    </w:rPr>
                    <w:t>0μg/m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达到年均值二级标准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4</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细颗粒物（PM</w:t>
                  </w:r>
                  <w:r>
                    <w:rPr>
                      <w:color w:val="000000" w:themeColor="text1"/>
                      <w:spacing w:val="4"/>
                      <w:kern w:val="24"/>
                      <w:szCs w:val="21"/>
                      <w:vertAlign w:val="subscript"/>
                      <w14:textFill>
                        <w14:solidFill>
                          <w14:schemeClr w14:val="tx1"/>
                        </w14:solidFill>
                      </w14:textFill>
                    </w:rPr>
                    <w:t>2.5</w:t>
                  </w:r>
                  <w:r>
                    <w:rPr>
                      <w:color w:val="000000" w:themeColor="text1"/>
                      <w:spacing w:val="4"/>
                      <w:kern w:val="24"/>
                      <w:szCs w:val="21"/>
                      <w14:textFill>
                        <w14:solidFill>
                          <w14:schemeClr w14:val="tx1"/>
                        </w14:solidFill>
                      </w14:textFill>
                    </w:rPr>
                    <w:t>）</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24μg/m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3</w:t>
                  </w:r>
                  <w:r>
                    <w:rPr>
                      <w:color w:val="000000" w:themeColor="text1"/>
                      <w:spacing w:val="4"/>
                      <w:kern w:val="24"/>
                      <w:szCs w:val="21"/>
                      <w14:textFill>
                        <w14:solidFill>
                          <w14:schemeClr w14:val="tx1"/>
                        </w14:solidFill>
                      </w14:textFill>
                    </w:rPr>
                    <w:t>5μg/m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达到年均值二级标准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5</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一氧化碳（CO）</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0.9μg/m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4mg</w:t>
                  </w:r>
                  <w:r>
                    <w:rPr>
                      <w:color w:val="000000" w:themeColor="text1"/>
                      <w:spacing w:val="4"/>
                      <w:kern w:val="24"/>
                      <w:szCs w:val="21"/>
                      <w14:textFill>
                        <w14:solidFill>
                          <w14:schemeClr w14:val="tx1"/>
                        </w14:solidFill>
                      </w14:textFill>
                    </w:rPr>
                    <w:t>/m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优于二级24小时均值标准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6</w:t>
                  </w:r>
                </w:p>
              </w:tc>
              <w:tc>
                <w:tcPr>
                  <w:tcW w:w="1877"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臭氧（O</w:t>
                  </w:r>
                  <w:r>
                    <w:rPr>
                      <w:color w:val="000000" w:themeColor="text1"/>
                      <w:spacing w:val="4"/>
                      <w:kern w:val="24"/>
                      <w:szCs w:val="21"/>
                      <w:vertAlign w:val="subscript"/>
                      <w14:textFill>
                        <w14:solidFill>
                          <w14:schemeClr w14:val="tx1"/>
                        </w14:solidFill>
                      </w14:textFill>
                    </w:rPr>
                    <w:t>3</w:t>
                  </w:r>
                  <w:r>
                    <w:rPr>
                      <w:color w:val="000000" w:themeColor="text1"/>
                      <w:spacing w:val="4"/>
                      <w:kern w:val="24"/>
                      <w:szCs w:val="21"/>
                      <w14:textFill>
                        <w14:solidFill>
                          <w14:schemeClr w14:val="tx1"/>
                        </w14:solidFill>
                      </w14:textFill>
                    </w:rPr>
                    <w:t>）</w:t>
                  </w:r>
                </w:p>
              </w:tc>
              <w:tc>
                <w:tcPr>
                  <w:tcW w:w="1250"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126μg/m</w:t>
                  </w:r>
                  <w:r>
                    <w:rPr>
                      <w:color w:val="000000" w:themeColor="text1"/>
                      <w:spacing w:val="4"/>
                      <w:kern w:val="24"/>
                      <w:szCs w:val="21"/>
                      <w:vertAlign w:val="superscript"/>
                      <w14:textFill>
                        <w14:solidFill>
                          <w14:schemeClr w14:val="tx1"/>
                        </w14:solidFill>
                      </w14:textFill>
                    </w:rPr>
                    <w:t>3</w:t>
                  </w:r>
                </w:p>
              </w:tc>
              <w:tc>
                <w:tcPr>
                  <w:tcW w:w="1283"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rFonts w:hint="eastAsia"/>
                      <w:color w:val="000000" w:themeColor="text1"/>
                      <w:spacing w:val="4"/>
                      <w:kern w:val="24"/>
                      <w:szCs w:val="21"/>
                      <w14:textFill>
                        <w14:solidFill>
                          <w14:schemeClr w14:val="tx1"/>
                        </w14:solidFill>
                      </w14:textFill>
                    </w:rPr>
                    <w:t>1</w:t>
                  </w:r>
                  <w:r>
                    <w:rPr>
                      <w:color w:val="000000" w:themeColor="text1"/>
                      <w:spacing w:val="4"/>
                      <w:kern w:val="24"/>
                      <w:szCs w:val="21"/>
                      <w14:textFill>
                        <w14:solidFill>
                          <w14:schemeClr w14:val="tx1"/>
                        </w14:solidFill>
                      </w14:textFill>
                    </w:rPr>
                    <w:t>60μg/m</w:t>
                  </w:r>
                  <w:r>
                    <w:rPr>
                      <w:color w:val="000000" w:themeColor="text1"/>
                      <w:spacing w:val="4"/>
                      <w:kern w:val="24"/>
                      <w:szCs w:val="21"/>
                      <w:vertAlign w:val="superscript"/>
                      <w14:textFill>
                        <w14:solidFill>
                          <w14:schemeClr w14:val="tx1"/>
                        </w14:solidFill>
                      </w14:textFill>
                    </w:rPr>
                    <w:t>3</w:t>
                  </w:r>
                </w:p>
              </w:tc>
              <w:tc>
                <w:tcPr>
                  <w:tcW w:w="2676" w:type="dxa"/>
                  <w:tcBorders>
                    <w:tl2br w:val="nil"/>
                    <w:tr2bl w:val="nil"/>
                  </w:tcBorders>
                  <w:vAlign w:val="center"/>
                </w:tcPr>
                <w:p>
                  <w:pPr>
                    <w:jc w:val="center"/>
                    <w:rPr>
                      <w:color w:val="000000" w:themeColor="text1"/>
                      <w:spacing w:val="4"/>
                      <w:kern w:val="24"/>
                      <w:szCs w:val="21"/>
                      <w14:textFill>
                        <w14:solidFill>
                          <w14:schemeClr w14:val="tx1"/>
                        </w14:solidFill>
                      </w14:textFill>
                    </w:rPr>
                  </w:pPr>
                  <w:r>
                    <w:rPr>
                      <w:color w:val="000000" w:themeColor="text1"/>
                      <w:spacing w:val="4"/>
                      <w:kern w:val="24"/>
                      <w:szCs w:val="21"/>
                      <w14:textFill>
                        <w14:solidFill>
                          <w14:schemeClr w14:val="tx1"/>
                        </w14:solidFill>
                      </w14:textFill>
                    </w:rPr>
                    <w:t>优于二级日最大8小时均值标准</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年度昆明市生态环境状况公报》，项目区域为达标区，项目所在区域环境空气质量良好，满足功能区质量标准。</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2.水体环境质量现状</w:t>
            </w:r>
          </w:p>
          <w:p>
            <w:pPr>
              <w:pStyle w:val="62"/>
              <w:ind w:firstLine="42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距离项目区最近地表水体为项目西</w:t>
            </w:r>
            <w:r>
              <w:rPr>
                <w:rFonts w:hint="eastAsia"/>
                <w:color w:val="000000" w:themeColor="text1"/>
                <w:sz w:val="21"/>
                <w:szCs w:val="21"/>
                <w14:textFill>
                  <w14:solidFill>
                    <w14:schemeClr w14:val="tx1"/>
                  </w14:solidFill>
                </w14:textFill>
              </w:rPr>
              <w:t>南</w:t>
            </w:r>
            <w:r>
              <w:rPr>
                <w:color w:val="000000" w:themeColor="text1"/>
                <w:sz w:val="21"/>
                <w:szCs w:val="21"/>
                <w14:textFill>
                  <w14:solidFill>
                    <w14:schemeClr w14:val="tx1"/>
                  </w14:solidFill>
                </w14:textFill>
              </w:rPr>
              <w:t>侧</w:t>
            </w:r>
            <w:r>
              <w:rPr>
                <w:rFonts w:hint="eastAsia"/>
                <w:color w:val="000000" w:themeColor="text1"/>
                <w:sz w:val="21"/>
                <w:szCs w:val="21"/>
                <w14:textFill>
                  <w14:solidFill>
                    <w14:schemeClr w14:val="tx1"/>
                  </w14:solidFill>
                </w14:textFill>
              </w:rPr>
              <w:t>1664</w:t>
            </w:r>
            <w:r>
              <w:rPr>
                <w:color w:val="000000" w:themeColor="text1"/>
                <w:sz w:val="21"/>
                <w:szCs w:val="21"/>
                <w14:textFill>
                  <w14:solidFill>
                    <w14:schemeClr w14:val="tx1"/>
                  </w14:solidFill>
                </w14:textFill>
              </w:rPr>
              <w:t>m的小江（东川城区—四级电站断面），为金沙江支流。根据《云南省地表水水环境功能区划（2010-2020年）》，本项目位于小江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东川城区—四级电站</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断面，水环境功能为工业用水、农业用水，水质类别为IV类，执行《地表水环境质量标准》（GB</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-2002）中IV的类标准。</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根据《20</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年度昆明市生态环境状况公报》，</w:t>
            </w:r>
            <w:r>
              <w:rPr>
                <w:rFonts w:hint="eastAsia"/>
                <w:color w:val="000000" w:themeColor="text1"/>
                <w:szCs w:val="21"/>
                <w14:textFill>
                  <w14:solidFill>
                    <w14:schemeClr w14:val="tx1"/>
                  </w14:solidFill>
                </w14:textFill>
              </w:rPr>
              <w:t>小江四级电站断面水质类别保持Ⅱ类不变；保持为优良水体</w:t>
            </w:r>
            <w:r>
              <w:rPr>
                <w:color w:val="000000" w:themeColor="text1"/>
                <w:szCs w:val="21"/>
                <w14:textFill>
                  <w14:solidFill>
                    <w14:schemeClr w14:val="tx1"/>
                  </w14:solidFill>
                </w14:textFill>
              </w:rPr>
              <w:t>。为了解建设项目所在地的水环境状况，本环评采用东川区环境监测站2016~2019年的水质监测资料，对项目附近小江桥（东川城区）（上游）、四级站断面（下游）的水质监测结果作评价。监测结果见表3-</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p>
          <w:p>
            <w:pPr>
              <w:pStyle w:val="58"/>
              <w:widowControl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表3-2  2016-2019年水质监测结果（单位：pH为无量纲，其它mg/L）</w:t>
            </w:r>
          </w:p>
          <w:tbl>
            <w:tblPr>
              <w:tblStyle w:val="23"/>
              <w:tblW w:w="810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2"/>
              <w:gridCol w:w="424"/>
              <w:gridCol w:w="680"/>
              <w:gridCol w:w="650"/>
              <w:gridCol w:w="690"/>
              <w:gridCol w:w="660"/>
              <w:gridCol w:w="820"/>
              <w:gridCol w:w="730"/>
              <w:gridCol w:w="810"/>
              <w:gridCol w:w="673"/>
              <w:gridCol w:w="717"/>
              <w:gridCol w:w="8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河流</w:t>
                  </w:r>
                </w:p>
              </w:tc>
              <w:tc>
                <w:tcPr>
                  <w:tcW w:w="424"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断面</w:t>
                  </w: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时间</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 xml:space="preserve">pH </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DO</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 xml:space="preserve">SS </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COD</w:t>
                  </w:r>
                  <w:r>
                    <w:rPr>
                      <w:rFonts w:hint="eastAsia"/>
                      <w:bCs/>
                      <w:color w:val="000000" w:themeColor="text1"/>
                      <w:spacing w:val="4"/>
                      <w:kern w:val="24"/>
                      <w:szCs w:val="21"/>
                      <w:vertAlign w:val="subscript"/>
                      <w14:textFill>
                        <w14:solidFill>
                          <w14:schemeClr w14:val="tx1"/>
                        </w14:solidFill>
                      </w14:textFill>
                    </w:rPr>
                    <w:t xml:space="preserve">cr </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高锰酸盐指数</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BOD</w:t>
                  </w:r>
                  <w:r>
                    <w:rPr>
                      <w:rFonts w:hint="eastAsia"/>
                      <w:bCs/>
                      <w:color w:val="000000" w:themeColor="text1"/>
                      <w:spacing w:val="4"/>
                      <w:kern w:val="24"/>
                      <w:szCs w:val="21"/>
                      <w:vertAlign w:val="subscript"/>
                      <w14:textFill>
                        <w14:solidFill>
                          <w14:schemeClr w14:val="tx1"/>
                        </w14:solidFill>
                      </w14:textFill>
                    </w:rPr>
                    <w:t>5</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氨氮</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TP</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石油类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vMerge w:val="restart"/>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小江</w:t>
                  </w:r>
                </w:p>
              </w:tc>
              <w:tc>
                <w:tcPr>
                  <w:tcW w:w="424" w:type="dxa"/>
                  <w:vMerge w:val="restart"/>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小江桥</w:t>
                  </w: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2016</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8.24</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6.72</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273</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1.003</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0.31</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0.205</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424"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2017</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8.29</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6.85</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304</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0.98</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0.24</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0.122</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424" w:type="dxa"/>
                  <w:vMerge w:val="restart"/>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四级站</w:t>
                  </w: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2016</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8.27</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6.89</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376</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0.90</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0.19</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0.184</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12"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424"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2017</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8.27</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6.96</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350</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11</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0.17</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0.22</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0.109</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424"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2018</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8.33</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8.15</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4</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1.47</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0.9</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0.22</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0.16</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2"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424" w:type="dxa"/>
                  <w:vMerge w:val="continue"/>
                  <w:tcBorders>
                    <w:tl2br w:val="nil"/>
                    <w:tr2bl w:val="nil"/>
                  </w:tcBorders>
                  <w:vAlign w:val="center"/>
                </w:tcPr>
                <w:p>
                  <w:pPr>
                    <w:jc w:val="center"/>
                    <w:rPr>
                      <w:bCs/>
                      <w:color w:val="000000" w:themeColor="text1"/>
                      <w:spacing w:val="4"/>
                      <w:kern w:val="24"/>
                      <w:szCs w:val="21"/>
                      <w14:textFill>
                        <w14:solidFill>
                          <w14:schemeClr w14:val="tx1"/>
                        </w14:solidFill>
                      </w14:textFill>
                    </w:rPr>
                  </w:pPr>
                </w:p>
              </w:tc>
              <w:tc>
                <w:tcPr>
                  <w:tcW w:w="68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2019</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8.34</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10.0</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＜4</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1.20</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0.9</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0.15</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0.06</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516" w:type="dxa"/>
                  <w:gridSpan w:val="3"/>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IV类标准</w:t>
                  </w:r>
                </w:p>
              </w:tc>
              <w:tc>
                <w:tcPr>
                  <w:tcW w:w="65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6~9</w:t>
                  </w:r>
                </w:p>
              </w:tc>
              <w:tc>
                <w:tcPr>
                  <w:tcW w:w="69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w:t>
                  </w:r>
                </w:p>
              </w:tc>
              <w:tc>
                <w:tcPr>
                  <w:tcW w:w="66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w:t>
                  </w:r>
                </w:p>
              </w:tc>
              <w:tc>
                <w:tcPr>
                  <w:tcW w:w="82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30</w:t>
                  </w:r>
                </w:p>
              </w:tc>
              <w:tc>
                <w:tcPr>
                  <w:tcW w:w="73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10</w:t>
                  </w:r>
                </w:p>
              </w:tc>
              <w:tc>
                <w:tcPr>
                  <w:tcW w:w="810"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6</w:t>
                  </w:r>
                </w:p>
              </w:tc>
              <w:tc>
                <w:tcPr>
                  <w:tcW w:w="673"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1.5</w:t>
                  </w:r>
                </w:p>
              </w:tc>
              <w:tc>
                <w:tcPr>
                  <w:tcW w:w="717"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0.3</w:t>
                  </w:r>
                </w:p>
              </w:tc>
              <w:tc>
                <w:tcPr>
                  <w:tcW w:w="836" w:type="dxa"/>
                  <w:tcBorders>
                    <w:tl2br w:val="nil"/>
                    <w:tr2bl w:val="nil"/>
                  </w:tcBorders>
                  <w:vAlign w:val="center"/>
                </w:tcPr>
                <w:p>
                  <w:pPr>
                    <w:jc w:val="center"/>
                    <w:rPr>
                      <w:bCs/>
                      <w:color w:val="000000" w:themeColor="text1"/>
                      <w:spacing w:val="4"/>
                      <w:kern w:val="24"/>
                      <w:szCs w:val="21"/>
                      <w14:textFill>
                        <w14:solidFill>
                          <w14:schemeClr w14:val="tx1"/>
                        </w14:solidFill>
                      </w14:textFill>
                    </w:rPr>
                  </w:pPr>
                  <w:r>
                    <w:rPr>
                      <w:rFonts w:hint="eastAsia"/>
                      <w:bCs/>
                      <w:color w:val="000000" w:themeColor="text1"/>
                      <w:spacing w:val="4"/>
                      <w:kern w:val="24"/>
                      <w:szCs w:val="21"/>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102" w:type="dxa"/>
                  <w:gridSpan w:val="12"/>
                  <w:tcBorders>
                    <w:tl2br w:val="nil"/>
                    <w:tr2bl w:val="nil"/>
                  </w:tcBorders>
                  <w:vAlign w:val="center"/>
                </w:tcPr>
                <w:p>
                  <w:pPr>
                    <w:jc w:val="center"/>
                    <w:rPr>
                      <w:bCs/>
                      <w:color w:val="000000" w:themeColor="text1"/>
                      <w:spacing w:val="4"/>
                      <w:kern w:val="24"/>
                      <w:szCs w:val="21"/>
                      <w14:textFill>
                        <w14:solidFill>
                          <w14:schemeClr w14:val="tx1"/>
                        </w14:solidFill>
                      </w14:textFill>
                    </w:rPr>
                  </w:pPr>
                  <w:r>
                    <w:rPr>
                      <w:bCs/>
                      <w:color w:val="000000" w:themeColor="text1"/>
                      <w:spacing w:val="4"/>
                      <w:kern w:val="24"/>
                      <w:szCs w:val="21"/>
                      <w14:textFill>
                        <w14:solidFill>
                          <w14:schemeClr w14:val="tx1"/>
                        </w14:solidFill>
                      </w14:textFill>
                    </w:rPr>
                    <w:t>本数据来自东川区环境监测站</w:t>
                  </w:r>
                </w:p>
              </w:tc>
            </w:tr>
          </w:tbl>
          <w:p>
            <w:pPr>
              <w:pStyle w:val="62"/>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由以上监测数据可知，本项目属于“东川城区—四级电站”断面，所在区域地表水均满足《地表水环境质量标准》（GB</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-2002）中的IV类标准要求，溶解氧有明显上升趋势，氨氮浓度逐年下降。</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3.声环境质量现状</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根据《建设项目环境影响报告表编制技术指南》（污染影响类）（试行）的要求，应监测厂界外周边50m 范围内的保护目标的声环境质量现状。本项目周边50m内无敏感点，不需监测。</w:t>
            </w:r>
          </w:p>
          <w:p>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年度昆明市生态环境状况公报》，</w:t>
            </w:r>
            <w:r>
              <w:rPr>
                <w:rFonts w:hint="eastAsia"/>
                <w:color w:val="000000" w:themeColor="text1"/>
                <w:kern w:val="0"/>
                <w:szCs w:val="21"/>
                <w14:textFill>
                  <w14:solidFill>
                    <w14:schemeClr w14:val="tx1"/>
                  </w14:solidFill>
                </w14:textFill>
              </w:rPr>
              <w:t>2022年昆明市主城区各类功能区昼间、夜间声环境质量基本达标。2022年，</w:t>
            </w:r>
            <w:r>
              <w:rPr>
                <w:rFonts w:hint="eastAsia"/>
                <w:color w:val="000000" w:themeColor="text1"/>
                <w:kern w:val="0"/>
                <w:szCs w:val="21"/>
                <w:lang w:val="en-US" w:eastAsia="zh-CN"/>
                <w14:textFill>
                  <w14:solidFill>
                    <w14:schemeClr w14:val="tx1"/>
                  </w14:solidFill>
                </w14:textFill>
              </w:rPr>
              <w:t>东川区</w:t>
            </w:r>
            <w:r>
              <w:rPr>
                <w:rFonts w:hint="eastAsia"/>
                <w:color w:val="000000" w:themeColor="text1"/>
                <w:kern w:val="0"/>
                <w:szCs w:val="21"/>
                <w14:textFill>
                  <w14:solidFill>
                    <w14:schemeClr w14:val="tx1"/>
                  </w14:solidFill>
                </w14:textFill>
              </w:rPr>
              <w:t>环境噪声平均等效声级为53.6分贝</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根据区域环境噪声质量划分等级进行评价，总体水平在一级</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好</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和二级</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较好</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之间。与2021年相比</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东川区的昼间区域声环境质量平均等效声级上升。整体满足《声环境质量标准》（GB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-2008）中3类区标准要求。</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4.地下水、土壤环境</w:t>
            </w:r>
          </w:p>
          <w:p>
            <w:pPr>
              <w:pStyle w:val="62"/>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根据《&lt;建设项目环境影响报告表&gt;内容、格式及编制技术指南》（环办环评[2020]33号）的要求，报告表原则上不开展地下水、土壤环境质量现状评价。</w:t>
            </w:r>
          </w:p>
          <w:p>
            <w:pPr>
              <w:pStyle w:val="62"/>
              <w:ind w:firstLine="42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厂界外500m范围内不涉及地下水集中式饮用水水源和热水、矿泉水、温泉等特殊地下水资源等地下水环境敏感目标。项目原料库、危废暂存间均采取有效的防渗防漏措施，基本无污染地下水、土壤环境途径，故不进行土壤及地下水现状调查评价。</w:t>
            </w:r>
          </w:p>
          <w:p>
            <w:pPr>
              <w:spacing w:line="360" w:lineRule="auto"/>
              <w:rPr>
                <w:b/>
                <w:color w:val="000000" w:themeColor="text1"/>
                <w:szCs w:val="21"/>
                <w:lang w:val="zh-CN"/>
                <w14:textFill>
                  <w14:solidFill>
                    <w14:schemeClr w14:val="tx1"/>
                  </w14:solidFill>
                </w14:textFill>
              </w:rPr>
            </w:pPr>
            <w:r>
              <w:rPr>
                <w:rFonts w:hint="eastAsia"/>
                <w:b/>
                <w:color w:val="000000" w:themeColor="text1"/>
                <w:szCs w:val="21"/>
                <w14:textFill>
                  <w14:solidFill>
                    <w14:schemeClr w14:val="tx1"/>
                  </w14:solidFill>
                </w14:textFill>
              </w:rPr>
              <w:t>5.</w:t>
            </w:r>
            <w:r>
              <w:rPr>
                <w:rFonts w:hint="eastAsia"/>
                <w:b/>
                <w:color w:val="000000" w:themeColor="text1"/>
                <w:szCs w:val="21"/>
                <w:lang w:val="zh-CN"/>
                <w14:textFill>
                  <w14:solidFill>
                    <w14:schemeClr w14:val="tx1"/>
                  </w14:solidFill>
                </w14:textFill>
              </w:rPr>
              <w:t>生态环境质量状况</w:t>
            </w:r>
          </w:p>
          <w:p>
            <w:pPr>
              <w:adjustRightInd w:val="0"/>
              <w:snapToGrid w:val="0"/>
              <w:spacing w:line="360" w:lineRule="auto"/>
              <w:ind w:firstLine="420" w:firstLineChars="200"/>
              <w:jc w:val="left"/>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根据《&lt;建设项目环境影响报告表&gt;内容、格式及编制技术指南》（环办环评[2020]33号）要求，产业园区外建设项目新增用地且用地范围内含有生态环境保护目标时，应进行生态现状调查。</w:t>
            </w:r>
          </w:p>
          <w:p>
            <w:pPr>
              <w:adjustRightInd w:val="0"/>
              <w:snapToGrid w:val="0"/>
              <w:spacing w:line="360" w:lineRule="auto"/>
              <w:ind w:firstLine="420" w:firstLineChars="200"/>
              <w:jc w:val="left"/>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项目区位于</w:t>
            </w:r>
            <w:r>
              <w:rPr>
                <w:rFonts w:hint="eastAsia"/>
                <w:color w:val="000000" w:themeColor="text1"/>
                <w:szCs w:val="21"/>
                <w:lang w:val="en-US" w:eastAsia="zh-CN"/>
                <w14:textFill>
                  <w14:solidFill>
                    <w14:schemeClr w14:val="tx1"/>
                  </w14:solidFill>
                </w14:textFill>
              </w:rPr>
              <w:t>园区内</w:t>
            </w:r>
            <w:r>
              <w:rPr>
                <w:rFonts w:hint="eastAsia"/>
                <w:color w:val="000000" w:themeColor="text1"/>
                <w:szCs w:val="21"/>
                <w:lang w:val="zh-CN"/>
                <w14:textFill>
                  <w14:solidFill>
                    <w14:schemeClr w14:val="tx1"/>
                  </w14:solidFill>
                </w14:textFill>
              </w:rPr>
              <w:t>，</w:t>
            </w:r>
            <w:r>
              <w:rPr>
                <w:rFonts w:hint="eastAsia"/>
                <w:color w:val="000000" w:themeColor="text1"/>
                <w:szCs w:val="21"/>
                <w14:textFill>
                  <w14:solidFill>
                    <w14:schemeClr w14:val="tx1"/>
                  </w14:solidFill>
                </w14:textFill>
              </w:rPr>
              <w:t>且</w:t>
            </w:r>
            <w:r>
              <w:rPr>
                <w:rFonts w:hint="eastAsia"/>
                <w:color w:val="000000" w:themeColor="text1"/>
                <w:szCs w:val="21"/>
                <w:lang w:val="zh-CN"/>
                <w14:textFill>
                  <w14:solidFill>
                    <w14:schemeClr w14:val="tx1"/>
                  </w14:solidFill>
                </w14:textFill>
              </w:rPr>
              <w:t>本项目占地范围内无生态环境保护目标，因此不开展生态环境现状调查。</w:t>
            </w:r>
          </w:p>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6.电磁辐射</w:t>
            </w:r>
          </w:p>
          <w:p>
            <w:pPr>
              <w:adjustRightInd w:val="0"/>
              <w:snapToGrid w:val="0"/>
              <w:spacing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根据《&lt;建设项目环境影响报告表&gt;内容、格式及编制技术指南》（环办环评[2020]33号）要求，本项目不属于广播电台、差转台、电视塔台、卫星地球上行站、雷达等电磁辐射类项目，因此不开展电磁辐射现状调查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0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190" w:type="dxa"/>
            <w:vAlign w:val="center"/>
          </w:tcPr>
          <w:p>
            <w:pPr>
              <w:spacing w:line="360" w:lineRule="auto"/>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7</w:t>
            </w:r>
            <w:r>
              <w:rPr>
                <w:rFonts w:hint="eastAsia"/>
                <w:b/>
                <w:color w:val="000000" w:themeColor="text1"/>
                <w:szCs w:val="21"/>
                <w14:textFill>
                  <w14:solidFill>
                    <w14:schemeClr w14:val="tx1"/>
                  </w14:solidFill>
                </w14:textFill>
              </w:rPr>
              <w:t>.环境保护目标</w:t>
            </w:r>
          </w:p>
          <w:p>
            <w:pPr>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项目位于</w:t>
            </w:r>
            <w:r>
              <w:rPr>
                <w:rFonts w:hint="eastAsia"/>
                <w:color w:val="000000" w:themeColor="text1"/>
                <w:kern w:val="0"/>
                <w:szCs w:val="21"/>
                <w14:textFill>
                  <w14:solidFill>
                    <w14:schemeClr w14:val="tx1"/>
                  </w14:solidFill>
                </w14:textFill>
              </w:rPr>
              <w:t>云南省昆明市东川区碧谷工业园区（新格路与碧龙路交叉口南上段标准化厂房内）</w:t>
            </w:r>
            <w:r>
              <w:rPr>
                <w:bCs/>
                <w:color w:val="000000" w:themeColor="text1"/>
                <w:szCs w:val="21"/>
                <w14:textFill>
                  <w14:solidFill>
                    <w14:schemeClr w14:val="tx1"/>
                  </w14:solidFill>
                </w14:textFill>
              </w:rPr>
              <w:t>，项目区</w:t>
            </w:r>
            <w:r>
              <w:rPr>
                <w:rFonts w:hint="eastAsia"/>
                <w:bCs/>
                <w:color w:val="000000" w:themeColor="text1"/>
                <w:szCs w:val="21"/>
                <w14:textFill>
                  <w14:solidFill>
                    <w14:schemeClr w14:val="tx1"/>
                  </w14:solidFill>
                </w14:textFill>
              </w:rPr>
              <w:t>东面为</w:t>
            </w:r>
            <w:r>
              <w:rPr>
                <w:rStyle w:val="28"/>
                <w:rFonts w:hint="eastAsia"/>
                <w:color w:val="000000" w:themeColor="text1"/>
                <w:kern w:val="0"/>
                <w:szCs w:val="20"/>
                <w:lang w:val="en-US" w:eastAsia="zh-CN"/>
                <w14:textFill>
                  <w14:solidFill>
                    <w14:schemeClr w14:val="tx1"/>
                  </w14:solidFill>
                </w14:textFill>
              </w:rPr>
              <w:t>在建的隔音砂浆厂</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南面为</w:t>
            </w:r>
            <w:r>
              <w:rPr>
                <w:rFonts w:hint="eastAsia"/>
                <w:bCs/>
                <w:color w:val="000000" w:themeColor="text1"/>
                <w:szCs w:val="21"/>
                <w14:textFill>
                  <w14:solidFill>
                    <w14:schemeClr w14:val="tx1"/>
                  </w14:solidFill>
                </w14:textFill>
              </w:rPr>
              <w:t>空地</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西</w:t>
            </w:r>
            <w:r>
              <w:rPr>
                <w:bCs/>
                <w:color w:val="000000" w:themeColor="text1"/>
                <w:szCs w:val="21"/>
                <w14:textFill>
                  <w14:solidFill>
                    <w14:schemeClr w14:val="tx1"/>
                  </w14:solidFill>
                </w14:textFill>
              </w:rPr>
              <w:t>面为</w:t>
            </w:r>
            <w:r>
              <w:rPr>
                <w:rFonts w:hint="eastAsia"/>
                <w:bCs/>
                <w:color w:val="000000" w:themeColor="text1"/>
                <w:szCs w:val="21"/>
                <w14:textFill>
                  <w14:solidFill>
                    <w14:schemeClr w14:val="tx1"/>
                  </w14:solidFill>
                </w14:textFill>
              </w:rPr>
              <w:t>园区空地</w:t>
            </w:r>
            <w:r>
              <w:rPr>
                <w:bCs/>
                <w:color w:val="000000" w:themeColor="text1"/>
                <w:szCs w:val="21"/>
                <w14:textFill>
                  <w14:solidFill>
                    <w14:schemeClr w14:val="tx1"/>
                  </w14:solidFill>
                </w14:textFill>
              </w:rPr>
              <w:t>，</w:t>
            </w:r>
            <w:r>
              <w:rPr>
                <w:rFonts w:hint="eastAsia"/>
                <w:bCs/>
                <w:color w:val="000000" w:themeColor="text1"/>
                <w:szCs w:val="21"/>
                <w:lang w:val="en-US" w:eastAsia="zh-CN"/>
                <w14:textFill>
                  <w14:solidFill>
                    <w14:schemeClr w14:val="tx1"/>
                  </w14:solidFill>
                </w14:textFill>
              </w:rPr>
              <w:t>西北面为龙潭村、</w:t>
            </w:r>
            <w:r>
              <w:rPr>
                <w:rFonts w:hint="eastAsia"/>
                <w:bCs/>
                <w:color w:val="000000" w:themeColor="text1"/>
                <w:szCs w:val="21"/>
                <w14:textFill>
                  <w14:solidFill>
                    <w14:schemeClr w14:val="tx1"/>
                  </w14:solidFill>
                </w14:textFill>
              </w:rPr>
              <w:t>北面为大龙潭村</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驾校和华新水泥厂</w:t>
            </w:r>
            <w:r>
              <w:rPr>
                <w:bCs/>
                <w:color w:val="000000" w:themeColor="text1"/>
                <w:szCs w:val="21"/>
                <w14:textFill>
                  <w14:solidFill>
                    <w14:schemeClr w14:val="tx1"/>
                  </w14:solidFill>
                </w14:textFill>
              </w:rPr>
              <w:t>。</w:t>
            </w:r>
          </w:p>
          <w:p>
            <w:pPr>
              <w:spacing w:line="360" w:lineRule="auto"/>
              <w:ind w:firstLine="422" w:firstLineChars="200"/>
              <w:rPr>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（1）大气环境保护目标</w:t>
            </w:r>
            <w:r>
              <w:rPr>
                <w:color w:val="000000" w:themeColor="text1"/>
                <w:kern w:val="0"/>
                <w:szCs w:val="21"/>
                <w:lang w:bidi="ar"/>
                <w14:textFill>
                  <w14:solidFill>
                    <w14:schemeClr w14:val="tx1"/>
                  </w14:solidFill>
                </w14:textFill>
              </w:rPr>
              <w:t xml:space="preserve"> </w:t>
            </w:r>
          </w:p>
          <w:p>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大气环境保护目标应明确厂界外500m范围内的自然保护区、风景名胜区、居住区、文化区和农村地区中人群较集中的区域等保护目标的名称及与建设项目厂界位置关系。经现场调查，本项目大气环境保护目标见下表</w:t>
            </w:r>
            <w:r>
              <w:rPr>
                <w:rFonts w:hint="eastAsia"/>
                <w:color w:val="000000" w:themeColor="text1"/>
                <w:kern w:val="0"/>
                <w:szCs w:val="21"/>
                <w:lang w:val="en-US" w:eastAsia="zh-CN" w:bidi="ar"/>
                <w14:textFill>
                  <w14:solidFill>
                    <w14:schemeClr w14:val="tx1"/>
                  </w14:solidFill>
                </w14:textFill>
              </w:rPr>
              <w:t>3-3</w:t>
            </w:r>
            <w:r>
              <w:rPr>
                <w:color w:val="000000" w:themeColor="text1"/>
                <w:kern w:val="0"/>
                <w:szCs w:val="21"/>
                <w:lang w:bidi="ar"/>
                <w14:textFill>
                  <w14:solidFill>
                    <w14:schemeClr w14:val="tx1"/>
                  </w14:solidFill>
                </w14:textFill>
              </w:rPr>
              <w:t>：</w:t>
            </w:r>
          </w:p>
          <w:p>
            <w:pPr>
              <w:spacing w:line="360" w:lineRule="auto"/>
              <w:ind w:firstLine="422" w:firstLineChars="200"/>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（2）声环境保护目标</w:t>
            </w:r>
          </w:p>
          <w:p>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根据《建设项目环境影响报告表编制技术指南（污染影响类）（试行）》，声环境应明确厂界外50m范围内声环境保护目标。经现场调查，项目50m范围无声环境保护目标。</w:t>
            </w:r>
          </w:p>
          <w:p>
            <w:pPr>
              <w:spacing w:line="360" w:lineRule="auto"/>
              <w:ind w:firstLine="422" w:firstLineChars="200"/>
              <w:rPr>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（3）地表水环境保护目标</w:t>
            </w:r>
            <w:r>
              <w:rPr>
                <w:color w:val="000000" w:themeColor="text1"/>
                <w:kern w:val="0"/>
                <w:szCs w:val="21"/>
                <w:lang w:bidi="ar"/>
                <w14:textFill>
                  <w14:solidFill>
                    <w14:schemeClr w14:val="tx1"/>
                  </w14:solidFill>
                </w14:textFill>
              </w:rPr>
              <w:t xml:space="preserve"> </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 报告表不需列出地表水环境保护目标，而根据调查，项目区附近的主要地表水体见下表</w:t>
            </w:r>
            <w:r>
              <w:rPr>
                <w:rFonts w:hint="eastAsia"/>
                <w:color w:val="000000" w:themeColor="text1"/>
                <w:kern w:val="0"/>
                <w:szCs w:val="21"/>
                <w:lang w:val="en-US" w:eastAsia="zh-CN" w:bidi="ar"/>
                <w14:textFill>
                  <w14:solidFill>
                    <w14:schemeClr w14:val="tx1"/>
                  </w14:solidFill>
                </w14:textFill>
              </w:rPr>
              <w:t>3-3</w:t>
            </w:r>
            <w:r>
              <w:rPr>
                <w:color w:val="000000" w:themeColor="text1"/>
                <w:kern w:val="0"/>
                <w:szCs w:val="21"/>
                <w:lang w:bidi="ar"/>
                <w14:textFill>
                  <w14:solidFill>
                    <w14:schemeClr w14:val="tx1"/>
                  </w14:solidFill>
                </w14:textFill>
              </w:rPr>
              <w:t>：</w:t>
            </w:r>
          </w:p>
          <w:p>
            <w:pPr>
              <w:spacing w:line="360" w:lineRule="auto"/>
              <w:ind w:firstLine="422" w:firstLineChars="200"/>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 xml:space="preserve">（4）地下水环境保护目标 </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根据《建设项目环境影响报告表编制技术指南（污染影响类）（试行）》，地下水环境应明确厂界外500m范围内的地下水集中式饮用水水源和热水、矿泉水、温泉等特殊地下水资源。</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经现场调查，项目500m范围无地下水集中式饮用水水源和热水、矿泉水、温泉等特殊地下水资源，故项目无需设置地下水环境保护目标。</w:t>
            </w:r>
          </w:p>
          <w:p>
            <w:pPr>
              <w:spacing w:line="360" w:lineRule="auto"/>
              <w:ind w:firstLine="422" w:firstLineChars="200"/>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（5）生态环境目标</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根据《建设项目环境影响报告表编制技术指南（污染影响类）（试行）》， 生态环境目标重点包括：产业园区外建设项目新增用地的，应明确新增用地范围内生态环境保护目标。</w:t>
            </w:r>
            <w:r>
              <w:rPr>
                <w:rFonts w:hint="eastAsia"/>
                <w:color w:val="000000" w:themeColor="text1"/>
                <w:kern w:val="0"/>
                <w:szCs w:val="21"/>
                <w:lang w:bidi="ar"/>
                <w14:textFill>
                  <w14:solidFill>
                    <w14:schemeClr w14:val="tx1"/>
                  </w14:solidFill>
                </w14:textFill>
              </w:rPr>
              <w:t>本项目位于碧</w:t>
            </w:r>
            <w:r>
              <w:rPr>
                <w:rFonts w:hint="eastAsia"/>
                <w:color w:val="000000" w:themeColor="text1"/>
                <w:kern w:val="0"/>
                <w:szCs w:val="21"/>
                <w:lang w:val="en-US" w:eastAsia="zh-CN" w:bidi="ar"/>
                <w14:textFill>
                  <w14:solidFill>
                    <w14:schemeClr w14:val="tx1"/>
                  </w14:solidFill>
                </w14:textFill>
              </w:rPr>
              <w:t>谷</w:t>
            </w:r>
            <w:r>
              <w:rPr>
                <w:rFonts w:hint="eastAsia"/>
                <w:color w:val="000000" w:themeColor="text1"/>
                <w:kern w:val="0"/>
                <w:szCs w:val="21"/>
                <w:lang w:bidi="ar"/>
                <w14:textFill>
                  <w14:solidFill>
                    <w14:schemeClr w14:val="tx1"/>
                  </w14:solidFill>
                </w14:textFill>
              </w:rPr>
              <w:t>工业园区内的</w:t>
            </w:r>
            <w:r>
              <w:rPr>
                <w:color w:val="000000" w:themeColor="text1"/>
                <w:kern w:val="0"/>
                <w:szCs w:val="21"/>
                <w:lang w:bidi="ar"/>
                <w14:textFill>
                  <w14:solidFill>
                    <w14:schemeClr w14:val="tx1"/>
                  </w14:solidFill>
                </w14:textFill>
              </w:rPr>
              <w:t>新建项目，因此不设置生态环境保护目标。</w:t>
            </w:r>
          </w:p>
          <w:p>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项目周边情况见附图2项目周边关系图。</w:t>
            </w:r>
          </w:p>
          <w:p>
            <w:pPr>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环境保护目标一览表</w:t>
            </w:r>
          </w:p>
          <w:tbl>
            <w:tblPr>
              <w:tblStyle w:val="23"/>
              <w:tblW w:w="8037"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8"/>
              <w:gridCol w:w="795"/>
              <w:gridCol w:w="972"/>
              <w:gridCol w:w="797"/>
              <w:gridCol w:w="528"/>
              <w:gridCol w:w="703"/>
              <w:gridCol w:w="660"/>
              <w:gridCol w:w="1294"/>
              <w:gridCol w:w="834"/>
              <w:gridCol w:w="83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2" w:hRule="atLeast"/>
                <w:jc w:val="center"/>
              </w:trPr>
              <w:tc>
                <w:tcPr>
                  <w:tcW w:w="618" w:type="dxa"/>
                  <w:vMerge w:val="restart"/>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b/>
                      <w:color w:val="000000" w:themeColor="text1"/>
                      <w:kern w:val="0"/>
                      <w:szCs w:val="21"/>
                      <w:lang w:val="en-US" w:eastAsia="zh-CN" w:bidi="ar"/>
                      <w14:textFill>
                        <w14:solidFill>
                          <w14:schemeClr w14:val="tx1"/>
                        </w14:solidFill>
                      </w14:textFill>
                    </w:rPr>
                    <w:t>因素</w:t>
                  </w:r>
                </w:p>
              </w:tc>
              <w:tc>
                <w:tcPr>
                  <w:tcW w:w="795"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名称</w:t>
                  </w:r>
                </w:p>
              </w:tc>
              <w:tc>
                <w:tcPr>
                  <w:tcW w:w="1769" w:type="dxa"/>
                  <w:gridSpan w:val="2"/>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坐标/°</w:t>
                  </w:r>
                </w:p>
              </w:tc>
              <w:tc>
                <w:tcPr>
                  <w:tcW w:w="528"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保护</w:t>
                  </w:r>
                </w:p>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对象</w:t>
                  </w:r>
                </w:p>
              </w:tc>
              <w:tc>
                <w:tcPr>
                  <w:tcW w:w="703"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保护内容</w:t>
                  </w:r>
                </w:p>
              </w:tc>
              <w:tc>
                <w:tcPr>
                  <w:tcW w:w="660"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环境功能区</w:t>
                  </w:r>
                </w:p>
              </w:tc>
              <w:tc>
                <w:tcPr>
                  <w:tcW w:w="1294"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规模</w:t>
                  </w:r>
                </w:p>
              </w:tc>
              <w:tc>
                <w:tcPr>
                  <w:tcW w:w="834"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相对厂址方位</w:t>
                  </w:r>
                </w:p>
              </w:tc>
              <w:tc>
                <w:tcPr>
                  <w:tcW w:w="836" w:type="dxa"/>
                  <w:vMerge w:val="restart"/>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相对厂界最近距离m</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95"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972"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X</w:t>
                  </w:r>
                </w:p>
              </w:tc>
              <w:tc>
                <w:tcPr>
                  <w:tcW w:w="797" w:type="dxa"/>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Y</w:t>
                  </w:r>
                </w:p>
              </w:tc>
              <w:tc>
                <w:tcPr>
                  <w:tcW w:w="528" w:type="dxa"/>
                  <w:vMerge w:val="continue"/>
                  <w:tcBorders>
                    <w:tl2br w:val="nil"/>
                    <w:tr2bl w:val="nil"/>
                  </w:tcBorders>
                  <w:tcMar>
                    <w:top w:w="12" w:type="dxa"/>
                    <w:left w:w="12" w:type="dxa"/>
                    <w:right w:w="12" w:type="dxa"/>
                  </w:tcMar>
                  <w:vAlign w:val="center"/>
                </w:tcPr>
                <w:p>
                  <w:pPr>
                    <w:widowControl/>
                    <w:jc w:val="center"/>
                    <w:textAlignment w:val="center"/>
                    <w:rPr>
                      <w:b/>
                      <w:bCs/>
                      <w:color w:val="000000" w:themeColor="text1"/>
                      <w:szCs w:val="21"/>
                      <w14:textFill>
                        <w14:solidFill>
                          <w14:schemeClr w14:val="tx1"/>
                        </w14:solidFill>
                      </w14:textFill>
                    </w:rPr>
                  </w:pPr>
                </w:p>
              </w:tc>
              <w:tc>
                <w:tcPr>
                  <w:tcW w:w="703"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660"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129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户数/人数</w:t>
                  </w:r>
                </w:p>
              </w:tc>
              <w:tc>
                <w:tcPr>
                  <w:tcW w:w="834"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c>
                <w:tcPr>
                  <w:tcW w:w="836" w:type="dxa"/>
                  <w:vMerge w:val="continue"/>
                  <w:tcBorders>
                    <w:tl2br w:val="nil"/>
                    <w:tr2bl w:val="nil"/>
                  </w:tcBorders>
                  <w:tcMar>
                    <w:top w:w="12" w:type="dxa"/>
                    <w:left w:w="12" w:type="dxa"/>
                    <w:right w:w="12" w:type="dxa"/>
                  </w:tcMar>
                  <w:vAlign w:val="center"/>
                </w:tcPr>
                <w:p>
                  <w:pPr>
                    <w:jc w:val="center"/>
                    <w:rPr>
                      <w:color w:val="000000" w:themeColor="text1"/>
                      <w:szCs w:val="21"/>
                      <w14:textFill>
                        <w14:solidFill>
                          <w14:schemeClr w14:val="tx1"/>
                        </w14:solidFill>
                      </w14:textFill>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vMerge w:val="restart"/>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大气</w:t>
                  </w:r>
                </w:p>
              </w:tc>
              <w:tc>
                <w:tcPr>
                  <w:tcW w:w="795"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大龙潭村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103.163561648</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26.132517748</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29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约</w:t>
                  </w:r>
                  <w:r>
                    <w:rPr>
                      <w:rFonts w:hint="eastAsia"/>
                      <w:color w:val="000000" w:themeColor="text1"/>
                      <w:kern w:val="0"/>
                      <w:szCs w:val="21"/>
                      <w:lang w:bidi="ar"/>
                      <w14:textFill>
                        <w14:solidFill>
                          <w14:schemeClr w14:val="tx1"/>
                        </w14:solidFill>
                      </w14:textFill>
                    </w:rPr>
                    <w:t>47</w:t>
                  </w:r>
                  <w:r>
                    <w:rPr>
                      <w:color w:val="000000" w:themeColor="text1"/>
                      <w:kern w:val="0"/>
                      <w:szCs w:val="21"/>
                      <w:lang w:bidi="ar"/>
                      <w14:textFill>
                        <w14:solidFill>
                          <w14:schemeClr w14:val="tx1"/>
                        </w14:solidFill>
                      </w14:textFill>
                    </w:rPr>
                    <w:t>户，</w:t>
                  </w:r>
                  <w:r>
                    <w:rPr>
                      <w:rFonts w:hint="eastAsia"/>
                      <w:color w:val="000000" w:themeColor="text1"/>
                      <w:kern w:val="0"/>
                      <w:szCs w:val="21"/>
                      <w:lang w:bidi="ar"/>
                      <w14:textFill>
                        <w14:solidFill>
                          <w14:schemeClr w14:val="tx1"/>
                        </w14:solidFill>
                      </w14:textFill>
                    </w:rPr>
                    <w:t>180</w:t>
                  </w:r>
                  <w:r>
                    <w:rPr>
                      <w:color w:val="000000" w:themeColor="text1"/>
                      <w:kern w:val="0"/>
                      <w:szCs w:val="21"/>
                      <w:lang w:bidi="ar"/>
                      <w14:textFill>
                        <w14:solidFill>
                          <w14:schemeClr w14:val="tx1"/>
                        </w14:solidFill>
                      </w14:textFill>
                    </w:rPr>
                    <w:t>人</w:t>
                  </w:r>
                </w:p>
              </w:tc>
              <w:tc>
                <w:tcPr>
                  <w:tcW w:w="834"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368</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vMerge w:val="continue"/>
                  <w:tcBorders>
                    <w:tl2br w:val="nil"/>
                    <w:tr2bl w:val="nil"/>
                  </w:tcBorders>
                  <w:tcMar>
                    <w:top w:w="12" w:type="dxa"/>
                    <w:left w:w="12" w:type="dxa"/>
                    <w:right w:w="12" w:type="dxa"/>
                  </w:tcMar>
                  <w:vAlign w:val="center"/>
                </w:tcPr>
                <w:p>
                  <w:pPr>
                    <w:widowControl/>
                    <w:jc w:val="center"/>
                    <w:textAlignment w:val="center"/>
                    <w:rPr>
                      <w:rFonts w:hint="eastAsia"/>
                      <w:color w:val="000000" w:themeColor="text1"/>
                      <w:szCs w:val="21"/>
                      <w:lang w:val="en-US" w:eastAsia="zh-CN"/>
                      <w14:textFill>
                        <w14:solidFill>
                          <w14:schemeClr w14:val="tx1"/>
                        </w14:solidFill>
                      </w14:textFill>
                    </w:rPr>
                  </w:pPr>
                </w:p>
              </w:tc>
              <w:tc>
                <w:tcPr>
                  <w:tcW w:w="795" w:type="dxa"/>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龙潭村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103.157189427</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26.131942039</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294"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约</w:t>
                  </w:r>
                  <w:r>
                    <w:rPr>
                      <w:rFonts w:hint="eastAsia"/>
                      <w:color w:val="000000" w:themeColor="text1"/>
                      <w:kern w:val="0"/>
                      <w:szCs w:val="21"/>
                      <w:lang w:val="en-US" w:eastAsia="zh-CN" w:bidi="ar"/>
                      <w14:textFill>
                        <w14:solidFill>
                          <w14:schemeClr w14:val="tx1"/>
                        </w14:solidFill>
                      </w14:textFill>
                    </w:rPr>
                    <w:t>10</w:t>
                  </w:r>
                  <w:r>
                    <w:rPr>
                      <w:color w:val="000000" w:themeColor="text1"/>
                      <w:kern w:val="0"/>
                      <w:szCs w:val="21"/>
                      <w:lang w:bidi="ar"/>
                      <w14:textFill>
                        <w14:solidFill>
                          <w14:schemeClr w14:val="tx1"/>
                        </w14:solidFill>
                      </w14:textFill>
                    </w:rPr>
                    <w:t>户，</w:t>
                  </w:r>
                  <w:r>
                    <w:rPr>
                      <w:rFonts w:hint="eastAsia"/>
                      <w:color w:val="000000" w:themeColor="text1"/>
                      <w:kern w:val="0"/>
                      <w:szCs w:val="21"/>
                      <w:lang w:val="en-US" w:eastAsia="zh-CN" w:bidi="ar"/>
                      <w14:textFill>
                        <w14:solidFill>
                          <w14:schemeClr w14:val="tx1"/>
                        </w14:solidFill>
                      </w14:textFill>
                    </w:rPr>
                    <w:t>27</w:t>
                  </w:r>
                  <w:r>
                    <w:rPr>
                      <w:color w:val="000000" w:themeColor="text1"/>
                      <w:kern w:val="0"/>
                      <w:szCs w:val="21"/>
                      <w:lang w:bidi="ar"/>
                      <w14:textFill>
                        <w14:solidFill>
                          <w14:schemeClr w14:val="tx1"/>
                        </w14:solidFill>
                      </w14:textFill>
                    </w:rPr>
                    <w:t>人</w:t>
                  </w:r>
                </w:p>
              </w:tc>
              <w:tc>
                <w:tcPr>
                  <w:tcW w:w="834" w:type="dxa"/>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N</w:t>
                  </w:r>
                  <w:r>
                    <w:rPr>
                      <w:rFonts w:hint="eastAsia"/>
                      <w:color w:val="000000" w:themeColor="text1"/>
                      <w:szCs w:val="21"/>
                      <w:lang w:val="en-US" w:eastAsia="zh-CN"/>
                      <w14:textFill>
                        <w14:solidFill>
                          <w14:schemeClr w14:val="tx1"/>
                        </w14:solidFill>
                      </w14:textFill>
                    </w:rPr>
                    <w:t>W</w:t>
                  </w:r>
                </w:p>
              </w:tc>
              <w:tc>
                <w:tcPr>
                  <w:tcW w:w="836" w:type="dxa"/>
                  <w:tcBorders>
                    <w:tl2br w:val="nil"/>
                    <w:tr2bl w:val="nil"/>
                  </w:tcBorders>
                  <w:tcMar>
                    <w:top w:w="12" w:type="dxa"/>
                    <w:left w:w="12" w:type="dxa"/>
                    <w:right w:w="12"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496</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95"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石夹地村</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103.157971924</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26.125908785</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居住区</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294"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约56户，200人</w:t>
                  </w:r>
                </w:p>
              </w:tc>
              <w:tc>
                <w:tcPr>
                  <w:tcW w:w="834"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SW</w:t>
                  </w:r>
                </w:p>
              </w:tc>
              <w:tc>
                <w:tcPr>
                  <w:tcW w:w="836"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vMerge w:val="continue"/>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p>
              </w:tc>
              <w:tc>
                <w:tcPr>
                  <w:tcW w:w="795"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驾校</w:t>
                  </w:r>
                </w:p>
              </w:tc>
              <w:tc>
                <w:tcPr>
                  <w:tcW w:w="972"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103.161445712</w:t>
                  </w:r>
                </w:p>
              </w:tc>
              <w:tc>
                <w:tcPr>
                  <w:tcW w:w="797" w:type="dxa"/>
                  <w:tcBorders>
                    <w:tl2br w:val="nil"/>
                    <w:tr2bl w:val="nil"/>
                  </w:tcBorders>
                  <w:tcMar>
                    <w:top w:w="12" w:type="dxa"/>
                    <w:left w:w="12" w:type="dxa"/>
                    <w:right w:w="12"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26.130796760</w:t>
                  </w:r>
                </w:p>
              </w:tc>
              <w:tc>
                <w:tcPr>
                  <w:tcW w:w="528"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单位</w:t>
                  </w:r>
                </w:p>
              </w:tc>
              <w:tc>
                <w:tcPr>
                  <w:tcW w:w="703"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人群</w:t>
                  </w:r>
                </w:p>
              </w:tc>
              <w:tc>
                <w:tcPr>
                  <w:tcW w:w="660"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二类区</w:t>
                  </w:r>
                </w:p>
              </w:tc>
              <w:tc>
                <w:tcPr>
                  <w:tcW w:w="1294"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约80人</w:t>
                  </w:r>
                </w:p>
              </w:tc>
              <w:tc>
                <w:tcPr>
                  <w:tcW w:w="834" w:type="dxa"/>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NE</w:t>
                  </w:r>
                </w:p>
              </w:tc>
              <w:tc>
                <w:tcPr>
                  <w:tcW w:w="836" w:type="dxa"/>
                  <w:tcBorders>
                    <w:tl2br w:val="nil"/>
                    <w:tr2bl w:val="nil"/>
                  </w:tcBorders>
                  <w:tcMar>
                    <w:top w:w="12" w:type="dxa"/>
                    <w:left w:w="12" w:type="dxa"/>
                    <w:right w:w="12"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30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水环境</w:t>
                  </w:r>
                </w:p>
              </w:tc>
              <w:tc>
                <w:tcPr>
                  <w:tcW w:w="795" w:type="dxa"/>
                  <w:tcBorders>
                    <w:tl2br w:val="nil"/>
                    <w:tr2bl w:val="nil"/>
                  </w:tcBorders>
                  <w:tcMar>
                    <w:top w:w="12" w:type="dxa"/>
                    <w:left w:w="12" w:type="dxa"/>
                    <w:right w:w="12" w:type="dxa"/>
                  </w:tcMar>
                  <w:vAlign w:val="center"/>
                </w:tcPr>
                <w:p>
                  <w:pPr>
                    <w:widowControl/>
                    <w:jc w:val="center"/>
                    <w:textAlignment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江</w:t>
                  </w:r>
                </w:p>
              </w:tc>
              <w:tc>
                <w:tcPr>
                  <w:tcW w:w="1769" w:type="dxa"/>
                  <w:gridSpan w:val="2"/>
                  <w:tcBorders>
                    <w:tl2br w:val="nil"/>
                    <w:tr2bl w:val="nil"/>
                  </w:tcBorders>
                  <w:tcMar>
                    <w:top w:w="12" w:type="dxa"/>
                    <w:left w:w="12" w:type="dxa"/>
                    <w:right w:w="12"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891" w:type="dxa"/>
                  <w:gridSpan w:val="3"/>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农业用水、工业用水</w:t>
                  </w:r>
                </w:p>
              </w:tc>
              <w:tc>
                <w:tcPr>
                  <w:tcW w:w="1294" w:type="dxa"/>
                  <w:tcBorders>
                    <w:tl2br w:val="nil"/>
                    <w:tr2bl w:val="nil"/>
                  </w:tcBorders>
                  <w:tcMar>
                    <w:top w:w="12" w:type="dxa"/>
                    <w:left w:w="12" w:type="dxa"/>
                    <w:right w:w="12" w:type="dxa"/>
                  </w:tcMar>
                  <w:vAlign w:val="center"/>
                </w:tcPr>
                <w:p>
                  <w:pPr>
                    <w:widowControl/>
                    <w:jc w:val="center"/>
                    <w:textAlignment w:val="center"/>
                    <w:rPr>
                      <w:rFonts w:hint="eastAsia"/>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《地表水环境质量标准》 （GB</w:t>
                  </w:r>
                  <w:r>
                    <w:rPr>
                      <w:rFonts w:hint="eastAsia"/>
                      <w:color w:val="000000" w:themeColor="text1"/>
                      <w:kern w:val="0"/>
                      <w:szCs w:val="21"/>
                      <w:lang w:eastAsia="zh-CN" w:bidi="ar"/>
                      <w14:textFill>
                        <w14:solidFill>
                          <w14:schemeClr w14:val="tx1"/>
                        </w14:solidFill>
                      </w14:textFill>
                    </w:rPr>
                    <w:t>****</w:t>
                  </w:r>
                  <w:r>
                    <w:rPr>
                      <w:color w:val="000000" w:themeColor="text1"/>
                      <w:kern w:val="0"/>
                      <w:szCs w:val="21"/>
                      <w:lang w:bidi="ar"/>
                      <w14:textFill>
                        <w14:solidFill>
                          <w14:schemeClr w14:val="tx1"/>
                        </w14:solidFill>
                      </w14:textFill>
                    </w:rPr>
                    <w:t>-2002）IV类</w:t>
                  </w:r>
                </w:p>
              </w:tc>
              <w:tc>
                <w:tcPr>
                  <w:tcW w:w="834" w:type="dxa"/>
                  <w:tcBorders>
                    <w:tl2br w:val="nil"/>
                    <w:tr2bl w:val="nil"/>
                  </w:tcBorders>
                  <w:tcMar>
                    <w:top w:w="12" w:type="dxa"/>
                    <w:left w:w="12" w:type="dxa"/>
                    <w:right w:w="12" w:type="dxa"/>
                  </w:tcMar>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W</w:t>
                  </w:r>
                </w:p>
              </w:tc>
              <w:tc>
                <w:tcPr>
                  <w:tcW w:w="836" w:type="dxa"/>
                  <w:tcBorders>
                    <w:tl2br w:val="nil"/>
                    <w:tr2bl w:val="nil"/>
                  </w:tcBorders>
                  <w:tcMar>
                    <w:top w:w="12" w:type="dxa"/>
                    <w:left w:w="12" w:type="dxa"/>
                    <w:right w:w="12" w:type="dxa"/>
                  </w:tcMar>
                  <w:vAlign w:val="center"/>
                </w:tcPr>
                <w:p>
                  <w:pPr>
                    <w:widowControl/>
                    <w:jc w:val="center"/>
                    <w:textAlignment w:val="center"/>
                    <w:rPr>
                      <w:rFonts w:hint="eastAsia"/>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color w:val="000000" w:themeColor="text1"/>
                      <w:kern w:val="0"/>
                      <w:szCs w:val="21"/>
                      <w:lang w:bidi="ar"/>
                      <w14:textFill>
                        <w14:solidFill>
                          <w14:schemeClr w14:val="tx1"/>
                        </w14:solidFill>
                      </w14:textFill>
                    </w:rPr>
                    <w:t>664</w:t>
                  </w:r>
                  <w:r>
                    <w:rPr>
                      <w:color w:val="000000" w:themeColor="text1"/>
                      <w:kern w:val="0"/>
                      <w:szCs w:val="21"/>
                      <w:lang w:bidi="ar"/>
                      <w14:textFill>
                        <w14:solidFill>
                          <w14:schemeClr w14:val="tx1"/>
                        </w14:solidFill>
                      </w14:textFill>
                    </w:rPr>
                    <w:t>m</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tcBorders>
                    <w:tl2br w:val="nil"/>
                    <w:tr2bl w:val="nil"/>
                  </w:tcBorders>
                  <w:tcMar>
                    <w:top w:w="12" w:type="dxa"/>
                    <w:left w:w="12" w:type="dxa"/>
                    <w:right w:w="12" w:type="dxa"/>
                  </w:tcMar>
                  <w:vAlign w:val="center"/>
                </w:tcPr>
                <w:p>
                  <w:pPr>
                    <w:widowControl/>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声环境</w:t>
                  </w:r>
                </w:p>
              </w:tc>
              <w:tc>
                <w:tcPr>
                  <w:tcW w:w="7419" w:type="dxa"/>
                  <w:gridSpan w:val="9"/>
                  <w:tcBorders>
                    <w:tl2br w:val="nil"/>
                    <w:tr2bl w:val="nil"/>
                  </w:tcBorders>
                  <w:tcMar>
                    <w:top w:w="12" w:type="dxa"/>
                    <w:left w:w="12" w:type="dxa"/>
                    <w:right w:w="12"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厂界外50m范围内</w:t>
                  </w:r>
                  <w:r>
                    <w:rPr>
                      <w:rFonts w:hint="eastAsia"/>
                      <w:color w:val="000000" w:themeColor="text1"/>
                      <w:kern w:val="0"/>
                      <w:szCs w:val="21"/>
                      <w:lang w:val="en-US" w:eastAsia="zh-CN" w:bidi="ar"/>
                      <w14:textFill>
                        <w14:solidFill>
                          <w14:schemeClr w14:val="tx1"/>
                        </w14:solidFill>
                      </w14:textFill>
                    </w:rPr>
                    <w:t>无</w:t>
                  </w:r>
                  <w:r>
                    <w:rPr>
                      <w:rFonts w:hint="eastAsia"/>
                      <w:color w:val="000000" w:themeColor="text1"/>
                      <w:kern w:val="0"/>
                      <w:szCs w:val="21"/>
                      <w:lang w:bidi="ar"/>
                      <w14:textFill>
                        <w14:solidFill>
                          <w14:schemeClr w14:val="tx1"/>
                        </w14:solidFill>
                      </w14:textFill>
                    </w:rPr>
                    <w:t>声环境保护目标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tcBorders>
                    <w:tl2br w:val="nil"/>
                    <w:tr2bl w:val="nil"/>
                  </w:tcBorders>
                  <w:tcMar>
                    <w:top w:w="12" w:type="dxa"/>
                    <w:left w:w="12" w:type="dxa"/>
                    <w:right w:w="12" w:type="dxa"/>
                  </w:tcMar>
                  <w:vAlign w:val="center"/>
                </w:tcPr>
                <w:p>
                  <w:pPr>
                    <w:widowControl/>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地下水环境</w:t>
                  </w:r>
                </w:p>
              </w:tc>
              <w:tc>
                <w:tcPr>
                  <w:tcW w:w="7419" w:type="dxa"/>
                  <w:gridSpan w:val="9"/>
                  <w:tcBorders>
                    <w:tl2br w:val="nil"/>
                    <w:tr2bl w:val="nil"/>
                  </w:tcBorders>
                  <w:tcMar>
                    <w:top w:w="12" w:type="dxa"/>
                    <w:left w:w="12" w:type="dxa"/>
                    <w:right w:w="12" w:type="dxa"/>
                  </w:tcMar>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本项目厂界500米范围内无地下水集中式饮用水水源和热水、矿泉水、温泉等特殊地下水资源</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8" w:type="dxa"/>
                  <w:tcBorders>
                    <w:tl2br w:val="nil"/>
                    <w:tr2bl w:val="nil"/>
                  </w:tcBorders>
                  <w:tcMar>
                    <w:top w:w="12" w:type="dxa"/>
                    <w:left w:w="12" w:type="dxa"/>
                    <w:right w:w="12" w:type="dxa"/>
                  </w:tcMar>
                  <w:vAlign w:val="center"/>
                </w:tcPr>
                <w:p>
                  <w:pPr>
                    <w:widowControl/>
                    <w:jc w:val="center"/>
                    <w:textAlignment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生态环境</w:t>
                  </w:r>
                </w:p>
              </w:tc>
              <w:tc>
                <w:tcPr>
                  <w:tcW w:w="7419" w:type="dxa"/>
                  <w:gridSpan w:val="9"/>
                  <w:tcBorders>
                    <w:tl2br w:val="nil"/>
                    <w:tr2bl w:val="nil"/>
                  </w:tcBorders>
                  <w:tcMar>
                    <w:top w:w="12" w:type="dxa"/>
                    <w:left w:w="12" w:type="dxa"/>
                    <w:right w:w="12" w:type="dxa"/>
                  </w:tcMar>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位于园区内，且本项目占地范围内无生态环境保护目标</w:t>
                  </w:r>
                </w:p>
              </w:tc>
            </w:tr>
          </w:tbl>
          <w:p>
            <w:pPr>
              <w:spacing w:line="360" w:lineRule="auto"/>
              <w:ind w:firstLine="420" w:firstLineChars="200"/>
              <w:rPr>
                <w:rFonts w:hint="eastAsia" w:ascii="宋体" w:hAnsi="宋体" w:eastAsia="宋体" w:cs="宋体"/>
                <w:color w:val="000000" w:themeColor="text1"/>
                <w:kern w:val="0"/>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00" w:type="dxa"/>
            <w:tcMar>
              <w:left w:w="28" w:type="dxa"/>
              <w:right w:w="28" w:type="dxa"/>
            </w:tcMar>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190" w:type="dxa"/>
            <w:vAlign w:val="center"/>
          </w:tcPr>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1.大气污染物排放标准</w:t>
            </w:r>
          </w:p>
          <w:p>
            <w:pPr>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本项目为高纯度金属硅生产，主要通过物理熔融的方式重新结晶成硅块。因此</w:t>
            </w: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投料粉尘、</w:t>
            </w:r>
            <w:r>
              <w:rPr>
                <w:rFonts w:hint="eastAsia"/>
                <w:color w:val="000000" w:themeColor="text1"/>
                <w:sz w:val="21"/>
                <w:szCs w:val="21"/>
                <w14:textFill>
                  <w14:solidFill>
                    <w14:schemeClr w14:val="tx1"/>
                  </w14:solidFill>
                </w14:textFill>
              </w:rPr>
              <w:t>熔融</w:t>
            </w:r>
            <w:r>
              <w:rPr>
                <w:rFonts w:hint="eastAsia"/>
                <w:color w:val="000000" w:themeColor="text1"/>
                <w:sz w:val="21"/>
                <w:szCs w:val="21"/>
                <w:lang w:val="en-US" w:eastAsia="zh-CN"/>
                <w14:textFill>
                  <w14:solidFill>
                    <w14:schemeClr w14:val="tx1"/>
                  </w14:solidFill>
                </w14:textFill>
              </w:rPr>
              <w:t>烟尘</w:t>
            </w:r>
            <w:r>
              <w:rPr>
                <w:rFonts w:hint="eastAsia"/>
                <w:color w:val="000000" w:themeColor="text1"/>
                <w:sz w:val="21"/>
                <w:szCs w:val="21"/>
                <w14:textFill>
                  <w14:solidFill>
                    <w14:schemeClr w14:val="tx1"/>
                  </w14:solidFill>
                </w14:textFill>
              </w:rPr>
              <w:t>排放浓度执行《</w:t>
            </w:r>
            <w:r>
              <w:rPr>
                <w:rFonts w:hint="eastAsia"/>
                <w:color w:val="000000" w:themeColor="text1"/>
                <w:sz w:val="21"/>
                <w:szCs w:val="21"/>
                <w:lang w:val="en-US" w:eastAsia="zh-CN"/>
                <w14:textFill>
                  <w14:solidFill>
                    <w14:schemeClr w14:val="tx1"/>
                  </w14:solidFill>
                </w14:textFill>
              </w:rPr>
              <w:t>大气</w:t>
            </w:r>
            <w:r>
              <w:rPr>
                <w:rFonts w:hint="eastAsia"/>
                <w:color w:val="000000" w:themeColor="text1"/>
                <w:sz w:val="21"/>
                <w:szCs w:val="21"/>
                <w14:textFill>
                  <w14:solidFill>
                    <w14:schemeClr w14:val="tx1"/>
                  </w14:solidFill>
                </w14:textFill>
              </w:rPr>
              <w:t>污染物</w:t>
            </w:r>
            <w:r>
              <w:rPr>
                <w:rFonts w:hint="eastAsia"/>
                <w:color w:val="000000" w:themeColor="text1"/>
                <w:sz w:val="21"/>
                <w:szCs w:val="21"/>
                <w:lang w:val="en-US" w:eastAsia="zh-CN"/>
                <w14:textFill>
                  <w14:solidFill>
                    <w14:schemeClr w14:val="tx1"/>
                  </w14:solidFill>
                </w14:textFill>
              </w:rPr>
              <w:t>综合</w:t>
            </w:r>
            <w:r>
              <w:rPr>
                <w:rFonts w:hint="eastAsia"/>
                <w:color w:val="000000" w:themeColor="text1"/>
                <w:sz w:val="21"/>
                <w:szCs w:val="21"/>
                <w14:textFill>
                  <w14:solidFill>
                    <w14:schemeClr w14:val="tx1"/>
                  </w14:solidFill>
                </w14:textFill>
              </w:rPr>
              <w:t>排放标准》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GB</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1996</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中表2二级标准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无组织</w:t>
            </w:r>
            <w:r>
              <w:rPr>
                <w:rFonts w:hint="eastAsia"/>
                <w:color w:val="000000" w:themeColor="text1"/>
                <w:sz w:val="21"/>
                <w:szCs w:val="21"/>
                <w14:textFill>
                  <w14:solidFill>
                    <w14:schemeClr w14:val="tx1"/>
                  </w14:solidFill>
                </w14:textFill>
              </w:rPr>
              <w:t>粉尘排放浓度执行《大气污染物综合排放标准》（GB</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-1996）中表2</w:t>
            </w:r>
            <w:r>
              <w:rPr>
                <w:rFonts w:hint="eastAsia"/>
                <w:color w:val="000000" w:themeColor="text1"/>
                <w:sz w:val="21"/>
                <w:szCs w:val="21"/>
                <w:lang w:val="en-US" w:eastAsia="zh-CN"/>
                <w14:textFill>
                  <w14:solidFill>
                    <w14:schemeClr w14:val="tx1"/>
                  </w14:solidFill>
                </w14:textFill>
              </w:rPr>
              <w:t>无组织排放浓度限值要求</w:t>
            </w:r>
            <w:r>
              <w:rPr>
                <w:rFonts w:hint="eastAsia"/>
                <w:color w:val="000000" w:themeColor="text1"/>
                <w:sz w:val="21"/>
                <w:szCs w:val="21"/>
                <w14:textFill>
                  <w14:solidFill>
                    <w14:schemeClr w14:val="tx1"/>
                  </w14:solidFill>
                </w14:textFill>
              </w:rPr>
              <w:t>，详见下表</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w:t>
            </w:r>
          </w:p>
          <w:p>
            <w:pPr>
              <w:spacing w:line="360" w:lineRule="auto"/>
              <w:jc w:val="center"/>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表</w:t>
            </w:r>
            <w:r>
              <w:rPr>
                <w:rFonts w:hint="eastAsia"/>
                <w:b/>
                <w:color w:val="000000" w:themeColor="text1"/>
                <w:sz w:val="24"/>
                <w:szCs w:val="22"/>
                <w:lang w:val="en-US" w:eastAsia="zh-CN"/>
                <w14:textFill>
                  <w14:solidFill>
                    <w14:schemeClr w14:val="tx1"/>
                  </w14:solidFill>
                </w14:textFill>
              </w:rPr>
              <w:t>3</w:t>
            </w:r>
            <w:r>
              <w:rPr>
                <w:rFonts w:hint="eastAsia"/>
                <w:b/>
                <w:color w:val="000000" w:themeColor="text1"/>
                <w:sz w:val="24"/>
                <w:szCs w:val="22"/>
                <w14:textFill>
                  <w14:solidFill>
                    <w14:schemeClr w14:val="tx1"/>
                  </w14:solidFill>
                </w14:textFill>
              </w:rPr>
              <w:t>-</w:t>
            </w:r>
            <w:r>
              <w:rPr>
                <w:rFonts w:hint="eastAsia"/>
                <w:b/>
                <w:color w:val="000000" w:themeColor="text1"/>
                <w:sz w:val="24"/>
                <w:szCs w:val="22"/>
                <w:lang w:val="en-US" w:eastAsia="zh-CN"/>
                <w14:textFill>
                  <w14:solidFill>
                    <w14:schemeClr w14:val="tx1"/>
                  </w14:solidFill>
                </w14:textFill>
              </w:rPr>
              <w:t>4</w:t>
            </w:r>
            <w:r>
              <w:rPr>
                <w:rFonts w:hint="eastAsia"/>
                <w:b/>
                <w:color w:val="000000" w:themeColor="text1"/>
                <w:sz w:val="24"/>
                <w:szCs w:val="22"/>
                <w14:textFill>
                  <w14:solidFill>
                    <w14:schemeClr w14:val="tx1"/>
                  </w14:solidFill>
                </w14:textFill>
              </w:rPr>
              <w:t xml:space="preserve"> 项目生产工艺废气排放标准一览表</w:t>
            </w:r>
          </w:p>
          <w:tbl>
            <w:tblPr>
              <w:tblStyle w:val="23"/>
              <w:tblW w:w="7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584"/>
              <w:gridCol w:w="2254"/>
              <w:gridCol w:w="3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3"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1584"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w:t>
                  </w:r>
                </w:p>
              </w:tc>
              <w:tc>
                <w:tcPr>
                  <w:tcW w:w="5401" w:type="dxa"/>
                  <w:gridSpan w:val="2"/>
                  <w:tcBorders>
                    <w:tl2br w:val="nil"/>
                    <w:tr2bl w:val="nil"/>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13"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584" w:type="dxa"/>
                  <w:vMerge w:val="continue"/>
                  <w:tcBorders>
                    <w:tl2br w:val="nil"/>
                    <w:tr2bl w:val="nil"/>
                  </w:tcBorders>
                  <w:vAlign w:val="center"/>
                </w:tcPr>
                <w:p>
                  <w:pPr>
                    <w:jc w:val="center"/>
                    <w:rPr>
                      <w:rFonts w:hint="eastAsia"/>
                      <w:color w:val="000000" w:themeColor="text1"/>
                      <w:szCs w:val="21"/>
                      <w14:textFill>
                        <w14:solidFill>
                          <w14:schemeClr w14:val="tx1"/>
                        </w14:solidFill>
                      </w14:textFill>
                    </w:rPr>
                  </w:pPr>
                </w:p>
              </w:tc>
              <w:tc>
                <w:tcPr>
                  <w:tcW w:w="2254" w:type="dxa"/>
                  <w:tcBorders>
                    <w:tl2br w:val="nil"/>
                    <w:tr2bl w:val="nil"/>
                  </w:tcBorders>
                  <w:vAlign w:val="center"/>
                </w:tcPr>
                <w:p>
                  <w:pPr>
                    <w:jc w:val="center"/>
                    <w:rPr>
                      <w:rFonts w:hint="eastAsia"/>
                      <w:b/>
                      <w:bCs/>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污染物</w:t>
                  </w:r>
                </w:p>
              </w:tc>
              <w:tc>
                <w:tcPr>
                  <w:tcW w:w="3147" w:type="dxa"/>
                  <w:tcBorders>
                    <w:tl2br w:val="nil"/>
                    <w:tr2bl w:val="nil"/>
                  </w:tcBorders>
                  <w:vAlign w:val="center"/>
                </w:tcPr>
                <w:p>
                  <w:pPr>
                    <w:jc w:val="center"/>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投料粉尘</w:t>
                  </w:r>
                </w:p>
              </w:tc>
              <w:tc>
                <w:tcPr>
                  <w:tcW w:w="1584" w:type="dxa"/>
                  <w:vMerge w:val="restart"/>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w:t>
                  </w:r>
                </w:p>
              </w:tc>
              <w:tc>
                <w:tcPr>
                  <w:tcW w:w="2254"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3147"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有组织排放速率：3.5kg/h（15m高排气筒）</w:t>
                  </w:r>
                </w:p>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有组织排放浓度：120</w:t>
                  </w:r>
                  <w:r>
                    <w:rPr>
                      <w:rFonts w:hint="eastAsia"/>
                      <w:color w:val="000000" w:themeColor="text1"/>
                      <w:szCs w:val="21"/>
                      <w14:textFill>
                        <w14:solidFill>
                          <w14:schemeClr w14:val="tx1"/>
                        </w14:solidFill>
                      </w14:textFill>
                    </w:rPr>
                    <w:t>mg/m</w:t>
                  </w:r>
                  <w:r>
                    <w:rPr>
                      <w:rFonts w:hint="eastAsia"/>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8" w:hRule="atLeast"/>
                <w:jc w:val="center"/>
              </w:trPr>
              <w:tc>
                <w:tcPr>
                  <w:tcW w:w="913" w:type="dxa"/>
                  <w:tcBorders>
                    <w:tl2br w:val="nil"/>
                    <w:tr2bl w:val="nil"/>
                  </w:tcBorders>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熔融烟尘</w:t>
                  </w:r>
                </w:p>
              </w:tc>
              <w:tc>
                <w:tcPr>
                  <w:tcW w:w="1584"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2254"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3147" w:type="dxa"/>
                  <w:tcBorders>
                    <w:tl2br w:val="nil"/>
                    <w:tr2bl w:val="nil"/>
                  </w:tcBorders>
                  <w:vAlign w:val="top"/>
                </w:tcPr>
                <w:p>
                  <w:pPr>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无组织：</w:t>
                  </w:r>
                  <w:r>
                    <w:rPr>
                      <w:rFonts w:hint="eastAsia"/>
                      <w:color w:val="000000" w:themeColor="text1"/>
                      <w:szCs w:val="21"/>
                      <w14:textFill>
                        <w14:solidFill>
                          <w14:schemeClr w14:val="tx1"/>
                        </w14:solidFill>
                      </w14:textFill>
                    </w:rPr>
                    <w:t>周界外浓度最高点</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1.0mg/m</w:t>
                  </w:r>
                  <w:r>
                    <w:rPr>
                      <w:rFonts w:hint="eastAsia"/>
                      <w:color w:val="000000" w:themeColor="text1"/>
                      <w:szCs w:val="21"/>
                      <w:vertAlign w:val="superscript"/>
                      <w14:textFill>
                        <w14:solidFill>
                          <w14:schemeClr w14:val="tx1"/>
                        </w14:solidFill>
                      </w14:textFill>
                    </w:rPr>
                    <w:t>3</w:t>
                  </w:r>
                </w:p>
              </w:tc>
            </w:tr>
          </w:tbl>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2.水污染物排放标准</w:t>
            </w:r>
          </w:p>
          <w:p>
            <w:pPr>
              <w:pStyle w:val="30"/>
              <w:spacing w:line="360" w:lineRule="auto"/>
              <w:ind w:firstLine="420" w:firstLineChars="200"/>
              <w:jc w:val="both"/>
              <w:rPr>
                <w:rFonts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项目区产生的废水为生活污水。生活污水经化粪池处理达《污水排入城镇下水道水质标准》（GB/T3</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14:textFill>
                  <w14:solidFill>
                    <w14:schemeClr w14:val="tx1"/>
                  </w14:solidFill>
                </w14:textFill>
              </w:rPr>
              <w:t>-2015）表1中A等级标准后纳管，经四方地碧谷工业园区污水处理厂处理达《城镇污水处理厂污染物排放标准》（GB</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14:textFill>
                  <w14:solidFill>
                    <w14:schemeClr w14:val="tx1"/>
                  </w14:solidFill>
                </w14:textFill>
              </w:rPr>
              <w:t>-2002）一级A标限值排放。</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表3-5 项目废水纳管和排放标准 (除pH外，均为mg/L)</w:t>
            </w:r>
          </w:p>
          <w:tbl>
            <w:tblPr>
              <w:tblStyle w:val="23"/>
              <w:tblW w:w="7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900"/>
              <w:gridCol w:w="857"/>
              <w:gridCol w:w="821"/>
              <w:gridCol w:w="773"/>
              <w:gridCol w:w="774"/>
              <w:gridCol w:w="1039"/>
              <w:gridCol w:w="845"/>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69" w:type="dxa"/>
                  <w:tcBorders>
                    <w:tl2br w:val="nil"/>
                    <w:tr2bl w:val="nil"/>
                  </w:tcBorders>
                  <w:vAlign w:val="center"/>
                </w:tcPr>
                <w:p>
                  <w:pPr>
                    <w:adjustRightIn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p>
              </w:tc>
              <w:tc>
                <w:tcPr>
                  <w:tcW w:w="900"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2" w:name="_Toc474336375"/>
                  <w:bookmarkStart w:id="23" w:name="_Toc483830575"/>
                  <w:bookmarkStart w:id="24" w:name="_Toc483339796"/>
                  <w:r>
                    <w:rPr>
                      <w:color w:val="000000" w:themeColor="text1"/>
                      <w:kern w:val="0"/>
                      <w:szCs w:val="21"/>
                      <w14:textFill>
                        <w14:solidFill>
                          <w14:schemeClr w14:val="tx1"/>
                        </w14:solidFill>
                      </w14:textFill>
                    </w:rPr>
                    <w:t>pH</w:t>
                  </w:r>
                  <w:bookmarkEnd w:id="22"/>
                  <w:bookmarkEnd w:id="23"/>
                  <w:bookmarkEnd w:id="24"/>
                </w:p>
              </w:tc>
              <w:tc>
                <w:tcPr>
                  <w:tcW w:w="857"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5" w:name="_Toc483830576"/>
                  <w:bookmarkStart w:id="26" w:name="_Toc483339797"/>
                  <w:bookmarkStart w:id="27" w:name="_Toc474336376"/>
                  <w:r>
                    <w:rPr>
                      <w:color w:val="000000" w:themeColor="text1"/>
                      <w:kern w:val="0"/>
                      <w:szCs w:val="21"/>
                      <w14:textFill>
                        <w14:solidFill>
                          <w14:schemeClr w14:val="tx1"/>
                        </w14:solidFill>
                      </w14:textFill>
                    </w:rPr>
                    <w:t>COD</w:t>
                  </w:r>
                  <w:bookmarkEnd w:id="25"/>
                  <w:bookmarkEnd w:id="26"/>
                  <w:bookmarkEnd w:id="27"/>
                  <w:r>
                    <w:rPr>
                      <w:rFonts w:hint="eastAsia"/>
                      <w:color w:val="000000" w:themeColor="text1"/>
                      <w:kern w:val="0"/>
                      <w:szCs w:val="21"/>
                      <w14:textFill>
                        <w14:solidFill>
                          <w14:schemeClr w14:val="tx1"/>
                        </w14:solidFill>
                      </w14:textFill>
                    </w:rPr>
                    <w:t>cr</w:t>
                  </w:r>
                </w:p>
              </w:tc>
              <w:tc>
                <w:tcPr>
                  <w:tcW w:w="821"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28" w:name="_Toc474336377"/>
                  <w:bookmarkStart w:id="29" w:name="_Toc483830577"/>
                  <w:bookmarkStart w:id="30" w:name="_Toc483339798"/>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bookmarkEnd w:id="28"/>
                  <w:bookmarkEnd w:id="29"/>
                  <w:bookmarkEnd w:id="30"/>
                </w:p>
              </w:tc>
              <w:tc>
                <w:tcPr>
                  <w:tcW w:w="773"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31" w:name="_Toc474336378"/>
                  <w:bookmarkStart w:id="32" w:name="_Toc483339799"/>
                  <w:bookmarkStart w:id="33" w:name="_Toc483830578"/>
                  <w:r>
                    <w:rPr>
                      <w:color w:val="000000" w:themeColor="text1"/>
                      <w:kern w:val="0"/>
                      <w:szCs w:val="21"/>
                      <w14:textFill>
                        <w14:solidFill>
                          <w14:schemeClr w14:val="tx1"/>
                        </w14:solidFill>
                      </w14:textFill>
                    </w:rPr>
                    <w:t>S</w:t>
                  </w:r>
                  <w:bookmarkEnd w:id="31"/>
                  <w:bookmarkEnd w:id="32"/>
                  <w:bookmarkEnd w:id="33"/>
                  <w:r>
                    <w:rPr>
                      <w:color w:val="000000" w:themeColor="text1"/>
                      <w:kern w:val="0"/>
                      <w:szCs w:val="21"/>
                      <w14:textFill>
                        <w14:solidFill>
                          <w14:schemeClr w14:val="tx1"/>
                        </w14:solidFill>
                      </w14:textFill>
                    </w:rPr>
                    <w:t>S</w:t>
                  </w:r>
                </w:p>
              </w:tc>
              <w:tc>
                <w:tcPr>
                  <w:tcW w:w="774"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bookmarkStart w:id="34" w:name="_Toc483339801"/>
                  <w:bookmarkStart w:id="35" w:name="_Toc474336380"/>
                  <w:bookmarkStart w:id="36" w:name="_Toc483830580"/>
                  <w:r>
                    <w:rPr>
                      <w:rFonts w:hint="eastAsia"/>
                      <w:color w:val="000000" w:themeColor="text1"/>
                      <w:kern w:val="0"/>
                      <w:szCs w:val="21"/>
                      <w14:textFill>
                        <w14:solidFill>
                          <w14:schemeClr w14:val="tx1"/>
                        </w14:solidFill>
                      </w14:textFill>
                    </w:rPr>
                    <w:t>TN</w:t>
                  </w:r>
                </w:p>
              </w:tc>
              <w:tc>
                <w:tcPr>
                  <w:tcW w:w="1039"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bookmarkEnd w:id="34"/>
                  <w:bookmarkEnd w:id="35"/>
                  <w:bookmarkEnd w:id="36"/>
                </w:p>
              </w:tc>
              <w:tc>
                <w:tcPr>
                  <w:tcW w:w="845"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TP</w:t>
                  </w:r>
                </w:p>
              </w:tc>
              <w:tc>
                <w:tcPr>
                  <w:tcW w:w="870" w:type="dxa"/>
                  <w:tcBorders>
                    <w:tl2br w:val="nil"/>
                    <w:tr2bl w:val="nil"/>
                  </w:tcBorders>
                  <w:vAlign w:val="center"/>
                </w:tcPr>
                <w:p>
                  <w:pPr>
                    <w:keepNext/>
                    <w:keepLines/>
                    <w:widowControl/>
                    <w:adjustRightInd w:val="0"/>
                    <w:spacing w:line="300" w:lineRule="exact"/>
                    <w:jc w:val="center"/>
                    <w:outlineLvl w:val="2"/>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69" w:type="dxa"/>
                  <w:tcBorders>
                    <w:tl2br w:val="nil"/>
                    <w:tr2bl w:val="nil"/>
                  </w:tcBorders>
                  <w:vAlign w:val="center"/>
                </w:tcPr>
                <w:p>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纳管标准</w:t>
                  </w:r>
                </w:p>
              </w:tc>
              <w:tc>
                <w:tcPr>
                  <w:tcW w:w="90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.5</w:t>
                  </w:r>
                </w:p>
              </w:tc>
              <w:tc>
                <w:tcPr>
                  <w:tcW w:w="857"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00</w:t>
                  </w:r>
                </w:p>
              </w:tc>
              <w:tc>
                <w:tcPr>
                  <w:tcW w:w="8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350</w:t>
                  </w:r>
                </w:p>
              </w:tc>
              <w:tc>
                <w:tcPr>
                  <w:tcW w:w="773"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w:t>
                  </w:r>
                </w:p>
              </w:tc>
              <w:tc>
                <w:tcPr>
                  <w:tcW w:w="77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70</w:t>
                  </w:r>
                </w:p>
              </w:tc>
              <w:tc>
                <w:tcPr>
                  <w:tcW w:w="1039"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45</w:t>
                  </w:r>
                </w:p>
              </w:tc>
              <w:tc>
                <w:tcPr>
                  <w:tcW w:w="845"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8.0</w:t>
                  </w:r>
                </w:p>
              </w:tc>
              <w:tc>
                <w:tcPr>
                  <w:tcW w:w="87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69" w:type="dxa"/>
                  <w:tcBorders>
                    <w:tl2br w:val="nil"/>
                    <w:tr2bl w:val="nil"/>
                  </w:tcBorders>
                  <w:vAlign w:val="center"/>
                </w:tcPr>
                <w:p>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排放标准</w:t>
                  </w:r>
                </w:p>
              </w:tc>
              <w:tc>
                <w:tcPr>
                  <w:tcW w:w="90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857"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821"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773"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c>
                <w:tcPr>
                  <w:tcW w:w="774"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c>
                <w:tcPr>
                  <w:tcW w:w="1039"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p>
              </w:tc>
              <w:tc>
                <w:tcPr>
                  <w:tcW w:w="845"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0.5</w:t>
                  </w:r>
                </w:p>
              </w:tc>
              <w:tc>
                <w:tcPr>
                  <w:tcW w:w="870" w:type="dxa"/>
                  <w:tcBorders>
                    <w:tl2br w:val="nil"/>
                    <w:tr2bl w:val="nil"/>
                  </w:tcBorders>
                  <w:vAlign w:val="center"/>
                </w:tcPr>
                <w:p>
                  <w:pPr>
                    <w:keepNext/>
                    <w:widowControl/>
                    <w:overflowPunct w:val="0"/>
                    <w:adjustRightInd w:val="0"/>
                    <w:spacing w:line="300" w:lineRule="exact"/>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w:t>
                  </w:r>
                </w:p>
              </w:tc>
            </w:tr>
          </w:tbl>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3.噪声排放标准</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营运期厂界噪声执行《工业企业厂界环境噪声排放标准》（GB</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-2008）的3类标准，具体标准值见下表。</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表3-6《工业企业厂界环境噪声排放标准》（GB</w:t>
            </w:r>
            <w:r>
              <w:rPr>
                <w:rFonts w:hint="eastAsia"/>
                <w:b/>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-2008）单位：dB（A）</w:t>
            </w:r>
          </w:p>
          <w:tbl>
            <w:tblPr>
              <w:tblStyle w:val="23"/>
              <w:tblW w:w="78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636"/>
              <w:gridCol w:w="1182"/>
              <w:gridCol w:w="2073"/>
              <w:gridCol w:w="2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63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边界外声环境功能区类别</w:t>
                  </w:r>
                </w:p>
              </w:tc>
              <w:tc>
                <w:tcPr>
                  <w:tcW w:w="118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类别</w:t>
                  </w:r>
                </w:p>
              </w:tc>
              <w:tc>
                <w:tcPr>
                  <w:tcW w:w="207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200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63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厂侧</w:t>
                  </w:r>
                </w:p>
              </w:tc>
              <w:tc>
                <w:tcPr>
                  <w:tcW w:w="118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3类</w:t>
                  </w:r>
                </w:p>
              </w:tc>
              <w:tc>
                <w:tcPr>
                  <w:tcW w:w="207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200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r>
          </w:tbl>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4.固体废弃物排放标准</w:t>
            </w:r>
          </w:p>
          <w:p>
            <w:pPr>
              <w:adjustRightInd w:val="0"/>
              <w:snapToGrid w:val="0"/>
              <w:spacing w:line="360" w:lineRule="auto"/>
              <w:ind w:firstLine="420" w:firstLineChars="200"/>
              <w:rPr>
                <w:rFonts w:ascii="宋体" w:hAnsi="宋体" w:cs="宋体"/>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本项目产生的一般废物的贮存和处置评价执行《一般工业固体废物贮存和填埋污染控制标准》（GB</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-2020）中有关规定；危险废物执行《危险废物贮存污染控制标准》（GB</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-20</w:t>
            </w:r>
            <w:r>
              <w:rPr>
                <w:rFonts w:hint="eastAsia"/>
                <w:bCs/>
                <w:color w:val="000000" w:themeColor="text1"/>
                <w:szCs w:val="21"/>
                <w:lang w:val="en-US" w:eastAsia="zh-CN"/>
                <w14:textFill>
                  <w14:solidFill>
                    <w14:schemeClr w14:val="tx1"/>
                  </w14:solidFill>
                </w14:textFill>
              </w:rPr>
              <w:t>23</w:t>
            </w:r>
            <w:r>
              <w:rPr>
                <w:rFonts w:hint="eastAsia"/>
                <w:bCs/>
                <w:color w:val="000000" w:themeColor="text1"/>
                <w:szCs w:val="21"/>
                <w14:textFill>
                  <w14:solidFill>
                    <w14:schemeClr w14:val="tx1"/>
                  </w14:solidFill>
                </w14:textFill>
              </w:rPr>
              <w:t>）有关规定。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5" w:hRule="atLeast"/>
          <w:jc w:val="center"/>
        </w:trPr>
        <w:tc>
          <w:tcPr>
            <w:tcW w:w="80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8190" w:type="dxa"/>
            <w:vAlign w:val="center"/>
          </w:tcPr>
          <w:p>
            <w:pPr>
              <w:adjustRightInd w:val="0"/>
              <w:snapToGrid w:val="0"/>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建议的总量控制指标：</w:t>
            </w:r>
          </w:p>
          <w:p>
            <w:pPr>
              <w:numPr>
                <w:ilvl w:val="0"/>
                <w:numId w:val="4"/>
              </w:num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r>
              <w:rPr>
                <w:rFonts w:hint="eastAsia"/>
                <w:bCs/>
                <w:color w:val="000000" w:themeColor="text1"/>
                <w:szCs w:val="21"/>
                <w:lang w:val="en-US" w:eastAsia="zh-CN"/>
                <w14:textFill>
                  <w14:solidFill>
                    <w14:schemeClr w14:val="tx1"/>
                  </w14:solidFill>
                </w14:textFill>
              </w:rPr>
              <w:t>颗粒物0.461t/a</w:t>
            </w:r>
            <w:r>
              <w:rPr>
                <w:rFonts w:hint="eastAsia"/>
                <w:bCs/>
                <w:color w:val="000000" w:themeColor="text1"/>
                <w:szCs w:val="21"/>
                <w14:textFill>
                  <w14:solidFill>
                    <w14:schemeClr w14:val="tx1"/>
                  </w14:solidFill>
                </w14:textFill>
              </w:rPr>
              <w:t>。</w:t>
            </w:r>
          </w:p>
          <w:p>
            <w:pPr>
              <w:numPr>
                <w:ilvl w:val="0"/>
                <w:numId w:val="4"/>
              </w:num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废水：项目生活污水通过市政污水管网进入四方地碧谷工业园区污水处理厂处理</w:t>
            </w:r>
            <w:r>
              <w:rPr>
                <w:rFonts w:hint="eastAsia"/>
                <w:bCs/>
                <w:color w:val="000000" w:themeColor="text1"/>
                <w:szCs w:val="21"/>
                <w:lang w:val="en-US" w:eastAsia="zh-CN"/>
                <w14:textFill>
                  <w14:solidFill>
                    <w14:schemeClr w14:val="tx1"/>
                  </w14:solidFill>
                </w14:textFill>
              </w:rPr>
              <w:t>。废水总</w:t>
            </w:r>
            <w:r>
              <w:rPr>
                <w:rFonts w:hint="eastAsia"/>
                <w:bCs/>
                <w:color w:val="000000" w:themeColor="text1"/>
                <w:szCs w:val="21"/>
                <w14:textFill>
                  <w14:solidFill>
                    <w14:schemeClr w14:val="tx1"/>
                  </w14:solidFill>
                </w14:textFill>
              </w:rPr>
              <w:t>年排放量为6</w:t>
            </w:r>
            <w:r>
              <w:rPr>
                <w:rFonts w:hint="eastAsia"/>
                <w:bCs/>
                <w:color w:val="000000" w:themeColor="text1"/>
                <w:szCs w:val="21"/>
                <w:lang w:val="en-US" w:eastAsia="zh-CN"/>
                <w14:textFill>
                  <w14:solidFill>
                    <w14:schemeClr w14:val="tx1"/>
                  </w14:solidFill>
                </w14:textFill>
              </w:rPr>
              <w:t>00</w:t>
            </w:r>
            <w:r>
              <w:rPr>
                <w:rFonts w:hint="eastAsia"/>
                <w:bCs/>
                <w:color w:val="000000" w:themeColor="text1"/>
                <w:szCs w:val="21"/>
                <w14:textFill>
                  <w14:solidFill>
                    <w14:schemeClr w14:val="tx1"/>
                  </w14:solidFill>
                </w14:textFill>
              </w:rPr>
              <w:t>t/a，其中：COD为0.03</w:t>
            </w:r>
            <w:r>
              <w:rPr>
                <w:rFonts w:hint="eastAsia"/>
                <w:bCs/>
                <w:color w:val="000000" w:themeColor="text1"/>
                <w:szCs w:val="21"/>
                <w:lang w:val="en-US" w:eastAsia="zh-CN"/>
                <w14:textFill>
                  <w14:solidFill>
                    <w14:schemeClr w14:val="tx1"/>
                  </w14:solidFill>
                </w14:textFill>
              </w:rPr>
              <w:t>0</w:t>
            </w:r>
            <w:r>
              <w:rPr>
                <w:rFonts w:hint="eastAsia"/>
                <w:bCs/>
                <w:color w:val="000000" w:themeColor="text1"/>
                <w:szCs w:val="21"/>
                <w14:textFill>
                  <w14:solidFill>
                    <w14:schemeClr w14:val="tx1"/>
                  </w14:solidFill>
                </w14:textFill>
              </w:rPr>
              <w:t>t/a、氨氮0.003t/a，TP0.001t/a，总量由四方地碧谷工业园区污水处理厂解决。</w:t>
            </w:r>
          </w:p>
          <w:p>
            <w:pPr>
              <w:numPr>
                <w:ilvl w:val="0"/>
                <w:numId w:val="4"/>
              </w:num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固废：本项目固体废物处置率达100%。</w:t>
            </w: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cs="宋体"/>
                <w:color w:val="000000" w:themeColor="text1"/>
                <w:kern w:val="0"/>
                <w:szCs w:val="21"/>
                <w:lang w:val="en-US" w:eastAsia="zh-CN"/>
                <w14:textFill>
                  <w14:solidFill>
                    <w14:schemeClr w14:val="tx1"/>
                  </w14:solidFill>
                </w14:textFill>
              </w:rPr>
            </w:pPr>
          </w:p>
          <w:p>
            <w:pPr>
              <w:adjustRightInd w:val="0"/>
              <w:snapToGrid w:val="0"/>
              <w:rPr>
                <w:rFonts w:hint="eastAsia" w:ascii="宋体" w:hAnsi="宋体" w:eastAsia="宋体" w:cs="宋体"/>
                <w:color w:val="000000" w:themeColor="text1"/>
                <w:kern w:val="0"/>
                <w:szCs w:val="21"/>
                <w:lang w:val="en-US" w:eastAsia="zh-CN"/>
                <w14:textFill>
                  <w14:solidFill>
                    <w14:schemeClr w14:val="tx1"/>
                  </w14:solidFill>
                </w14:textFill>
              </w:rPr>
            </w:pPr>
          </w:p>
        </w:tc>
      </w:tr>
    </w:tbl>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bookmarkStart w:id="37" w:name="_Toc2666"/>
      <w:bookmarkStart w:id="38" w:name="_Toc17700"/>
      <w:r>
        <w:rPr>
          <w:rFonts w:hint="eastAsia" w:ascii="黑体" w:hAnsi="黑体" w:eastAsia="黑体"/>
          <w:snapToGrid w:val="0"/>
          <w:color w:val="000000" w:themeColor="text1"/>
          <w:sz w:val="30"/>
          <w:szCs w:val="30"/>
          <w14:textFill>
            <w14:solidFill>
              <w14:schemeClr w14:val="tx1"/>
            </w14:solidFill>
          </w14:textFill>
        </w:rPr>
        <w:t>四、主要环境影响和保护措施</w:t>
      </w:r>
      <w:bookmarkEnd w:id="37"/>
      <w:bookmarkEnd w:id="3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46" w:type="dxa"/>
            <w:tcMar>
              <w:left w:w="28" w:type="dxa"/>
              <w:right w:w="28" w:type="dxa"/>
            </w:tcMar>
            <w:vAlign w:val="center"/>
          </w:tcPr>
          <w:p>
            <w:pPr>
              <w:pStyle w:val="19"/>
              <w:adjustRightInd w:val="0"/>
              <w:snapToGrid w:val="0"/>
              <w:spacing w:before="0" w:beforeAutospacing="0" w:after="0" w:afterAutospacing="0"/>
              <w:jc w:val="center"/>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施工</w:t>
            </w:r>
          </w:p>
          <w:p>
            <w:pPr>
              <w:pStyle w:val="19"/>
              <w:adjustRightInd w:val="0"/>
              <w:snapToGrid w:val="0"/>
              <w:spacing w:before="0" w:beforeAutospacing="0" w:after="0" w:afterAutospacing="0"/>
              <w:jc w:val="center"/>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期环</w:t>
            </w:r>
          </w:p>
          <w:p>
            <w:pPr>
              <w:pStyle w:val="19"/>
              <w:adjustRightInd w:val="0"/>
              <w:snapToGrid w:val="0"/>
              <w:spacing w:before="0" w:beforeAutospacing="0" w:after="0" w:afterAutospacing="0"/>
              <w:jc w:val="center"/>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境保</w:t>
            </w:r>
          </w:p>
          <w:p>
            <w:pPr>
              <w:pStyle w:val="19"/>
              <w:adjustRightInd w:val="0"/>
              <w:snapToGrid w:val="0"/>
              <w:spacing w:before="0" w:beforeAutospacing="0" w:after="0" w:afterAutospacing="0"/>
              <w:jc w:val="center"/>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护措</w:t>
            </w:r>
          </w:p>
          <w:p>
            <w:pPr>
              <w:pStyle w:val="19"/>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施</w:t>
            </w:r>
          </w:p>
        </w:tc>
        <w:tc>
          <w:tcPr>
            <w:tcW w:w="8162" w:type="dxa"/>
            <w:vAlign w:val="center"/>
          </w:tcPr>
          <w:p>
            <w:pPr>
              <w:adjustRightInd w:val="0"/>
              <w:snapToGrid w:val="0"/>
              <w:spacing w:line="360" w:lineRule="auto"/>
              <w:ind w:firstLine="420" w:firstLineChars="200"/>
              <w:rPr>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本项目租用</w:t>
            </w:r>
            <w:r>
              <w:rPr>
                <w:rFonts w:hint="eastAsia"/>
                <w:color w:val="000000" w:themeColor="text1"/>
                <w:szCs w:val="21"/>
                <w14:textFill>
                  <w14:solidFill>
                    <w14:schemeClr w14:val="tx1"/>
                  </w14:solidFill>
                </w14:textFill>
              </w:rPr>
              <w:t>昆明市东川工业投资开发有限公司位于昆明市东川区碧谷工业片区的空置厂房建设</w:t>
            </w:r>
            <w:r>
              <w:rPr>
                <w:rFonts w:hint="eastAsia"/>
                <w:bCs/>
                <w:color w:val="000000" w:themeColor="text1"/>
                <w:szCs w:val="21"/>
                <w:lang w:val="zh-CN"/>
                <w14:textFill>
                  <w14:solidFill>
                    <w14:schemeClr w14:val="tx1"/>
                  </w14:solidFill>
                </w14:textFill>
              </w:rPr>
              <w:t>，为</w:t>
            </w:r>
            <w:r>
              <w:rPr>
                <w:rFonts w:hint="eastAsia"/>
                <w:bCs/>
                <w:color w:val="000000" w:themeColor="text1"/>
                <w:szCs w:val="21"/>
                <w14:textFill>
                  <w14:solidFill>
                    <w14:schemeClr w14:val="tx1"/>
                  </w14:solidFill>
                </w14:textFill>
              </w:rPr>
              <w:t>7栋1层1</w:t>
            </w:r>
            <w:r>
              <w:rPr>
                <w:rFonts w:hint="eastAsia"/>
                <w:bCs/>
                <w:color w:val="000000" w:themeColor="text1"/>
                <w:szCs w:val="21"/>
                <w:lang w:val="zh-CN"/>
                <w14:textFill>
                  <w14:solidFill>
                    <w14:schemeClr w14:val="tx1"/>
                  </w14:solidFill>
                </w14:textFill>
              </w:rPr>
              <w:t>间总占地面积</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14:textFill>
                  <w14:solidFill>
                    <w14:schemeClr w14:val="tx1"/>
                  </w14:solidFill>
                </w14:textFill>
              </w:rPr>
              <w:t>500</w:t>
            </w:r>
            <w:r>
              <w:rPr>
                <w:rFonts w:hint="eastAsia"/>
                <w:bCs/>
                <w:color w:val="000000" w:themeColor="text1"/>
                <w:szCs w:val="21"/>
                <w:lang w:val="zh-CN"/>
                <w14:textFill>
                  <w14:solidFill>
                    <w14:schemeClr w14:val="tx1"/>
                  </w14:solidFill>
                </w14:textFill>
              </w:rPr>
              <w:t>m</w:t>
            </w:r>
            <w:r>
              <w:rPr>
                <w:rFonts w:hint="eastAsia"/>
                <w:bCs/>
                <w:color w:val="000000" w:themeColor="text1"/>
                <w:szCs w:val="21"/>
                <w:vertAlign w:val="superscript"/>
                <w:lang w:val="zh-CN"/>
                <w14:textFill>
                  <w14:solidFill>
                    <w14:schemeClr w14:val="tx1"/>
                  </w14:solidFill>
                </w14:textFill>
              </w:rPr>
              <w:t>2</w:t>
            </w:r>
            <w:r>
              <w:rPr>
                <w:rFonts w:hint="eastAsia"/>
                <w:bCs/>
                <w:color w:val="000000" w:themeColor="text1"/>
                <w:szCs w:val="21"/>
                <w:lang w:val="zh-CN"/>
                <w14:textFill>
                  <w14:solidFill>
                    <w14:schemeClr w14:val="tx1"/>
                  </w14:solidFill>
                </w14:textFill>
              </w:rPr>
              <w:t>的砖混结构的生产厂房，内部设置为原料堆放区、</w:t>
            </w:r>
            <w:r>
              <w:rPr>
                <w:rFonts w:hint="eastAsia"/>
                <w:bCs/>
                <w:color w:val="000000" w:themeColor="text1"/>
                <w:szCs w:val="21"/>
                <w:lang w:val="en-US" w:eastAsia="zh-CN"/>
                <w14:textFill>
                  <w14:solidFill>
                    <w14:schemeClr w14:val="tx1"/>
                  </w14:solidFill>
                </w14:textFill>
              </w:rPr>
              <w:t>铸锭区、</w:t>
            </w:r>
            <w:r>
              <w:rPr>
                <w:rFonts w:hint="eastAsia"/>
                <w:bCs/>
                <w:color w:val="000000" w:themeColor="text1"/>
                <w:szCs w:val="21"/>
                <w:lang w:val="zh-CN"/>
                <w14:textFill>
                  <w14:solidFill>
                    <w14:schemeClr w14:val="tx1"/>
                  </w14:solidFill>
                </w14:textFill>
              </w:rPr>
              <w:t>成品区、办公室</w:t>
            </w:r>
            <w:r>
              <w:rPr>
                <w:rFonts w:hint="eastAsia"/>
                <w:bCs/>
                <w:color w:val="000000" w:themeColor="text1"/>
                <w:szCs w:val="21"/>
                <w:lang w:val="en-US" w:eastAsia="zh-CN"/>
                <w14:textFill>
                  <w14:solidFill>
                    <w14:schemeClr w14:val="tx1"/>
                  </w14:solidFill>
                </w14:textFill>
              </w:rPr>
              <w:t>等</w:t>
            </w:r>
            <w:r>
              <w:rPr>
                <w:rFonts w:hint="eastAsia"/>
                <w:bCs/>
                <w:color w:val="000000" w:themeColor="text1"/>
                <w:szCs w:val="21"/>
                <w:lang w:val="zh-CN"/>
                <w14:textFill>
                  <w14:solidFill>
                    <w14:schemeClr w14:val="tx1"/>
                  </w14:solidFill>
                </w14:textFill>
              </w:rPr>
              <w:t>，布设1条</w:t>
            </w:r>
            <w:r>
              <w:rPr>
                <w:rFonts w:hint="eastAsia"/>
                <w:bCs/>
                <w:color w:val="000000" w:themeColor="text1"/>
                <w:szCs w:val="21"/>
                <w14:textFill>
                  <w14:solidFill>
                    <w14:schemeClr w14:val="tx1"/>
                  </w14:solidFill>
                </w14:textFill>
              </w:rPr>
              <w:t>多晶硅铸锭</w:t>
            </w:r>
            <w:r>
              <w:rPr>
                <w:rFonts w:hint="eastAsia"/>
                <w:bCs/>
                <w:color w:val="000000" w:themeColor="text1"/>
                <w:szCs w:val="21"/>
                <w:lang w:val="zh-CN"/>
                <w14:textFill>
                  <w14:solidFill>
                    <w14:schemeClr w14:val="tx1"/>
                  </w14:solidFill>
                </w14:textFill>
              </w:rPr>
              <w:t>生产线。</w:t>
            </w:r>
          </w:p>
          <w:p>
            <w:pPr>
              <w:adjustRightInd w:val="0"/>
              <w:snapToGrid w:val="0"/>
              <w:spacing w:line="360" w:lineRule="auto"/>
              <w:ind w:firstLine="420" w:firstLineChars="200"/>
              <w:rPr>
                <w:rFonts w:hint="eastAsia"/>
                <w:bCs/>
                <w:color w:val="000000" w:themeColor="text1"/>
                <w:szCs w:val="21"/>
                <w:lang w:val="zh-CN"/>
                <w14:textFill>
                  <w14:solidFill>
                    <w14:schemeClr w14:val="tx1"/>
                  </w14:solidFill>
                </w14:textFill>
              </w:rPr>
            </w:pPr>
            <w:r>
              <w:rPr>
                <w:rFonts w:hint="eastAsia"/>
                <w:bCs/>
                <w:color w:val="000000" w:themeColor="text1"/>
                <w:szCs w:val="21"/>
                <w14:textFill>
                  <w14:solidFill>
                    <w14:schemeClr w14:val="tx1"/>
                  </w14:solidFill>
                </w14:textFill>
              </w:rPr>
              <w:t>本</w:t>
            </w:r>
            <w:r>
              <w:rPr>
                <w:rFonts w:hint="eastAsia"/>
                <w:bCs/>
                <w:color w:val="000000" w:themeColor="text1"/>
                <w:szCs w:val="21"/>
                <w:lang w:val="zh-CN"/>
                <w14:textFill>
                  <w14:solidFill>
                    <w14:schemeClr w14:val="tx1"/>
                  </w14:solidFill>
                </w14:textFill>
              </w:rPr>
              <w:t>项目内不进行土建工程，仅进行厂房的简单改造、环保设备的安装，本项目计划开工时间：202</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lang w:val="zh-CN"/>
                <w14:textFill>
                  <w14:solidFill>
                    <w14:schemeClr w14:val="tx1"/>
                  </w14:solidFill>
                </w14:textFill>
              </w:rPr>
              <w:t>年</w:t>
            </w:r>
            <w:r>
              <w:rPr>
                <w:rFonts w:hint="eastAsia"/>
                <w:bCs/>
                <w:color w:val="000000" w:themeColor="text1"/>
                <w:szCs w:val="21"/>
                <w:lang w:val="en-US" w:eastAsia="zh-CN"/>
                <w14:textFill>
                  <w14:solidFill>
                    <w14:schemeClr w14:val="tx1"/>
                  </w14:solidFill>
                </w14:textFill>
              </w:rPr>
              <w:t>6</w:t>
            </w:r>
            <w:r>
              <w:rPr>
                <w:rFonts w:hint="eastAsia"/>
                <w:bCs/>
                <w:color w:val="000000" w:themeColor="text1"/>
                <w:szCs w:val="21"/>
                <w:lang w:val="zh-CN"/>
                <w14:textFill>
                  <w14:solidFill>
                    <w14:schemeClr w14:val="tx1"/>
                  </w14:solidFill>
                </w14:textFill>
              </w:rPr>
              <w:t>月，计划投产时间：202</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lang w:val="zh-CN"/>
                <w14:textFill>
                  <w14:solidFill>
                    <w14:schemeClr w14:val="tx1"/>
                  </w14:solidFill>
                </w14:textFill>
              </w:rPr>
              <w:t>年</w:t>
            </w:r>
            <w:r>
              <w:rPr>
                <w:rFonts w:hint="eastAsia"/>
                <w:bCs/>
                <w:color w:val="000000" w:themeColor="text1"/>
                <w:szCs w:val="21"/>
                <w:lang w:val="en-US" w:eastAsia="zh-CN"/>
                <w14:textFill>
                  <w14:solidFill>
                    <w14:schemeClr w14:val="tx1"/>
                  </w14:solidFill>
                </w14:textFill>
              </w:rPr>
              <w:t>12</w:t>
            </w:r>
            <w:r>
              <w:rPr>
                <w:rFonts w:hint="eastAsia"/>
                <w:bCs/>
                <w:color w:val="000000" w:themeColor="text1"/>
                <w:szCs w:val="21"/>
                <w:lang w:val="zh-CN"/>
                <w14:textFill>
                  <w14:solidFill>
                    <w14:schemeClr w14:val="tx1"/>
                  </w14:solidFill>
                </w14:textFill>
              </w:rPr>
              <w:t>月，工期为</w:t>
            </w: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lang w:val="zh-CN"/>
                <w14:textFill>
                  <w14:solidFill>
                    <w14:schemeClr w14:val="tx1"/>
                  </w14:solidFill>
                </w14:textFill>
              </w:rPr>
              <w:t>个月。</w:t>
            </w:r>
          </w:p>
          <w:p>
            <w:pPr>
              <w:adjustRightInd w:val="0"/>
              <w:snapToGrid w:val="0"/>
              <w:spacing w:line="360" w:lineRule="auto"/>
              <w:ind w:firstLine="420" w:firstLineChars="200"/>
              <w:rPr>
                <w:rFonts w:ascii="宋体" w:hAnsi="宋体" w:cs="宋体"/>
                <w:bCs/>
                <w:color w:val="000000" w:themeColor="text1"/>
                <w:spacing w:val="-10"/>
                <w:szCs w:val="21"/>
                <w14:textFill>
                  <w14:solidFill>
                    <w14:schemeClr w14:val="tx1"/>
                  </w14:solidFill>
                </w14:textFill>
              </w:rPr>
            </w:pPr>
            <w:r>
              <w:rPr>
                <w:rFonts w:hint="eastAsia"/>
                <w:bCs/>
                <w:color w:val="000000" w:themeColor="text1"/>
                <w:szCs w:val="21"/>
                <w:lang w:val="zh-CN"/>
                <w14:textFill>
                  <w14:solidFill>
                    <w14:schemeClr w14:val="tx1"/>
                  </w14:solidFill>
                </w14:textFill>
              </w:rPr>
              <w:t>项目施工期主要进行设备安装，本项目施工时间短，施工期环境影响不大，施工期环境影响会随施工期的结束而消除，故本评价不对该项目施工期的污染进行分析。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运营</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期环</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境影</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响和</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保护</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措施</w:t>
            </w:r>
          </w:p>
        </w:tc>
        <w:tc>
          <w:tcPr>
            <w:tcW w:w="8162" w:type="dxa"/>
            <w:vAlign w:val="center"/>
          </w:tcPr>
          <w:p>
            <w:p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（一）废气</w:t>
            </w:r>
          </w:p>
          <w:p>
            <w:pPr>
              <w:spacing w:line="360" w:lineRule="auto"/>
              <w:ind w:firstLine="422" w:firstLineChars="200"/>
              <w:rPr>
                <w:b/>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1、大气污染物产排情况</w:t>
            </w:r>
          </w:p>
          <w:p>
            <w:pPr>
              <w:shd w:val="clea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熔融工序全部采用电能加热，本项目运营期的废气污染源主要为</w:t>
            </w:r>
            <w:r>
              <w:rPr>
                <w:rFonts w:hint="eastAsia"/>
                <w:color w:val="000000" w:themeColor="text1"/>
                <w:szCs w:val="21"/>
                <w:lang w:val="en-US" w:eastAsia="zh-CN"/>
                <w14:textFill>
                  <w14:solidFill>
                    <w14:schemeClr w14:val="tx1"/>
                  </w14:solidFill>
                </w14:textFill>
              </w:rPr>
              <w:t>投料粉尘和</w:t>
            </w:r>
            <w:r>
              <w:rPr>
                <w:rFonts w:hint="eastAsia"/>
                <w:color w:val="000000" w:themeColor="text1"/>
                <w:szCs w:val="21"/>
                <w14:textFill>
                  <w14:solidFill>
                    <w14:schemeClr w14:val="tx1"/>
                  </w14:solidFill>
                </w14:textFill>
              </w:rPr>
              <w:t>熔融工序产生的烟尘。</w:t>
            </w:r>
          </w:p>
          <w:p>
            <w:pPr>
              <w:spacing w:line="360" w:lineRule="auto"/>
              <w:ind w:firstLine="422" w:firstLineChars="200"/>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投料粉</w:t>
            </w:r>
            <w:r>
              <w:rPr>
                <w:rFonts w:hint="eastAsia"/>
                <w:b/>
                <w:bCs/>
                <w:color w:val="000000" w:themeColor="text1"/>
                <w:szCs w:val="21"/>
                <w14:textFill>
                  <w14:solidFill>
                    <w14:schemeClr w14:val="tx1"/>
                  </w14:solidFill>
                </w14:textFill>
              </w:rPr>
              <w:t>尘</w:t>
            </w:r>
          </w:p>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本项目多晶硅碎屑均为外购，采用吨袋装，无卸车粉尘。但在原料进入铸锭生产线，采用电动叉车进行投料，投料过程会产生粉尘。</w:t>
            </w:r>
          </w:p>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参照《环境影响评价实用技术指南》，项目物料投放粉尘产生量以物料投放量的2‰计，多晶硅碎屑投料量为2000t/a，则粉尘产生量为4t/a。</w:t>
            </w:r>
          </w:p>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拟在投料口上方设置集气罩，项目在各铸锭炉投料口设置集气罩收集粉尘至脉冲式布袋除尘器，粉尘经脉冲式布袋除尘器处理后，经15m高1#排气筒排放（DA001）。布袋除尘器处理效率以99%计，总风机风量为5000m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/h，年工作时间为7200h/a，投料粉尘产排污情况见表4-1。</w:t>
            </w:r>
          </w:p>
          <w:p>
            <w:pPr>
              <w:spacing w:line="360" w:lineRule="auto"/>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object>
                <v:shape id="_x0000_i1028" o:spt="75" type="#_x0000_t75" style="height:152.25pt;width:361.85pt;" o:ole="t" filled="f" o:preferrelative="t" stroked="f" coordsize="21600,21600">
                  <v:path/>
                  <v:fill on="f" focussize="0,0"/>
                  <v:stroke on="f"/>
                  <v:imagedata r:id="rId26" o:title=""/>
                  <o:lock v:ext="edit" aspectratio="f"/>
                  <w10:wrap type="none"/>
                  <w10:anchorlock/>
                </v:shape>
                <o:OLEObject Type="Embed" ProgID="Visio.Drawing.15" ShapeID="_x0000_i1028" DrawAspect="Content" ObjectID="_1468075728" r:id="rId25">
                  <o:LockedField>false</o:LockedField>
                </o:OLEObject>
              </w:object>
            </w:r>
          </w:p>
          <w:p>
            <w:pPr>
              <w:spacing w:line="360" w:lineRule="auto"/>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p>
          <w:p>
            <w:pPr>
              <w:spacing w:line="360" w:lineRule="auto"/>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表4-1 投料粉尘产排污一览表</w:t>
            </w:r>
          </w:p>
          <w:tbl>
            <w:tblPr>
              <w:tblStyle w:val="24"/>
              <w:tblW w:w="80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75"/>
              <w:gridCol w:w="1087"/>
              <w:gridCol w:w="1065"/>
              <w:gridCol w:w="1038"/>
              <w:gridCol w:w="1224"/>
              <w:gridCol w:w="1119"/>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875"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产生量t/a</w:t>
                  </w:r>
                </w:p>
              </w:tc>
              <w:tc>
                <w:tcPr>
                  <w:tcW w:w="1087"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削减量t/a</w:t>
                  </w:r>
                </w:p>
              </w:tc>
              <w:tc>
                <w:tcPr>
                  <w:tcW w:w="1065" w:type="dxa"/>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总风机风量m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/h</w:t>
                  </w:r>
                </w:p>
              </w:tc>
              <w:tc>
                <w:tcPr>
                  <w:tcW w:w="3381" w:type="dxa"/>
                  <w:gridSpan w:val="3"/>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有组织排放</w:t>
                  </w:r>
                </w:p>
              </w:tc>
              <w:tc>
                <w:tcPr>
                  <w:tcW w:w="860"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标准值mg/m</w:t>
                  </w:r>
                  <w:r>
                    <w:rPr>
                      <w:rFonts w:hint="eastAsia"/>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75"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1087" w:type="dxa"/>
                  <w:vMerge w:val="continue"/>
                  <w:tcBorders>
                    <w:tl2br w:val="nil"/>
                    <w:tr2bl w:val="nil"/>
                  </w:tcBorders>
                  <w:vAlign w:val="center"/>
                </w:tcPr>
                <w:p>
                  <w:pPr>
                    <w:rPr>
                      <w:color w:val="000000" w:themeColor="text1"/>
                      <w:szCs w:val="21"/>
                      <w14:textFill>
                        <w14:solidFill>
                          <w14:schemeClr w14:val="tx1"/>
                        </w14:solidFill>
                      </w14:textFill>
                    </w:rPr>
                  </w:pPr>
                </w:p>
              </w:tc>
              <w:tc>
                <w:tcPr>
                  <w:tcW w:w="1065" w:type="dxa"/>
                  <w:vMerge w:val="continue"/>
                  <w:tcBorders>
                    <w:tl2br w:val="nil"/>
                    <w:tr2bl w:val="nil"/>
                  </w:tcBorders>
                  <w:vAlign w:val="center"/>
                </w:tcPr>
                <w:p>
                  <w:pPr>
                    <w:rPr>
                      <w:color w:val="000000" w:themeColor="text1"/>
                      <w:szCs w:val="21"/>
                      <w14:textFill>
                        <w14:solidFill>
                          <w14:schemeClr w14:val="tx1"/>
                        </w14:solidFill>
                      </w14:textFill>
                    </w:rPr>
                  </w:pPr>
                </w:p>
              </w:tc>
              <w:tc>
                <w:tcPr>
                  <w:tcW w:w="10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22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排放速率kg/h</w:t>
                  </w:r>
                </w:p>
              </w:tc>
              <w:tc>
                <w:tcPr>
                  <w:tcW w:w="111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排放浓度mg/m</w:t>
                  </w:r>
                  <w:r>
                    <w:rPr>
                      <w:rFonts w:hint="eastAsia"/>
                      <w:color w:val="000000" w:themeColor="text1"/>
                      <w:szCs w:val="21"/>
                      <w:vertAlign w:val="superscript"/>
                      <w:lang w:val="en-US" w:eastAsia="zh-CN"/>
                      <w14:textFill>
                        <w14:solidFill>
                          <w14:schemeClr w14:val="tx1"/>
                        </w14:solidFill>
                      </w14:textFill>
                    </w:rPr>
                    <w:t>3</w:t>
                  </w:r>
                </w:p>
              </w:tc>
              <w:tc>
                <w:tcPr>
                  <w:tcW w:w="860" w:type="dxa"/>
                  <w:vMerge w:val="continue"/>
                  <w:tcBorders>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投料烟尘</w:t>
                  </w:r>
                </w:p>
              </w:tc>
              <w:tc>
                <w:tcPr>
                  <w:tcW w:w="875" w:type="dxa"/>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087" w:type="dxa"/>
                  <w:vMerge w:val="restart"/>
                  <w:tcBorders>
                    <w:tl2br w:val="nil"/>
                    <w:tr2bl w:val="nil"/>
                  </w:tcBorders>
                  <w:vAlign w:val="center"/>
                </w:tcPr>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3.564          </w:t>
                  </w:r>
                </w:p>
              </w:tc>
              <w:tc>
                <w:tcPr>
                  <w:tcW w:w="1065" w:type="dxa"/>
                  <w:vMerge w:val="restart"/>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5000</w:t>
                  </w:r>
                </w:p>
              </w:tc>
              <w:tc>
                <w:tcPr>
                  <w:tcW w:w="10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0.036</w:t>
                  </w:r>
                </w:p>
              </w:tc>
              <w:tc>
                <w:tcPr>
                  <w:tcW w:w="1224"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111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86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87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087" w:type="dxa"/>
                  <w:vMerge w:val="continue"/>
                  <w:tcBorders>
                    <w:tl2br w:val="nil"/>
                    <w:tr2bl w:val="nil"/>
                  </w:tcBorders>
                  <w:vAlign w:val="center"/>
                </w:tcPr>
                <w:p>
                  <w:pPr>
                    <w:jc w:val="center"/>
                    <w:rPr>
                      <w:rFonts w:hint="eastAsia"/>
                      <w:color w:val="000000" w:themeColor="text1"/>
                      <w:lang w:val="en-US" w:eastAsia="zh-CN"/>
                      <w14:textFill>
                        <w14:solidFill>
                          <w14:schemeClr w14:val="tx1"/>
                        </w14:solidFill>
                      </w14:textFill>
                    </w:rPr>
                  </w:pPr>
                </w:p>
              </w:tc>
              <w:tc>
                <w:tcPr>
                  <w:tcW w:w="106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3381" w:type="dxa"/>
                  <w:gridSpan w:val="3"/>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无组织排放</w:t>
                  </w:r>
                </w:p>
              </w:tc>
              <w:tc>
                <w:tcPr>
                  <w:tcW w:w="860"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87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087" w:type="dxa"/>
                  <w:vMerge w:val="continue"/>
                  <w:tcBorders>
                    <w:tl2br w:val="nil"/>
                    <w:tr2bl w:val="nil"/>
                  </w:tcBorders>
                  <w:vAlign w:val="center"/>
                </w:tcPr>
                <w:p>
                  <w:pPr>
                    <w:jc w:val="center"/>
                    <w:rPr>
                      <w:rFonts w:hint="eastAsia"/>
                      <w:color w:val="000000" w:themeColor="text1"/>
                      <w:lang w:val="en-US" w:eastAsia="zh-CN"/>
                      <w14:textFill>
                        <w14:solidFill>
                          <w14:schemeClr w14:val="tx1"/>
                        </w14:solidFill>
                      </w14:textFill>
                    </w:rPr>
                  </w:pPr>
                </w:p>
              </w:tc>
              <w:tc>
                <w:tcPr>
                  <w:tcW w:w="106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038"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224"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排放速率kg/h</w:t>
                  </w:r>
                </w:p>
              </w:tc>
              <w:tc>
                <w:tcPr>
                  <w:tcW w:w="11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860"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87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087" w:type="dxa"/>
                  <w:vMerge w:val="continue"/>
                  <w:tcBorders>
                    <w:tl2br w:val="nil"/>
                    <w:tr2bl w:val="nil"/>
                  </w:tcBorders>
                  <w:vAlign w:val="center"/>
                </w:tcPr>
                <w:p>
                  <w:pPr>
                    <w:jc w:val="center"/>
                    <w:rPr>
                      <w:rFonts w:hint="eastAsia"/>
                      <w:color w:val="000000" w:themeColor="text1"/>
                      <w:lang w:val="en-US" w:eastAsia="zh-CN"/>
                      <w14:textFill>
                        <w14:solidFill>
                          <w14:schemeClr w14:val="tx1"/>
                        </w14:solidFill>
                      </w14:textFill>
                    </w:rPr>
                  </w:pPr>
                </w:p>
              </w:tc>
              <w:tc>
                <w:tcPr>
                  <w:tcW w:w="1065" w:type="dxa"/>
                  <w:vMerge w:val="continue"/>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1038" w:type="dxa"/>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c>
                <w:tcPr>
                  <w:tcW w:w="1224" w:type="dxa"/>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0.056</w:t>
                  </w:r>
                </w:p>
              </w:tc>
              <w:tc>
                <w:tcPr>
                  <w:tcW w:w="11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c>
                <w:tcPr>
                  <w:tcW w:w="860" w:type="dxa"/>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spacing w:line="360" w:lineRule="auto"/>
              <w:ind w:firstLine="422" w:firstLineChars="200"/>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）熔融烟（粉）尘</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将外购的</w:t>
            </w:r>
            <w:r>
              <w:rPr>
                <w:rFonts w:hint="eastAsia"/>
                <w:color w:val="000000" w:themeColor="text1"/>
                <w:szCs w:val="21"/>
                <w14:textFill>
                  <w14:solidFill>
                    <w14:schemeClr w14:val="tx1"/>
                  </w14:solidFill>
                </w14:textFill>
              </w:rPr>
              <w:t>多晶硅碎片，通过物理熔融的方式（JZ660型多晶</w:t>
            </w:r>
            <w:r>
              <w:rPr>
                <w:rFonts w:hint="eastAsia"/>
                <w:color w:val="000000" w:themeColor="text1"/>
                <w:szCs w:val="21"/>
                <w:lang w:val="en-US" w:eastAsia="zh-CN"/>
                <w14:textFill>
                  <w14:solidFill>
                    <w14:schemeClr w14:val="tx1"/>
                  </w14:solidFill>
                </w14:textFill>
              </w:rPr>
              <w:t>硅</w:t>
            </w:r>
            <w:r>
              <w:rPr>
                <w:rFonts w:hint="eastAsia"/>
                <w:color w:val="000000" w:themeColor="text1"/>
                <w:szCs w:val="21"/>
                <w14:textFill>
                  <w14:solidFill>
                    <w14:schemeClr w14:val="tx1"/>
                  </w14:solidFill>
                </w14:textFill>
              </w:rPr>
              <w:t>铸锭炉</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最高极限温度为</w:t>
            </w:r>
            <w:r>
              <w:rPr>
                <w:rFonts w:hint="eastAsia"/>
                <w:color w:val="000000" w:themeColor="text1"/>
                <w:szCs w:val="21"/>
                <w:lang w:eastAsia="zh-CN"/>
                <w14:textFill>
                  <w14:solidFill>
                    <w14:schemeClr w14:val="tx1"/>
                  </w14:solidFill>
                </w14:textFill>
              </w:rPr>
              <w:t>1575℃</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熔化，再</w:t>
            </w:r>
            <w:r>
              <w:rPr>
                <w:rFonts w:hint="eastAsia"/>
                <w:color w:val="000000" w:themeColor="text1"/>
                <w:szCs w:val="21"/>
                <w14:textFill>
                  <w14:solidFill>
                    <w14:schemeClr w14:val="tx1"/>
                  </w14:solidFill>
                </w14:textFill>
              </w:rPr>
              <w:t>重新</w:t>
            </w:r>
            <w:r>
              <w:rPr>
                <w:rFonts w:hint="eastAsia"/>
                <w:color w:val="000000" w:themeColor="text1"/>
                <w:szCs w:val="21"/>
                <w:lang w:val="en-US" w:eastAsia="zh-CN"/>
                <w14:textFill>
                  <w14:solidFill>
                    <w14:schemeClr w14:val="tx1"/>
                  </w14:solidFill>
                </w14:textFill>
              </w:rPr>
              <w:t>冷却</w:t>
            </w:r>
            <w:r>
              <w:rPr>
                <w:rFonts w:hint="eastAsia"/>
                <w:color w:val="000000" w:themeColor="text1"/>
                <w:szCs w:val="21"/>
                <w14:textFill>
                  <w14:solidFill>
                    <w14:schemeClr w14:val="tx1"/>
                  </w14:solidFill>
                </w14:textFill>
              </w:rPr>
              <w:t>结晶成</w:t>
            </w:r>
            <w:r>
              <w:rPr>
                <w:rFonts w:hint="eastAsia"/>
                <w:color w:val="000000" w:themeColor="text1"/>
                <w:szCs w:val="21"/>
                <w:lang w:val="en-US" w:eastAsia="zh-CN"/>
                <w14:textFill>
                  <w14:solidFill>
                    <w14:schemeClr w14:val="tx1"/>
                  </w14:solidFill>
                </w14:textFill>
              </w:rPr>
              <w:t>硅锭</w:t>
            </w:r>
            <w:r>
              <w:rPr>
                <w:rFonts w:hint="eastAsia"/>
                <w:color w:val="000000" w:themeColor="text1"/>
                <w:szCs w:val="21"/>
                <w14:textFill>
                  <w14:solidFill>
                    <w14:schemeClr w14:val="tx1"/>
                  </w14:solidFill>
                </w14:textFill>
              </w:rPr>
              <w:t>。</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原料多晶硅碎片中主要元素为Si（熔点约 1400℃）、Fe（熔点约1538℃）、氧化铁（熔点约1565℃）</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Al（熔点约660.32℃）、Ca（熔点约842℃）、P（熔点约44℃）、C（熔点约3550℃），在1</w:t>
            </w:r>
            <w:r>
              <w:rPr>
                <w:rFonts w:hint="eastAsia"/>
                <w:color w:val="000000" w:themeColor="text1"/>
                <w:szCs w:val="21"/>
                <w:lang w:val="en-US" w:eastAsia="zh-CN"/>
                <w14:textFill>
                  <w14:solidFill>
                    <w14:schemeClr w14:val="tx1"/>
                  </w14:solidFill>
                </w14:textFill>
              </w:rPr>
              <w:t>575</w:t>
            </w:r>
            <w:r>
              <w:rPr>
                <w:rFonts w:hint="eastAsia"/>
                <w:color w:val="000000" w:themeColor="text1"/>
                <w:szCs w:val="21"/>
                <w14:textFill>
                  <w14:solidFill>
                    <w14:schemeClr w14:val="tx1"/>
                  </w14:solidFill>
                </w14:textFill>
              </w:rPr>
              <w:t>℃真空电阻炉中，大部分元素都能达到熔点，不能溶的C浮于炉的顶部介料表面，形成颗粒物随着真空</w:t>
            </w:r>
            <w:r>
              <w:rPr>
                <w:rFonts w:hint="eastAsia"/>
                <w:color w:val="000000" w:themeColor="text1"/>
                <w:szCs w:val="21"/>
                <w:lang w:val="en-US" w:eastAsia="zh-CN"/>
                <w14:textFill>
                  <w14:solidFill>
                    <w14:schemeClr w14:val="tx1"/>
                  </w14:solidFill>
                </w14:textFill>
              </w:rPr>
              <w:t>铸锭炉</w:t>
            </w:r>
            <w:r>
              <w:rPr>
                <w:rFonts w:hint="eastAsia"/>
                <w:color w:val="000000" w:themeColor="text1"/>
                <w:szCs w:val="21"/>
                <w14:textFill>
                  <w14:solidFill>
                    <w14:schemeClr w14:val="tx1"/>
                  </w14:solidFill>
                </w14:textFill>
              </w:rPr>
              <w:t>外部抽真空尾气管抽出，</w:t>
            </w:r>
            <w:r>
              <w:rPr>
                <w:rFonts w:hint="eastAsia"/>
                <w:b/>
                <w:bCs/>
                <w:color w:val="000000" w:themeColor="text1"/>
                <w:szCs w:val="21"/>
                <w14:textFill>
                  <w14:solidFill>
                    <w14:schemeClr w14:val="tx1"/>
                  </w14:solidFill>
                </w14:textFill>
              </w:rPr>
              <w:t>只进行有组织排放</w:t>
            </w:r>
            <w:r>
              <w:rPr>
                <w:rFonts w:hint="eastAsia"/>
                <w:color w:val="000000" w:themeColor="text1"/>
                <w:szCs w:val="21"/>
                <w14:textFill>
                  <w14:solidFill>
                    <w14:schemeClr w14:val="tx1"/>
                  </w14:solidFill>
                </w14:textFill>
              </w:rPr>
              <w:t>。</w:t>
            </w:r>
          </w:p>
          <w:p>
            <w:pPr>
              <w:spacing w:line="360" w:lineRule="auto"/>
              <w:ind w:firstLine="422" w:firstLineChars="200"/>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颗粒物组成成分分析：</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w:t>
            </w:r>
            <w:r>
              <w:rPr>
                <w:rFonts w:hint="eastAsia"/>
                <w:color w:val="000000" w:themeColor="text1"/>
                <w:szCs w:val="21"/>
                <w:lang w:val="en-US" w:eastAsia="zh-CN"/>
                <w14:textFill>
                  <w14:solidFill>
                    <w14:schemeClr w14:val="tx1"/>
                  </w14:solidFill>
                </w14:textFill>
              </w:rPr>
              <w:t>附件13原料</w:t>
            </w:r>
            <w:r>
              <w:rPr>
                <w:rFonts w:hint="eastAsia"/>
                <w:color w:val="000000" w:themeColor="text1"/>
                <w:szCs w:val="21"/>
                <w14:textFill>
                  <w14:solidFill>
                    <w14:schemeClr w14:val="tx1"/>
                  </w14:solidFill>
                </w14:textFill>
              </w:rPr>
              <w:t>检测报告，</w:t>
            </w:r>
            <w:r>
              <w:rPr>
                <w:rFonts w:hint="eastAsia"/>
                <w:color w:val="000000" w:themeColor="text1"/>
                <w:szCs w:val="21"/>
                <w:lang w:val="en-US" w:eastAsia="zh-CN"/>
                <w14:textFill>
                  <w14:solidFill>
                    <w14:schemeClr w14:val="tx1"/>
                  </w14:solidFill>
                </w14:textFill>
              </w:rPr>
              <w:t>外购多晶硅片</w:t>
            </w:r>
            <w:r>
              <w:rPr>
                <w:rFonts w:hint="eastAsia"/>
                <w:color w:val="000000" w:themeColor="text1"/>
                <w:szCs w:val="21"/>
                <w14:textFill>
                  <w14:solidFill>
                    <w14:schemeClr w14:val="tx1"/>
                  </w14:solidFill>
                </w14:textFill>
              </w:rPr>
              <w:t>其主要成分为单晶硅、铁</w:t>
            </w:r>
            <w:r>
              <w:rPr>
                <w:rFonts w:hint="eastAsia"/>
                <w:color w:val="000000" w:themeColor="text1"/>
                <w:szCs w:val="21"/>
                <w:lang w:val="en-US" w:eastAsia="zh-CN"/>
                <w14:textFill>
                  <w14:solidFill>
                    <w14:schemeClr w14:val="tx1"/>
                  </w14:solidFill>
                </w14:textFill>
              </w:rPr>
              <w:t>及</w:t>
            </w:r>
            <w:r>
              <w:rPr>
                <w:rFonts w:hint="eastAsia"/>
                <w:color w:val="000000" w:themeColor="text1"/>
                <w:szCs w:val="21"/>
                <w14:textFill>
                  <w14:solidFill>
                    <w14:schemeClr w14:val="tx1"/>
                  </w14:solidFill>
                </w14:textFill>
              </w:rPr>
              <w:t>氧化铁、Al、Ca等。在1</w:t>
            </w:r>
            <w:r>
              <w:rPr>
                <w:rFonts w:hint="eastAsia"/>
                <w:color w:val="000000" w:themeColor="text1"/>
                <w:szCs w:val="21"/>
                <w:lang w:val="en-US" w:eastAsia="zh-CN"/>
                <w14:textFill>
                  <w14:solidFill>
                    <w14:schemeClr w14:val="tx1"/>
                  </w14:solidFill>
                </w14:textFill>
              </w:rPr>
              <w:t>575</w:t>
            </w:r>
            <w:r>
              <w:rPr>
                <w:rFonts w:hint="eastAsia"/>
                <w:color w:val="000000" w:themeColor="text1"/>
                <w:szCs w:val="21"/>
                <w14:textFill>
                  <w14:solidFill>
                    <w14:schemeClr w14:val="tx1"/>
                  </w14:solidFill>
                </w14:textFill>
              </w:rPr>
              <w:t>℃时，其他杂质基本都能达到熔点，C（熔点约3550℃）</w:t>
            </w:r>
            <w:r>
              <w:rPr>
                <w:rFonts w:hint="eastAsia"/>
                <w:color w:val="000000" w:themeColor="text1"/>
                <w:szCs w:val="21"/>
                <w:lang w:val="en-US" w:eastAsia="zh-CN"/>
                <w14:textFill>
                  <w14:solidFill>
                    <w14:schemeClr w14:val="tx1"/>
                  </w14:solidFill>
                </w14:textFill>
              </w:rPr>
              <w:t>不能熔</w:t>
            </w:r>
            <w:r>
              <w:rPr>
                <w:rFonts w:hint="eastAsia"/>
                <w:color w:val="000000" w:themeColor="text1"/>
                <w:szCs w:val="21"/>
                <w14:textFill>
                  <w14:solidFill>
                    <w14:schemeClr w14:val="tx1"/>
                  </w14:solidFill>
                </w14:textFill>
              </w:rPr>
              <w:t>，因此颗粒物中主要</w:t>
            </w:r>
            <w:r>
              <w:rPr>
                <w:rFonts w:hint="eastAsia"/>
                <w:color w:val="000000" w:themeColor="text1"/>
                <w:szCs w:val="21"/>
                <w:lang w:val="en-US" w:eastAsia="zh-CN"/>
                <w14:textFill>
                  <w14:solidFill>
                    <w14:schemeClr w14:val="tx1"/>
                  </w14:solidFill>
                </w14:textFill>
              </w:rPr>
              <w:t>成分</w:t>
            </w:r>
            <w:r>
              <w:rPr>
                <w:rFonts w:hint="eastAsia"/>
                <w:color w:val="000000" w:themeColor="text1"/>
                <w:szCs w:val="21"/>
                <w14:textFill>
                  <w14:solidFill>
                    <w14:schemeClr w14:val="tx1"/>
                  </w14:solidFill>
                </w14:textFill>
              </w:rPr>
              <w:t>为</w:t>
            </w:r>
            <w:r>
              <w:rPr>
                <w:rFonts w:hint="eastAsia"/>
                <w:b/>
                <w:bCs/>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本项目设有2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台JZ660型多晶</w:t>
            </w:r>
            <w:r>
              <w:rPr>
                <w:rFonts w:hint="eastAsia"/>
                <w:color w:val="000000" w:themeColor="text1"/>
                <w:szCs w:val="21"/>
                <w:lang w:val="en-US" w:eastAsia="zh-CN"/>
                <w14:textFill>
                  <w14:solidFill>
                    <w14:schemeClr w14:val="tx1"/>
                  </w14:solidFill>
                </w14:textFill>
              </w:rPr>
              <w:t>硅</w:t>
            </w:r>
            <w:r>
              <w:rPr>
                <w:rFonts w:hint="eastAsia"/>
                <w:color w:val="000000" w:themeColor="text1"/>
                <w:szCs w:val="21"/>
                <w14:textFill>
                  <w14:solidFill>
                    <w14:schemeClr w14:val="tx1"/>
                  </w14:solidFill>
                </w14:textFill>
              </w:rPr>
              <w:t>铸锭炉，废气经真空泵抽出后经管道收集至布袋除尘器处理，再汇集至一个</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#排气筒</w:t>
            </w:r>
            <w:r>
              <w:rPr>
                <w:rFonts w:hint="eastAsia"/>
                <w:color w:val="000000" w:themeColor="text1"/>
                <w:szCs w:val="21"/>
                <w:lang w:val="en-US" w:eastAsia="zh-CN"/>
                <w14:textFill>
                  <w14:solidFill>
                    <w14:schemeClr w14:val="tx1"/>
                  </w14:solidFill>
                </w14:textFill>
              </w:rPr>
              <w:t>DA002</w:t>
            </w:r>
            <w:r>
              <w:rPr>
                <w:rFonts w:hint="eastAsia"/>
                <w:color w:val="000000" w:themeColor="text1"/>
                <w:szCs w:val="21"/>
                <w14:textFill>
                  <w14:solidFill>
                    <w14:schemeClr w14:val="tx1"/>
                  </w14:solidFill>
                </w14:textFill>
              </w:rPr>
              <w:t>排放。</w:t>
            </w:r>
          </w:p>
          <w:p>
            <w:pPr>
              <w:spacing w:line="360" w:lineRule="auto"/>
              <w:ind w:firstLine="420" w:firstLineChars="200"/>
              <w:rPr>
                <w:rFonts w:hint="eastAsia"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根据昆明冶金研究院云南省有色金属质检站出具的检测报告，项目原料多晶硅片与产品硅锭之间的关系分析见表4-2。</w:t>
            </w:r>
          </w:p>
          <w:p>
            <w:pPr>
              <w:spacing w:line="360" w:lineRule="auto"/>
              <w:jc w:val="center"/>
              <w:rPr>
                <w:rFonts w:hint="default" w:eastAsia="宋体"/>
                <w:color w:val="000000" w:themeColor="text1"/>
                <w:sz w:val="21"/>
                <w:szCs w:val="21"/>
                <w:lang w:val="en-US" w:eastAsia="zh-CN"/>
                <w14:textFill>
                  <w14:solidFill>
                    <w14:schemeClr w14:val="tx1"/>
                  </w14:solidFill>
                </w14:textFill>
              </w:rPr>
            </w:pPr>
            <w:r>
              <w:rPr>
                <w:rFonts w:hint="eastAsia"/>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4-2</w:t>
            </w: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工艺中各元素情况及含量分析</w:t>
            </w:r>
          </w:p>
          <w:tbl>
            <w:tblPr>
              <w:tblStyle w:val="24"/>
              <w:tblW w:w="79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44"/>
              <w:gridCol w:w="1186"/>
              <w:gridCol w:w="1180"/>
              <w:gridCol w:w="1188"/>
              <w:gridCol w:w="1200"/>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54" w:type="dxa"/>
                  <w:gridSpan w:val="7"/>
                  <w:tcBorders>
                    <w:tl2br w:val="nil"/>
                    <w:tr2bl w:val="nil"/>
                  </w:tcBorders>
                  <w:vAlign w:val="center"/>
                </w:tcPr>
                <w:p>
                  <w:pPr>
                    <w:widowControl/>
                    <w:jc w:val="center"/>
                    <w:textAlignment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原料2000t/a（单位：t/a）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成分</w:t>
                  </w:r>
                </w:p>
              </w:tc>
              <w:tc>
                <w:tcPr>
                  <w:tcW w:w="1444"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Si</w:t>
                  </w:r>
                </w:p>
              </w:tc>
              <w:tc>
                <w:tcPr>
                  <w:tcW w:w="1186"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Fe</w:t>
                  </w:r>
                </w:p>
              </w:tc>
              <w:tc>
                <w:tcPr>
                  <w:tcW w:w="118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Al</w:t>
                  </w:r>
                </w:p>
              </w:tc>
              <w:tc>
                <w:tcPr>
                  <w:tcW w:w="1188"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Ca</w:t>
                  </w:r>
                </w:p>
              </w:tc>
              <w:tc>
                <w:tcPr>
                  <w:tcW w:w="120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w:t>
                  </w:r>
                </w:p>
              </w:tc>
              <w:tc>
                <w:tcPr>
                  <w:tcW w:w="105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占比</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99.752%</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0.038%</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0.033%</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0.046%</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核算含量</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1995.04</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0.76</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0.66</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0.92</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54" w:type="dxa"/>
                  <w:gridSpan w:val="7"/>
                  <w:tcBorders>
                    <w:tl2br w:val="nil"/>
                    <w:tr2bl w:val="nil"/>
                  </w:tcBorders>
                  <w:vAlign w:val="center"/>
                </w:tcPr>
                <w:p>
                  <w:pPr>
                    <w:widowControl/>
                    <w:jc w:val="center"/>
                    <w:textAlignment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产品1800t/a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成分</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Si</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Fe</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Al</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Ca</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占比</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99.989%</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0.0008%</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0.0008%</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0.0017%</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0.0007%</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核算含量</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1799.802</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0.0144</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0.0306</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0.0126</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54" w:type="dxa"/>
                  <w:gridSpan w:val="7"/>
                  <w:tcBorders>
                    <w:tl2br w:val="nil"/>
                    <w:tr2bl w:val="nil"/>
                  </w:tcBorders>
                  <w:vAlign w:val="center"/>
                </w:tcPr>
                <w:p>
                  <w:pPr>
                    <w:widowControl/>
                    <w:jc w:val="center"/>
                    <w:textAlignment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整套工艺各元素损失情况（200t/a）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元素</w:t>
                  </w:r>
                </w:p>
              </w:tc>
              <w:tc>
                <w:tcPr>
                  <w:tcW w:w="1444"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Si</w:t>
                  </w:r>
                </w:p>
              </w:tc>
              <w:tc>
                <w:tcPr>
                  <w:tcW w:w="1186"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Fe</w:t>
                  </w:r>
                </w:p>
              </w:tc>
              <w:tc>
                <w:tcPr>
                  <w:tcW w:w="118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Al</w:t>
                  </w:r>
                </w:p>
              </w:tc>
              <w:tc>
                <w:tcPr>
                  <w:tcW w:w="1188"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Ca</w:t>
                  </w:r>
                </w:p>
              </w:tc>
              <w:tc>
                <w:tcPr>
                  <w:tcW w:w="120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w:t>
                  </w:r>
                </w:p>
              </w:tc>
              <w:tc>
                <w:tcPr>
                  <w:tcW w:w="1050" w:type="dxa"/>
                  <w:tcBorders>
                    <w:tl2br w:val="nil"/>
                    <w:tr2bl w:val="nil"/>
                  </w:tcBorders>
                  <w:vAlign w:val="center"/>
                </w:tcPr>
                <w:p>
                  <w:pPr>
                    <w:widowControl/>
                    <w:jc w:val="center"/>
                    <w:textAlignment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损失量</w:t>
                  </w:r>
                </w:p>
              </w:tc>
              <w:tc>
                <w:tcPr>
                  <w:tcW w:w="1444"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195.238</w:t>
                  </w:r>
                </w:p>
              </w:tc>
              <w:tc>
                <w:tcPr>
                  <w:tcW w:w="1186"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0.7456</w:t>
                  </w:r>
                </w:p>
              </w:tc>
              <w:tc>
                <w:tcPr>
                  <w:tcW w:w="118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0.6456</w:t>
                  </w:r>
                </w:p>
              </w:tc>
              <w:tc>
                <w:tcPr>
                  <w:tcW w:w="1188"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0.8894</w:t>
                  </w:r>
                </w:p>
              </w:tc>
              <w:tc>
                <w:tcPr>
                  <w:tcW w:w="120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0.0074</w:t>
                  </w:r>
                </w:p>
              </w:tc>
              <w:tc>
                <w:tcPr>
                  <w:tcW w:w="1050" w:type="dxa"/>
                  <w:tcBorders>
                    <w:tl2br w:val="nil"/>
                    <w:tr2bl w:val="nil"/>
                  </w:tcBorders>
                  <w:vAlign w:val="center"/>
                </w:tcPr>
                <w:p>
                  <w:pPr>
                    <w:widowControl/>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54" w:type="dxa"/>
                  <w:gridSpan w:val="7"/>
                  <w:tcBorders>
                    <w:tl2br w:val="nil"/>
                    <w:tr2bl w:val="nil"/>
                  </w:tcBorders>
                  <w:vAlign w:val="center"/>
                </w:tcPr>
                <w:p>
                  <w:pPr>
                    <w:widowControl/>
                    <w:ind w:firstLine="422" w:firstLineChars="200"/>
                    <w:jc w:val="both"/>
                    <w:textAlignment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在熔融过程中，除C之外的其他物质全部熔化，大部分C随着Ar气抽真空随着真空泵排出，形成颗粒物；少部分C粘滞在炉壁上，最终掉落在硅锭表面，形成表面杂质。</w:t>
                  </w:r>
                </w:p>
              </w:tc>
            </w:tr>
          </w:tbl>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本次评价以损失的C元素的量全部作为烟尘产生量，则熔融烟尘产生量为2.474t/a。项目熔融烟尘经管道收集+布袋除尘器处理+15m高2#排气筒（DA002）外排。布袋除尘器处理效率以99%计，总风机风量为5000m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/h，电炉每天工作时间以24h计，工作时间为7200h/a，熔融烟尘产排污情况见表4-3。</w:t>
            </w:r>
          </w:p>
          <w:p>
            <w:pPr>
              <w:spacing w:line="360" w:lineRule="auto"/>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表4-3 熔融烟尘产排污一览表</w:t>
            </w:r>
          </w:p>
          <w:tbl>
            <w:tblPr>
              <w:tblStyle w:val="24"/>
              <w:tblW w:w="80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75"/>
              <w:gridCol w:w="1087"/>
              <w:gridCol w:w="1065"/>
              <w:gridCol w:w="1038"/>
              <w:gridCol w:w="1224"/>
              <w:gridCol w:w="1119"/>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875"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产生量t/a</w:t>
                  </w:r>
                </w:p>
              </w:tc>
              <w:tc>
                <w:tcPr>
                  <w:tcW w:w="1087"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削减量t/a</w:t>
                  </w:r>
                </w:p>
              </w:tc>
              <w:tc>
                <w:tcPr>
                  <w:tcW w:w="1065" w:type="dxa"/>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总风机风量m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/h</w:t>
                  </w:r>
                </w:p>
              </w:tc>
              <w:tc>
                <w:tcPr>
                  <w:tcW w:w="3381" w:type="dxa"/>
                  <w:gridSpan w:val="3"/>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有组织排放</w:t>
                  </w:r>
                </w:p>
              </w:tc>
              <w:tc>
                <w:tcPr>
                  <w:tcW w:w="860"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标准值mg/m</w:t>
                  </w:r>
                  <w:r>
                    <w:rPr>
                      <w:rFonts w:hint="eastAsia"/>
                      <w:color w:val="000000" w:themeColor="text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875" w:type="dxa"/>
                  <w:vMerge w:val="continue"/>
                  <w:tcBorders>
                    <w:tl2br w:val="nil"/>
                    <w:tr2bl w:val="nil"/>
                  </w:tcBorders>
                  <w:vAlign w:val="center"/>
                </w:tcPr>
                <w:p>
                  <w:pPr>
                    <w:jc w:val="center"/>
                    <w:rPr>
                      <w:color w:val="000000" w:themeColor="text1"/>
                      <w:szCs w:val="21"/>
                      <w14:textFill>
                        <w14:solidFill>
                          <w14:schemeClr w14:val="tx1"/>
                        </w14:solidFill>
                      </w14:textFill>
                    </w:rPr>
                  </w:pPr>
                </w:p>
              </w:tc>
              <w:tc>
                <w:tcPr>
                  <w:tcW w:w="1087" w:type="dxa"/>
                  <w:vMerge w:val="continue"/>
                  <w:tcBorders>
                    <w:tl2br w:val="nil"/>
                    <w:tr2bl w:val="nil"/>
                  </w:tcBorders>
                  <w:vAlign w:val="center"/>
                </w:tcPr>
                <w:p>
                  <w:pPr>
                    <w:rPr>
                      <w:color w:val="000000" w:themeColor="text1"/>
                      <w:szCs w:val="21"/>
                      <w14:textFill>
                        <w14:solidFill>
                          <w14:schemeClr w14:val="tx1"/>
                        </w14:solidFill>
                      </w14:textFill>
                    </w:rPr>
                  </w:pPr>
                </w:p>
              </w:tc>
              <w:tc>
                <w:tcPr>
                  <w:tcW w:w="1065" w:type="dxa"/>
                  <w:vMerge w:val="continue"/>
                  <w:tcBorders>
                    <w:tl2br w:val="nil"/>
                    <w:tr2bl w:val="nil"/>
                  </w:tcBorders>
                  <w:vAlign w:val="center"/>
                </w:tcPr>
                <w:p>
                  <w:pPr>
                    <w:rPr>
                      <w:color w:val="000000" w:themeColor="text1"/>
                      <w:szCs w:val="21"/>
                      <w14:textFill>
                        <w14:solidFill>
                          <w14:schemeClr w14:val="tx1"/>
                        </w14:solidFill>
                      </w14:textFill>
                    </w:rPr>
                  </w:pPr>
                </w:p>
              </w:tc>
              <w:tc>
                <w:tcPr>
                  <w:tcW w:w="10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22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排放速率kg/h</w:t>
                  </w:r>
                </w:p>
              </w:tc>
              <w:tc>
                <w:tcPr>
                  <w:tcW w:w="111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排放浓度mg/m</w:t>
                  </w:r>
                  <w:r>
                    <w:rPr>
                      <w:rFonts w:hint="eastAsia"/>
                      <w:color w:val="000000" w:themeColor="text1"/>
                      <w:szCs w:val="21"/>
                      <w:vertAlign w:val="superscript"/>
                      <w:lang w:val="en-US" w:eastAsia="zh-CN"/>
                      <w14:textFill>
                        <w14:solidFill>
                          <w14:schemeClr w14:val="tx1"/>
                        </w14:solidFill>
                      </w14:textFill>
                    </w:rPr>
                    <w:t>3</w:t>
                  </w:r>
                </w:p>
              </w:tc>
              <w:tc>
                <w:tcPr>
                  <w:tcW w:w="860" w:type="dxa"/>
                  <w:vMerge w:val="continue"/>
                  <w:tcBorders>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熔融烟尘</w:t>
                  </w:r>
                </w:p>
              </w:tc>
              <w:tc>
                <w:tcPr>
                  <w:tcW w:w="875"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2.474</w:t>
                  </w:r>
                </w:p>
              </w:tc>
              <w:tc>
                <w:tcPr>
                  <w:tcW w:w="1087"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2.449</w:t>
                  </w:r>
                </w:p>
              </w:tc>
              <w:tc>
                <w:tcPr>
                  <w:tcW w:w="1065" w:type="dxa"/>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5000</w:t>
                  </w:r>
                </w:p>
              </w:tc>
              <w:tc>
                <w:tcPr>
                  <w:tcW w:w="10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0.025</w:t>
                  </w:r>
                </w:p>
              </w:tc>
              <w:tc>
                <w:tcPr>
                  <w:tcW w:w="1224"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0.0035</w:t>
                  </w:r>
                </w:p>
              </w:tc>
              <w:tc>
                <w:tcPr>
                  <w:tcW w:w="111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w:t>
                  </w:r>
                </w:p>
              </w:tc>
              <w:tc>
                <w:tcPr>
                  <w:tcW w:w="86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r>
          </w:tbl>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根据上表，熔融烟尘有组织排放浓度为0.7mg/m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，排放速率为0.0035kg/h，能满足《大气污染物综合排放标准》（GB*****-1996）中表2二级标准，即：颗粒物≤120mg/m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、3.5kg/h（15m高排气筒）。</w:t>
            </w:r>
          </w:p>
          <w:p>
            <w:pPr>
              <w:spacing w:line="360" w:lineRule="auto"/>
              <w:ind w:firstLine="422" w:firstLineChars="200"/>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切片区</w:t>
            </w:r>
          </w:p>
          <w:p>
            <w:pPr>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开方、截断、磨面、倒角等工序在密闭设备中采用湿法作业，不定量分析。</w:t>
            </w:r>
          </w:p>
          <w:p>
            <w:pPr>
              <w:pStyle w:val="76"/>
              <w:spacing w:line="360" w:lineRule="auto"/>
              <w:ind w:firstLine="422"/>
              <w:rPr>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2、污染治理措施可行性分析</w:t>
            </w:r>
          </w:p>
          <w:p>
            <w:pPr>
              <w:pStyle w:val="30"/>
              <w:spacing w:line="360" w:lineRule="auto"/>
              <w:jc w:val="center"/>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object>
                <v:shape id="_x0000_i1029" o:spt="75" type="#_x0000_t75" style="height:102.35pt;width:338.45pt;" o:ole="t" filled="f" o:preferrelative="t" stroked="f" coordsize="21600,21600">
                  <v:path/>
                  <v:fill on="f" focussize="0,0"/>
                  <v:stroke on="f"/>
                  <v:imagedata r:id="rId28" o:title=""/>
                  <o:lock v:ext="edit" aspectratio="f"/>
                  <w10:wrap type="none"/>
                  <w10:anchorlock/>
                </v:shape>
                <o:OLEObject Type="Embed" ProgID="Visio.Drawing.15" ShapeID="_x0000_i1029" DrawAspect="Content" ObjectID="_1468075729" r:id="rId27">
                  <o:LockedField>false</o:LockedField>
                </o:OLEObject>
              </w:object>
            </w:r>
          </w:p>
          <w:p>
            <w:pPr>
              <w:spacing w:line="360" w:lineRule="auto"/>
              <w:jc w:val="center"/>
              <w:rPr>
                <w:bCs/>
                <w:color w:val="000000" w:themeColor="text1"/>
                <w:szCs w:val="21"/>
                <w14:textFill>
                  <w14:solidFill>
                    <w14:schemeClr w14:val="tx1"/>
                  </w14:solidFill>
                </w14:textFill>
              </w:rPr>
            </w:pPr>
            <w:r>
              <w:rPr>
                <w:rFonts w:hint="eastAsia"/>
                <w:b/>
                <w:iCs/>
                <w:color w:val="000000" w:themeColor="text1"/>
                <w:spacing w:val="6"/>
                <w:szCs w:val="21"/>
                <w14:textFill>
                  <w14:solidFill>
                    <w14:schemeClr w14:val="tx1"/>
                  </w14:solidFill>
                </w14:textFill>
              </w:rPr>
              <w:t xml:space="preserve">图4-1 </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废气处理工艺流程图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废气处理措施评价表见表4-</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w:t>
            </w:r>
          </w:p>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4</w:t>
            </w:r>
            <w:r>
              <w:rPr>
                <w:rFonts w:hint="eastAsia"/>
                <w:b/>
                <w:iCs/>
                <w:color w:val="000000" w:themeColor="text1"/>
                <w:spacing w:val="6"/>
                <w:szCs w:val="21"/>
                <w14:textFill>
                  <w14:solidFill>
                    <w14:schemeClr w14:val="tx1"/>
                  </w14:solidFill>
                </w14:textFill>
              </w:rPr>
              <w:t xml:space="preserve"> 废气处理措施评价表</w:t>
            </w:r>
          </w:p>
          <w:tbl>
            <w:tblPr>
              <w:tblStyle w:val="23"/>
              <w:tblW w:w="493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1"/>
              <w:gridCol w:w="1272"/>
              <w:gridCol w:w="1881"/>
              <w:gridCol w:w="1928"/>
              <w:gridCol w:w="207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0" w:type="pct"/>
                  <w:vAlign w:val="center"/>
                </w:tcPr>
                <w:p>
                  <w:pPr>
                    <w:snapToGrid w:val="0"/>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工序</w:t>
                  </w:r>
                </w:p>
              </w:tc>
              <w:tc>
                <w:tcPr>
                  <w:tcW w:w="810" w:type="pct"/>
                  <w:vAlign w:val="center"/>
                </w:tcPr>
                <w:p>
                  <w:pPr>
                    <w:snapToGrid w:val="0"/>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污染物</w:t>
                  </w:r>
                </w:p>
              </w:tc>
              <w:tc>
                <w:tcPr>
                  <w:tcW w:w="1198" w:type="pct"/>
                  <w:vAlign w:val="center"/>
                </w:tcPr>
                <w:p>
                  <w:pPr>
                    <w:snapToGrid w:val="0"/>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处理措施</w:t>
                  </w:r>
                </w:p>
              </w:tc>
              <w:tc>
                <w:tcPr>
                  <w:tcW w:w="1228" w:type="pct"/>
                  <w:vAlign w:val="center"/>
                </w:tcPr>
                <w:p>
                  <w:pPr>
                    <w:snapToGrid w:val="0"/>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是否属于污染防治可行技术指南中可行性技术</w:t>
                  </w:r>
                </w:p>
              </w:tc>
              <w:tc>
                <w:tcPr>
                  <w:tcW w:w="1321" w:type="pct"/>
                  <w:vAlign w:val="center"/>
                </w:tcPr>
                <w:p>
                  <w:pPr>
                    <w:snapToGrid w:val="0"/>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是否属于排污许可技术规范中可行性技术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0" w:type="pct"/>
                  <w:vAlign w:val="center"/>
                </w:tcPr>
                <w:p>
                  <w:pPr>
                    <w:jc w:val="center"/>
                    <w:rPr>
                      <w:rFonts w:hint="default" w:eastAsia="宋体"/>
                      <w:bCs/>
                      <w:snapToGrid w:val="0"/>
                      <w:color w:val="000000" w:themeColor="text1"/>
                      <w:kern w:val="0"/>
                      <w:szCs w:val="21"/>
                      <w:lang w:val="en-US" w:eastAsia="zh-CN"/>
                      <w14:textFill>
                        <w14:solidFill>
                          <w14:schemeClr w14:val="tx1"/>
                        </w14:solidFill>
                      </w14:textFill>
                    </w:rPr>
                  </w:pPr>
                  <w:r>
                    <w:rPr>
                      <w:rFonts w:hint="eastAsia"/>
                      <w:bCs/>
                      <w:snapToGrid w:val="0"/>
                      <w:color w:val="000000" w:themeColor="text1"/>
                      <w:kern w:val="0"/>
                      <w:szCs w:val="21"/>
                      <w:lang w:val="en-US" w:eastAsia="zh-CN"/>
                      <w14:textFill>
                        <w14:solidFill>
                          <w14:schemeClr w14:val="tx1"/>
                        </w14:solidFill>
                      </w14:textFill>
                    </w:rPr>
                    <w:t>投料</w:t>
                  </w:r>
                </w:p>
              </w:tc>
              <w:tc>
                <w:tcPr>
                  <w:tcW w:w="810" w:type="pct"/>
                  <w:vAlign w:val="center"/>
                </w:tcPr>
                <w:p>
                  <w:pPr>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98" w:type="pct"/>
                  <w:vAlign w:val="center"/>
                </w:tcPr>
                <w:p>
                  <w:pPr>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脉冲式布袋除尘器</w:t>
                  </w:r>
                </w:p>
              </w:tc>
              <w:tc>
                <w:tcPr>
                  <w:tcW w:w="1228" w:type="pc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否（无相关行业技术指南）</w:t>
                  </w:r>
                </w:p>
              </w:tc>
              <w:tc>
                <w:tcPr>
                  <w:tcW w:w="1321" w:type="pct"/>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40" w:type="pct"/>
                  <w:vAlign w:val="center"/>
                </w:tcPr>
                <w:p>
                  <w:pPr>
                    <w:jc w:val="center"/>
                    <w:rPr>
                      <w:rFonts w:hint="default"/>
                      <w:bCs/>
                      <w:snapToGrid w:val="0"/>
                      <w:color w:val="000000" w:themeColor="text1"/>
                      <w:kern w:val="0"/>
                      <w:szCs w:val="21"/>
                      <w:lang w:val="en-US" w:eastAsia="zh-CN"/>
                      <w14:textFill>
                        <w14:solidFill>
                          <w14:schemeClr w14:val="tx1"/>
                        </w14:solidFill>
                      </w14:textFill>
                    </w:rPr>
                  </w:pPr>
                  <w:r>
                    <w:rPr>
                      <w:rFonts w:hint="eastAsia"/>
                      <w:bCs/>
                      <w:snapToGrid w:val="0"/>
                      <w:color w:val="000000" w:themeColor="text1"/>
                      <w:kern w:val="0"/>
                      <w:szCs w:val="21"/>
                      <w:lang w:val="en-US" w:eastAsia="zh-CN"/>
                      <w14:textFill>
                        <w14:solidFill>
                          <w14:schemeClr w14:val="tx1"/>
                        </w14:solidFill>
                      </w14:textFill>
                    </w:rPr>
                    <w:t>熔融</w:t>
                  </w:r>
                </w:p>
              </w:tc>
              <w:tc>
                <w:tcPr>
                  <w:tcW w:w="810" w:type="pct"/>
                  <w:vAlign w:val="center"/>
                </w:tcPr>
                <w:p>
                  <w:pPr>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198" w:type="pct"/>
                  <w:vAlign w:val="center"/>
                </w:tcPr>
                <w:p>
                  <w:pPr>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脉冲式布袋除尘器</w:t>
                  </w:r>
                </w:p>
              </w:tc>
              <w:tc>
                <w:tcPr>
                  <w:tcW w:w="1228" w:type="pct"/>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否（无相关行业技术指南）</w:t>
                  </w:r>
                </w:p>
              </w:tc>
              <w:tc>
                <w:tcPr>
                  <w:tcW w:w="1321" w:type="pct"/>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是</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对照《排污许可证申请与核发技术规范</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石墨及其他非金属矿物制品制造》（HJ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）表A.3多晶硅棒生产排污单位废气污染防治可行技术参考表，颗粒物推荐使用“袋式除尘；静电除尘；湿式除尘、旋风除尘、滤芯除尘”，本项目使用“脉冲式布袋除尘器”处理，符合可行技术要求。</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废气达标排放分析</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（1）有组织</w:t>
            </w:r>
          </w:p>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5</w:t>
            </w:r>
            <w:r>
              <w:rPr>
                <w:rFonts w:hint="eastAsia"/>
                <w:b/>
                <w:iCs/>
                <w:color w:val="000000" w:themeColor="text1"/>
                <w:spacing w:val="6"/>
                <w:szCs w:val="21"/>
                <w14:textFill>
                  <w14:solidFill>
                    <w14:schemeClr w14:val="tx1"/>
                  </w14:solidFill>
                </w14:textFill>
              </w:rPr>
              <w:t xml:space="preserve"> 项目废气排放口基本情况表</w:t>
            </w:r>
          </w:p>
          <w:tbl>
            <w:tblPr>
              <w:tblStyle w:val="23"/>
              <w:tblW w:w="494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39"/>
              <w:gridCol w:w="1150"/>
              <w:gridCol w:w="1292"/>
              <w:gridCol w:w="971"/>
              <w:gridCol w:w="980"/>
              <w:gridCol w:w="837"/>
              <w:gridCol w:w="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850"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排放口编号</w:t>
                  </w:r>
                </w:p>
              </w:tc>
              <w:tc>
                <w:tcPr>
                  <w:tcW w:w="939"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污染物名称</w:t>
                  </w:r>
                </w:p>
              </w:tc>
              <w:tc>
                <w:tcPr>
                  <w:tcW w:w="2442" w:type="dxa"/>
                  <w:gridSpan w:val="2"/>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排放口地理坐标</w:t>
                  </w:r>
                </w:p>
              </w:tc>
              <w:tc>
                <w:tcPr>
                  <w:tcW w:w="971"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排气筒高度</w:t>
                  </w:r>
                </w:p>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（m）</w:t>
                  </w:r>
                </w:p>
              </w:tc>
              <w:tc>
                <w:tcPr>
                  <w:tcW w:w="980"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排气筒内径（m）</w:t>
                  </w:r>
                </w:p>
              </w:tc>
              <w:tc>
                <w:tcPr>
                  <w:tcW w:w="837"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排放温度</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p>
              </w:tc>
              <w:tc>
                <w:tcPr>
                  <w:tcW w:w="838"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850" w:type="dxa"/>
                  <w:vMerge w:val="continue"/>
                  <w:tcBorders>
                    <w:tl2br w:val="nil"/>
                    <w:tr2bl w:val="nil"/>
                  </w:tcBorders>
                  <w:vAlign w:val="center"/>
                </w:tcPr>
                <w:p>
                  <w:pPr>
                    <w:jc w:val="center"/>
                    <w:rPr>
                      <w:color w:val="000000" w:themeColor="text1"/>
                      <w14:textFill>
                        <w14:solidFill>
                          <w14:schemeClr w14:val="tx1"/>
                        </w14:solidFill>
                      </w14:textFill>
                    </w:rPr>
                  </w:pPr>
                </w:p>
              </w:tc>
              <w:tc>
                <w:tcPr>
                  <w:tcW w:w="9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1150"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经度°</w:t>
                  </w:r>
                </w:p>
              </w:tc>
              <w:tc>
                <w:tcPr>
                  <w:tcW w:w="1292"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纬度°</w:t>
                  </w:r>
                </w:p>
              </w:tc>
              <w:tc>
                <w:tcPr>
                  <w:tcW w:w="971" w:type="dxa"/>
                  <w:vMerge w:val="continue"/>
                  <w:tcBorders>
                    <w:tl2br w:val="nil"/>
                    <w:tr2bl w:val="nil"/>
                  </w:tcBorders>
                  <w:vAlign w:val="center"/>
                </w:tcPr>
                <w:p>
                  <w:pPr>
                    <w:jc w:val="center"/>
                    <w:rPr>
                      <w:color w:val="000000" w:themeColor="text1"/>
                      <w14:textFill>
                        <w14:solidFill>
                          <w14:schemeClr w14:val="tx1"/>
                        </w14:solidFill>
                      </w14:textFill>
                    </w:rPr>
                  </w:pPr>
                </w:p>
              </w:tc>
              <w:tc>
                <w:tcPr>
                  <w:tcW w:w="980" w:type="dxa"/>
                  <w:vMerge w:val="continue"/>
                  <w:tcBorders>
                    <w:tl2br w:val="nil"/>
                    <w:tr2bl w:val="nil"/>
                  </w:tcBorders>
                  <w:vAlign w:val="center"/>
                </w:tcPr>
                <w:p>
                  <w:pPr>
                    <w:jc w:val="center"/>
                    <w:rPr>
                      <w:color w:val="000000" w:themeColor="text1"/>
                      <w14:textFill>
                        <w14:solidFill>
                          <w14:schemeClr w14:val="tx1"/>
                        </w14:solidFill>
                      </w14:textFill>
                    </w:rPr>
                  </w:pPr>
                </w:p>
              </w:tc>
              <w:tc>
                <w:tcPr>
                  <w:tcW w:w="837" w:type="dxa"/>
                  <w:vMerge w:val="continue"/>
                  <w:tcBorders>
                    <w:tl2br w:val="nil"/>
                    <w:tr2bl w:val="nil"/>
                  </w:tcBorders>
                  <w:vAlign w:val="center"/>
                </w:tcPr>
                <w:p>
                  <w:pPr>
                    <w:jc w:val="center"/>
                    <w:rPr>
                      <w:color w:val="000000" w:themeColor="text1"/>
                      <w14:textFill>
                        <w14:solidFill>
                          <w14:schemeClr w14:val="tx1"/>
                        </w14:solidFill>
                      </w14:textFill>
                    </w:rPr>
                  </w:pPr>
                </w:p>
              </w:tc>
              <w:tc>
                <w:tcPr>
                  <w:tcW w:w="838" w:type="dxa"/>
                  <w:vMerge w:val="continue"/>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93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5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103.161663511</w:t>
                  </w:r>
                </w:p>
              </w:tc>
              <w:tc>
                <w:tcPr>
                  <w:tcW w:w="1292"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26.128519682</w:t>
                  </w:r>
                </w:p>
              </w:tc>
              <w:tc>
                <w:tcPr>
                  <w:tcW w:w="97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8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83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常温</w:t>
                  </w:r>
                </w:p>
              </w:tc>
              <w:tc>
                <w:tcPr>
                  <w:tcW w:w="83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939" w:type="dxa"/>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150"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103.162001469</w:t>
                  </w:r>
                </w:p>
              </w:tc>
              <w:tc>
                <w:tcPr>
                  <w:tcW w:w="1292"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26.128632335</w:t>
                  </w:r>
                </w:p>
              </w:tc>
              <w:tc>
                <w:tcPr>
                  <w:tcW w:w="97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80"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837"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常温</w:t>
                  </w:r>
                </w:p>
              </w:tc>
              <w:tc>
                <w:tcPr>
                  <w:tcW w:w="838"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r>
          </w:tbl>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6</w:t>
            </w:r>
            <w:r>
              <w:rPr>
                <w:rFonts w:hint="eastAsia"/>
                <w:b/>
                <w:iCs/>
                <w:color w:val="000000" w:themeColor="text1"/>
                <w:spacing w:val="6"/>
                <w:szCs w:val="21"/>
                <w14:textFill>
                  <w14:solidFill>
                    <w14:schemeClr w14:val="tx1"/>
                  </w14:solidFill>
                </w14:textFill>
              </w:rPr>
              <w:t xml:space="preserve"> 废气排放口达标情况分析</w:t>
            </w:r>
          </w:p>
          <w:tbl>
            <w:tblPr>
              <w:tblStyle w:val="23"/>
              <w:tblW w:w="494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39"/>
              <w:gridCol w:w="1150"/>
              <w:gridCol w:w="1292"/>
              <w:gridCol w:w="971"/>
              <w:gridCol w:w="1909"/>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850"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排放口编号</w:t>
                  </w:r>
                </w:p>
              </w:tc>
              <w:tc>
                <w:tcPr>
                  <w:tcW w:w="939"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污染物名称</w:t>
                  </w:r>
                </w:p>
              </w:tc>
              <w:tc>
                <w:tcPr>
                  <w:tcW w:w="2442" w:type="dxa"/>
                  <w:gridSpan w:val="2"/>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污染物排放情况</w:t>
                  </w:r>
                </w:p>
              </w:tc>
              <w:tc>
                <w:tcPr>
                  <w:tcW w:w="97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执行标准限值mg/m</w:t>
                  </w:r>
                  <w:r>
                    <w:rPr>
                      <w:rFonts w:hint="eastAsia"/>
                      <w:b/>
                      <w:bCs/>
                      <w:color w:val="000000" w:themeColor="text1"/>
                      <w:vertAlign w:val="superscript"/>
                      <w14:textFill>
                        <w14:solidFill>
                          <w14:schemeClr w14:val="tx1"/>
                        </w14:solidFill>
                      </w14:textFill>
                    </w:rPr>
                    <w:t>3</w:t>
                  </w:r>
                </w:p>
              </w:tc>
              <w:tc>
                <w:tcPr>
                  <w:tcW w:w="1909"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标准来源</w:t>
                  </w:r>
                </w:p>
              </w:tc>
              <w:tc>
                <w:tcPr>
                  <w:tcW w:w="746"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850" w:type="dxa"/>
                  <w:vMerge w:val="continue"/>
                  <w:tcBorders>
                    <w:tl2br w:val="nil"/>
                    <w:tr2bl w:val="nil"/>
                  </w:tcBorders>
                  <w:vAlign w:val="center"/>
                </w:tcPr>
                <w:p>
                  <w:pPr>
                    <w:jc w:val="center"/>
                    <w:rPr>
                      <w:color w:val="000000" w:themeColor="text1"/>
                      <w14:textFill>
                        <w14:solidFill>
                          <w14:schemeClr w14:val="tx1"/>
                        </w14:solidFill>
                      </w14:textFill>
                    </w:rPr>
                  </w:pPr>
                </w:p>
              </w:tc>
              <w:tc>
                <w:tcPr>
                  <w:tcW w:w="9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1150"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排放速率kg/h</w:t>
                  </w:r>
                </w:p>
              </w:tc>
              <w:tc>
                <w:tcPr>
                  <w:tcW w:w="1292"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排放浓度mg/m</w:t>
                  </w:r>
                  <w:r>
                    <w:rPr>
                      <w:rFonts w:hint="eastAsia"/>
                      <w:b/>
                      <w:bCs/>
                      <w:color w:val="000000" w:themeColor="text1"/>
                      <w:vertAlign w:val="superscript"/>
                      <w14:textFill>
                        <w14:solidFill>
                          <w14:schemeClr w14:val="tx1"/>
                        </w14:solidFill>
                      </w14:textFill>
                    </w:rPr>
                    <w:t>3</w:t>
                  </w:r>
                </w:p>
              </w:tc>
              <w:tc>
                <w:tcPr>
                  <w:tcW w:w="971" w:type="dxa"/>
                  <w:vMerge w:val="continue"/>
                  <w:tcBorders>
                    <w:tl2br w:val="nil"/>
                    <w:tr2bl w:val="nil"/>
                  </w:tcBorders>
                  <w:vAlign w:val="center"/>
                </w:tcPr>
                <w:p>
                  <w:pPr>
                    <w:jc w:val="center"/>
                    <w:rPr>
                      <w:color w:val="000000" w:themeColor="text1"/>
                      <w14:textFill>
                        <w14:solidFill>
                          <w14:schemeClr w14:val="tx1"/>
                        </w14:solidFill>
                      </w14:textFill>
                    </w:rPr>
                  </w:pPr>
                </w:p>
              </w:tc>
              <w:tc>
                <w:tcPr>
                  <w:tcW w:w="1909" w:type="dxa"/>
                  <w:vMerge w:val="continue"/>
                  <w:tcBorders>
                    <w:tl2br w:val="nil"/>
                    <w:tr2bl w:val="nil"/>
                  </w:tcBorders>
                  <w:vAlign w:val="center"/>
                </w:tcPr>
                <w:p>
                  <w:pPr>
                    <w:jc w:val="center"/>
                    <w:rPr>
                      <w:color w:val="000000" w:themeColor="text1"/>
                      <w14:textFill>
                        <w14:solidFill>
                          <w14:schemeClr w14:val="tx1"/>
                        </w14:solidFill>
                      </w14:textFill>
                    </w:rPr>
                  </w:pPr>
                </w:p>
              </w:tc>
              <w:tc>
                <w:tcPr>
                  <w:tcW w:w="746" w:type="dxa"/>
                  <w:vMerge w:val="continue"/>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93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5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1292"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971"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c>
                <w:tcPr>
                  <w:tcW w:w="19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w:t>
                  </w:r>
                </w:p>
              </w:tc>
              <w:tc>
                <w:tcPr>
                  <w:tcW w:w="74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939"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50"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0.0035</w:t>
                  </w:r>
                </w:p>
              </w:tc>
              <w:tc>
                <w:tcPr>
                  <w:tcW w:w="1292"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0.7</w:t>
                  </w:r>
                </w:p>
              </w:tc>
              <w:tc>
                <w:tcPr>
                  <w:tcW w:w="971" w:type="dxa"/>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c>
                <w:tcPr>
                  <w:tcW w:w="1909"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w:t>
                  </w:r>
                </w:p>
              </w:tc>
              <w:tc>
                <w:tcPr>
                  <w:tcW w:w="746"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2）无组织排放</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根据工程分析，各生产环节中无组织废气产生具体情况见下表。</w:t>
            </w:r>
          </w:p>
          <w:p>
            <w:pPr>
              <w:spacing w:line="360" w:lineRule="auto"/>
              <w:jc w:val="center"/>
              <w:rPr>
                <w:b/>
                <w:iCs/>
                <w:color w:val="000000" w:themeColor="text1"/>
                <w:spacing w:val="6"/>
                <w:szCs w:val="21"/>
                <w14:textFill>
                  <w14:solidFill>
                    <w14:schemeClr w14:val="tx1"/>
                  </w14:solidFill>
                </w14:textFill>
              </w:rPr>
            </w:pPr>
            <w:r>
              <w:rPr>
                <w:b/>
                <w:iCs/>
                <w:color w:val="000000" w:themeColor="text1"/>
                <w:spacing w:val="6"/>
                <w:szCs w:val="21"/>
                <w14:textFill>
                  <w14:solidFill>
                    <w14:schemeClr w14:val="tx1"/>
                  </w14:solidFill>
                </w14:textFill>
              </w:rPr>
              <w:t>表</w:t>
            </w:r>
            <w:r>
              <w:rPr>
                <w:rFonts w:hint="eastAsia"/>
                <w:b/>
                <w:iCs/>
                <w:color w:val="000000" w:themeColor="text1"/>
                <w:spacing w:val="6"/>
                <w:szCs w:val="21"/>
                <w14:textFill>
                  <w14:solidFill>
                    <w14:schemeClr w14:val="tx1"/>
                  </w14:solidFill>
                </w14:textFill>
              </w:rPr>
              <w:t>4-</w:t>
            </w:r>
            <w:r>
              <w:rPr>
                <w:rFonts w:hint="eastAsia"/>
                <w:b/>
                <w:iCs/>
                <w:color w:val="000000" w:themeColor="text1"/>
                <w:spacing w:val="6"/>
                <w:szCs w:val="21"/>
                <w:lang w:val="en-US" w:eastAsia="zh-CN"/>
                <w14:textFill>
                  <w14:solidFill>
                    <w14:schemeClr w14:val="tx1"/>
                  </w14:solidFill>
                </w14:textFill>
              </w:rPr>
              <w:t>7</w:t>
            </w:r>
            <w:r>
              <w:rPr>
                <w:b/>
                <w:iCs/>
                <w:color w:val="000000" w:themeColor="text1"/>
                <w:spacing w:val="6"/>
                <w:szCs w:val="21"/>
                <w14:textFill>
                  <w14:solidFill>
                    <w14:schemeClr w14:val="tx1"/>
                  </w14:solidFill>
                </w14:textFill>
              </w:rPr>
              <w:t xml:space="preserve"> 本项目各生产环节无组织颗粒物产生情况</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166"/>
              <w:gridCol w:w="946"/>
              <w:gridCol w:w="1027"/>
              <w:gridCol w:w="1038"/>
              <w:gridCol w:w="1292"/>
              <w:gridCol w:w="2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blHeader/>
                <w:jc w:val="center"/>
              </w:trPr>
              <w:tc>
                <w:tcPr>
                  <w:tcW w:w="459"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166" w:type="dxa"/>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产污工序</w:t>
                  </w:r>
                </w:p>
              </w:tc>
              <w:tc>
                <w:tcPr>
                  <w:tcW w:w="946"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1027"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排放速率kg/h</w:t>
                  </w:r>
                </w:p>
              </w:tc>
              <w:tc>
                <w:tcPr>
                  <w:tcW w:w="1038" w:type="dxa"/>
                  <w:tcBorders>
                    <w:tl2br w:val="nil"/>
                    <w:tr2bl w:val="nil"/>
                  </w:tcBorders>
                  <w:vAlign w:val="center"/>
                </w:tcPr>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排放量t/a</w:t>
                  </w:r>
                </w:p>
              </w:tc>
              <w:tc>
                <w:tcPr>
                  <w:tcW w:w="1292" w:type="dxa"/>
                  <w:tcBorders>
                    <w:tl2br w:val="nil"/>
                    <w:tr2bl w:val="nil"/>
                  </w:tcBorders>
                  <w:vAlign w:val="center"/>
                </w:tcPr>
                <w:p>
                  <w:pPr>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主要污染防治措施</w:t>
                  </w:r>
                </w:p>
              </w:tc>
              <w:tc>
                <w:tcPr>
                  <w:tcW w:w="2009"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《大气污染物综合排放标准》（GB</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-1996）</w:t>
                  </w:r>
                  <w:r>
                    <w:rPr>
                      <w:rFonts w:hint="eastAsia"/>
                      <w:b/>
                      <w:bCs/>
                      <w:color w:val="000000" w:themeColor="text1"/>
                      <w:lang w:val="en-US" w:eastAsia="zh-CN"/>
                      <w14:textFill>
                        <w14:solidFill>
                          <w14:schemeClr w14:val="tx1"/>
                        </w14:solidFill>
                      </w14:textFill>
                    </w:rPr>
                    <w:t>无组织</w:t>
                  </w:r>
                  <w:r>
                    <w:rPr>
                      <w:rFonts w:hint="eastAsia"/>
                      <w:b/>
                      <w:bCs/>
                      <w:color w:val="000000" w:themeColor="text1"/>
                      <w14:textFill>
                        <w14:solidFill>
                          <w14:schemeClr w14:val="tx1"/>
                        </w14:solidFill>
                      </w14:textFill>
                    </w:rPr>
                    <w:t>限值mg/m</w:t>
                  </w:r>
                  <w:r>
                    <w:rPr>
                      <w:rFonts w:hint="eastAsia"/>
                      <w:b/>
                      <w:bCs/>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16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投料粉尘</w:t>
                  </w:r>
                </w:p>
              </w:tc>
              <w:tc>
                <w:tcPr>
                  <w:tcW w:w="94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02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0.056</w:t>
                  </w:r>
                </w:p>
              </w:tc>
              <w:tc>
                <w:tcPr>
                  <w:tcW w:w="10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c>
                <w:tcPr>
                  <w:tcW w:w="1292"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脉冲式布袋除尘器</w:t>
                  </w:r>
                </w:p>
              </w:tc>
              <w:tc>
                <w:tcPr>
                  <w:tcW w:w="20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166"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开方、截断、磨面、倒角等工序</w:t>
                  </w:r>
                </w:p>
              </w:tc>
              <w:tc>
                <w:tcPr>
                  <w:tcW w:w="946"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027" w:type="dxa"/>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0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292"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湿法作业</w:t>
                  </w:r>
                </w:p>
              </w:tc>
              <w:tc>
                <w:tcPr>
                  <w:tcW w:w="20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112" w:type="dxa"/>
                  <w:gridSpan w:val="2"/>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整个车间</w:t>
                  </w:r>
                </w:p>
              </w:tc>
              <w:tc>
                <w:tcPr>
                  <w:tcW w:w="1027"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0.056</w:t>
                  </w:r>
                </w:p>
              </w:tc>
              <w:tc>
                <w:tcPr>
                  <w:tcW w:w="1038"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c>
                <w:tcPr>
                  <w:tcW w:w="1292" w:type="dxa"/>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00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bl>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本项目无组织排放源为生产车间，为矩形面源，本项目大气污染物面源排放参数见下表。</w:t>
            </w:r>
          </w:p>
          <w:p>
            <w:pPr>
              <w:spacing w:line="360" w:lineRule="auto"/>
              <w:jc w:val="center"/>
              <w:rPr>
                <w:b/>
                <w:iCs/>
                <w:color w:val="000000" w:themeColor="text1"/>
                <w:spacing w:val="6"/>
                <w:szCs w:val="21"/>
                <w14:textFill>
                  <w14:solidFill>
                    <w14:schemeClr w14:val="tx1"/>
                  </w14:solidFill>
                </w14:textFill>
              </w:rPr>
            </w:pPr>
            <w:r>
              <w:rPr>
                <w:b/>
                <w:iCs/>
                <w:color w:val="000000" w:themeColor="text1"/>
                <w:spacing w:val="6"/>
                <w:szCs w:val="21"/>
                <w14:textFill>
                  <w14:solidFill>
                    <w14:schemeClr w14:val="tx1"/>
                  </w14:solidFill>
                </w14:textFill>
              </w:rPr>
              <w:t>表</w:t>
            </w:r>
            <w:r>
              <w:rPr>
                <w:rFonts w:hint="eastAsia"/>
                <w:b/>
                <w:iCs/>
                <w:color w:val="000000" w:themeColor="text1"/>
                <w:spacing w:val="6"/>
                <w:szCs w:val="21"/>
                <w14:textFill>
                  <w14:solidFill>
                    <w14:schemeClr w14:val="tx1"/>
                  </w14:solidFill>
                </w14:textFill>
              </w:rPr>
              <w:t>4-</w:t>
            </w:r>
            <w:r>
              <w:rPr>
                <w:rFonts w:hint="eastAsia"/>
                <w:b/>
                <w:iCs/>
                <w:color w:val="000000" w:themeColor="text1"/>
                <w:spacing w:val="6"/>
                <w:szCs w:val="21"/>
                <w:lang w:val="en-US" w:eastAsia="zh-CN"/>
                <w14:textFill>
                  <w14:solidFill>
                    <w14:schemeClr w14:val="tx1"/>
                  </w14:solidFill>
                </w14:textFill>
              </w:rPr>
              <w:t>8</w:t>
            </w:r>
            <w:r>
              <w:rPr>
                <w:b/>
                <w:iCs/>
                <w:color w:val="000000" w:themeColor="text1"/>
                <w:spacing w:val="6"/>
                <w:szCs w:val="21"/>
                <w14:textFill>
                  <w14:solidFill>
                    <w14:schemeClr w14:val="tx1"/>
                  </w14:solidFill>
                </w14:textFill>
              </w:rPr>
              <w:t>大气污染物正常工况下面源排放参数一览表</w:t>
            </w:r>
          </w:p>
          <w:tbl>
            <w:tblPr>
              <w:tblStyle w:val="23"/>
              <w:tblW w:w="494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39"/>
              <w:gridCol w:w="1221"/>
              <w:gridCol w:w="1221"/>
              <w:gridCol w:w="971"/>
              <w:gridCol w:w="859"/>
              <w:gridCol w:w="675"/>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blHeader/>
                <w:jc w:val="center"/>
              </w:trPr>
              <w:tc>
                <w:tcPr>
                  <w:tcW w:w="850"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名称</w:t>
                  </w:r>
                </w:p>
              </w:tc>
              <w:tc>
                <w:tcPr>
                  <w:tcW w:w="939"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面源海拔高度/m</w:t>
                  </w:r>
                </w:p>
              </w:tc>
              <w:tc>
                <w:tcPr>
                  <w:tcW w:w="122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面源长度（m）</w:t>
                  </w:r>
                </w:p>
              </w:tc>
              <w:tc>
                <w:tcPr>
                  <w:tcW w:w="122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面源宽度</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（m）</w:t>
                  </w:r>
                </w:p>
              </w:tc>
              <w:tc>
                <w:tcPr>
                  <w:tcW w:w="971"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面源有效排放高度/m</w:t>
                  </w:r>
                </w:p>
              </w:tc>
              <w:tc>
                <w:tcPr>
                  <w:tcW w:w="859"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年排放小时数（h）</w:t>
                  </w:r>
                </w:p>
              </w:tc>
              <w:tc>
                <w:tcPr>
                  <w:tcW w:w="675" w:type="dxa"/>
                  <w:vMerge w:val="restart"/>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工况</w:t>
                  </w:r>
                </w:p>
              </w:tc>
              <w:tc>
                <w:tcPr>
                  <w:tcW w:w="1121"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blHeader/>
                <w:jc w:val="center"/>
              </w:trPr>
              <w:tc>
                <w:tcPr>
                  <w:tcW w:w="850" w:type="dxa"/>
                  <w:vMerge w:val="continue"/>
                  <w:tcBorders>
                    <w:tl2br w:val="nil"/>
                    <w:tr2bl w:val="nil"/>
                  </w:tcBorders>
                  <w:vAlign w:val="center"/>
                </w:tcPr>
                <w:p>
                  <w:pPr>
                    <w:jc w:val="center"/>
                    <w:rPr>
                      <w:color w:val="000000" w:themeColor="text1"/>
                      <w14:textFill>
                        <w14:solidFill>
                          <w14:schemeClr w14:val="tx1"/>
                        </w14:solidFill>
                      </w14:textFill>
                    </w:rPr>
                  </w:pPr>
                </w:p>
              </w:tc>
              <w:tc>
                <w:tcPr>
                  <w:tcW w:w="939"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21"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21" w:type="dxa"/>
                  <w:vMerge w:val="continue"/>
                  <w:tcBorders>
                    <w:tl2br w:val="nil"/>
                    <w:tr2bl w:val="nil"/>
                  </w:tcBorders>
                  <w:vAlign w:val="center"/>
                </w:tcPr>
                <w:p>
                  <w:pPr>
                    <w:jc w:val="center"/>
                    <w:rPr>
                      <w:color w:val="000000" w:themeColor="text1"/>
                      <w14:textFill>
                        <w14:solidFill>
                          <w14:schemeClr w14:val="tx1"/>
                        </w14:solidFill>
                      </w14:textFill>
                    </w:rPr>
                  </w:pPr>
                </w:p>
              </w:tc>
              <w:tc>
                <w:tcPr>
                  <w:tcW w:w="971" w:type="dxa"/>
                  <w:vMerge w:val="continue"/>
                  <w:tcBorders>
                    <w:tl2br w:val="nil"/>
                    <w:tr2bl w:val="nil"/>
                  </w:tcBorders>
                  <w:vAlign w:val="center"/>
                </w:tcPr>
                <w:p>
                  <w:pPr>
                    <w:jc w:val="center"/>
                    <w:rPr>
                      <w:color w:val="000000" w:themeColor="text1"/>
                      <w14:textFill>
                        <w14:solidFill>
                          <w14:schemeClr w14:val="tx1"/>
                        </w14:solidFill>
                      </w14:textFill>
                    </w:rPr>
                  </w:pPr>
                </w:p>
              </w:tc>
              <w:tc>
                <w:tcPr>
                  <w:tcW w:w="859" w:type="dxa"/>
                  <w:vMerge w:val="continue"/>
                  <w:tcBorders>
                    <w:tl2br w:val="nil"/>
                    <w:tr2bl w:val="nil"/>
                  </w:tcBorders>
                  <w:vAlign w:val="center"/>
                </w:tcPr>
                <w:p>
                  <w:pPr>
                    <w:jc w:val="center"/>
                    <w:rPr>
                      <w:color w:val="000000" w:themeColor="text1"/>
                      <w14:textFill>
                        <w14:solidFill>
                          <w14:schemeClr w14:val="tx1"/>
                        </w14:solidFill>
                      </w14:textFill>
                    </w:rPr>
                  </w:pPr>
                </w:p>
              </w:tc>
              <w:tc>
                <w:tcPr>
                  <w:tcW w:w="675" w:type="dxa"/>
                  <w:vMerge w:val="continue"/>
                  <w:tcBorders>
                    <w:tl2br w:val="nil"/>
                    <w:tr2bl w:val="nil"/>
                  </w:tcBorders>
                  <w:vAlign w:val="center"/>
                </w:tcPr>
                <w:p>
                  <w:pPr>
                    <w:jc w:val="center"/>
                    <w:rPr>
                      <w:color w:val="000000" w:themeColor="text1"/>
                      <w14:textFill>
                        <w14:solidFill>
                          <w14:schemeClr w14:val="tx1"/>
                        </w14:solidFill>
                      </w14:textFill>
                    </w:rPr>
                  </w:pPr>
                </w:p>
              </w:tc>
              <w:tc>
                <w:tcPr>
                  <w:tcW w:w="1121" w:type="dxa"/>
                  <w:tcBorders>
                    <w:tl2br w:val="nil"/>
                    <w:tr2bl w:val="nil"/>
                  </w:tcBorders>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整个生产车间</w:t>
                  </w:r>
                </w:p>
              </w:tc>
              <w:tc>
                <w:tcPr>
                  <w:tcW w:w="93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207.9</w:t>
                  </w:r>
                </w:p>
              </w:tc>
              <w:tc>
                <w:tcPr>
                  <w:tcW w:w="1221"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54</w:t>
                  </w:r>
                </w:p>
              </w:tc>
              <w:tc>
                <w:tcPr>
                  <w:tcW w:w="1221"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w:t>
                  </w:r>
                </w:p>
              </w:tc>
              <w:tc>
                <w:tcPr>
                  <w:tcW w:w="971"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85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72</w:t>
                  </w:r>
                  <w:r>
                    <w:rPr>
                      <w:rFonts w:hint="eastAsia"/>
                      <w:color w:val="000000" w:themeColor="text1"/>
                      <w:szCs w:val="21"/>
                      <w14:textFill>
                        <w14:solidFill>
                          <w14:schemeClr w14:val="tx1"/>
                        </w14:solidFill>
                      </w14:textFill>
                    </w:rPr>
                    <w:t>00</w:t>
                  </w:r>
                </w:p>
              </w:tc>
              <w:tc>
                <w:tcPr>
                  <w:tcW w:w="67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121"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056</w:t>
                  </w:r>
                </w:p>
              </w:tc>
            </w:tr>
          </w:tbl>
          <w:p>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参考《环境影响评价技术导则 大气环境》（HJ2.2-2018），借助其估算模式AERSCREEN，计算项目厂界污染物最大落地浓度来进行达标排放分析，经计算项目颗粒物最大地面浓度为0.</w:t>
            </w:r>
            <w:r>
              <w:rPr>
                <w:rFonts w:hint="eastAsia"/>
                <w:color w:val="000000" w:themeColor="text1"/>
                <w:lang w:val="en-US" w:eastAsia="zh-CN"/>
                <w14:textFill>
                  <w14:solidFill>
                    <w14:schemeClr w14:val="tx1"/>
                  </w14:solidFill>
                </w14:textFill>
              </w:rPr>
              <w:t>171</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，满足《大气污染物综合排放标准》（GB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-1996）无组织限值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4</w:t>
            </w:r>
            <w:r>
              <w:rPr>
                <w:rFonts w:hint="eastAsia"/>
                <w:b/>
                <w:bCs/>
                <w:color w:val="000000" w:themeColor="text1"/>
                <w:szCs w:val="21"/>
                <w14:textFill>
                  <w14:solidFill>
                    <w14:schemeClr w14:val="tx1"/>
                  </w14:solidFill>
                </w14:textFill>
              </w:rPr>
              <w:t>.非正常排放污染源分析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项目非正常工况主要包括生产线设备故障和环保设施故障。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①生产线故障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由于本项目各生产设备彼此关联度较高，因此一旦故部分设备故障和检修时其它设备的将会采取对应的停产措施，可避免各生产设备故障下的非正常排放。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②环保设施故障</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本项目在运营过程中布袋收尘器发生故障、封闭设施损坏，均会导致废气超标排放。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从上述分析可知，脉冲式布袋除尘器发生故障的因素较多，综上，设定粉尘非正常排放条件为脉冲式布袋除尘器出现故障，导致除尘系统布袋除尘器对粉尘去除效率为50%左右，排放源强如下表所示。</w:t>
            </w:r>
          </w:p>
          <w:p>
            <w:pPr>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9</w:t>
            </w:r>
            <w:r>
              <w:rPr>
                <w:rFonts w:hint="eastAsia"/>
                <w:b/>
                <w:color w:val="000000" w:themeColor="text1"/>
                <w:szCs w:val="21"/>
                <w14:textFill>
                  <w14:solidFill>
                    <w14:schemeClr w14:val="tx1"/>
                  </w14:solidFill>
                </w14:textFill>
              </w:rPr>
              <w:t xml:space="preserve"> 项目厂区非正常排放情况表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600"/>
              <w:gridCol w:w="944"/>
              <w:gridCol w:w="707"/>
              <w:gridCol w:w="1043"/>
              <w:gridCol w:w="1031"/>
              <w:gridCol w:w="1012"/>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9" w:type="pct"/>
                  <w:gridSpan w:val="2"/>
                  <w:vMerge w:val="restar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名称</w:t>
                  </w:r>
                </w:p>
              </w:tc>
              <w:tc>
                <w:tcPr>
                  <w:tcW w:w="594" w:type="pct"/>
                  <w:vMerge w:val="restar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产生量（t/a）</w:t>
                  </w:r>
                </w:p>
              </w:tc>
              <w:tc>
                <w:tcPr>
                  <w:tcW w:w="445" w:type="pct"/>
                  <w:vMerge w:val="restar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收集率</w:t>
                  </w:r>
                </w:p>
              </w:tc>
              <w:tc>
                <w:tcPr>
                  <w:tcW w:w="656" w:type="pct"/>
                  <w:vMerge w:val="restar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处理效率</w:t>
                  </w:r>
                </w:p>
              </w:tc>
              <w:tc>
                <w:tcPr>
                  <w:tcW w:w="1884" w:type="pct"/>
                  <w:gridSpan w:val="3"/>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9" w:type="pct"/>
                  <w:gridSpan w:val="2"/>
                  <w:vMerge w:val="continue"/>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tc>
              <w:tc>
                <w:tcPr>
                  <w:tcW w:w="594" w:type="pct"/>
                  <w:vMerge w:val="continue"/>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tc>
              <w:tc>
                <w:tcPr>
                  <w:tcW w:w="445" w:type="pct"/>
                  <w:vMerge w:val="continue"/>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tc>
              <w:tc>
                <w:tcPr>
                  <w:tcW w:w="656" w:type="pct"/>
                  <w:vMerge w:val="continue"/>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tc>
              <w:tc>
                <w:tcPr>
                  <w:tcW w:w="649" w:type="pc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（t/a）</w:t>
                  </w:r>
                </w:p>
              </w:tc>
              <w:tc>
                <w:tcPr>
                  <w:tcW w:w="637" w:type="pc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（kg/h）</w:t>
                  </w:r>
                </w:p>
              </w:tc>
              <w:tc>
                <w:tcPr>
                  <w:tcW w:w="598" w:type="pct"/>
                  <w:tcBorders>
                    <w:tl2br w:val="nil"/>
                    <w:tr2bl w:val="nil"/>
                  </w:tcBorders>
                  <w:vAlign w:val="center"/>
                </w:tcPr>
                <w:p>
                  <w:pPr>
                    <w:jc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mg/m</w:t>
                  </w:r>
                  <w:r>
                    <w:rPr>
                      <w:rFonts w:hint="eastAsia" w:ascii="Times New Roman" w:hAnsi="Times New Roman" w:eastAsia="宋体" w:cs="Times New Roman"/>
                      <w:b/>
                      <w:bCs/>
                      <w:color w:val="000000" w:themeColor="text1"/>
                      <w:szCs w:val="21"/>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restar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有组织</w:t>
                  </w:r>
                </w:p>
              </w:tc>
              <w:tc>
                <w:tcPr>
                  <w:tcW w:w="1007" w:type="pc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投料粉尘</w:t>
                  </w:r>
                </w:p>
              </w:tc>
              <w:tc>
                <w:tcPr>
                  <w:tcW w:w="594"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445" w:type="pc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656" w:type="pc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w:t>
                  </w:r>
                </w:p>
              </w:tc>
              <w:tc>
                <w:tcPr>
                  <w:tcW w:w="649"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w:t>
                  </w:r>
                </w:p>
              </w:tc>
              <w:tc>
                <w:tcPr>
                  <w:tcW w:w="637"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0.25</w:t>
                  </w:r>
                </w:p>
              </w:tc>
              <w:tc>
                <w:tcPr>
                  <w:tcW w:w="598"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1007"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熔融烟尘</w:t>
                  </w:r>
                </w:p>
              </w:tc>
              <w:tc>
                <w:tcPr>
                  <w:tcW w:w="594" w:type="pc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2.474</w:t>
                  </w:r>
                </w:p>
              </w:tc>
              <w:tc>
                <w:tcPr>
                  <w:tcW w:w="445"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w:t>
                  </w:r>
                </w:p>
              </w:tc>
              <w:tc>
                <w:tcPr>
                  <w:tcW w:w="656" w:type="pct"/>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w:t>
                  </w:r>
                </w:p>
              </w:tc>
              <w:tc>
                <w:tcPr>
                  <w:tcW w:w="649"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1.237</w:t>
                  </w:r>
                </w:p>
              </w:tc>
              <w:tc>
                <w:tcPr>
                  <w:tcW w:w="637"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0.172</w:t>
                  </w:r>
                </w:p>
              </w:tc>
              <w:tc>
                <w:tcPr>
                  <w:tcW w:w="598" w:type="pct"/>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34.4</w:t>
                  </w:r>
                </w:p>
              </w:tc>
            </w:tr>
          </w:tbl>
          <w:p>
            <w:pPr>
              <w:spacing w:line="360" w:lineRule="auto"/>
              <w:ind w:firstLine="444" w:firstLineChars="200"/>
              <w:rPr>
                <w:bCs/>
                <w:iCs/>
                <w:color w:val="000000" w:themeColor="text1"/>
                <w:spacing w:val="6"/>
                <w:szCs w:val="21"/>
                <w14:textFill>
                  <w14:solidFill>
                    <w14:schemeClr w14:val="tx1"/>
                  </w14:solidFill>
                </w14:textFill>
              </w:rPr>
            </w:pPr>
            <w:r>
              <w:rPr>
                <w:rFonts w:hint="eastAsia"/>
                <w:bCs/>
                <w:iCs/>
                <w:color w:val="000000" w:themeColor="text1"/>
                <w:spacing w:val="6"/>
                <w:szCs w:val="21"/>
                <w14:textFill>
                  <w14:solidFill>
                    <w14:schemeClr w14:val="tx1"/>
                  </w14:solidFill>
                </w14:textFill>
              </w:rPr>
              <w:t>③处置措施要求</w:t>
            </w:r>
          </w:p>
          <w:p>
            <w:pPr>
              <w:spacing w:line="360" w:lineRule="auto"/>
              <w:ind w:firstLine="444" w:firstLineChars="200"/>
              <w:rPr>
                <w:bCs/>
                <w:iCs/>
                <w:color w:val="000000" w:themeColor="text1"/>
                <w:spacing w:val="6"/>
                <w:szCs w:val="21"/>
                <w14:textFill>
                  <w14:solidFill>
                    <w14:schemeClr w14:val="tx1"/>
                  </w14:solidFill>
                </w14:textFill>
              </w:rPr>
            </w:pPr>
            <w:r>
              <w:rPr>
                <w:rFonts w:hint="eastAsia"/>
                <w:bCs/>
                <w:iCs/>
                <w:color w:val="000000" w:themeColor="text1"/>
                <w:spacing w:val="6"/>
                <w:szCs w:val="21"/>
                <w14:textFill>
                  <w14:solidFill>
                    <w14:schemeClr w14:val="tx1"/>
                  </w14:solidFill>
                </w14:textFill>
              </w:rPr>
              <w:t>非正常工况下，需立即停工，进行排查和检修，向当地环境主管部门报告，及时整改检修，做好台账记录。</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5</w:t>
            </w:r>
            <w:r>
              <w:rPr>
                <w:rFonts w:hint="eastAsia"/>
                <w:b/>
                <w:bCs/>
                <w:color w:val="000000" w:themeColor="text1"/>
                <w:szCs w:val="21"/>
                <w14:textFill>
                  <w14:solidFill>
                    <w14:schemeClr w14:val="tx1"/>
                  </w14:solidFill>
                </w14:textFill>
              </w:rPr>
              <w:t>.污染物排放量核算</w:t>
            </w:r>
          </w:p>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10</w:t>
            </w:r>
            <w:r>
              <w:rPr>
                <w:rFonts w:hint="eastAsia"/>
                <w:b/>
                <w:iCs/>
                <w:color w:val="000000" w:themeColor="text1"/>
                <w:spacing w:val="6"/>
                <w:szCs w:val="21"/>
                <w14:textFill>
                  <w14:solidFill>
                    <w14:schemeClr w14:val="tx1"/>
                  </w14:solidFill>
                </w14:textFill>
              </w:rPr>
              <w:t xml:space="preserve"> 本项目大气污染物有组织排放量核算表</w:t>
            </w:r>
          </w:p>
          <w:tbl>
            <w:tblPr>
              <w:tblStyle w:val="23"/>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053"/>
              <w:gridCol w:w="1397"/>
              <w:gridCol w:w="1516"/>
              <w:gridCol w:w="1544"/>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0"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671"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排放口编号</w:t>
                  </w:r>
                </w:p>
              </w:tc>
              <w:tc>
                <w:tcPr>
                  <w:tcW w:w="891"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967"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核算排放浓度/（mg/m</w:t>
                  </w:r>
                  <w:r>
                    <w:rPr>
                      <w:rFonts w:hint="eastAsia"/>
                      <w:b/>
                      <w:bCs/>
                      <w:color w:val="000000" w:themeColor="text1"/>
                      <w:szCs w:val="21"/>
                      <w:vertAlign w:val="superscript"/>
                      <w14:textFill>
                        <w14:solidFill>
                          <w14:schemeClr w14:val="tx1"/>
                        </w14:solidFill>
                      </w14:textFill>
                    </w:rPr>
                    <w:t>3</w:t>
                  </w:r>
                  <w:r>
                    <w:rPr>
                      <w:rFonts w:hint="eastAsia"/>
                      <w:b/>
                      <w:bCs/>
                      <w:color w:val="000000" w:themeColor="text1"/>
                      <w:szCs w:val="21"/>
                      <w14:textFill>
                        <w14:solidFill>
                          <w14:schemeClr w14:val="tx1"/>
                        </w14:solidFill>
                      </w14:textFill>
                    </w:rPr>
                    <w:t>）</w:t>
                  </w:r>
                </w:p>
              </w:tc>
              <w:tc>
                <w:tcPr>
                  <w:tcW w:w="984"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核算排放速率/（kg/h）</w:t>
                  </w:r>
                </w:p>
              </w:tc>
              <w:tc>
                <w:tcPr>
                  <w:tcW w:w="1014" w:type="pc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0"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71"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891"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516"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544"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1590"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0" w:type="pct"/>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671" w:type="pc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891" w:type="pct"/>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516"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w:t>
                  </w:r>
                </w:p>
              </w:tc>
              <w:tc>
                <w:tcPr>
                  <w:tcW w:w="1544"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0.0035</w:t>
                  </w:r>
                </w:p>
              </w:tc>
              <w:tc>
                <w:tcPr>
                  <w:tcW w:w="1590" w:type="dxa"/>
                  <w:tcBorders>
                    <w:tl2br w:val="nil"/>
                    <w:tr2bl w:val="nil"/>
                  </w:tcBorders>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2" w:type="pct"/>
                  <w:gridSpan w:val="2"/>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有组织排放总计</w:t>
                  </w:r>
                </w:p>
              </w:tc>
              <w:tc>
                <w:tcPr>
                  <w:tcW w:w="2843" w:type="pct"/>
                  <w:gridSpan w:val="3"/>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014" w:type="pc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0.061</w:t>
                  </w:r>
                </w:p>
              </w:tc>
            </w:tr>
          </w:tbl>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11</w:t>
            </w:r>
            <w:r>
              <w:rPr>
                <w:rFonts w:hint="eastAsia"/>
                <w:b/>
                <w:iCs/>
                <w:color w:val="000000" w:themeColor="text1"/>
                <w:spacing w:val="6"/>
                <w:szCs w:val="21"/>
                <w14:textFill>
                  <w14:solidFill>
                    <w14:schemeClr w14:val="tx1"/>
                  </w14:solidFill>
                </w14:textFill>
              </w:rPr>
              <w:t xml:space="preserve"> 无组织大气污染物排放量核算表</w:t>
            </w:r>
          </w:p>
          <w:tbl>
            <w:tblPr>
              <w:tblStyle w:val="23"/>
              <w:tblW w:w="78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48"/>
              <w:gridCol w:w="760"/>
              <w:gridCol w:w="1131"/>
              <w:gridCol w:w="727"/>
              <w:gridCol w:w="1177"/>
              <w:gridCol w:w="900"/>
              <w:gridCol w:w="773"/>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77"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序号</w:t>
                  </w:r>
                </w:p>
              </w:tc>
              <w:tc>
                <w:tcPr>
                  <w:tcW w:w="948"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污染源位置</w:t>
                  </w:r>
                </w:p>
              </w:tc>
              <w:tc>
                <w:tcPr>
                  <w:tcW w:w="760"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污染物</w:t>
                  </w:r>
                </w:p>
              </w:tc>
              <w:tc>
                <w:tcPr>
                  <w:tcW w:w="1131"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面源面积m</w:t>
                  </w:r>
                  <w:r>
                    <w:rPr>
                      <w:rFonts w:hint="eastAsia"/>
                      <w:b/>
                      <w:bCs/>
                      <w:color w:val="000000" w:themeColor="text1"/>
                      <w:szCs w:val="21"/>
                      <w:vertAlign w:val="superscript"/>
                      <w14:textFill>
                        <w14:solidFill>
                          <w14:schemeClr w14:val="tx1"/>
                        </w14:solidFill>
                      </w14:textFill>
                    </w:rPr>
                    <w:t>2</w:t>
                  </w:r>
                </w:p>
              </w:tc>
              <w:tc>
                <w:tcPr>
                  <w:tcW w:w="727" w:type="dxa"/>
                  <w:vMerge w:val="restart"/>
                  <w:tcBorders>
                    <w:tl2br w:val="nil"/>
                    <w:tr2bl w:val="nil"/>
                  </w:tcBorders>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面源高度m</w:t>
                  </w:r>
                </w:p>
              </w:tc>
              <w:tc>
                <w:tcPr>
                  <w:tcW w:w="1177" w:type="dxa"/>
                  <w:vMerge w:val="restart"/>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主要污染防治措施</w:t>
                  </w:r>
                </w:p>
              </w:tc>
              <w:tc>
                <w:tcPr>
                  <w:tcW w:w="1673" w:type="dxa"/>
                  <w:gridSpan w:val="2"/>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国家或地方污染物排放标准</w:t>
                  </w:r>
                </w:p>
              </w:tc>
              <w:tc>
                <w:tcPr>
                  <w:tcW w:w="955" w:type="dxa"/>
                  <w:vMerge w:val="restart"/>
                  <w:tcBorders>
                    <w:tl2br w:val="nil"/>
                    <w:tr2bl w:val="nil"/>
                  </w:tcBorders>
                  <w:vAlign w:val="center"/>
                </w:tcPr>
                <w:p>
                  <w:pPr>
                    <w:jc w:val="center"/>
                    <w:rPr>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年排放量（</w:t>
                  </w:r>
                  <w:r>
                    <w:rPr>
                      <w:rFonts w:hint="eastAsia"/>
                      <w:b/>
                      <w:bCs/>
                      <w:color w:val="000000" w:themeColor="text1"/>
                      <w:szCs w:val="21"/>
                      <w14:textFill>
                        <w14:solidFill>
                          <w14:schemeClr w14:val="tx1"/>
                        </w14:solidFill>
                      </w14:textFill>
                    </w:rPr>
                    <w:t>t</w:t>
                  </w:r>
                  <w:r>
                    <w:rPr>
                      <w:b/>
                      <w:bCs/>
                      <w:color w:val="000000" w:themeColor="text1"/>
                      <w:szCs w:val="21"/>
                      <w:lang w:val="en-GB"/>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7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948"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760"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1131"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72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1177" w:type="dxa"/>
                  <w:vMerge w:val="continue"/>
                  <w:tcBorders>
                    <w:tl2br w:val="nil"/>
                    <w:tr2bl w:val="nil"/>
                  </w:tcBorders>
                  <w:vAlign w:val="center"/>
                </w:tcPr>
                <w:p>
                  <w:pPr>
                    <w:jc w:val="center"/>
                    <w:rPr>
                      <w:b/>
                      <w:bCs/>
                      <w:color w:val="000000" w:themeColor="text1"/>
                      <w:szCs w:val="21"/>
                      <w:lang w:val="en-GB"/>
                      <w14:textFill>
                        <w14:solidFill>
                          <w14:schemeClr w14:val="tx1"/>
                        </w14:solidFill>
                      </w14:textFill>
                    </w:rPr>
                  </w:pPr>
                </w:p>
              </w:tc>
              <w:tc>
                <w:tcPr>
                  <w:tcW w:w="900" w:type="dxa"/>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标准</w:t>
                  </w:r>
                </w:p>
              </w:tc>
              <w:tc>
                <w:tcPr>
                  <w:tcW w:w="773" w:type="dxa"/>
                  <w:tcBorders>
                    <w:tl2br w:val="nil"/>
                    <w:tr2bl w:val="nil"/>
                  </w:tcBorders>
                  <w:vAlign w:val="center"/>
                </w:tcPr>
                <w:p>
                  <w:pPr>
                    <w:jc w:val="center"/>
                    <w:rPr>
                      <w:b/>
                      <w:bCs/>
                      <w:color w:val="000000" w:themeColor="text1"/>
                      <w:szCs w:val="21"/>
                      <w:lang w:val="en-GB"/>
                      <w14:textFill>
                        <w14:solidFill>
                          <w14:schemeClr w14:val="tx1"/>
                        </w14:solidFill>
                      </w14:textFill>
                    </w:rPr>
                  </w:pPr>
                  <w:r>
                    <w:rPr>
                      <w:b/>
                      <w:bCs/>
                      <w:color w:val="000000" w:themeColor="text1"/>
                      <w:szCs w:val="21"/>
                      <w:lang w:val="en-GB"/>
                      <w14:textFill>
                        <w14:solidFill>
                          <w14:schemeClr w14:val="tx1"/>
                        </w14:solidFill>
                      </w14:textFill>
                    </w:rPr>
                    <w:t>限值</w:t>
                  </w:r>
                </w:p>
              </w:tc>
              <w:tc>
                <w:tcPr>
                  <w:tcW w:w="955" w:type="dxa"/>
                  <w:vMerge w:val="continue"/>
                  <w:tcBorders>
                    <w:tl2br w:val="nil"/>
                    <w:tr2bl w:val="nil"/>
                  </w:tcBorders>
                  <w:vAlign w:val="center"/>
                </w:tcPr>
                <w:p>
                  <w:pPr>
                    <w:jc w:val="center"/>
                    <w:rPr>
                      <w:color w:val="000000" w:themeColor="text1"/>
                      <w:szCs w:val="21"/>
                      <w:lang w:val="en-GB"/>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77" w:type="dxa"/>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1</w:t>
                  </w:r>
                </w:p>
              </w:tc>
              <w:tc>
                <w:tcPr>
                  <w:tcW w:w="948"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生产车间</w:t>
                  </w:r>
                </w:p>
              </w:tc>
              <w:tc>
                <w:tcPr>
                  <w:tcW w:w="760"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113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1836</w:t>
                  </w:r>
                  <w:r>
                    <w:rPr>
                      <w:rFonts w:hint="eastAsia"/>
                      <w:color w:val="000000" w:themeColor="text1"/>
                      <w:szCs w:val="21"/>
                      <w14:textFill>
                        <w14:solidFill>
                          <w14:schemeClr w14:val="tx1"/>
                        </w14:solidFill>
                      </w14:textFill>
                    </w:rPr>
                    <w:t>（长</w:t>
                  </w:r>
                  <w:r>
                    <w:rPr>
                      <w:rFonts w:hint="eastAsia"/>
                      <w:color w:val="000000" w:themeColor="text1"/>
                      <w:szCs w:val="21"/>
                      <w:lang w:val="en-US" w:eastAsia="zh-CN"/>
                      <w14:textFill>
                        <w14:solidFill>
                          <w14:schemeClr w14:val="tx1"/>
                        </w14:solidFill>
                      </w14:textFill>
                    </w:rPr>
                    <w:t>54</w:t>
                  </w:r>
                  <w:r>
                    <w:rPr>
                      <w:rFonts w:hint="eastAsia"/>
                      <w:color w:val="000000" w:themeColor="text1"/>
                      <w:szCs w:val="21"/>
                      <w14:textFill>
                        <w14:solidFill>
                          <w14:schemeClr w14:val="tx1"/>
                        </w14:solidFill>
                      </w14:textFill>
                    </w:rPr>
                    <w:t>×宽</w:t>
                  </w:r>
                  <w:r>
                    <w:rPr>
                      <w:rFonts w:hint="eastAsia"/>
                      <w:color w:val="000000" w:themeColor="text1"/>
                      <w:szCs w:val="21"/>
                      <w:lang w:val="en-US" w:eastAsia="zh-CN"/>
                      <w14:textFill>
                        <w14:solidFill>
                          <w14:schemeClr w14:val="tx1"/>
                        </w14:solidFill>
                      </w14:textFill>
                    </w:rPr>
                    <w:t>34</w:t>
                  </w:r>
                  <w:r>
                    <w:rPr>
                      <w:rFonts w:hint="eastAsia"/>
                      <w:color w:val="000000" w:themeColor="text1"/>
                      <w:szCs w:val="21"/>
                      <w14:textFill>
                        <w14:solidFill>
                          <w14:schemeClr w14:val="tx1"/>
                        </w14:solidFill>
                      </w14:textFill>
                    </w:rPr>
                    <w:t>）</w:t>
                  </w:r>
                </w:p>
              </w:tc>
              <w:tc>
                <w:tcPr>
                  <w:tcW w:w="727" w:type="dxa"/>
                  <w:tcBorders>
                    <w:tl2br w:val="nil"/>
                    <w:tr2bl w:val="nil"/>
                  </w:tcBorders>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177"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湿式作业</w:t>
                  </w:r>
                </w:p>
              </w:tc>
              <w:tc>
                <w:tcPr>
                  <w:tcW w:w="900"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GB</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-1996</w:t>
                  </w:r>
                </w:p>
              </w:tc>
              <w:tc>
                <w:tcPr>
                  <w:tcW w:w="77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1.0mg</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955"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7848" w:type="dxa"/>
                  <w:gridSpan w:val="9"/>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185" w:type="dxa"/>
                  <w:gridSpan w:val="3"/>
                  <w:tcBorders>
                    <w:tl2br w:val="nil"/>
                    <w:tr2bl w:val="nil"/>
                  </w:tcBorders>
                  <w:vAlign w:val="center"/>
                </w:tcPr>
                <w:p>
                  <w:pPr>
                    <w:jc w:val="center"/>
                    <w:rPr>
                      <w:color w:val="000000" w:themeColor="text1"/>
                      <w:szCs w:val="21"/>
                      <w:lang w:val="en-GB"/>
                      <w14:textFill>
                        <w14:solidFill>
                          <w14:schemeClr w14:val="tx1"/>
                        </w14:solidFill>
                      </w14:textFill>
                    </w:rPr>
                  </w:pPr>
                  <w:r>
                    <w:rPr>
                      <w:color w:val="000000" w:themeColor="text1"/>
                      <w:szCs w:val="21"/>
                      <w:lang w:val="en-GB"/>
                      <w14:textFill>
                        <w14:solidFill>
                          <w14:schemeClr w14:val="tx1"/>
                        </w14:solidFill>
                      </w14:textFill>
                    </w:rPr>
                    <w:t>无组织排放总计</w:t>
                  </w:r>
                </w:p>
              </w:tc>
              <w:tc>
                <w:tcPr>
                  <w:tcW w:w="4708" w:type="dxa"/>
                  <w:gridSpan w:val="5"/>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55"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4</w:t>
                  </w:r>
                </w:p>
              </w:tc>
            </w:tr>
          </w:tbl>
          <w:p>
            <w:pPr>
              <w:spacing w:line="360" w:lineRule="auto"/>
              <w:jc w:val="center"/>
              <w:rPr>
                <w:b/>
                <w:iCs/>
                <w:color w:val="000000" w:themeColor="text1"/>
                <w:spacing w:val="6"/>
                <w:szCs w:val="21"/>
                <w14:textFill>
                  <w14:solidFill>
                    <w14:schemeClr w14:val="tx1"/>
                  </w14:solidFill>
                </w14:textFill>
              </w:rPr>
            </w:pPr>
            <w:r>
              <w:rPr>
                <w:rFonts w:hint="eastAsia"/>
                <w:b/>
                <w:iCs/>
                <w:color w:val="000000" w:themeColor="text1"/>
                <w:spacing w:val="6"/>
                <w:szCs w:val="21"/>
                <w14:textFill>
                  <w14:solidFill>
                    <w14:schemeClr w14:val="tx1"/>
                  </w14:solidFill>
                </w14:textFill>
              </w:rPr>
              <w:t>表4-</w:t>
            </w:r>
            <w:r>
              <w:rPr>
                <w:rFonts w:hint="eastAsia"/>
                <w:b/>
                <w:iCs/>
                <w:color w:val="000000" w:themeColor="text1"/>
                <w:spacing w:val="6"/>
                <w:szCs w:val="21"/>
                <w:lang w:val="en-US" w:eastAsia="zh-CN"/>
                <w14:textFill>
                  <w14:solidFill>
                    <w14:schemeClr w14:val="tx1"/>
                  </w14:solidFill>
                </w14:textFill>
              </w:rPr>
              <w:t>12</w:t>
            </w:r>
            <w:r>
              <w:rPr>
                <w:rFonts w:hint="eastAsia"/>
                <w:b/>
                <w:iCs/>
                <w:color w:val="000000" w:themeColor="text1"/>
                <w:spacing w:val="6"/>
                <w:szCs w:val="21"/>
                <w14:textFill>
                  <w14:solidFill>
                    <w14:schemeClr w14:val="tx1"/>
                  </w14:solidFill>
                </w14:textFill>
              </w:rPr>
              <w:t>大气污染物年排放量核算表</w:t>
            </w:r>
          </w:p>
          <w:tbl>
            <w:tblPr>
              <w:tblStyle w:val="23"/>
              <w:tblW w:w="78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643"/>
              <w:gridCol w:w="2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3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3643" w:type="dxa"/>
                  <w:vAlign w:val="center"/>
                </w:tcPr>
                <w:p>
                  <w:pPr>
                    <w:widowControl/>
                    <w:jc w:val="center"/>
                    <w:textAlignment w:val="center"/>
                    <w:rPr>
                      <w:b/>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污染物</w:t>
                  </w:r>
                </w:p>
              </w:tc>
              <w:tc>
                <w:tcPr>
                  <w:tcW w:w="2502" w:type="dxa"/>
                  <w:vAlign w:val="center"/>
                </w:tcPr>
                <w:p>
                  <w:pPr>
                    <w:spacing w:line="30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3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3643"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502"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0.461</w:t>
                  </w:r>
                </w:p>
              </w:tc>
            </w:tr>
          </w:tbl>
          <w:p>
            <w:pPr>
              <w:pStyle w:val="76"/>
              <w:spacing w:line="360" w:lineRule="auto"/>
              <w:ind w:firstLine="422"/>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6</w:t>
            </w:r>
            <w:r>
              <w:rPr>
                <w:rFonts w:hint="eastAsia" w:eastAsia="宋体"/>
                <w:b/>
                <w:bCs/>
                <w:color w:val="000000" w:themeColor="text1"/>
                <w:sz w:val="21"/>
                <w:szCs w:val="21"/>
                <w14:textFill>
                  <w14:solidFill>
                    <w14:schemeClr w14:val="tx1"/>
                  </w14:solidFill>
                </w14:textFill>
              </w:rPr>
              <w:t>.废气监测计划</w:t>
            </w:r>
          </w:p>
          <w:p>
            <w:pPr>
              <w:adjustRightInd w:val="0"/>
              <w:spacing w:line="360" w:lineRule="auto"/>
              <w:ind w:firstLine="420" w:firstLineChars="200"/>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根据《排污单位自行监测技术指南总则》（HJ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w:t>
            </w:r>
            <w:r>
              <w:rPr>
                <w:rFonts w:hint="eastAsia"/>
                <w:color w:val="000000" w:themeColor="text1"/>
                <w:szCs w:val="21"/>
                <w:lang w:val="en-US" w:eastAsia="zh-CN"/>
                <w14:textFill>
                  <w14:solidFill>
                    <w14:schemeClr w14:val="tx1"/>
                  </w14:solidFill>
                </w14:textFill>
              </w:rPr>
              <w:t>和</w:t>
            </w:r>
            <w:r>
              <w:rPr>
                <w:rFonts w:hint="eastAsia"/>
                <w:color w:val="000000" w:themeColor="text1"/>
                <w:szCs w:val="21"/>
                <w14:textFill>
                  <w14:solidFill>
                    <w14:schemeClr w14:val="tx1"/>
                  </w14:solidFill>
                </w14:textFill>
              </w:rPr>
              <w:t>《排污许可证申请与核发技术规范</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石墨及其他非金属矿物制品制造》（HJ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）制定本次监测计划，监测计划见表4-</w:t>
            </w:r>
            <w:r>
              <w:rPr>
                <w:rFonts w:hint="eastAsia"/>
                <w:color w:val="000000" w:themeColor="text1"/>
                <w:szCs w:val="21"/>
                <w:lang w:val="en-US" w:eastAsia="zh-CN"/>
                <w14:textFill>
                  <w14:solidFill>
                    <w14:schemeClr w14:val="tx1"/>
                  </w14:solidFill>
                </w14:textFill>
              </w:rPr>
              <w:t>13</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13</w:t>
            </w:r>
            <w:r>
              <w:rPr>
                <w:rFonts w:hint="eastAsia"/>
                <w:b/>
                <w:color w:val="000000" w:themeColor="text1"/>
                <w:szCs w:val="21"/>
                <w14:textFill>
                  <w14:solidFill>
                    <w14:schemeClr w14:val="tx1"/>
                  </w14:solidFill>
                </w14:textFill>
              </w:rPr>
              <w:t xml:space="preserve"> 大气污染物监测计划一览表</w:t>
            </w:r>
          </w:p>
          <w:tbl>
            <w:tblPr>
              <w:tblStyle w:val="23"/>
              <w:tblW w:w="7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800"/>
              <w:gridCol w:w="1307"/>
              <w:gridCol w:w="900"/>
              <w:gridCol w:w="3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8" w:type="dxa"/>
                  <w:gridSpan w:val="2"/>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监测点位</w:t>
                  </w:r>
                </w:p>
              </w:tc>
              <w:tc>
                <w:tcPr>
                  <w:tcW w:w="1307"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监测因子</w:t>
                  </w:r>
                </w:p>
              </w:tc>
              <w:tc>
                <w:tcPr>
                  <w:tcW w:w="9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监测频次</w:t>
                  </w:r>
                </w:p>
              </w:tc>
              <w:tc>
                <w:tcPr>
                  <w:tcW w:w="3235"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78" w:type="dxa"/>
                  <w:vMerge w:val="restart"/>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有组织</w:t>
                  </w:r>
                </w:p>
              </w:tc>
              <w:tc>
                <w:tcPr>
                  <w:tcW w:w="18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tc>
              <w:tc>
                <w:tcPr>
                  <w:tcW w:w="1307"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每年监测一次</w:t>
                  </w:r>
                </w:p>
              </w:tc>
              <w:tc>
                <w:tcPr>
                  <w:tcW w:w="3235"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-1996）表2二级标准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78" w:type="dxa"/>
                  <w:vMerge w:val="continue"/>
                  <w:tcBorders>
                    <w:tl2br w:val="nil"/>
                    <w:tr2bl w:val="nil"/>
                  </w:tcBorders>
                  <w:vAlign w:val="center"/>
                </w:tcPr>
                <w:p>
                  <w:pPr>
                    <w:widowControl/>
                    <w:jc w:val="center"/>
                    <w:textAlignment w:val="center"/>
                    <w:rPr>
                      <w:rFonts w:hint="eastAsia"/>
                      <w:color w:val="000000" w:themeColor="text1"/>
                      <w:kern w:val="0"/>
                      <w:szCs w:val="21"/>
                      <w14:textFill>
                        <w14:solidFill>
                          <w14:schemeClr w14:val="tx1"/>
                        </w14:solidFill>
                      </w14:textFill>
                    </w:rPr>
                  </w:pPr>
                </w:p>
              </w:tc>
              <w:tc>
                <w:tcPr>
                  <w:tcW w:w="1800" w:type="dxa"/>
                  <w:tcBorders>
                    <w:tl2br w:val="nil"/>
                    <w:tr2bl w:val="nil"/>
                  </w:tcBorders>
                  <w:vAlign w:val="center"/>
                </w:tcPr>
                <w:p>
                  <w:pPr>
                    <w:widowControl/>
                    <w:jc w:val="center"/>
                    <w:textAlignment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DA00</w:t>
                  </w:r>
                  <w:r>
                    <w:rPr>
                      <w:rFonts w:hint="eastAsia"/>
                      <w:color w:val="000000" w:themeColor="text1"/>
                      <w:kern w:val="0"/>
                      <w:szCs w:val="21"/>
                      <w:lang w:val="en-US" w:eastAsia="zh-CN"/>
                      <w14:textFill>
                        <w14:solidFill>
                          <w14:schemeClr w14:val="tx1"/>
                        </w14:solidFill>
                      </w14:textFill>
                    </w:rPr>
                    <w:t>2</w:t>
                  </w:r>
                </w:p>
              </w:tc>
              <w:tc>
                <w:tcPr>
                  <w:tcW w:w="1307" w:type="dxa"/>
                  <w:tcBorders>
                    <w:tl2br w:val="nil"/>
                    <w:tr2bl w:val="nil"/>
                  </w:tcBorders>
                  <w:vAlign w:val="center"/>
                </w:tcPr>
                <w:p>
                  <w:pPr>
                    <w:widowControl/>
                    <w:jc w:val="center"/>
                    <w:textAlignment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00" w:type="dxa"/>
                  <w:tcBorders>
                    <w:tl2br w:val="nil"/>
                    <w:tr2bl w:val="nil"/>
                  </w:tcBorders>
                  <w:vAlign w:val="center"/>
                </w:tcPr>
                <w:p>
                  <w:pPr>
                    <w:widowControl/>
                    <w:jc w:val="center"/>
                    <w:textAlignment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每年监测一次</w:t>
                  </w:r>
                </w:p>
              </w:tc>
              <w:tc>
                <w:tcPr>
                  <w:tcW w:w="3235" w:type="dxa"/>
                  <w:tcBorders>
                    <w:tl2br w:val="nil"/>
                    <w:tr2bl w:val="nil"/>
                  </w:tcBorders>
                  <w:vAlign w:val="center"/>
                </w:tcPr>
                <w:p>
                  <w:pPr>
                    <w:widowControl/>
                    <w:jc w:val="center"/>
                    <w:textAlignment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-1996）表2二级标准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78"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w:t>
                  </w:r>
                </w:p>
              </w:tc>
              <w:tc>
                <w:tcPr>
                  <w:tcW w:w="18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厂界，无组织源上风向一个点，下风向3个监测点</w:t>
                  </w:r>
                </w:p>
              </w:tc>
              <w:tc>
                <w:tcPr>
                  <w:tcW w:w="1307"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900" w:type="dxa"/>
                  <w:tcBorders>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每年监测一次</w:t>
                  </w:r>
                </w:p>
              </w:tc>
              <w:tc>
                <w:tcPr>
                  <w:tcW w:w="3235" w:type="dxa"/>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《大气污染物综合排放标准》（GB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-1996）表2</w:t>
                  </w:r>
                  <w:r>
                    <w:rPr>
                      <w:rFonts w:hint="eastAsia"/>
                      <w:color w:val="000000" w:themeColor="text1"/>
                      <w:kern w:val="0"/>
                      <w:szCs w:val="21"/>
                      <w:lang w:val="en-US" w:eastAsia="zh-CN"/>
                      <w14:textFill>
                        <w14:solidFill>
                          <w14:schemeClr w14:val="tx1"/>
                        </w14:solidFill>
                      </w14:textFill>
                    </w:rPr>
                    <w:t>无组织浓度限值</w:t>
                  </w:r>
                </w:p>
              </w:tc>
            </w:tr>
          </w:tbl>
          <w:p>
            <w:pPr>
              <w:spacing w:line="360" w:lineRule="auto"/>
              <w:rPr>
                <w:b/>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二</w:t>
            </w:r>
            <w:r>
              <w:rPr>
                <w:rFonts w:hint="eastAsia"/>
                <w:b/>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水环境影响分析</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（1）本项目废水产排污情况及核算过程</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本项目采用雨、污分流制。雨水经收集后排入园区雨水管网；项目生产过程中冷却水循环使用，定期补水，</w:t>
            </w:r>
            <w:r>
              <w:rPr>
                <w:rFonts w:hint="eastAsia"/>
                <w:color w:val="000000" w:themeColor="text1"/>
                <w:szCs w:val="21"/>
                <w:lang w:val="en-US" w:eastAsia="zh-CN"/>
                <w14:textFill>
                  <w14:solidFill>
                    <w14:schemeClr w14:val="tx1"/>
                  </w14:solidFill>
                </w14:textFill>
              </w:rPr>
              <w:t>不外排</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切割区废水经沉淀池处理后循环使用，定期补水，不外排；</w:t>
            </w:r>
            <w:r>
              <w:rPr>
                <w:rFonts w:hint="eastAsia"/>
                <w:color w:val="000000" w:themeColor="text1"/>
                <w:szCs w:val="21"/>
                <w14:textFill>
                  <w14:solidFill>
                    <w14:schemeClr w14:val="tx1"/>
                  </w14:solidFill>
                </w14:textFill>
              </w:rPr>
              <w:t>项目废水主要为职工生活污水。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w:t>
            </w:r>
            <w:r>
              <w:rPr>
                <w:rFonts w:hint="eastAsia"/>
                <w:color w:val="000000" w:themeColor="text1"/>
                <w:szCs w:val="21"/>
                <w:lang w:val="en-US" w:eastAsia="zh-CN"/>
                <w14:textFill>
                  <w14:solidFill>
                    <w14:schemeClr w14:val="tx1"/>
                  </w14:solidFill>
                </w14:textFill>
              </w:rPr>
              <w:t>冷却循环水</w:t>
            </w:r>
            <w:r>
              <w:rPr>
                <w:rFonts w:hint="eastAsia"/>
                <w:color w:val="000000" w:themeColor="text1"/>
                <w:szCs w:val="21"/>
                <w14:textFill>
                  <w14:solidFill>
                    <w14:schemeClr w14:val="tx1"/>
                  </w14:solidFill>
                </w14:textFill>
              </w:rPr>
              <w:t>用水</w:t>
            </w:r>
          </w:p>
          <w:p>
            <w:pPr>
              <w:spacing w:line="360" w:lineRule="auto"/>
              <w:ind w:firstLine="420" w:firstLineChars="200"/>
              <w:rPr>
                <w:rFonts w:hint="default"/>
                <w:color w:val="000000" w:themeColor="text1"/>
                <w:sz w:val="2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项目生产过程中冷却水循环使用，定期补水。</w:t>
            </w:r>
            <w:r>
              <w:rPr>
                <w:rFonts w:hint="eastAsia"/>
                <w:color w:val="000000" w:themeColor="text1"/>
                <w:sz w:val="21"/>
                <w:szCs w:val="21"/>
                <w:lang w:val="en-US" w:eastAsia="zh-CN"/>
                <w14:textFill>
                  <w14:solidFill>
                    <w14:schemeClr w14:val="tx1"/>
                  </w14:solidFill>
                </w14:textFill>
              </w:rPr>
              <w:t>项目设有1个200m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的冷却循环水池，自来水用于铸锭炉冷却。根据业主提供的资料，循环水池的补水量为3m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/d，则年用水量为900m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/a。</w:t>
            </w:r>
          </w:p>
          <w:p>
            <w:pPr>
              <w:spacing w:line="360" w:lineRule="auto"/>
              <w:ind w:firstLine="422" w:firstLineChars="200"/>
              <w:rPr>
                <w:rFonts w:hint="default" w:eastAsia="宋体"/>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循环水量和铸锭炉运行情况：</w:t>
            </w:r>
            <w:r>
              <w:rPr>
                <w:rFonts w:hint="eastAsia"/>
                <w:color w:val="000000" w:themeColor="text1"/>
                <w:szCs w:val="21"/>
                <w:lang w:val="en-US" w:eastAsia="zh-CN"/>
                <w14:textFill>
                  <w14:solidFill>
                    <w14:schemeClr w14:val="tx1"/>
                  </w14:solidFill>
                </w14:textFill>
              </w:rPr>
              <w:t>根据企业提供的资料，企业有20台铸锭炉，7台同时使用铸锭融化，7台静置水冷却，6台装料，20台铸锭炉循环使用。运行一次单次启动的铸锭炉的数量为7台，循环水密闭循环。单台冷水机容积为1.5m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，每运行一次循环水量为10.5m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/d</w:t>
            </w:r>
            <w:r>
              <w:rPr>
                <w:rFonts w:hint="eastAsia"/>
                <w:color w:val="000000" w:themeColor="text1"/>
                <w:szCs w:val="21"/>
                <w:lang w:val="en-US" w:eastAsia="zh-CN"/>
                <w14:textFill>
                  <w14:solidFill>
                    <w14:schemeClr w14:val="tx1"/>
                  </w14:solidFill>
                </w14:textFill>
              </w:rPr>
              <w:t>。损耗为3m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vertAlign w:val="baseline"/>
                <w:lang w:val="en-US" w:eastAsia="zh-CN"/>
                <w14:textFill>
                  <w14:solidFill>
                    <w14:schemeClr w14:val="tx1"/>
                  </w14:solidFill>
                </w14:textFill>
              </w:rPr>
              <w:t>/d</w:t>
            </w:r>
            <w:r>
              <w:rPr>
                <w:rFonts w:hint="eastAsia"/>
                <w:color w:val="000000" w:themeColor="text1"/>
                <w:szCs w:val="21"/>
                <w:lang w:val="en-US" w:eastAsia="zh-CN"/>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②切割</w:t>
            </w:r>
            <w:r>
              <w:rPr>
                <w:rFonts w:hint="eastAsia"/>
                <w:color w:val="000000" w:themeColor="text1"/>
                <w:szCs w:val="21"/>
                <w14:textFill>
                  <w14:solidFill>
                    <w14:schemeClr w14:val="tx1"/>
                  </w14:solidFill>
                </w14:textFill>
              </w:rPr>
              <w:t>用水</w:t>
            </w:r>
          </w:p>
          <w:p>
            <w:pPr>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项目开方、截断、打磨工序（磨面和倒角）均为湿法作业，在刀口处设有喷水装置。根据业主提供的资料，开方用水量为2m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/d、截断用水量为2m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/d，打磨用水量为4m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/d，共计8m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/d，损失量以0.2计，废水产生量以0.8计，则废水产生量为6.4m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/d（1920t/a）。产生的废水经1个60m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的沉淀池沉淀处理后回用于切割工序（开方、截断、打磨等），不外排。</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③</w:t>
            </w:r>
            <w:r>
              <w:rPr>
                <w:rFonts w:hint="eastAsia"/>
                <w:color w:val="000000" w:themeColor="text1"/>
                <w:szCs w:val="21"/>
                <w14:textFill>
                  <w14:solidFill>
                    <w14:schemeClr w14:val="tx1"/>
                  </w14:solidFill>
                </w14:textFill>
              </w:rPr>
              <w:t>生活废水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项目运营期职工为50人，本项目不设食宿。根据《云南省地方标准 用水定额》（DB53/T168-2019），用水量按每人每天用水50L计，产污系数按80%计算，则生活用水量为2.5m³/d（750m³/a），生活污水产生量为2m³/d（600m³/a），主要污染物为COD、BOD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-N、SS、动植物油、TP。</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根据《城市污水回用技术手册》我国城市生活污水水质统计数据，生活废水各主要污染物浓度分别如下：COD约为400mg/L、BOD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为200mg/L、SS为220mg/L、氨氮为40mg/L、动植物油100mg/L，TP为1mg/L，纳管浓度均能够满足《污水排入城镇下水道水质标准》（GB/T3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-2015）中A等级标准要求。</w:t>
            </w:r>
          </w:p>
          <w:p>
            <w:pPr>
              <w:spacing w:line="36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14</w:t>
            </w:r>
            <w:r>
              <w:rPr>
                <w:rFonts w:hint="eastAsia"/>
                <w:b/>
                <w:bCs/>
                <w:color w:val="000000" w:themeColor="text1"/>
                <w:szCs w:val="21"/>
                <w14:textFill>
                  <w14:solidFill>
                    <w14:schemeClr w14:val="tx1"/>
                  </w14:solidFill>
                </w14:textFill>
              </w:rPr>
              <w:t xml:space="preserve"> 生活污水水质一览表</w:t>
            </w:r>
          </w:p>
          <w:tbl>
            <w:tblPr>
              <w:tblStyle w:val="24"/>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804"/>
              <w:gridCol w:w="1014"/>
              <w:gridCol w:w="1045"/>
              <w:gridCol w:w="887"/>
              <w:gridCol w:w="1033"/>
              <w:gridCol w:w="1171"/>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vMerge w:val="restart"/>
                  <w:tcBorders>
                    <w:tl2br w:val="nil"/>
                    <w:tr2bl w:val="nil"/>
                  </w:tcBorders>
                  <w:vAlign w:val="center"/>
                </w:tcPr>
                <w:p>
                  <w:pPr>
                    <w:pStyle w:val="30"/>
                    <w:spacing w:line="240" w:lineRule="auto"/>
                    <w:jc w:val="center"/>
                    <w:rPr>
                      <w:rFonts w:ascii="Times New Roman" w:cs="Times New Roman" w:eastAsiaTheme="minorEastAsia"/>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污染物</w:t>
                  </w:r>
                </w:p>
              </w:tc>
              <w:tc>
                <w:tcPr>
                  <w:tcW w:w="4144" w:type="pct"/>
                  <w:gridSpan w:val="7"/>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污染物（mg/L）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vMerge w:val="continue"/>
                  <w:tcBorders>
                    <w:tl2br w:val="nil"/>
                    <w:tr2bl w:val="nil"/>
                  </w:tcBorders>
                  <w:vAlign w:val="center"/>
                </w:tcPr>
                <w:p>
                  <w:pPr>
                    <w:pStyle w:val="30"/>
                    <w:spacing w:line="240" w:lineRule="auto"/>
                    <w:jc w:val="center"/>
                    <w:rPr>
                      <w:rFonts w:ascii="Times New Roman" w:cs="Times New Roman" w:eastAsiaTheme="minorEastAsia"/>
                      <w:color w:val="000000" w:themeColor="text1"/>
                      <w:kern w:val="2"/>
                      <w:sz w:val="21"/>
                      <w:szCs w:val="21"/>
                      <w14:textFill>
                        <w14:solidFill>
                          <w14:schemeClr w14:val="tx1"/>
                        </w14:solidFill>
                      </w14:textFill>
                    </w:rPr>
                  </w:pPr>
                </w:p>
              </w:tc>
              <w:tc>
                <w:tcPr>
                  <w:tcW w:w="504"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pH</w:t>
                  </w:r>
                </w:p>
              </w:tc>
              <w:tc>
                <w:tcPr>
                  <w:tcW w:w="636"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CODcr</w:t>
                  </w:r>
                </w:p>
              </w:tc>
              <w:tc>
                <w:tcPr>
                  <w:tcW w:w="655"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BOD</w:t>
                  </w:r>
                  <w:r>
                    <w:rPr>
                      <w:rFonts w:hint="eastAsia" w:ascii="Times New Roman" w:cs="Times New Roman"/>
                      <w:color w:val="000000" w:themeColor="text1"/>
                      <w:kern w:val="2"/>
                      <w:sz w:val="21"/>
                      <w:szCs w:val="21"/>
                      <w:vertAlign w:val="subscript"/>
                      <w14:textFill>
                        <w14:solidFill>
                          <w14:schemeClr w14:val="tx1"/>
                        </w14:solidFill>
                      </w14:textFill>
                    </w:rPr>
                    <w:t>5</w:t>
                  </w:r>
                </w:p>
              </w:tc>
              <w:tc>
                <w:tcPr>
                  <w:tcW w:w="556"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SS</w:t>
                  </w:r>
                </w:p>
              </w:tc>
              <w:tc>
                <w:tcPr>
                  <w:tcW w:w="648"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NH</w:t>
                  </w:r>
                  <w:r>
                    <w:rPr>
                      <w:rFonts w:hint="eastAsia" w:ascii="Times New Roman" w:cs="Times New Roman"/>
                      <w:color w:val="000000" w:themeColor="text1"/>
                      <w:kern w:val="2"/>
                      <w:sz w:val="21"/>
                      <w:szCs w:val="21"/>
                      <w:vertAlign w:val="subscript"/>
                      <w14:textFill>
                        <w14:solidFill>
                          <w14:schemeClr w14:val="tx1"/>
                        </w14:solidFill>
                      </w14:textFill>
                    </w:rPr>
                    <w:t>3</w:t>
                  </w:r>
                  <w:r>
                    <w:rPr>
                      <w:rFonts w:hint="eastAsia" w:ascii="Times New Roman" w:cs="Times New Roman"/>
                      <w:color w:val="000000" w:themeColor="text1"/>
                      <w:kern w:val="2"/>
                      <w:sz w:val="21"/>
                      <w:szCs w:val="21"/>
                      <w14:textFill>
                        <w14:solidFill>
                          <w14:schemeClr w14:val="tx1"/>
                        </w14:solidFill>
                      </w14:textFill>
                    </w:rPr>
                    <w:t>-N</w:t>
                  </w:r>
                </w:p>
              </w:tc>
              <w:tc>
                <w:tcPr>
                  <w:tcW w:w="734"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动植物油</w:t>
                  </w:r>
                </w:p>
              </w:tc>
              <w:tc>
                <w:tcPr>
                  <w:tcW w:w="408" w:type="pct"/>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r>
                    <w:rPr>
                      <w:rFonts w:hint="eastAsia" w:ascii="Times New Roman" w:cs="Times New Roman"/>
                      <w:color w:val="000000" w:themeColor="text1"/>
                      <w:kern w:val="2"/>
                      <w:sz w:val="21"/>
                      <w:szCs w:val="21"/>
                      <w14:textFill>
                        <w14:solidFill>
                          <w14:schemeClr w14:val="tx1"/>
                        </w14:solidFill>
                      </w14:textFill>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生活污水</w:t>
                  </w:r>
                </w:p>
              </w:tc>
              <w:tc>
                <w:tcPr>
                  <w:tcW w:w="504"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6~9</w:t>
                  </w:r>
                </w:p>
              </w:tc>
              <w:tc>
                <w:tcPr>
                  <w:tcW w:w="636"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400</w:t>
                  </w:r>
                </w:p>
              </w:tc>
              <w:tc>
                <w:tcPr>
                  <w:tcW w:w="655"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200</w:t>
                  </w:r>
                </w:p>
              </w:tc>
              <w:tc>
                <w:tcPr>
                  <w:tcW w:w="556"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200</w:t>
                  </w:r>
                </w:p>
              </w:tc>
              <w:tc>
                <w:tcPr>
                  <w:tcW w:w="64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40</w:t>
                  </w:r>
                </w:p>
              </w:tc>
              <w:tc>
                <w:tcPr>
                  <w:tcW w:w="734"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100</w:t>
                  </w:r>
                </w:p>
              </w:tc>
              <w:tc>
                <w:tcPr>
                  <w:tcW w:w="40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根据园区规划及现场踏勘，项目污水管网已建成，项目生活污水</w:t>
            </w:r>
            <w:r>
              <w:rPr>
                <w:rFonts w:hint="eastAsia"/>
                <w:color w:val="000000" w:themeColor="text1"/>
                <w:szCs w:val="21"/>
                <w:lang w:val="en-US" w:eastAsia="zh-CN"/>
                <w14:textFill>
                  <w14:solidFill>
                    <w14:schemeClr w14:val="tx1"/>
                  </w14:solidFill>
                </w14:textFill>
              </w:rPr>
              <w:t>依托园区建设的30m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的化粪池处理</w:t>
            </w:r>
            <w:r>
              <w:rPr>
                <w:rFonts w:hint="eastAsia"/>
                <w:color w:val="000000" w:themeColor="text1"/>
                <w:szCs w:val="21"/>
                <w14:textFill>
                  <w14:solidFill>
                    <w14:schemeClr w14:val="tx1"/>
                  </w14:solidFill>
                </w14:textFill>
              </w:rPr>
              <w:t>，处理后项目废水污染因子产排情况如下表所示。</w:t>
            </w:r>
          </w:p>
          <w:p>
            <w:pPr>
              <w:spacing w:line="36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15</w:t>
            </w:r>
            <w:r>
              <w:rPr>
                <w:rFonts w:hint="eastAsia"/>
                <w:b/>
                <w:bCs/>
                <w:color w:val="000000" w:themeColor="text1"/>
                <w:szCs w:val="21"/>
                <w14:textFill>
                  <w14:solidFill>
                    <w14:schemeClr w14:val="tx1"/>
                  </w14:solidFill>
                </w14:textFill>
              </w:rPr>
              <w:t xml:space="preserve"> 项目水污染物排放情况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273"/>
              <w:gridCol w:w="1173"/>
              <w:gridCol w:w="1175"/>
              <w:gridCol w:w="1173"/>
              <w:gridCol w:w="1164"/>
              <w:gridCol w:w="1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7" w:type="pct"/>
                  <w:vMerge w:val="restart"/>
                  <w:tcBorders>
                    <w:tl2br w:val="nil"/>
                    <w:tr2bl w:val="nil"/>
                  </w:tcBorders>
                  <w:vAlign w:val="center"/>
                </w:tcPr>
                <w:p>
                  <w:pPr>
                    <w:pStyle w:val="30"/>
                    <w:spacing w:line="240" w:lineRule="auto"/>
                    <w:jc w:val="center"/>
                    <w:rPr>
                      <w:rFonts w:ascii="Times New Roman" w:cs="Times New Roman" w:eastAsiaTheme="minorEastAsia"/>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污染源</w:t>
                  </w:r>
                </w:p>
              </w:tc>
              <w:tc>
                <w:tcPr>
                  <w:tcW w:w="801" w:type="pct"/>
                  <w:vMerge w:val="restart"/>
                  <w:tcBorders>
                    <w:tl2br w:val="nil"/>
                    <w:tr2bl w:val="nil"/>
                  </w:tcBorders>
                  <w:vAlign w:val="center"/>
                </w:tcPr>
                <w:p>
                  <w:pPr>
                    <w:pStyle w:val="30"/>
                    <w:spacing w:line="240" w:lineRule="auto"/>
                    <w:jc w:val="center"/>
                    <w:rPr>
                      <w:rFonts w:ascii="Times New Roman" w:cs="Times New Roman" w:eastAsiaTheme="minorEastAsia"/>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污染物</w:t>
                  </w:r>
                </w:p>
              </w:tc>
              <w:tc>
                <w:tcPr>
                  <w:tcW w:w="1477" w:type="pct"/>
                  <w:gridSpan w:val="2"/>
                  <w:tcBorders>
                    <w:tl2br w:val="nil"/>
                    <w:tr2bl w:val="nil"/>
                  </w:tcBorders>
                  <w:vAlign w:val="center"/>
                </w:tcPr>
                <w:p>
                  <w:pPr>
                    <w:pStyle w:val="30"/>
                    <w:spacing w:line="240" w:lineRule="auto"/>
                    <w:jc w:val="center"/>
                    <w:rPr>
                      <w:rFonts w:ascii="Times New Roman" w:cs="Times New Roman" w:eastAsiaTheme="minorEastAsia"/>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产生情况</w:t>
                  </w:r>
                </w:p>
              </w:tc>
              <w:tc>
                <w:tcPr>
                  <w:tcW w:w="1470" w:type="pct"/>
                  <w:gridSpan w:val="2"/>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排放量</w:t>
                  </w:r>
                </w:p>
              </w:tc>
              <w:tc>
                <w:tcPr>
                  <w:tcW w:w="743" w:type="pct"/>
                  <w:vMerge w:val="restart"/>
                  <w:tcBorders>
                    <w:tl2br w:val="nil"/>
                    <w:tr2bl w:val="nil"/>
                  </w:tcBorders>
                  <w:vAlign w:val="center"/>
                </w:tcPr>
                <w:p>
                  <w:pPr>
                    <w:pStyle w:val="30"/>
                    <w:spacing w:line="240" w:lineRule="auto"/>
                    <w:jc w:val="center"/>
                    <w:rPr>
                      <w:rFonts w:ascii="Times New Roman" w:cs="Times New Roman" w:eastAsiaTheme="minorEastAsia"/>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排放标准限值（mg/L）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7" w:type="pct"/>
                  <w:vMerge w:val="continue"/>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p>
              </w:tc>
              <w:tc>
                <w:tcPr>
                  <w:tcW w:w="801" w:type="pct"/>
                  <w:vMerge w:val="continue"/>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p>
              </w:tc>
              <w:tc>
                <w:tcPr>
                  <w:tcW w:w="738" w:type="pct"/>
                  <w:tcBorders>
                    <w:tl2br w:val="nil"/>
                    <w:tr2bl w:val="nil"/>
                  </w:tcBorders>
                  <w:vAlign w:val="center"/>
                </w:tcPr>
                <w:p>
                  <w:pPr>
                    <w:pStyle w:val="30"/>
                    <w:spacing w:line="240" w:lineRule="auto"/>
                    <w:jc w:val="center"/>
                    <w:rPr>
                      <w:rFonts w:ascii="Times New Roman" w:cs="Times New Roman" w:eastAsiaTheme="minorEastAsia"/>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产生浓度（mg/L）</w:t>
                  </w:r>
                </w:p>
              </w:tc>
              <w:tc>
                <w:tcPr>
                  <w:tcW w:w="738" w:type="pct"/>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产生量</w:t>
                  </w:r>
                </w:p>
                <w:p>
                  <w:pPr>
                    <w:pStyle w:val="30"/>
                    <w:spacing w:line="240" w:lineRule="auto"/>
                    <w:jc w:val="center"/>
                    <w:rPr>
                      <w:rFonts w:ascii="Times New Roman" w:cs="Times New Roman" w:eastAsiaTheme="minorEastAsia"/>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（t/a）</w:t>
                  </w:r>
                </w:p>
              </w:tc>
              <w:tc>
                <w:tcPr>
                  <w:tcW w:w="738" w:type="pct"/>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排放浓度（mg/L）</w:t>
                  </w:r>
                </w:p>
              </w:tc>
              <w:tc>
                <w:tcPr>
                  <w:tcW w:w="732" w:type="pct"/>
                  <w:tcBorders>
                    <w:tl2br w:val="nil"/>
                    <w:tr2bl w:val="nil"/>
                  </w:tcBorders>
                  <w:vAlign w:val="center"/>
                </w:tcPr>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排放量</w:t>
                  </w:r>
                </w:p>
                <w:p>
                  <w:pPr>
                    <w:pStyle w:val="30"/>
                    <w:spacing w:line="240" w:lineRule="auto"/>
                    <w:jc w:val="center"/>
                    <w:rPr>
                      <w:rFonts w:ascii="Times New Roman" w:cs="Times New Roman"/>
                      <w:b/>
                      <w:bCs/>
                      <w:color w:val="000000" w:themeColor="text1"/>
                      <w:kern w:val="2"/>
                      <w:sz w:val="21"/>
                      <w:szCs w:val="21"/>
                      <w14:textFill>
                        <w14:solidFill>
                          <w14:schemeClr w14:val="tx1"/>
                        </w14:solidFill>
                      </w14:textFill>
                    </w:rPr>
                  </w:pPr>
                  <w:r>
                    <w:rPr>
                      <w:rFonts w:hint="eastAsia" w:ascii="Times New Roman" w:cs="Times New Roman"/>
                      <w:b/>
                      <w:bCs/>
                      <w:color w:val="000000" w:themeColor="text1"/>
                      <w:kern w:val="2"/>
                      <w:sz w:val="21"/>
                      <w:szCs w:val="21"/>
                      <w14:textFill>
                        <w14:solidFill>
                          <w14:schemeClr w14:val="tx1"/>
                        </w14:solidFill>
                      </w14:textFill>
                    </w:rPr>
                    <w:t>（t/a）</w:t>
                  </w:r>
                </w:p>
              </w:tc>
              <w:tc>
                <w:tcPr>
                  <w:tcW w:w="743" w:type="pct"/>
                  <w:vMerge w:val="continue"/>
                  <w:tcBorders>
                    <w:tl2br w:val="nil"/>
                    <w:tr2bl w:val="nil"/>
                  </w:tcBorders>
                  <w:vAlign w:val="center"/>
                </w:tcPr>
                <w:p>
                  <w:pPr>
                    <w:pStyle w:val="30"/>
                    <w:spacing w:line="240" w:lineRule="auto"/>
                    <w:jc w:val="center"/>
                    <w:rPr>
                      <w:rFonts w:ascii="Times New Roman" w:cs="Times New Roman"/>
                      <w:color w:val="000000" w:themeColor="text1"/>
                      <w:kern w:val="2"/>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restar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600</w:t>
                  </w:r>
                </w:p>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m</w:t>
                  </w:r>
                  <w:r>
                    <w:rPr>
                      <w:rFonts w:hint="eastAsia" w:ascii="Times New Roman" w:cs="Times New Roman"/>
                      <w:b w:val="0"/>
                      <w:bCs/>
                      <w:color w:val="000000" w:themeColor="text1"/>
                      <w:kern w:val="2"/>
                      <w:sz w:val="21"/>
                      <w:szCs w:val="21"/>
                      <w:vertAlign w:val="superscript"/>
                      <w14:textFill>
                        <w14:solidFill>
                          <w14:schemeClr w14:val="tx1"/>
                        </w14:solidFill>
                      </w14:textFill>
                    </w:rPr>
                    <w:t>3</w:t>
                  </w:r>
                  <w:r>
                    <w:rPr>
                      <w:rFonts w:hint="eastAsia" w:ascii="Times New Roman" w:cs="Times New Roman"/>
                      <w:b w:val="0"/>
                      <w:bCs/>
                      <w:color w:val="000000" w:themeColor="text1"/>
                      <w:kern w:val="2"/>
                      <w:sz w:val="21"/>
                      <w:szCs w:val="21"/>
                      <w14:textFill>
                        <w14:solidFill>
                          <w14:schemeClr w14:val="tx1"/>
                        </w14:solidFill>
                      </w14:textFill>
                    </w:rPr>
                    <w:t>/a</w:t>
                  </w:r>
                </w:p>
              </w:tc>
              <w:tc>
                <w:tcPr>
                  <w:tcW w:w="801"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pH</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6~9</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6~9</w:t>
                  </w:r>
                </w:p>
              </w:tc>
              <w:tc>
                <w:tcPr>
                  <w:tcW w:w="732"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07" w:type="pct"/>
                  <w:vMerge w:val="continue"/>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CODcr</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400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0.240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200</w:t>
                  </w:r>
                </w:p>
              </w:tc>
              <w:tc>
                <w:tcPr>
                  <w:tcW w:w="732"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0.120</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BOD</w:t>
                  </w:r>
                  <w:r>
                    <w:rPr>
                      <w:rFonts w:hint="eastAsia" w:ascii="Times New Roman" w:cs="Times New Roman"/>
                      <w:b w:val="0"/>
                      <w:bCs/>
                      <w:color w:val="000000" w:themeColor="text1"/>
                      <w:kern w:val="2"/>
                      <w:sz w:val="21"/>
                      <w:szCs w:val="21"/>
                      <w:vertAlign w:val="subscript"/>
                      <w14:textFill>
                        <w14:solidFill>
                          <w14:schemeClr w14:val="tx1"/>
                        </w14:solidFill>
                      </w14:textFill>
                    </w:rPr>
                    <w:t>5</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200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0.120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100</w:t>
                  </w:r>
                </w:p>
              </w:tc>
              <w:tc>
                <w:tcPr>
                  <w:tcW w:w="732"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0.060</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SS</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200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0.120</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120</w:t>
                  </w:r>
                </w:p>
              </w:tc>
              <w:tc>
                <w:tcPr>
                  <w:tcW w:w="732"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0.072</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NH</w:t>
                  </w:r>
                  <w:r>
                    <w:rPr>
                      <w:rFonts w:hint="eastAsia" w:ascii="Times New Roman" w:cs="Times New Roman"/>
                      <w:b w:val="0"/>
                      <w:bCs/>
                      <w:color w:val="000000" w:themeColor="text1"/>
                      <w:kern w:val="2"/>
                      <w:sz w:val="21"/>
                      <w:szCs w:val="21"/>
                      <w:vertAlign w:val="subscript"/>
                      <w14:textFill>
                        <w14:solidFill>
                          <w14:schemeClr w14:val="tx1"/>
                        </w14:solidFill>
                      </w14:textFill>
                    </w:rPr>
                    <w:t>3</w:t>
                  </w:r>
                  <w:r>
                    <w:rPr>
                      <w:rFonts w:hint="eastAsia" w:ascii="Times New Roman" w:cs="Times New Roman"/>
                      <w:b w:val="0"/>
                      <w:bCs/>
                      <w:color w:val="000000" w:themeColor="text1"/>
                      <w:kern w:val="2"/>
                      <w:sz w:val="21"/>
                      <w:szCs w:val="21"/>
                      <w14:textFill>
                        <w14:solidFill>
                          <w14:schemeClr w14:val="tx1"/>
                        </w14:solidFill>
                      </w14:textFill>
                    </w:rPr>
                    <w:t>-N</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40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0.024</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28</w:t>
                  </w:r>
                </w:p>
              </w:tc>
              <w:tc>
                <w:tcPr>
                  <w:tcW w:w="732"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0.017</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动植物油</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100</w:t>
                  </w:r>
                </w:p>
              </w:tc>
              <w:tc>
                <w:tcPr>
                  <w:tcW w:w="738"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0.060</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60</w:t>
                  </w:r>
                </w:p>
              </w:tc>
              <w:tc>
                <w:tcPr>
                  <w:tcW w:w="732"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0.036</w:t>
                  </w:r>
                </w:p>
              </w:tc>
              <w:tc>
                <w:tcPr>
                  <w:tcW w:w="743" w:type="pct"/>
                  <w:tcBorders>
                    <w:tl2br w:val="nil"/>
                    <w:tr2bl w:val="nil"/>
                  </w:tcBorders>
                  <w:vAlign w:val="center"/>
                </w:tcPr>
                <w:p>
                  <w:pPr>
                    <w:pStyle w:val="30"/>
                    <w:spacing w:line="240" w:lineRule="auto"/>
                    <w:jc w:val="center"/>
                    <w:rPr>
                      <w:rFonts w:ascii="Times New Roman" w:cs="Times New Roman" w:eastAsiaTheme="minorEastAsia"/>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Merge w:val="continue"/>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p>
              </w:tc>
              <w:tc>
                <w:tcPr>
                  <w:tcW w:w="801"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TP</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0.0006</w:t>
                  </w:r>
                </w:p>
              </w:tc>
              <w:tc>
                <w:tcPr>
                  <w:tcW w:w="738"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1</w:t>
                  </w:r>
                </w:p>
              </w:tc>
              <w:tc>
                <w:tcPr>
                  <w:tcW w:w="732"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0.0006</w:t>
                  </w:r>
                </w:p>
              </w:tc>
              <w:tc>
                <w:tcPr>
                  <w:tcW w:w="743" w:type="pct"/>
                  <w:tcBorders>
                    <w:tl2br w:val="nil"/>
                    <w:tr2bl w:val="nil"/>
                  </w:tcBorders>
                  <w:vAlign w:val="center"/>
                </w:tcPr>
                <w:p>
                  <w:pPr>
                    <w:pStyle w:val="30"/>
                    <w:spacing w:line="240" w:lineRule="auto"/>
                    <w:jc w:val="center"/>
                    <w:rPr>
                      <w:rFonts w:ascii="Times New Roman" w:cs="Times New Roman"/>
                      <w:b w:val="0"/>
                      <w:bCs/>
                      <w:color w:val="000000" w:themeColor="text1"/>
                      <w:kern w:val="2"/>
                      <w:sz w:val="21"/>
                      <w:szCs w:val="21"/>
                      <w14:textFill>
                        <w14:solidFill>
                          <w14:schemeClr w14:val="tx1"/>
                        </w14:solidFill>
                      </w14:textFill>
                    </w:rPr>
                  </w:pPr>
                  <w:r>
                    <w:rPr>
                      <w:rFonts w:hint="eastAsia" w:ascii="Times New Roman" w:cs="Times New Roman"/>
                      <w:b w:val="0"/>
                      <w:bCs/>
                      <w:color w:val="000000" w:themeColor="text1"/>
                      <w:kern w:val="2"/>
                      <w:sz w:val="21"/>
                      <w:szCs w:val="21"/>
                      <w14:textFill>
                        <w14:solidFill>
                          <w14:schemeClr w14:val="tx1"/>
                        </w14:solidFill>
                      </w14:textFill>
                    </w:rPr>
                    <w:t>8</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由上表可知，项目生活污水经化粪池处理后可满足《污水排入城镇下水道水质标准》（GB/T3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-2015）A等级标准后，通过市政污水管网进入四方地碧谷工业园区污水处理厂处理。</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（2）污水处理设施可行性分析</w:t>
            </w:r>
          </w:p>
          <w:p>
            <w:pPr>
              <w:numPr>
                <w:ilvl w:val="0"/>
                <w:numId w:val="5"/>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化粪池接纳废水可行性分析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项目生活污水量为2m³/d，600m³/a。根据《建筑给水排水设计规范》（GB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-2019）4.8.6 中，化粪池停留时间为12~24小时，本项目取化粪池停留时间为24小时</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系数取1.2，化粪池落实硬化防渗，从处理规模上分析，则需要化粪池容积4.8m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园区已建设容积为30m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的化粪池</w:t>
            </w:r>
            <w:r>
              <w:rPr>
                <w:rFonts w:hint="eastAsia"/>
                <w:color w:val="000000" w:themeColor="text1"/>
                <w:szCs w:val="21"/>
                <w14:textFill>
                  <w14:solidFill>
                    <w14:schemeClr w14:val="tx1"/>
                  </w14:solidFill>
                </w14:textFill>
              </w:rPr>
              <w:t>，能满足本项目生活废水处理需要。</w:t>
            </w:r>
          </w:p>
          <w:p>
            <w:pPr>
              <w:numPr>
                <w:ilvl w:val="0"/>
                <w:numId w:val="5"/>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冷却循环水池</w:t>
            </w:r>
            <w:r>
              <w:rPr>
                <w:rFonts w:hint="eastAsia"/>
                <w:color w:val="000000" w:themeColor="text1"/>
                <w:szCs w:val="21"/>
                <w:lang w:val="en-US" w:eastAsia="zh-CN"/>
                <w14:textFill>
                  <w14:solidFill>
                    <w14:schemeClr w14:val="tx1"/>
                  </w14:solidFill>
                </w14:textFill>
              </w:rPr>
              <w:t>和沉淀池</w:t>
            </w:r>
            <w:r>
              <w:rPr>
                <w:rFonts w:hint="eastAsia"/>
                <w:color w:val="000000" w:themeColor="text1"/>
                <w:szCs w:val="21"/>
                <w14:textFill>
                  <w14:solidFill>
                    <w14:schemeClr w14:val="tx1"/>
                  </w14:solidFill>
                </w14:textFill>
              </w:rPr>
              <w:t>规模大小可行性分析</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本项目循环水用量为</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/d，本项目冷却循环水池容积为200m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，能满足冷却循环用水</w:t>
            </w:r>
            <w:r>
              <w:rPr>
                <w:rFonts w:hint="eastAsia"/>
                <w:color w:val="000000" w:themeColor="text1"/>
                <w:szCs w:val="21"/>
                <w:lang w:val="en-US" w:eastAsia="zh-CN"/>
                <w14:textFill>
                  <w14:solidFill>
                    <w14:schemeClr w14:val="tx1"/>
                  </w14:solidFill>
                </w14:textFill>
              </w:rPr>
              <w:t>2个月</w:t>
            </w:r>
            <w:r>
              <w:rPr>
                <w:rFonts w:hint="eastAsia"/>
                <w:color w:val="000000" w:themeColor="text1"/>
                <w:szCs w:val="21"/>
                <w14:textFill>
                  <w14:solidFill>
                    <w14:schemeClr w14:val="tx1"/>
                  </w14:solidFill>
                </w14:textFill>
              </w:rPr>
              <w:t>的暂存能力。</w:t>
            </w:r>
          </w:p>
          <w:p>
            <w:pPr>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本项目生产废水产生量为6.4m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/d，沉淀池容积为60m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，能满足其处理能力，同时可以暂存9天的生产废水。</w:t>
            </w:r>
          </w:p>
          <w:p>
            <w:pPr>
              <w:numPr>
                <w:ilvl w:val="0"/>
                <w:numId w:val="5"/>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排水方案可行性和可靠性分析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据现场踏勘，项目园区内市政污水管网已建成运行，项目</w:t>
            </w:r>
            <w:r>
              <w:rPr>
                <w:rFonts w:hint="eastAsia"/>
                <w:color w:val="000000" w:themeColor="text1"/>
                <w:szCs w:val="21"/>
                <w:lang w:val="en-US" w:eastAsia="zh-CN"/>
                <w14:textFill>
                  <w14:solidFill>
                    <w14:schemeClr w14:val="tx1"/>
                  </w14:solidFill>
                </w14:textFill>
              </w:rPr>
              <w:t>生活污水拟依托新建容积为30m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的化粪池处理后纳入园区</w:t>
            </w:r>
            <w:r>
              <w:rPr>
                <w:rFonts w:hint="eastAsia"/>
                <w:color w:val="000000" w:themeColor="text1"/>
                <w:szCs w:val="21"/>
                <w14:textFill>
                  <w14:solidFill>
                    <w14:schemeClr w14:val="tx1"/>
                  </w14:solidFill>
                </w14:textFill>
              </w:rPr>
              <w:t>污水管网，进入四方地碧谷工业园区污水处理厂</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冷却循环水，循环使用，定期补水即可，不外排；生产废水经沉淀池处理后回用，不外排</w:t>
            </w:r>
            <w:r>
              <w:rPr>
                <w:rFonts w:hint="eastAsia"/>
                <w:color w:val="000000" w:themeColor="text1"/>
                <w:szCs w:val="21"/>
                <w14:textFill>
                  <w14:solidFill>
                    <w14:schemeClr w14:val="tx1"/>
                  </w14:solidFill>
                </w14:textFill>
              </w:rPr>
              <w:t>。</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生活污水进入四方地碧谷工业园区污水处理厂的可行性分析：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w:t>
            </w:r>
            <w:r>
              <w:rPr>
                <w:rFonts w:hint="eastAsia"/>
                <w:color w:val="000000" w:themeColor="text1"/>
                <w:szCs w:val="21"/>
                <w:lang w:val="en-US" w:eastAsia="zh-CN"/>
                <w14:textFill>
                  <w14:solidFill>
                    <w14:schemeClr w14:val="tx1"/>
                  </w14:solidFill>
                </w14:textFill>
              </w:rPr>
              <w:t>规划环评</w:t>
            </w:r>
            <w:r>
              <w:rPr>
                <w:rFonts w:hint="eastAsia"/>
                <w:color w:val="000000" w:themeColor="text1"/>
                <w:szCs w:val="21"/>
                <w14:textFill>
                  <w14:solidFill>
                    <w14:schemeClr w14:val="tx1"/>
                  </w14:solidFill>
                </w14:textFill>
              </w:rPr>
              <w:t>的调查，目前已针对四方地碧谷工业园区建设了一座处理量为20000m³/d的污水处理厂，主要处理四方地碧谷工业园区企业产生的生活污水，该污水处理厂采用二级生化处理工艺，目前实际运营规模为150m³/d，处理余量较大，可满足项目生活污水的处理要求。根据调查，该项目区域污水管网已建成且通达，项目生活污水经处理后可满足《污水排入城镇下水道水质标准》（GB/T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-2015）A等级标准，进入进入四方地碧谷工业园区污水处理厂处理可行，对环境影响较小。</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综上所述，从配套管网的设置、污水厂处理能力、接管水质等角度分析，项目废水纳入四方地碧谷工业园区污水处理厂处理是可行的，对周边地表水环境影响较小。</w:t>
            </w: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
      <w:tblGrid>
        <w:gridCol w:w="13228"/>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13228" w:type="dxa"/>
            <w:tcBorders>
              <w:tl2br w:val="nil"/>
              <w:tr2bl w:val="nil"/>
            </w:tcBorders>
          </w:tcPr>
          <w:p>
            <w:pPr>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（三）声环境影响分析</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（1）噪声源及源强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本项目噪声源主要来自各类机械设备，包括多晶硅铸锭炉、水冷式冷水机组、</w:t>
            </w:r>
            <w:r>
              <w:rPr>
                <w:rFonts w:hint="eastAsia"/>
                <w:color w:val="000000" w:themeColor="text1"/>
                <w:lang w:val="en-US" w:eastAsia="zh-CN"/>
                <w14:textFill>
                  <w14:solidFill>
                    <w14:schemeClr w14:val="tx1"/>
                  </w14:solidFill>
                </w14:textFill>
              </w:rPr>
              <w:t>开方机、截断机</w:t>
            </w:r>
            <w:r>
              <w:rPr>
                <w:rFonts w:hint="eastAsia"/>
                <w:color w:val="000000" w:themeColor="text1"/>
                <w14:textFill>
                  <w14:solidFill>
                    <w14:schemeClr w14:val="tx1"/>
                  </w14:solidFill>
                </w14:textFill>
              </w:rPr>
              <w:t>等设备产生的噪声等，声级值为60～85dB（A），具体产噪设备的数量及声级值见下表：</w:t>
            </w:r>
          </w:p>
          <w:p>
            <w:pPr>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16</w:t>
            </w:r>
            <w:r>
              <w:rPr>
                <w:rFonts w:hint="eastAsia"/>
                <w:b/>
                <w:bCs/>
                <w:color w:val="000000" w:themeColor="text1"/>
                <w14:textFill>
                  <w14:solidFill>
                    <w14:schemeClr w14:val="tx1"/>
                  </w14:solidFill>
                </w14:textFill>
              </w:rPr>
              <w:t xml:space="preserve"> 工业企业噪声源强调查清单（室内声源）</w:t>
            </w:r>
          </w:p>
          <w:tbl>
            <w:tblPr>
              <w:tblStyle w:val="23"/>
              <w:tblW w:w="130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67"/>
              <w:gridCol w:w="1272"/>
              <w:gridCol w:w="731"/>
              <w:gridCol w:w="731"/>
              <w:gridCol w:w="1362"/>
              <w:gridCol w:w="842"/>
              <w:gridCol w:w="1481"/>
              <w:gridCol w:w="561"/>
              <w:gridCol w:w="600"/>
              <w:gridCol w:w="704"/>
              <w:gridCol w:w="843"/>
              <w:gridCol w:w="911"/>
              <w:gridCol w:w="785"/>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4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67"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建筑物名称</w:t>
                  </w:r>
                </w:p>
              </w:tc>
              <w:tc>
                <w:tcPr>
                  <w:tcW w:w="1272"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声源名称</w:t>
                  </w:r>
                </w:p>
              </w:tc>
              <w:tc>
                <w:tcPr>
                  <w:tcW w:w="73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型号</w:t>
                  </w:r>
                </w:p>
              </w:tc>
              <w:tc>
                <w:tcPr>
                  <w:tcW w:w="731" w:type="dxa"/>
                  <w:vMerge w:val="restart"/>
                  <w:tcBorders>
                    <w:tl2br w:val="nil"/>
                    <w:tr2bl w:val="nil"/>
                  </w:tcBorders>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数量</w:t>
                  </w:r>
                </w:p>
              </w:tc>
              <w:tc>
                <w:tcPr>
                  <w:tcW w:w="2204" w:type="dxa"/>
                  <w:gridSpan w:val="2"/>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声源源强（任选一种）</w:t>
                  </w:r>
                </w:p>
              </w:tc>
              <w:tc>
                <w:tcPr>
                  <w:tcW w:w="148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声源控制措施</w:t>
                  </w:r>
                </w:p>
              </w:tc>
              <w:tc>
                <w:tcPr>
                  <w:tcW w:w="1865" w:type="dxa"/>
                  <w:gridSpan w:val="3"/>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空间相对位置/m</w:t>
                  </w:r>
                </w:p>
              </w:tc>
              <w:tc>
                <w:tcPr>
                  <w:tcW w:w="843"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距室内边界距离/m</w:t>
                  </w:r>
                </w:p>
              </w:tc>
              <w:tc>
                <w:tcPr>
                  <w:tcW w:w="911"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室内边界声级</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/dB(A)</w:t>
                  </w:r>
                </w:p>
              </w:tc>
              <w:tc>
                <w:tcPr>
                  <w:tcW w:w="785"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运行时段</w:t>
                  </w:r>
                </w:p>
              </w:tc>
              <w:tc>
                <w:tcPr>
                  <w:tcW w:w="972"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建筑物插入损失/dB(A)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43" w:type="dxa"/>
                  <w:vMerge w:val="continue"/>
                  <w:tcBorders>
                    <w:tl2br w:val="nil"/>
                    <w:tr2bl w:val="nil"/>
                  </w:tcBorders>
                  <w:vAlign w:val="center"/>
                </w:tcPr>
                <w:p>
                  <w:pPr>
                    <w:jc w:val="center"/>
                    <w:rPr>
                      <w:color w:val="000000" w:themeColor="text1"/>
                      <w14:textFill>
                        <w14:solidFill>
                          <w14:schemeClr w14:val="tx1"/>
                        </w14:solidFill>
                      </w14:textFill>
                    </w:rPr>
                  </w:pP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1" w:type="dxa"/>
                  <w:vMerge w:val="continue"/>
                  <w:tcBorders>
                    <w:tl2br w:val="nil"/>
                    <w:tr2bl w:val="nil"/>
                  </w:tcBorders>
                  <w:vAlign w:val="center"/>
                </w:tcPr>
                <w:p>
                  <w:pPr>
                    <w:jc w:val="center"/>
                    <w:rPr>
                      <w:color w:val="000000" w:themeColor="text1"/>
                      <w14:textFill>
                        <w14:solidFill>
                          <w14:schemeClr w14:val="tx1"/>
                        </w14:solidFill>
                      </w14:textFill>
                    </w:rPr>
                  </w:pPr>
                </w:p>
              </w:tc>
              <w:tc>
                <w:tcPr>
                  <w:tcW w:w="731" w:type="dxa"/>
                  <w:vMerge w:val="continue"/>
                  <w:tcBorders>
                    <w:tl2br w:val="nil"/>
                    <w:tr2bl w:val="nil"/>
                  </w:tcBorders>
                  <w:vAlign w:val="center"/>
                </w:tcPr>
                <w:p>
                  <w:pPr>
                    <w:jc w:val="center"/>
                    <w:rPr>
                      <w:color w:val="000000" w:themeColor="text1"/>
                      <w14:textFill>
                        <w14:solidFill>
                          <w14:schemeClr w14:val="tx1"/>
                        </w14:solidFill>
                      </w14:textFill>
                    </w:rPr>
                  </w:pP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（声压级/距声源距离）/</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（dB(A)/m）</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声功率级/dB(A)</w:t>
                  </w:r>
                </w:p>
              </w:tc>
              <w:tc>
                <w:tcPr>
                  <w:tcW w:w="1481" w:type="dxa"/>
                  <w:vMerge w:val="continue"/>
                  <w:tcBorders>
                    <w:tl2br w:val="nil"/>
                    <w:tr2bl w:val="nil"/>
                  </w:tcBorders>
                  <w:vAlign w:val="center"/>
                </w:tcPr>
                <w:p>
                  <w:pPr>
                    <w:jc w:val="center"/>
                    <w:rPr>
                      <w:color w:val="000000" w:themeColor="text1"/>
                      <w14:textFill>
                        <w14:solidFill>
                          <w14:schemeClr w14:val="tx1"/>
                        </w14:solidFill>
                      </w14:textFill>
                    </w:rPr>
                  </w:pP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843" w:type="dxa"/>
                  <w:vMerge w:val="continue"/>
                  <w:tcBorders>
                    <w:tl2br w:val="nil"/>
                    <w:tr2bl w:val="nil"/>
                  </w:tcBorders>
                  <w:vAlign w:val="center"/>
                </w:tcPr>
                <w:p>
                  <w:pPr>
                    <w:jc w:val="center"/>
                    <w:rPr>
                      <w:color w:val="000000" w:themeColor="text1"/>
                      <w14:textFill>
                        <w14:solidFill>
                          <w14:schemeClr w14:val="tx1"/>
                        </w14:solidFill>
                      </w14:textFill>
                    </w:rPr>
                  </w:pPr>
                </w:p>
              </w:tc>
              <w:tc>
                <w:tcPr>
                  <w:tcW w:w="911" w:type="dxa"/>
                  <w:vMerge w:val="continue"/>
                  <w:tcBorders>
                    <w:tl2br w:val="nil"/>
                    <w:tr2bl w:val="nil"/>
                  </w:tcBorders>
                  <w:vAlign w:val="center"/>
                </w:tcPr>
                <w:p>
                  <w:pPr>
                    <w:jc w:val="center"/>
                    <w:rPr>
                      <w:color w:val="000000" w:themeColor="text1"/>
                      <w14:textFill>
                        <w14:solidFill>
                          <w14:schemeClr w14:val="tx1"/>
                        </w14:solidFill>
                      </w14:textFill>
                    </w:rPr>
                  </w:pPr>
                </w:p>
              </w:tc>
              <w:tc>
                <w:tcPr>
                  <w:tcW w:w="785" w:type="dxa"/>
                  <w:vMerge w:val="continue"/>
                  <w:tcBorders>
                    <w:tl2br w:val="nil"/>
                    <w:tr2bl w:val="nil"/>
                  </w:tcBorders>
                  <w:vAlign w:val="center"/>
                </w:tcPr>
                <w:p>
                  <w:pPr>
                    <w:jc w:val="center"/>
                    <w:rPr>
                      <w:color w:val="000000" w:themeColor="text1"/>
                      <w14:textFill>
                        <w14:solidFill>
                          <w14:schemeClr w14:val="tx1"/>
                        </w14:solidFill>
                      </w14:textFill>
                    </w:rPr>
                  </w:pPr>
                </w:p>
              </w:tc>
              <w:tc>
                <w:tcPr>
                  <w:tcW w:w="972" w:type="dxa"/>
                  <w:vMerge w:val="continue"/>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67" w:type="dxa"/>
                  <w:vMerge w:val="restart"/>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多晶硅铸锭炉</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J2-660</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叉车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间断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行车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785" w:type="dxa"/>
                  <w:tcBorders>
                    <w:tl2br w:val="nil"/>
                    <w:tr2bl w:val="nil"/>
                  </w:tcBorders>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间断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上料设备</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装载机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起重设备</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手拖车</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硅片少子寿命仪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SEMILAB WT-2000D</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红外探伤仪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SEMILAB IRB-55</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电阻率测试仪</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50个</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氩气系统</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水冷式冷水机组</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普通水供应系统</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1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开方机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S1000</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数控多晶硅双平面磨研机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WSK015/1</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3刀6位环线截断机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767" w:type="dxa"/>
                  <w:vMerge w:val="continue"/>
                  <w:tcBorders>
                    <w:tl2br w:val="nil"/>
                    <w:tr2bl w:val="nil"/>
                  </w:tcBorders>
                  <w:vAlign w:val="center"/>
                </w:tcPr>
                <w:p>
                  <w:pPr>
                    <w:jc w:val="center"/>
                    <w:rPr>
                      <w:color w:val="000000" w:themeColor="text1"/>
                      <w14:textFill>
                        <w14:solidFill>
                          <w14:schemeClr w14:val="tx1"/>
                        </w14:solidFill>
                      </w14:textFill>
                    </w:rPr>
                  </w:pPr>
                </w:p>
              </w:tc>
              <w:tc>
                <w:tcPr>
                  <w:tcW w:w="12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倒角机</w:t>
                  </w:r>
                </w:p>
              </w:tc>
              <w:tc>
                <w:tcPr>
                  <w:tcW w:w="73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31"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1台</w:t>
                  </w:r>
                </w:p>
              </w:tc>
              <w:tc>
                <w:tcPr>
                  <w:tcW w:w="136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148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基础减震+厂房隔声</w:t>
                  </w:r>
                </w:p>
              </w:tc>
              <w:tc>
                <w:tcPr>
                  <w:tcW w:w="561"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600"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04"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43"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11" w:type="dxa"/>
                  <w:tcBorders>
                    <w:tl2br w:val="nil"/>
                    <w:tr2bl w:val="nil"/>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785"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972" w:type="dxa"/>
                  <w:tcBorders>
                    <w:tl2br w:val="nil"/>
                    <w:tr2bl w:val="nil"/>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r>
          </w:tbl>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（2）预测范围及预测点布设</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综合考虑，本次预测范围与评价范围一致，即项目边界向外</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m为预测范围。项目厂界东、南、西、北处各设置1个。</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（3）预测模式</w:t>
            </w:r>
          </w:p>
          <w:p>
            <w:pPr>
              <w:autoSpaceDE w:val="0"/>
              <w:autoSpaceDN w:val="0"/>
              <w:adjustRightIn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噪声预测软件采用六五软件工作室开发制作并拥有全部版权的EIAProN2021。该软件以《环境影响评价技术导则—声环境》（HJ2.4-2021）的技术要求和推荐模型为编制依据，满足新导则要求。预测软件版本号位Ver2.5。</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户外声传播衰减包括几何发散（Adiv）、大气吸收（Aatm）、地面效应（Agr）、障碍物屏蔽（Abar）、其他多方面效应（Amisc）引起的衰减。</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a）在环境影响评价中，应根据声源声功率级或参考位置处的声压级、户外声传播衰减，计算预测点的声级，分别按式（A.1）或式（A.2）计算。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43325" cy="238125"/>
                  <wp:effectExtent l="0" t="0" r="9525" b="9525"/>
                  <wp:docPr id="3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7"/>
                          <pic:cNvPicPr>
                            <a:picLocks noChangeAspect="1"/>
                          </pic:cNvPicPr>
                        </pic:nvPicPr>
                        <pic:blipFill>
                          <a:blip r:embed="rId29"/>
                          <a:stretch>
                            <a:fillRect/>
                          </a:stretch>
                        </pic:blipFill>
                        <pic:spPr>
                          <a:xfrm>
                            <a:off x="0" y="0"/>
                            <a:ext cx="3743325" cy="238125"/>
                          </a:xfrm>
                          <a:prstGeom prst="rect">
                            <a:avLst/>
                          </a:prstGeom>
                          <a:noFill/>
                          <a:ln>
                            <a:noFill/>
                          </a:ln>
                        </pic:spPr>
                      </pic:pic>
                    </a:graphicData>
                  </a:graphic>
                </wp:inline>
              </w:drawing>
            </w:r>
            <w:r>
              <w:rPr>
                <w:rFonts w:hint="eastAsia"/>
                <w:color w:val="000000" w:themeColor="text1"/>
                <w14:textFill>
                  <w14:solidFill>
                    <w14:schemeClr w14:val="tx1"/>
                  </w14:solidFill>
                </w14:textFill>
              </w:rPr>
              <w:t>（A.1）</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式中：Lp(r) ——预测点处声压级，dB；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Lw ——由点声源产生的声功率级（A计权或倍频带），dB；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DC ——指向性校正，它描述点声源的等效连续声压级与产生声功率级Lw的全向</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点声源在规定方向的声级的偏差程度，dB；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Abar ——障碍物屏蔽引起的衰减，dB；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11270" cy="248285"/>
                  <wp:effectExtent l="0" t="0" r="17780" b="18415"/>
                  <wp:docPr id="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8"/>
                          <pic:cNvPicPr>
                            <a:picLocks noChangeAspect="1"/>
                          </pic:cNvPicPr>
                        </pic:nvPicPr>
                        <pic:blipFill>
                          <a:blip r:embed="rId30"/>
                          <a:stretch>
                            <a:fillRect/>
                          </a:stretch>
                        </pic:blipFill>
                        <pic:spPr>
                          <a:xfrm>
                            <a:off x="0" y="0"/>
                            <a:ext cx="3811270" cy="248285"/>
                          </a:xfrm>
                          <a:prstGeom prst="rect">
                            <a:avLst/>
                          </a:prstGeom>
                          <a:noFill/>
                          <a:ln>
                            <a:noFill/>
                          </a:ln>
                        </pic:spPr>
                      </pic:pic>
                    </a:graphicData>
                  </a:graphic>
                </wp:inline>
              </w:drawing>
            </w:r>
            <w:r>
              <w:rPr>
                <w:rFonts w:hint="eastAsia"/>
                <w:color w:val="000000" w:themeColor="text1"/>
                <w14:textFill>
                  <w14:solidFill>
                    <w14:schemeClr w14:val="tx1"/>
                  </w14:solidFill>
                </w14:textFill>
              </w:rPr>
              <w:t>（A.2）</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式中：Lp(r) ——预测点处声压级，dB；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Lp(r0) ——参考位置r0处的声压级，dB；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DC——指向性校正，它描述点声源的等效连续声压级与产生声功率级Lw的全向点声源在规定方向的声级的偏差程度，dB；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Aatm——大气吸收引起的衰减，dB；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Agr——地面效应引起的衰减，dB；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Abar ——障碍物屏蔽引起的衰减，dB；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Amisc——其他多方面效应引起的衰减，dB。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b）预测点的A声级 LA(r)可按式（A.3）计算，即将8个倍频带声压级合成，计算出预测点的A声级[LA(r)]。</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76070" cy="432435"/>
                  <wp:effectExtent l="0" t="0" r="5080" b="5715"/>
                  <wp:docPr id="3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9"/>
                          <pic:cNvPicPr>
                            <a:picLocks noChangeAspect="1"/>
                          </pic:cNvPicPr>
                        </pic:nvPicPr>
                        <pic:blipFill>
                          <a:blip r:embed="rId31"/>
                          <a:stretch>
                            <a:fillRect/>
                          </a:stretch>
                        </pic:blipFill>
                        <pic:spPr>
                          <a:xfrm>
                            <a:off x="0" y="0"/>
                            <a:ext cx="1576070" cy="432435"/>
                          </a:xfrm>
                          <a:prstGeom prst="rect">
                            <a:avLst/>
                          </a:prstGeom>
                          <a:noFill/>
                          <a:ln>
                            <a:noFill/>
                          </a:ln>
                        </pic:spPr>
                      </pic:pic>
                    </a:graphicData>
                  </a:graphic>
                </wp:inline>
              </w:drawing>
            </w:r>
            <w:r>
              <w:rPr>
                <w:rFonts w:hint="eastAsia"/>
                <w:color w:val="000000" w:themeColor="text1"/>
                <w14:textFill>
                  <w14:solidFill>
                    <w14:schemeClr w14:val="tx1"/>
                  </w14:solidFill>
                </w14:textFill>
              </w:rPr>
              <w:t>（A.3）</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Lpi(r)——预测点（r）处，第i倍频带声压级，dB；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ΔLi——第i倍频带的A计权网络修正值，dB。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c）在只考虑几何发散衰减时，可按式（A.4）计算。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57325" cy="339725"/>
                  <wp:effectExtent l="0" t="0" r="9525" b="3175"/>
                  <wp:docPr id="3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0"/>
                          <pic:cNvPicPr>
                            <a:picLocks noChangeAspect="1"/>
                          </pic:cNvPicPr>
                        </pic:nvPicPr>
                        <pic:blipFill>
                          <a:blip r:embed="rId32"/>
                          <a:stretch>
                            <a:fillRect/>
                          </a:stretch>
                        </pic:blipFill>
                        <pic:spPr>
                          <a:xfrm>
                            <a:off x="0" y="0"/>
                            <a:ext cx="1457325" cy="339725"/>
                          </a:xfrm>
                          <a:prstGeom prst="rect">
                            <a:avLst/>
                          </a:prstGeom>
                          <a:noFill/>
                          <a:ln>
                            <a:noFill/>
                          </a:ln>
                        </pic:spPr>
                      </pic:pic>
                    </a:graphicData>
                  </a:graphic>
                </wp:inline>
              </w:drawing>
            </w:r>
            <w:r>
              <w:rPr>
                <w:rFonts w:hint="eastAsia"/>
                <w:color w:val="000000" w:themeColor="text1"/>
                <w14:textFill>
                  <w14:solidFill>
                    <w14:schemeClr w14:val="tx1"/>
                  </w14:solidFill>
                </w14:textFill>
              </w:rPr>
              <w:t>（A.4）</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LA(r0)——参考位置r0处的A声级，dB(A)；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点声源的几何发散衰减(Adiv)按下式计算：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64590" cy="448310"/>
                  <wp:effectExtent l="0" t="0" r="16510" b="8890"/>
                  <wp:docPr id="3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1"/>
                          <pic:cNvPicPr>
                            <a:picLocks noChangeAspect="1"/>
                          </pic:cNvPicPr>
                        </pic:nvPicPr>
                        <pic:blipFill>
                          <a:blip r:embed="rId33"/>
                          <a:stretch>
                            <a:fillRect/>
                          </a:stretch>
                        </pic:blipFill>
                        <pic:spPr>
                          <a:xfrm>
                            <a:off x="0" y="0"/>
                            <a:ext cx="1164590" cy="44831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式中：LA(r)——距声源r处的A声级，dB(A)；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LA(r0)——参考位置r0处的A声级，dB(A)；</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Adiv ——几何发散引起的衰减，dB。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点声源的几何发散衰减(Adiv)按下式计算：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156335" cy="482600"/>
                  <wp:effectExtent l="0" t="0" r="5715" b="12700"/>
                  <wp:docPr id="4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2"/>
                          <pic:cNvPicPr>
                            <a:picLocks noChangeAspect="1"/>
                          </pic:cNvPicPr>
                        </pic:nvPicPr>
                        <pic:blipFill>
                          <a:blip r:embed="rId34"/>
                          <a:stretch>
                            <a:fillRect/>
                          </a:stretch>
                        </pic:blipFill>
                        <pic:spPr>
                          <a:xfrm>
                            <a:off x="0" y="0"/>
                            <a:ext cx="1156335" cy="48260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空气吸收引起的衰减(Aatm)按下式计算：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295400" cy="483235"/>
                  <wp:effectExtent l="0" t="0" r="0" b="12065"/>
                  <wp:docPr id="4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3"/>
                          <pic:cNvPicPr>
                            <a:picLocks noChangeAspect="1"/>
                          </pic:cNvPicPr>
                        </pic:nvPicPr>
                        <pic:blipFill>
                          <a:blip r:embed="rId35"/>
                          <a:stretch>
                            <a:fillRect/>
                          </a:stretch>
                        </pic:blipFill>
                        <pic:spPr>
                          <a:xfrm>
                            <a:off x="0" y="0"/>
                            <a:ext cx="1295400" cy="483235"/>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地面效应衰减(Agr)按下式计算：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945005" cy="513080"/>
                  <wp:effectExtent l="0" t="0" r="17145" b="1270"/>
                  <wp:docPr id="4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4"/>
                          <pic:cNvPicPr>
                            <a:picLocks noChangeAspect="1"/>
                          </pic:cNvPicPr>
                        </pic:nvPicPr>
                        <pic:blipFill>
                          <a:blip r:embed="rId36"/>
                          <a:stretch>
                            <a:fillRect/>
                          </a:stretch>
                        </pic:blipFill>
                        <pic:spPr>
                          <a:xfrm>
                            <a:off x="0" y="0"/>
                            <a:ext cx="1945005" cy="51308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 r—声源到预测点的距离，m</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hm—传播路径的平均离地高度，m</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其他多方面原因引起的衰减(Amisc)包括通过工业场所或房屋群的衰减等。</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d)在不能取得声源倍频带声功率级或倍频声压级，只能获得A声功率级或某点的A声级时，单个室外点声源的预测可按下式作近似计算：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661795" cy="397510"/>
                  <wp:effectExtent l="0" t="0" r="14605" b="2540"/>
                  <wp:docPr id="4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5"/>
                          <pic:cNvPicPr>
                            <a:picLocks noChangeAspect="1"/>
                          </pic:cNvPicPr>
                        </pic:nvPicPr>
                        <pic:blipFill>
                          <a:blip r:embed="rId37"/>
                          <a:stretch>
                            <a:fillRect/>
                          </a:stretch>
                        </pic:blipFill>
                        <pic:spPr>
                          <a:xfrm>
                            <a:off x="0" y="0"/>
                            <a:ext cx="1661795" cy="39751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A可选择对A声级影响最大的倍频带计算，一般可选中心频率为500Hz的倍频带作估算。</w:t>
            </w:r>
          </w:p>
          <w:p>
            <w:pPr>
              <w:autoSpaceDE w:val="0"/>
              <w:autoSpaceDN w:val="0"/>
              <w:adjustRightInd w:val="0"/>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工业企业噪声计算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设第i个室外声源在预测点产生的A声级为LAi ，在T时间内该声源工作时间为ti；</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第j个等效室外声源在预测点产生的A声级为LAj，在T时间内该声源工作时间为tj，则拟建工程声源对预测点产生的贡献值（Leqg）为：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44775" cy="555625"/>
                  <wp:effectExtent l="0" t="0" r="3175" b="15875"/>
                  <wp:docPr id="4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16"/>
                          <pic:cNvPicPr>
                            <a:picLocks noChangeAspect="1"/>
                          </pic:cNvPicPr>
                        </pic:nvPicPr>
                        <pic:blipFill>
                          <a:blip r:embed="rId38"/>
                          <a:stretch>
                            <a:fillRect/>
                          </a:stretch>
                        </pic:blipFill>
                        <pic:spPr>
                          <a:xfrm>
                            <a:off x="0" y="0"/>
                            <a:ext cx="2644775" cy="555625"/>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式中：Leqg——建设项目声源在预测点产生的噪声贡献值，dB；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 ——用于计算等效声级的时间，s；</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N ——室外声源个数；</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ti——在T 时间内i 声源工作时间，s；</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M ——等效室外声源个数；</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tj ——在T时间内 j 声源工作时间，s。</w:t>
            </w:r>
          </w:p>
          <w:p>
            <w:pPr>
              <w:autoSpaceDE w:val="0"/>
              <w:autoSpaceDN w:val="0"/>
              <w:adjustRightInd w:val="0"/>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预测值计算</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预测点的贡献值和背景值按能量叠加方法计算得到的声级。噪声预测值（Leq）计算公式为：</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70125" cy="444500"/>
                  <wp:effectExtent l="0" t="0" r="15875" b="12700"/>
                  <wp:docPr id="4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17"/>
                          <pic:cNvPicPr>
                            <a:picLocks noChangeAspect="1"/>
                          </pic:cNvPicPr>
                        </pic:nvPicPr>
                        <pic:blipFill>
                          <a:blip r:embed="rId39"/>
                          <a:stretch>
                            <a:fillRect/>
                          </a:stretch>
                        </pic:blipFill>
                        <pic:spPr>
                          <a:xfrm>
                            <a:off x="0" y="0"/>
                            <a:ext cx="2270125" cy="44450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式中：Leq——预测点的噪声预测值，dB；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Leqg——建设项目声源在预测点产生的噪声贡献值，dB；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Leqb——预测点的背景噪声值，dB。</w:t>
            </w:r>
          </w:p>
          <w:p>
            <w:pPr>
              <w:autoSpaceDE w:val="0"/>
              <w:autoSpaceDN w:val="0"/>
              <w:adjustRightInd w:val="0"/>
              <w:spacing w:line="360" w:lineRule="auto"/>
              <w:ind w:firstLine="420" w:firstLineChars="200"/>
              <w:jc w:val="left"/>
              <w:rPr>
                <w:color w:val="000000" w:themeColor="text1"/>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color w:val="000000" w:themeColor="text1"/>
                <w:lang w:val="en-US" w:eastAsia="zh-CN"/>
                <w14:textFill>
                  <w14:solidFill>
                    <w14:schemeClr w14:val="tx1"/>
                  </w14:solidFill>
                </w14:textFill>
              </w:rPr>
            </w:pPr>
          </w:p>
          <w:p>
            <w:pPr>
              <w:pStyle w:val="11"/>
              <w:rPr>
                <w:rFonts w:hint="eastAsia" w:eastAsia="宋体"/>
                <w:color w:val="000000" w:themeColor="text1"/>
                <w:lang w:val="en-US" w:eastAsia="zh-CN"/>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tc>
      </w:tr>
    </w:tbl>
    <w:p>
      <w:pPr>
        <w:pStyle w:val="8"/>
        <w:rPr>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运营</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期环</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境影</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响和</w:t>
            </w:r>
          </w:p>
          <w:p>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保护</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措施</w:t>
            </w:r>
          </w:p>
        </w:tc>
        <w:tc>
          <w:tcPr>
            <w:tcW w:w="8162" w:type="dxa"/>
            <w:vAlign w:val="center"/>
          </w:tcPr>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（4）预测结果</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项目运营期噪声预测结果见表4-</w:t>
            </w:r>
            <w:r>
              <w:rPr>
                <w:rFonts w:hint="eastAsia" w:hAnsi="宋体"/>
                <w:color w:val="000000" w:themeColor="text1"/>
                <w:kern w:val="0"/>
                <w:szCs w:val="21"/>
                <w:lang w:val="en-US" w:eastAsia="zh-CN"/>
                <w14:textFill>
                  <w14:solidFill>
                    <w14:schemeClr w14:val="tx1"/>
                  </w14:solidFill>
                </w14:textFill>
              </w:rPr>
              <w:t>17</w:t>
            </w:r>
            <w:r>
              <w:rPr>
                <w:rFonts w:hint="eastAsia" w:hAnsi="宋体"/>
                <w:color w:val="000000" w:themeColor="text1"/>
                <w:kern w:val="0"/>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17</w:t>
            </w:r>
            <w:r>
              <w:rPr>
                <w:rFonts w:hint="eastAsia"/>
                <w:b/>
                <w:color w:val="000000" w:themeColor="text1"/>
                <w:szCs w:val="21"/>
                <w14:textFill>
                  <w14:solidFill>
                    <w14:schemeClr w14:val="tx1"/>
                  </w14:solidFill>
                </w14:textFill>
              </w:rPr>
              <w:t xml:space="preserve"> 项目厂界噪声预测结果一览表 单位：dB（A）</w:t>
            </w:r>
          </w:p>
          <w:tbl>
            <w:tblPr>
              <w:tblStyle w:val="24"/>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38"/>
              <w:gridCol w:w="743"/>
              <w:gridCol w:w="1592"/>
              <w:gridCol w:w="1108"/>
              <w:gridCol w:w="1257"/>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tcBorders>
                    <w:tl2br w:val="nil"/>
                    <w:tr2bl w:val="nil"/>
                  </w:tcBorders>
                  <w:vAlign w:val="center"/>
                </w:tcPr>
                <w:p>
                  <w:pPr>
                    <w:adjustRightInd w:val="0"/>
                    <w:snapToGrid w:val="0"/>
                    <w:jc w:val="center"/>
                    <w:rPr>
                      <w:color w:val="000000" w:themeColor="text1"/>
                      <w:spacing w:val="-6"/>
                      <w:szCs w:val="21"/>
                      <w14:textFill>
                        <w14:solidFill>
                          <w14:schemeClr w14:val="tx1"/>
                        </w14:solidFill>
                      </w14:textFill>
                    </w:rPr>
                  </w:pPr>
                  <w:r>
                    <w:rPr>
                      <w:rFonts w:hint="eastAsia"/>
                      <w:color w:val="000000" w:themeColor="text1"/>
                      <w:spacing w:val="-6"/>
                      <w:szCs w:val="21"/>
                      <w14:textFill>
                        <w14:solidFill>
                          <w14:schemeClr w14:val="tx1"/>
                        </w14:solidFill>
                      </w14:textFill>
                    </w:rPr>
                    <w:t>预测点位</w:t>
                  </w:r>
                </w:p>
              </w:tc>
              <w:tc>
                <w:tcPr>
                  <w:tcW w:w="998" w:type="pct"/>
                  <w:gridSpan w:val="2"/>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坐标</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昼间</w:t>
                  </w:r>
                  <w:r>
                    <w:rPr>
                      <w:rFonts w:hint="eastAsia"/>
                      <w:color w:val="000000" w:themeColor="text1"/>
                      <w:spacing w:val="8"/>
                      <w:szCs w:val="21"/>
                      <w:lang w:val="en-US" w:eastAsia="zh-CN"/>
                      <w14:textFill>
                        <w14:solidFill>
                          <w14:schemeClr w14:val="tx1"/>
                        </w14:solidFill>
                      </w14:textFill>
                    </w:rPr>
                    <w:t>/夜间</w:t>
                  </w:r>
                  <w:r>
                    <w:rPr>
                      <w:rFonts w:hint="eastAsia"/>
                      <w:color w:val="000000" w:themeColor="text1"/>
                      <w:spacing w:val="8"/>
                      <w:szCs w:val="21"/>
                      <w14:textFill>
                        <w14:solidFill>
                          <w14:schemeClr w14:val="tx1"/>
                        </w14:solidFill>
                      </w14:textFill>
                    </w:rPr>
                    <w:t>等效噪声</w:t>
                  </w:r>
                </w:p>
              </w:tc>
              <w:tc>
                <w:tcPr>
                  <w:tcW w:w="699" w:type="pct"/>
                  <w:tcBorders>
                    <w:tl2br w:val="nil"/>
                    <w:tr2bl w:val="nil"/>
                  </w:tcBorders>
                  <w:vAlign w:val="center"/>
                </w:tcPr>
                <w:p>
                  <w:pPr>
                    <w:widowControl/>
                    <w:jc w:val="center"/>
                    <w:rPr>
                      <w:rFonts w:hint="eastAsia" w:eastAsia="宋体"/>
                      <w:color w:val="000000" w:themeColor="text1"/>
                      <w:spacing w:val="8"/>
                      <w:szCs w:val="21"/>
                      <w:lang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背景值</w:t>
                  </w:r>
                </w:p>
              </w:tc>
              <w:tc>
                <w:tcPr>
                  <w:tcW w:w="793" w:type="pct"/>
                  <w:tcBorders>
                    <w:tl2br w:val="nil"/>
                    <w:tr2bl w:val="nil"/>
                  </w:tcBorders>
                  <w:vAlign w:val="center"/>
                </w:tcPr>
                <w:p>
                  <w:pPr>
                    <w:widowControl/>
                    <w:jc w:val="center"/>
                    <w:rPr>
                      <w:rFonts w:hint="eastAsia" w:eastAsia="宋体"/>
                      <w:color w:val="000000" w:themeColor="text1"/>
                      <w:spacing w:val="8"/>
                      <w:szCs w:val="21"/>
                      <w:lang w:val="en-US"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叠加值</w:t>
                  </w:r>
                </w:p>
              </w:tc>
              <w:tc>
                <w:tcPr>
                  <w:tcW w:w="803" w:type="pct"/>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0" w:type="pct"/>
                  <w:tcBorders>
                    <w:tl2br w:val="nil"/>
                    <w:tr2bl w:val="nil"/>
                  </w:tcBorders>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东1#</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36</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16</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52</w:t>
                  </w:r>
                  <w:r>
                    <w:rPr>
                      <w:rFonts w:hint="eastAsia"/>
                      <w:color w:val="000000" w:themeColor="text1"/>
                      <w:spacing w:val="8"/>
                      <w:szCs w:val="21"/>
                      <w14:textFill>
                        <w14:solidFill>
                          <w14:schemeClr w14:val="tx1"/>
                        </w14:solidFill>
                      </w14:textFill>
                    </w:rPr>
                    <w:t>.60</w:t>
                  </w:r>
                </w:p>
              </w:tc>
              <w:tc>
                <w:tcPr>
                  <w:tcW w:w="699" w:type="pct"/>
                  <w:tcBorders>
                    <w:tl2br w:val="nil"/>
                    <w:tr2bl w:val="nil"/>
                  </w:tcBorders>
                  <w:vAlign w:val="center"/>
                </w:tcPr>
                <w:p>
                  <w:pPr>
                    <w:widowControl/>
                    <w:jc w:val="center"/>
                    <w:rPr>
                      <w:rFonts w:hint="eastAsia" w:eastAsia="宋体"/>
                      <w:color w:val="000000" w:themeColor="text1"/>
                      <w:spacing w:val="8"/>
                      <w:szCs w:val="21"/>
                      <w:lang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w:t>
                  </w:r>
                </w:p>
              </w:tc>
              <w:tc>
                <w:tcPr>
                  <w:tcW w:w="1257" w:type="dxa"/>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52</w:t>
                  </w:r>
                  <w:r>
                    <w:rPr>
                      <w:rFonts w:hint="eastAsia"/>
                      <w:color w:val="000000" w:themeColor="text1"/>
                      <w:spacing w:val="8"/>
                      <w:szCs w:val="21"/>
                      <w14:textFill>
                        <w14:solidFill>
                          <w14:schemeClr w14:val="tx1"/>
                        </w14:solidFill>
                      </w14:textFill>
                    </w:rPr>
                    <w:t>.60</w:t>
                  </w:r>
                </w:p>
              </w:tc>
              <w:tc>
                <w:tcPr>
                  <w:tcW w:w="803" w:type="pct"/>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南2#</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10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-45</w:t>
                  </w:r>
                </w:p>
              </w:tc>
              <w:tc>
                <w:tcPr>
                  <w:tcW w:w="1005" w:type="pct"/>
                  <w:tcBorders>
                    <w:tl2br w:val="nil"/>
                    <w:tr2bl w:val="nil"/>
                  </w:tcBorders>
                  <w:vAlign w:val="center"/>
                </w:tcPr>
                <w:p>
                  <w:pPr>
                    <w:widowControl/>
                    <w:jc w:val="center"/>
                    <w:rPr>
                      <w:rFonts w:hint="default" w:eastAsia="宋体"/>
                      <w:color w:val="000000" w:themeColor="text1"/>
                      <w:spacing w:val="8"/>
                      <w:szCs w:val="21"/>
                      <w:lang w:val="en-US" w:eastAsia="zh-CN"/>
                      <w14:textFill>
                        <w14:solidFill>
                          <w14:schemeClr w14:val="tx1"/>
                        </w14:solidFill>
                      </w14:textFill>
                    </w:rPr>
                  </w:pPr>
                  <w:r>
                    <w:rPr>
                      <w:rFonts w:hint="eastAsia"/>
                      <w:color w:val="000000" w:themeColor="text1"/>
                      <w:spacing w:val="8"/>
                      <w:szCs w:val="21"/>
                      <w14:textFill>
                        <w14:solidFill>
                          <w14:schemeClr w14:val="tx1"/>
                        </w14:solidFill>
                      </w14:textFill>
                    </w:rPr>
                    <w:t>5</w:t>
                  </w:r>
                  <w:r>
                    <w:rPr>
                      <w:rFonts w:hint="eastAsia"/>
                      <w:color w:val="000000" w:themeColor="text1"/>
                      <w:spacing w:val="8"/>
                      <w:szCs w:val="21"/>
                      <w:lang w:val="en-US" w:eastAsia="zh-CN"/>
                      <w14:textFill>
                        <w14:solidFill>
                          <w14:schemeClr w14:val="tx1"/>
                        </w14:solidFill>
                      </w14:textFill>
                    </w:rPr>
                    <w:t>1</w:t>
                  </w:r>
                  <w:r>
                    <w:rPr>
                      <w:rFonts w:hint="eastAsia"/>
                      <w:color w:val="000000" w:themeColor="text1"/>
                      <w:spacing w:val="8"/>
                      <w:szCs w:val="21"/>
                      <w14:textFill>
                        <w14:solidFill>
                          <w14:schemeClr w14:val="tx1"/>
                        </w14:solidFill>
                      </w14:textFill>
                    </w:rPr>
                    <w:t>.</w:t>
                  </w:r>
                  <w:r>
                    <w:rPr>
                      <w:rFonts w:hint="eastAsia"/>
                      <w:color w:val="000000" w:themeColor="text1"/>
                      <w:spacing w:val="8"/>
                      <w:szCs w:val="21"/>
                      <w:lang w:val="en-US" w:eastAsia="zh-CN"/>
                      <w14:textFill>
                        <w14:solidFill>
                          <w14:schemeClr w14:val="tx1"/>
                        </w14:solidFill>
                      </w14:textFill>
                    </w:rPr>
                    <w:t>19</w:t>
                  </w:r>
                </w:p>
              </w:tc>
              <w:tc>
                <w:tcPr>
                  <w:tcW w:w="699" w:type="pct"/>
                  <w:tcBorders>
                    <w:tl2br w:val="nil"/>
                    <w:tr2bl w:val="nil"/>
                  </w:tcBorders>
                  <w:vAlign w:val="center"/>
                </w:tcPr>
                <w:p>
                  <w:pPr>
                    <w:widowControl/>
                    <w:jc w:val="center"/>
                    <w:rPr>
                      <w:rFonts w:hint="eastAsia" w:eastAsia="宋体"/>
                      <w:color w:val="000000" w:themeColor="text1"/>
                      <w:spacing w:val="8"/>
                      <w:szCs w:val="21"/>
                      <w:lang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w:t>
                  </w:r>
                </w:p>
              </w:tc>
              <w:tc>
                <w:tcPr>
                  <w:tcW w:w="1257" w:type="dxa"/>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w:t>
                  </w:r>
                  <w:r>
                    <w:rPr>
                      <w:rFonts w:hint="eastAsia"/>
                      <w:color w:val="000000" w:themeColor="text1"/>
                      <w:spacing w:val="8"/>
                      <w:szCs w:val="21"/>
                      <w:lang w:val="en-US" w:eastAsia="zh-CN"/>
                      <w14:textFill>
                        <w14:solidFill>
                          <w14:schemeClr w14:val="tx1"/>
                        </w14:solidFill>
                      </w14:textFill>
                    </w:rPr>
                    <w:t>1</w:t>
                  </w:r>
                  <w:r>
                    <w:rPr>
                      <w:rFonts w:hint="eastAsia"/>
                      <w:color w:val="000000" w:themeColor="text1"/>
                      <w:spacing w:val="8"/>
                      <w:szCs w:val="21"/>
                      <w14:textFill>
                        <w14:solidFill>
                          <w14:schemeClr w14:val="tx1"/>
                        </w14:solidFill>
                      </w14:textFill>
                    </w:rPr>
                    <w:t>.</w:t>
                  </w:r>
                  <w:r>
                    <w:rPr>
                      <w:rFonts w:hint="eastAsia"/>
                      <w:color w:val="000000" w:themeColor="text1"/>
                      <w:spacing w:val="8"/>
                      <w:szCs w:val="21"/>
                      <w:lang w:val="en-US" w:eastAsia="zh-CN"/>
                      <w14:textFill>
                        <w14:solidFill>
                          <w14:schemeClr w14:val="tx1"/>
                        </w14:solidFill>
                      </w14:textFill>
                    </w:rPr>
                    <w:t>19</w:t>
                  </w:r>
                </w:p>
              </w:tc>
              <w:tc>
                <w:tcPr>
                  <w:tcW w:w="803" w:type="pct"/>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西3#</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-60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65</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w:t>
                  </w:r>
                  <w:r>
                    <w:rPr>
                      <w:rFonts w:hint="eastAsia"/>
                      <w:color w:val="000000" w:themeColor="text1"/>
                      <w:spacing w:val="8"/>
                      <w:szCs w:val="21"/>
                      <w:lang w:val="en-US" w:eastAsia="zh-CN"/>
                      <w14:textFill>
                        <w14:solidFill>
                          <w14:schemeClr w14:val="tx1"/>
                        </w14:solidFill>
                      </w14:textFill>
                    </w:rPr>
                    <w:t>3</w:t>
                  </w:r>
                  <w:r>
                    <w:rPr>
                      <w:rFonts w:hint="eastAsia"/>
                      <w:color w:val="000000" w:themeColor="text1"/>
                      <w:spacing w:val="8"/>
                      <w:szCs w:val="21"/>
                      <w14:textFill>
                        <w14:solidFill>
                          <w14:schemeClr w14:val="tx1"/>
                        </w14:solidFill>
                      </w14:textFill>
                    </w:rPr>
                    <w:t>.10</w:t>
                  </w:r>
                </w:p>
              </w:tc>
              <w:tc>
                <w:tcPr>
                  <w:tcW w:w="699" w:type="pct"/>
                  <w:tcBorders>
                    <w:tl2br w:val="nil"/>
                    <w:tr2bl w:val="nil"/>
                  </w:tcBorders>
                  <w:vAlign w:val="center"/>
                </w:tcPr>
                <w:p>
                  <w:pPr>
                    <w:widowControl/>
                    <w:jc w:val="center"/>
                    <w:rPr>
                      <w:rFonts w:hint="eastAsia" w:eastAsia="宋体"/>
                      <w:color w:val="000000" w:themeColor="text1"/>
                      <w:spacing w:val="8"/>
                      <w:szCs w:val="21"/>
                      <w:lang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w:t>
                  </w:r>
                </w:p>
              </w:tc>
              <w:tc>
                <w:tcPr>
                  <w:tcW w:w="1257" w:type="dxa"/>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5</w:t>
                  </w:r>
                  <w:r>
                    <w:rPr>
                      <w:rFonts w:hint="eastAsia"/>
                      <w:color w:val="000000" w:themeColor="text1"/>
                      <w:spacing w:val="8"/>
                      <w:szCs w:val="21"/>
                      <w:lang w:val="en-US" w:eastAsia="zh-CN"/>
                      <w14:textFill>
                        <w14:solidFill>
                          <w14:schemeClr w14:val="tx1"/>
                        </w14:solidFill>
                      </w14:textFill>
                    </w:rPr>
                    <w:t>3</w:t>
                  </w:r>
                  <w:r>
                    <w:rPr>
                      <w:rFonts w:hint="eastAsia"/>
                      <w:color w:val="000000" w:themeColor="text1"/>
                      <w:spacing w:val="8"/>
                      <w:szCs w:val="21"/>
                      <w14:textFill>
                        <w14:solidFill>
                          <w14:schemeClr w14:val="tx1"/>
                        </w14:solidFill>
                      </w14:textFill>
                    </w:rPr>
                    <w:t>.10</w:t>
                  </w:r>
                </w:p>
              </w:tc>
              <w:tc>
                <w:tcPr>
                  <w:tcW w:w="803" w:type="pct"/>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tcBorders>
                    <w:tl2br w:val="nil"/>
                    <w:tr2bl w:val="nil"/>
                  </w:tcBorders>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北4#</w:t>
                  </w:r>
                </w:p>
              </w:tc>
              <w:tc>
                <w:tcPr>
                  <w:tcW w:w="52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20</w:t>
                  </w:r>
                </w:p>
              </w:tc>
              <w:tc>
                <w:tcPr>
                  <w:tcW w:w="469"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-45</w:t>
                  </w:r>
                </w:p>
              </w:tc>
              <w:tc>
                <w:tcPr>
                  <w:tcW w:w="1005" w:type="pct"/>
                  <w:tcBorders>
                    <w:tl2br w:val="nil"/>
                    <w:tr2bl w:val="nil"/>
                  </w:tcBorders>
                  <w:vAlign w:val="center"/>
                </w:tcPr>
                <w:p>
                  <w:pPr>
                    <w:widowControl/>
                    <w:jc w:val="center"/>
                    <w:rPr>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49.</w:t>
                  </w:r>
                  <w:r>
                    <w:rPr>
                      <w:rFonts w:hint="eastAsia"/>
                      <w:color w:val="000000" w:themeColor="text1"/>
                      <w:spacing w:val="8"/>
                      <w:szCs w:val="21"/>
                      <w:lang w:val="en-US" w:eastAsia="zh-CN"/>
                      <w14:textFill>
                        <w14:solidFill>
                          <w14:schemeClr w14:val="tx1"/>
                        </w14:solidFill>
                      </w14:textFill>
                    </w:rPr>
                    <w:t>3</w:t>
                  </w:r>
                  <w:r>
                    <w:rPr>
                      <w:rFonts w:hint="eastAsia"/>
                      <w:color w:val="000000" w:themeColor="text1"/>
                      <w:spacing w:val="8"/>
                      <w:szCs w:val="21"/>
                      <w14:textFill>
                        <w14:solidFill>
                          <w14:schemeClr w14:val="tx1"/>
                        </w14:solidFill>
                      </w14:textFill>
                    </w:rPr>
                    <w:t>4</w:t>
                  </w:r>
                </w:p>
              </w:tc>
              <w:tc>
                <w:tcPr>
                  <w:tcW w:w="699" w:type="pct"/>
                  <w:tcBorders>
                    <w:tl2br w:val="nil"/>
                    <w:tr2bl w:val="nil"/>
                  </w:tcBorders>
                  <w:vAlign w:val="center"/>
                </w:tcPr>
                <w:p>
                  <w:pPr>
                    <w:widowControl/>
                    <w:jc w:val="center"/>
                    <w:rPr>
                      <w:rFonts w:hint="eastAsia" w:eastAsia="宋体"/>
                      <w:color w:val="000000" w:themeColor="text1"/>
                      <w:spacing w:val="8"/>
                      <w:szCs w:val="21"/>
                      <w:lang w:eastAsia="zh-CN"/>
                      <w14:textFill>
                        <w14:solidFill>
                          <w14:schemeClr w14:val="tx1"/>
                        </w14:solidFill>
                      </w14:textFill>
                    </w:rPr>
                  </w:pPr>
                  <w:r>
                    <w:rPr>
                      <w:rFonts w:hint="eastAsia"/>
                      <w:color w:val="000000" w:themeColor="text1"/>
                      <w:spacing w:val="8"/>
                      <w:szCs w:val="21"/>
                      <w:lang w:val="en-US" w:eastAsia="zh-CN"/>
                      <w14:textFill>
                        <w14:solidFill>
                          <w14:schemeClr w14:val="tx1"/>
                        </w14:solidFill>
                      </w14:textFill>
                    </w:rPr>
                    <w:t>/</w:t>
                  </w:r>
                </w:p>
              </w:tc>
              <w:tc>
                <w:tcPr>
                  <w:tcW w:w="1257" w:type="dxa"/>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49.</w:t>
                  </w:r>
                  <w:r>
                    <w:rPr>
                      <w:rFonts w:hint="eastAsia"/>
                      <w:color w:val="000000" w:themeColor="text1"/>
                      <w:spacing w:val="8"/>
                      <w:szCs w:val="21"/>
                      <w:lang w:val="en-US" w:eastAsia="zh-CN"/>
                      <w14:textFill>
                        <w14:solidFill>
                          <w14:schemeClr w14:val="tx1"/>
                        </w14:solidFill>
                      </w14:textFill>
                    </w:rPr>
                    <w:t>3</w:t>
                  </w:r>
                  <w:r>
                    <w:rPr>
                      <w:rFonts w:hint="eastAsia"/>
                      <w:color w:val="000000" w:themeColor="text1"/>
                      <w:spacing w:val="8"/>
                      <w:szCs w:val="21"/>
                      <w14:textFill>
                        <w14:solidFill>
                          <w14:schemeClr w14:val="tx1"/>
                        </w14:solidFill>
                      </w14:textFill>
                    </w:rPr>
                    <w:t>4</w:t>
                  </w:r>
                </w:p>
              </w:tc>
              <w:tc>
                <w:tcPr>
                  <w:tcW w:w="803" w:type="pct"/>
                  <w:tcBorders>
                    <w:tl2br w:val="nil"/>
                    <w:tr2bl w:val="nil"/>
                  </w:tcBorders>
                  <w:vAlign w:val="center"/>
                </w:tcPr>
                <w:p>
                  <w:pPr>
                    <w:widowControl/>
                    <w:jc w:val="center"/>
                    <w:rPr>
                      <w:rFonts w:hint="eastAsia"/>
                      <w:color w:val="000000" w:themeColor="text1"/>
                      <w:spacing w:val="8"/>
                      <w:szCs w:val="21"/>
                      <w14:textFill>
                        <w14:solidFill>
                          <w14:schemeClr w14:val="tx1"/>
                        </w14:solidFill>
                      </w14:textFill>
                    </w:rPr>
                  </w:pPr>
                  <w:r>
                    <w:rPr>
                      <w:rFonts w:hint="eastAsia"/>
                      <w:color w:val="000000" w:themeColor="text1"/>
                      <w:spacing w:val="8"/>
                      <w:szCs w:val="21"/>
                      <w14:textFill>
                        <w14:solidFill>
                          <w14:schemeClr w14:val="tx1"/>
                        </w14:solidFill>
                      </w14:textFill>
                    </w:rPr>
                    <w:t>达标</w:t>
                  </w:r>
                </w:p>
              </w:tc>
            </w:tr>
          </w:tbl>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根据表4-</w:t>
            </w:r>
            <w:r>
              <w:rPr>
                <w:rFonts w:hint="eastAsia" w:hAnsi="宋体"/>
                <w:color w:val="000000" w:themeColor="text1"/>
                <w:kern w:val="0"/>
                <w:szCs w:val="21"/>
                <w:lang w:val="en-US" w:eastAsia="zh-CN"/>
                <w14:textFill>
                  <w14:solidFill>
                    <w14:schemeClr w14:val="tx1"/>
                  </w14:solidFill>
                </w14:textFill>
              </w:rPr>
              <w:t>17</w:t>
            </w:r>
            <w:r>
              <w:rPr>
                <w:rFonts w:hint="eastAsia" w:hAnsi="宋体"/>
                <w:color w:val="000000" w:themeColor="text1"/>
                <w:kern w:val="0"/>
                <w:szCs w:val="21"/>
                <w14:textFill>
                  <w14:solidFill>
                    <w14:schemeClr w14:val="tx1"/>
                  </w14:solidFill>
                </w14:textFill>
              </w:rPr>
              <w:t>预测结果可知，在考虑隔声降噪等措施，项目厂界东、南、</w:t>
            </w:r>
            <w:r>
              <w:rPr>
                <w:rFonts w:hint="eastAsia" w:hAnsi="宋体"/>
                <w:color w:val="000000" w:themeColor="text1"/>
                <w:kern w:val="0"/>
                <w:szCs w:val="21"/>
                <w:lang w:val="en-US" w:eastAsia="zh-CN"/>
                <w14:textFill>
                  <w14:solidFill>
                    <w14:schemeClr w14:val="tx1"/>
                  </w14:solidFill>
                </w14:textFill>
              </w:rPr>
              <w:t>西、</w:t>
            </w:r>
            <w:r>
              <w:rPr>
                <w:rFonts w:hint="eastAsia" w:hAnsi="宋体"/>
                <w:color w:val="000000" w:themeColor="text1"/>
                <w:kern w:val="0"/>
                <w:szCs w:val="21"/>
                <w14:textFill>
                  <w14:solidFill>
                    <w14:schemeClr w14:val="tx1"/>
                  </w14:solidFill>
                </w14:textFill>
              </w:rPr>
              <w:t>北侧昼</w:t>
            </w:r>
            <w:r>
              <w:rPr>
                <w:rFonts w:hint="eastAsia" w:hAnsi="宋体"/>
                <w:color w:val="000000" w:themeColor="text1"/>
                <w:kern w:val="0"/>
                <w:szCs w:val="21"/>
                <w:lang w:val="en-US" w:eastAsia="zh-CN"/>
                <w14:textFill>
                  <w14:solidFill>
                    <w14:schemeClr w14:val="tx1"/>
                  </w14:solidFill>
                </w14:textFill>
              </w:rPr>
              <w:t>夜</w:t>
            </w:r>
            <w:r>
              <w:rPr>
                <w:rFonts w:hint="eastAsia" w:hAnsi="宋体"/>
                <w:color w:val="000000" w:themeColor="text1"/>
                <w:kern w:val="0"/>
                <w:szCs w:val="21"/>
                <w14:textFill>
                  <w14:solidFill>
                    <w14:schemeClr w14:val="tx1"/>
                  </w14:solidFill>
                </w14:textFill>
              </w:rPr>
              <w:t>间噪声预测值均能满足《工业企业厂界噪声排放标准》（GB</w:t>
            </w:r>
            <w:r>
              <w:rPr>
                <w:rFonts w:hint="eastAsia" w:hAnsi="宋体"/>
                <w:color w:val="000000" w:themeColor="text1"/>
                <w:kern w:val="0"/>
                <w:szCs w:val="21"/>
                <w:lang w:eastAsia="zh-CN"/>
                <w14:textFill>
                  <w14:solidFill>
                    <w14:schemeClr w14:val="tx1"/>
                  </w14:solidFill>
                </w14:textFill>
              </w:rPr>
              <w:t>*****</w:t>
            </w:r>
            <w:r>
              <w:rPr>
                <w:rFonts w:hint="eastAsia" w:hAnsi="宋体"/>
                <w:color w:val="000000" w:themeColor="text1"/>
                <w:kern w:val="0"/>
                <w:szCs w:val="21"/>
                <w14:textFill>
                  <w14:solidFill>
                    <w14:schemeClr w14:val="tx1"/>
                  </w14:solidFill>
                </w14:textFill>
              </w:rPr>
              <w:t>-2008）3类标准。</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（5）减缓对环境影响对策措施</w:t>
            </w:r>
          </w:p>
          <w:p>
            <w:pPr>
              <w:autoSpaceDE w:val="0"/>
              <w:autoSpaceDN w:val="0"/>
              <w:adjustRightIn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在噪声治理上，针对不同性质的噪声，采取了不同的消声、隔声措施，其各种措施的可行性分述如下：</w:t>
            </w:r>
          </w:p>
          <w:p>
            <w:pPr>
              <w:autoSpaceDE w:val="0"/>
              <w:autoSpaceDN w:val="0"/>
              <w:adjustRightInd w:val="0"/>
              <w:spacing w:line="360" w:lineRule="auto"/>
              <w:ind w:firstLine="420" w:firstLineChars="200"/>
              <w:jc w:val="left"/>
              <w:rPr>
                <w:rFonts w:hint="eastAsia"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①对设备定期保养维护，防止其故障时噪声排放；</w:t>
            </w:r>
          </w:p>
          <w:p>
            <w:pPr>
              <w:autoSpaceDE w:val="0"/>
              <w:autoSpaceDN w:val="0"/>
              <w:adjustRightInd w:val="0"/>
              <w:spacing w:line="360" w:lineRule="auto"/>
              <w:ind w:firstLine="420" w:firstLineChars="200"/>
              <w:jc w:val="left"/>
              <w:rPr>
                <w:rFonts w:hint="eastAsia"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②日常加强产噪设备的检修工作，确保设备稳定正常运转，防止不良工况下的故障噪声产生。</w:t>
            </w:r>
          </w:p>
          <w:p>
            <w:pPr>
              <w:autoSpaceDE w:val="0"/>
              <w:autoSpaceDN w:val="0"/>
              <w:adjustRightInd w:val="0"/>
              <w:spacing w:line="360" w:lineRule="auto"/>
              <w:ind w:firstLine="420" w:firstLineChars="200"/>
              <w:jc w:val="left"/>
              <w:rPr>
                <w:rFonts w:hint="eastAsia"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③保持设备处于良好的运转状态，防止因设备运转不正常而增大噪声，要经常进行保养，减少磨擦力，降低噪声。</w:t>
            </w:r>
          </w:p>
          <w:p>
            <w:pPr>
              <w:autoSpaceDE w:val="0"/>
              <w:autoSpaceDN w:val="0"/>
              <w:adjustRightInd w:val="0"/>
              <w:spacing w:line="360" w:lineRule="auto"/>
              <w:ind w:firstLine="420" w:firstLineChars="200"/>
              <w:jc w:val="left"/>
              <w:rPr>
                <w:rFonts w:hint="eastAsia"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④加强厂内交通管理，对厂区内道路进行行车方向指示，车辆进入厂区后，禁止鸣喇叭，厂区内进口设禁鸣标志，降低进入厂区内的车速。严格管理进出车辆，避免产生噪声扰民。</w:t>
            </w:r>
          </w:p>
          <w:p>
            <w:pPr>
              <w:autoSpaceDE w:val="0"/>
              <w:autoSpaceDN w:val="0"/>
              <w:adjustRightInd w:val="0"/>
              <w:spacing w:line="360" w:lineRule="auto"/>
              <w:ind w:firstLine="420" w:firstLineChars="200"/>
              <w:jc w:val="left"/>
              <w:rPr>
                <w:rFonts w:hint="eastAsia"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综上，在采取以上措施后，本项目噪声对项目周边声环境质量影响不大。</w:t>
            </w:r>
          </w:p>
          <w:p>
            <w:pPr>
              <w:pStyle w:val="76"/>
              <w:spacing w:line="360" w:lineRule="auto"/>
              <w:ind w:firstLine="42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（6）噪声监测计划</w:t>
            </w:r>
          </w:p>
          <w:p>
            <w:pPr>
              <w:adjustRightInd w:val="0"/>
              <w:spacing w:line="360" w:lineRule="auto"/>
              <w:ind w:firstLine="420" w:firstLineChars="200"/>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对照《排污单位自行监测技术指南 总则》（HJ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-2017），监测计划见表4-</w:t>
            </w:r>
            <w:r>
              <w:rPr>
                <w:rFonts w:hint="eastAsia"/>
                <w:color w:val="000000" w:themeColor="text1"/>
                <w:szCs w:val="21"/>
                <w:lang w:val="en-US" w:eastAsia="zh-CN"/>
                <w14:textFill>
                  <w14:solidFill>
                    <w14:schemeClr w14:val="tx1"/>
                  </w14:solidFill>
                </w14:textFill>
              </w:rPr>
              <w:t>18</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18</w:t>
            </w:r>
            <w:r>
              <w:rPr>
                <w:rFonts w:hint="eastAsia"/>
                <w:b/>
                <w:color w:val="000000" w:themeColor="text1"/>
                <w:szCs w:val="21"/>
                <w14:textFill>
                  <w14:solidFill>
                    <w14:schemeClr w14:val="tx1"/>
                  </w14:solidFill>
                </w14:textFill>
              </w:rPr>
              <w:t xml:space="preserve"> 噪声监测计划一览表</w:t>
            </w:r>
          </w:p>
          <w:tbl>
            <w:tblPr>
              <w:tblStyle w:val="23"/>
              <w:tblW w:w="7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471"/>
              <w:gridCol w:w="1468"/>
              <w:gridCol w:w="3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11"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监测点位</w:t>
                  </w:r>
                </w:p>
              </w:tc>
              <w:tc>
                <w:tcPr>
                  <w:tcW w:w="1471"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监测因子</w:t>
                  </w:r>
                </w:p>
              </w:tc>
              <w:tc>
                <w:tcPr>
                  <w:tcW w:w="1468"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监测频次</w:t>
                  </w:r>
                </w:p>
              </w:tc>
              <w:tc>
                <w:tcPr>
                  <w:tcW w:w="3170" w:type="dxa"/>
                  <w:tcBorders>
                    <w:bottom w:val="single" w:color="auto" w:sz="12" w:space="0"/>
                  </w:tcBorders>
                  <w:vAlign w:val="center"/>
                </w:tcPr>
                <w:p>
                  <w:pPr>
                    <w:widowControl/>
                    <w:jc w:val="center"/>
                    <w:textAlignment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811"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四侧厂界（每个厂界一个点位）</w:t>
                  </w:r>
                </w:p>
              </w:tc>
              <w:tc>
                <w:tcPr>
                  <w:tcW w:w="1471"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等效连续A声级</w:t>
                  </w:r>
                </w:p>
              </w:tc>
              <w:tc>
                <w:tcPr>
                  <w:tcW w:w="1468"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每季度监测一次</w:t>
                  </w:r>
                </w:p>
              </w:tc>
              <w:tc>
                <w:tcPr>
                  <w:tcW w:w="3170" w:type="dxa"/>
                  <w:tcBorders>
                    <w:top w:val="single" w:color="auto" w:sz="12" w:space="0"/>
                    <w:tl2br w:val="nil"/>
                    <w:tr2bl w:val="nil"/>
                  </w:tcBorders>
                  <w:vAlign w:val="center"/>
                </w:tcPr>
                <w:p>
                  <w:pPr>
                    <w:widowControl/>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《工业企业厂界环境噪声排放标准》（GB</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-2008）3类标准</w:t>
                  </w:r>
                </w:p>
              </w:tc>
            </w:tr>
          </w:tbl>
          <w:p>
            <w:pPr>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（四）固体废物对环境影响分析</w:t>
            </w:r>
          </w:p>
          <w:p>
            <w:pPr>
              <w:autoSpaceDE w:val="0"/>
              <w:autoSpaceDN w:val="0"/>
              <w:adjustRightInd w:val="0"/>
              <w:spacing w:line="360" w:lineRule="auto"/>
              <w:ind w:firstLine="422" w:firstLineChars="20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（1）项目固体废物产生及处置情况</w:t>
            </w:r>
          </w:p>
          <w:p>
            <w:pPr>
              <w:spacing w:line="360" w:lineRule="auto"/>
              <w:ind w:firstLine="420" w:firstLineChars="200"/>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项目产生的固废主要为</w:t>
            </w:r>
            <w:r>
              <w:rPr>
                <w:rFonts w:hint="eastAsia"/>
                <w:color w:val="000000" w:themeColor="text1"/>
                <w:szCs w:val="21"/>
                <w14:textFill>
                  <w14:solidFill>
                    <w14:schemeClr w14:val="tx1"/>
                  </w14:solidFill>
                </w14:textFill>
              </w:rPr>
              <w:t>生活垃圾、废包装袋、废坩埚、废边角料、不合格品、沉淀池沉渣</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除尘器回收粉尘、废机油、废机油桶、</w:t>
            </w:r>
            <w:r>
              <w:rPr>
                <w:rFonts w:hint="eastAsia"/>
                <w:color w:val="000000" w:themeColor="text1"/>
                <w:szCs w:val="21"/>
                <w14:textFill>
                  <w14:solidFill>
                    <w14:schemeClr w14:val="tx1"/>
                  </w14:solidFill>
                </w14:textFill>
              </w:rPr>
              <w:t>废含油手套、抹布等</w:t>
            </w:r>
            <w:r>
              <w:rPr>
                <w:color w:val="000000" w:themeColor="text1"/>
                <w:szCs w:val="21"/>
                <w14:textFill>
                  <w14:solidFill>
                    <w14:schemeClr w14:val="tx1"/>
                  </w14:solidFill>
                </w14:textFill>
              </w:rPr>
              <w:t>。</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（1）生活垃圾：</w:t>
            </w:r>
            <w:r>
              <w:rPr>
                <w:rFonts w:hint="eastAsia" w:hAnsi="宋体"/>
                <w:color w:val="000000" w:themeColor="text1"/>
                <w:kern w:val="0"/>
                <w:szCs w:val="21"/>
                <w14:textFill>
                  <w14:solidFill>
                    <w14:schemeClr w14:val="tx1"/>
                  </w14:solidFill>
                </w14:textFill>
              </w:rPr>
              <w:t>项目</w:t>
            </w:r>
            <w:r>
              <w:rPr>
                <w:rFonts w:hint="eastAsia" w:hAnsi="宋体"/>
                <w:color w:val="000000" w:themeColor="text1"/>
                <w:kern w:val="0"/>
                <w:szCs w:val="21"/>
                <w:lang w:val="en-US" w:eastAsia="zh-CN"/>
                <w14:textFill>
                  <w14:solidFill>
                    <w14:schemeClr w14:val="tx1"/>
                  </w14:solidFill>
                </w14:textFill>
              </w:rPr>
              <w:t>定员</w:t>
            </w:r>
            <w:r>
              <w:rPr>
                <w:rFonts w:hint="eastAsia" w:hAnsi="宋体"/>
                <w:color w:val="000000" w:themeColor="text1"/>
                <w:kern w:val="0"/>
                <w:szCs w:val="21"/>
                <w14:textFill>
                  <w14:solidFill>
                    <w14:schemeClr w14:val="tx1"/>
                  </w14:solidFill>
                </w14:textFill>
              </w:rPr>
              <w:t>职工50人，厂区不设食宿</w:t>
            </w:r>
            <w:r>
              <w:rPr>
                <w:rFonts w:hint="eastAsia" w:hAnsi="宋体"/>
                <w:color w:val="000000" w:themeColor="text1"/>
                <w:szCs w:val="21"/>
                <w14:textFill>
                  <w14:solidFill>
                    <w14:schemeClr w14:val="tx1"/>
                  </w14:solidFill>
                </w14:textFill>
              </w:rPr>
              <w:t>。按每人</w:t>
            </w:r>
            <w:r>
              <w:rPr>
                <w:rFonts w:hAnsi="宋体"/>
                <w:color w:val="000000" w:themeColor="text1"/>
                <w:szCs w:val="21"/>
                <w14:textFill>
                  <w14:solidFill>
                    <w14:schemeClr w14:val="tx1"/>
                  </w14:solidFill>
                </w14:textFill>
              </w:rPr>
              <w:t>0.5kg/d</w:t>
            </w:r>
            <w:r>
              <w:rPr>
                <w:rFonts w:hint="eastAsia" w:hAnsi="宋体"/>
                <w:color w:val="000000" w:themeColor="text1"/>
                <w:szCs w:val="21"/>
                <w14:textFill>
                  <w14:solidFill>
                    <w14:schemeClr w14:val="tx1"/>
                  </w14:solidFill>
                </w14:textFill>
              </w:rPr>
              <w:t>计算，生活垃圾产生量为25</w:t>
            </w:r>
            <w:r>
              <w:rPr>
                <w:rFonts w:hAnsi="宋体"/>
                <w:color w:val="000000" w:themeColor="text1"/>
                <w:szCs w:val="21"/>
                <w14:textFill>
                  <w14:solidFill>
                    <w14:schemeClr w14:val="tx1"/>
                  </w14:solidFill>
                </w14:textFill>
              </w:rPr>
              <w:t>kg/d</w:t>
            </w:r>
            <w:r>
              <w:rPr>
                <w:rFonts w:hint="eastAsia" w:hAnsi="宋体"/>
                <w:color w:val="000000" w:themeColor="text1"/>
                <w:szCs w:val="21"/>
                <w14:textFill>
                  <w14:solidFill>
                    <w14:schemeClr w14:val="tx1"/>
                  </w14:solidFill>
                </w14:textFill>
              </w:rPr>
              <w:t>，7.5</w:t>
            </w:r>
            <w:r>
              <w:rPr>
                <w:rFonts w:hAnsi="宋体"/>
                <w:color w:val="000000" w:themeColor="text1"/>
                <w:szCs w:val="21"/>
                <w14:textFill>
                  <w14:solidFill>
                    <w14:schemeClr w14:val="tx1"/>
                  </w14:solidFill>
                </w14:textFill>
              </w:rPr>
              <w:t>t/a</w:t>
            </w:r>
            <w:r>
              <w:rPr>
                <w:rFonts w:hint="eastAsia" w:hAnsi="宋体"/>
                <w:color w:val="000000" w:themeColor="text1"/>
                <w:szCs w:val="21"/>
                <w14:textFill>
                  <w14:solidFill>
                    <w14:schemeClr w14:val="tx1"/>
                  </w14:solidFill>
                </w14:textFill>
              </w:rPr>
              <w:t>。分类收集，并委托环卫部门清运</w:t>
            </w:r>
            <w:r>
              <w:rPr>
                <w:color w:val="000000" w:themeColor="text1"/>
                <w:szCs w:val="21"/>
                <w14:textFill>
                  <w14:solidFill>
                    <w14:schemeClr w14:val="tx1"/>
                  </w14:solidFill>
                </w14:textFill>
              </w:rPr>
              <w:t>。</w:t>
            </w:r>
          </w:p>
          <w:p>
            <w:pPr>
              <w:adjustRightInd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包装袋</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项目废包装袋主要来源于投料后产生的吨袋，约0.05kg/个，项目原料2000吨/年，包装规格为50kg/袋，共40000个/a，则废包装袋产生量为2t/a，暂存于一般固废间，由物资公司回收。</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废坩埚：企业外购免喷涂坩埚用量为10t/a，使用后破碎脱模，为一般固废。废坩埚产生量为10t/a，暂存于一般固废间，由物资公司回收。</w:t>
            </w:r>
          </w:p>
          <w:p>
            <w:pPr>
              <w:adjustRightInd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边角料：</w:t>
            </w:r>
            <w:r>
              <w:rPr>
                <w:rFonts w:hint="eastAsia"/>
                <w:color w:val="000000" w:themeColor="text1"/>
                <w:szCs w:val="21"/>
                <w14:textFill>
                  <w14:solidFill>
                    <w14:schemeClr w14:val="tx1"/>
                  </w14:solidFill>
                </w14:textFill>
              </w:rPr>
              <w:t>根据建设单位提供资料</w:t>
            </w:r>
            <w:r>
              <w:rPr>
                <w:rFonts w:hint="eastAsia"/>
                <w:color w:val="000000" w:themeColor="text1"/>
                <w:szCs w:val="21"/>
                <w:lang w:val="en-US" w:eastAsia="zh-CN"/>
                <w14:textFill>
                  <w14:solidFill>
                    <w14:schemeClr w14:val="tx1"/>
                  </w14:solidFill>
                </w14:textFill>
              </w:rPr>
              <w:t>和物料平衡</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项目废皮料产生量约50t/a，废边角料产生量约120t/a，则废边角料产生量为170t/a，为一般固废，暂存于一般固废间，由物资公司回收。</w:t>
            </w:r>
          </w:p>
          <w:p>
            <w:pPr>
              <w:adjustRightInd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不合格品：</w:t>
            </w:r>
            <w:r>
              <w:rPr>
                <w:rFonts w:hint="eastAsia"/>
                <w:color w:val="000000" w:themeColor="text1"/>
                <w:szCs w:val="21"/>
                <w14:textFill>
                  <w14:solidFill>
                    <w14:schemeClr w14:val="tx1"/>
                  </w14:solidFill>
                </w14:textFill>
              </w:rPr>
              <w:t>根据建设单位提供资料</w:t>
            </w:r>
            <w:r>
              <w:rPr>
                <w:rFonts w:hint="eastAsia"/>
                <w:color w:val="000000" w:themeColor="text1"/>
                <w:szCs w:val="21"/>
                <w:lang w:val="en-US" w:eastAsia="zh-CN"/>
                <w14:textFill>
                  <w14:solidFill>
                    <w14:schemeClr w14:val="tx1"/>
                  </w14:solidFill>
                </w14:textFill>
              </w:rPr>
              <w:t>和物料平衡</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不合格品产生量为16.5t/a，为一般固废，暂存于一般固废间，由物资公司回收。</w:t>
            </w:r>
          </w:p>
          <w:p>
            <w:pPr>
              <w:adjustRightInd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（6）沉淀池沉渣：根据物料平衡，沉淀池沉渣产生量为7.026t/a，为一般固废，暂存于一般固废间，由物资公司回收。</w:t>
            </w:r>
          </w:p>
          <w:p>
            <w:pPr>
              <w:adjustRightInd w:val="0"/>
              <w:spacing w:line="360" w:lineRule="auto"/>
              <w:ind w:firstLine="420" w:firstLineChars="20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（7）除尘器收集粉尘：根据工程分析，除尘器收集粉尘量为6.013t/a，为一般固废，暂存于一般固废间，由物资公司回收。</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废机油</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项目员工设备检修过程会产生少量废机油，产生量约0.</w:t>
            </w:r>
            <w:r>
              <w:rPr>
                <w:rFonts w:hint="eastAsia"/>
                <w:color w:val="000000" w:themeColor="text1"/>
                <w:szCs w:val="21"/>
                <w:lang w:val="en-US" w:eastAsia="zh-CN"/>
                <w14:textFill>
                  <w14:solidFill>
                    <w14:schemeClr w14:val="tx1"/>
                  </w14:solidFill>
                </w14:textFill>
              </w:rPr>
              <w:t>05</w:t>
            </w:r>
            <w:r>
              <w:rPr>
                <w:rFonts w:hint="eastAsia"/>
                <w:color w:val="000000" w:themeColor="text1"/>
                <w:szCs w:val="21"/>
                <w14:textFill>
                  <w14:solidFill>
                    <w14:schemeClr w14:val="tx1"/>
                  </w14:solidFill>
                </w14:textFill>
              </w:rPr>
              <w:t>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废机油</w:t>
            </w:r>
            <w:r>
              <w:rPr>
                <w:color w:val="000000" w:themeColor="text1"/>
                <w:szCs w:val="21"/>
                <w14:textFill>
                  <w14:solidFill>
                    <w14:schemeClr w14:val="tx1"/>
                  </w14:solidFill>
                </w14:textFill>
              </w:rPr>
              <w:t>属于HW0</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）所列内容，属于危险废物，应委托有资质单位处理</w:t>
            </w:r>
            <w:r>
              <w:rPr>
                <w:rFonts w:hint="eastAsia"/>
                <w:color w:val="000000" w:themeColor="text1"/>
                <w:szCs w:val="21"/>
                <w14:textFill>
                  <w14:solidFill>
                    <w14:schemeClr w14:val="tx1"/>
                  </w14:solidFill>
                </w14:textFill>
              </w:rPr>
              <w:t>。</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）废机油</w:t>
            </w:r>
            <w:r>
              <w:rPr>
                <w:rStyle w:val="28"/>
                <w:rFonts w:hint="eastAsia"/>
                <w:color w:val="000000" w:themeColor="text1"/>
                <w:kern w:val="0"/>
                <w:szCs w:val="20"/>
                <w:lang w:val="en-US" w:eastAsia="zh-CN"/>
                <w14:textFill>
                  <w14:solidFill>
                    <w14:schemeClr w14:val="tx1"/>
                  </w14:solidFill>
                </w14:textFill>
              </w:rPr>
              <w:t>桶</w:t>
            </w:r>
            <w:r>
              <w:rPr>
                <w:rFonts w:hint="eastAsia"/>
                <w:color w:val="000000" w:themeColor="text1"/>
                <w:szCs w:val="21"/>
                <w14:textFill>
                  <w14:solidFill>
                    <w14:schemeClr w14:val="tx1"/>
                  </w14:solidFill>
                </w14:textFill>
              </w:rPr>
              <w:t>：本项</w:t>
            </w:r>
            <w:r>
              <w:rPr>
                <w:rFonts w:hint="eastAsia"/>
                <w:color w:val="000000" w:themeColor="text1"/>
                <w:szCs w:val="21"/>
                <w:lang w:val="en-US" w:eastAsia="zh-CN"/>
                <w14:textFill>
                  <w14:solidFill>
                    <w14:schemeClr w14:val="tx1"/>
                  </w14:solidFill>
                </w14:textFill>
              </w:rPr>
              <w:t>目机油</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kg/桶，桶重0.1kg/个，</w:t>
            </w:r>
            <w:r>
              <w:rPr>
                <w:rFonts w:hint="eastAsia"/>
                <w:color w:val="000000" w:themeColor="text1"/>
                <w:szCs w:val="21"/>
                <w:lang w:val="en-US" w:eastAsia="zh-CN"/>
                <w14:textFill>
                  <w14:solidFill>
                    <w14:schemeClr w14:val="tx1"/>
                  </w14:solidFill>
                </w14:textFill>
              </w:rPr>
              <w:t>则</w:t>
            </w:r>
            <w:r>
              <w:rPr>
                <w:rFonts w:hint="eastAsia"/>
                <w:color w:val="000000" w:themeColor="text1"/>
                <w:szCs w:val="21"/>
                <w14:textFill>
                  <w14:solidFill>
                    <w14:schemeClr w14:val="tx1"/>
                  </w14:solidFill>
                </w14:textFill>
              </w:rPr>
              <w:t>项目废机油</w:t>
            </w:r>
            <w:r>
              <w:rPr>
                <w:rFonts w:hint="eastAsia"/>
                <w:color w:val="000000" w:themeColor="text1"/>
                <w:szCs w:val="21"/>
                <w:lang w:val="en-US" w:eastAsia="zh-CN"/>
                <w14:textFill>
                  <w14:solidFill>
                    <w14:schemeClr w14:val="tx1"/>
                  </w14:solidFill>
                </w14:textFill>
              </w:rPr>
              <w:t>桶</w:t>
            </w:r>
            <w:r>
              <w:rPr>
                <w:rFonts w:hint="eastAsia"/>
                <w:color w:val="000000" w:themeColor="text1"/>
                <w:szCs w:val="21"/>
                <w14:textFill>
                  <w14:solidFill>
                    <w14:schemeClr w14:val="tx1"/>
                  </w14:solidFill>
                </w14:textFill>
              </w:rPr>
              <w:t>产生量约0.</w:t>
            </w:r>
            <w:r>
              <w:rPr>
                <w:rFonts w:hint="eastAsia"/>
                <w:color w:val="000000" w:themeColor="text1"/>
                <w:szCs w:val="21"/>
                <w:lang w:val="en-US" w:eastAsia="zh-CN"/>
                <w14:textFill>
                  <w14:solidFill>
                    <w14:schemeClr w14:val="tx1"/>
                  </w14:solidFill>
                </w14:textFill>
              </w:rPr>
              <w:t>005</w:t>
            </w:r>
            <w:r>
              <w:rPr>
                <w:rFonts w:hint="eastAsia"/>
                <w:color w:val="000000" w:themeColor="text1"/>
                <w:szCs w:val="21"/>
                <w14:textFill>
                  <w14:solidFill>
                    <w14:schemeClr w14:val="tx1"/>
                  </w14:solidFill>
                </w14:textFill>
              </w:rPr>
              <w:t>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废机油</w:t>
            </w:r>
            <w:r>
              <w:rPr>
                <w:rFonts w:hint="eastAsia"/>
                <w:color w:val="000000" w:themeColor="text1"/>
                <w:szCs w:val="21"/>
                <w:lang w:val="en-US" w:eastAsia="zh-CN"/>
                <w14:textFill>
                  <w14:solidFill>
                    <w14:schemeClr w14:val="tx1"/>
                  </w14:solidFill>
                </w14:textFill>
              </w:rPr>
              <w:t>桶</w:t>
            </w:r>
            <w:r>
              <w:rPr>
                <w:color w:val="000000" w:themeColor="text1"/>
                <w:szCs w:val="21"/>
                <w14:textFill>
                  <w14:solidFill>
                    <w14:schemeClr w14:val="tx1"/>
                  </w14:solidFill>
                </w14:textFill>
              </w:rPr>
              <w:t>属于</w:t>
            </w:r>
            <w:r>
              <w:rPr>
                <w:rFonts w:hint="eastAsia"/>
                <w:color w:val="000000" w:themeColor="text1"/>
                <w:szCs w:val="21"/>
                <w14:textFill>
                  <w14:solidFill>
                    <w14:schemeClr w14:val="tx1"/>
                  </w14:solidFill>
                </w14:textFill>
              </w:rPr>
              <w:t>HW49（</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）所列内容，属于危险废物，应委托有资质单位处理。</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废含油手套、抹布</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项目员工设备检修过程会产生含油废手套、抹布，根据企业提供资料，本项目含油废手套、抹布的产生量约为0.05t/a</w:t>
            </w:r>
            <w:r>
              <w:rPr>
                <w:color w:val="000000" w:themeColor="text1"/>
                <w:szCs w:val="21"/>
                <w14:textFill>
                  <w14:solidFill>
                    <w14:schemeClr w14:val="tx1"/>
                  </w14:solidFill>
                </w14:textFill>
              </w:rPr>
              <w:t>。根据《国家危险废物名录》（2021年），</w:t>
            </w:r>
            <w:r>
              <w:rPr>
                <w:rFonts w:hint="eastAsia"/>
                <w:color w:val="000000" w:themeColor="text1"/>
                <w:szCs w:val="21"/>
                <w14:textFill>
                  <w14:solidFill>
                    <w14:schemeClr w14:val="tx1"/>
                  </w14:solidFill>
                </w14:textFill>
              </w:rPr>
              <w:t>废含油手套、抹布</w:t>
            </w:r>
            <w:r>
              <w:rPr>
                <w:color w:val="000000" w:themeColor="text1"/>
                <w:szCs w:val="21"/>
                <w14:textFill>
                  <w14:solidFill>
                    <w14:schemeClr w14:val="tx1"/>
                  </w14:solidFill>
                </w14:textFill>
              </w:rPr>
              <w:t>属于</w:t>
            </w:r>
            <w:r>
              <w:rPr>
                <w:rFonts w:hint="eastAsia"/>
                <w:color w:val="000000" w:themeColor="text1"/>
                <w:szCs w:val="21"/>
                <w:lang w:val="en-US" w:eastAsia="zh-CN"/>
                <w14:textFill>
                  <w14:solidFill>
                    <w14:schemeClr w14:val="tx1"/>
                  </w14:solidFill>
                </w14:textFill>
              </w:rPr>
              <w:t>豁免清单中***-***-**，全过程不按危废处理，混入生活垃圾</w:t>
            </w:r>
            <w:r>
              <w:rPr>
                <w:color w:val="000000" w:themeColor="text1"/>
                <w:szCs w:val="21"/>
                <w14:textFill>
                  <w14:solidFill>
                    <w14:schemeClr w14:val="tx1"/>
                  </w14:solidFill>
                </w14:textFill>
              </w:rPr>
              <w:t>。</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根据《固体废物鉴别标准通则》</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，判断固体废物的属性，具体见下表</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19</w:t>
            </w:r>
            <w:r>
              <w:rPr>
                <w:rFonts w:hint="eastAsia"/>
                <w:b/>
                <w:color w:val="000000" w:themeColor="text1"/>
                <w:szCs w:val="21"/>
                <w14:textFill>
                  <w14:solidFill>
                    <w14:schemeClr w14:val="tx1"/>
                  </w14:solidFill>
                </w14:textFill>
              </w:rPr>
              <w:t xml:space="preserve"> 固体废物属性判断（单位：t/a）</w:t>
            </w:r>
          </w:p>
          <w:tbl>
            <w:tblPr>
              <w:tblStyle w:val="23"/>
              <w:tblW w:w="78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04"/>
              <w:gridCol w:w="1007"/>
              <w:gridCol w:w="768"/>
              <w:gridCol w:w="416"/>
              <w:gridCol w:w="1205"/>
              <w:gridCol w:w="716"/>
              <w:gridCol w:w="752"/>
              <w:gridCol w:w="643"/>
              <w:gridCol w:w="1009"/>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504"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序号</w:t>
                  </w:r>
                </w:p>
              </w:tc>
              <w:tc>
                <w:tcPr>
                  <w:tcW w:w="1007"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固废名称</w:t>
                  </w:r>
                </w:p>
              </w:tc>
              <w:tc>
                <w:tcPr>
                  <w:tcW w:w="768"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产生工序</w:t>
                  </w:r>
                </w:p>
              </w:tc>
              <w:tc>
                <w:tcPr>
                  <w:tcW w:w="416"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形态</w:t>
                  </w:r>
                </w:p>
              </w:tc>
              <w:tc>
                <w:tcPr>
                  <w:tcW w:w="1205"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主要成分</w:t>
                  </w:r>
                </w:p>
              </w:tc>
              <w:tc>
                <w:tcPr>
                  <w:tcW w:w="716" w:type="dxa"/>
                  <w:vMerge w:val="restart"/>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产生量</w:t>
                  </w:r>
                </w:p>
              </w:tc>
              <w:tc>
                <w:tcPr>
                  <w:tcW w:w="3279" w:type="dxa"/>
                  <w:gridSpan w:val="4"/>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9" w:hRule="atLeast"/>
                <w:jc w:val="center"/>
              </w:trPr>
              <w:tc>
                <w:tcPr>
                  <w:tcW w:w="504"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1007"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768"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416"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1205"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716" w:type="dxa"/>
                  <w:vMerge w:val="continue"/>
                  <w:vAlign w:val="center"/>
                </w:tcPr>
                <w:p>
                  <w:pPr>
                    <w:tabs>
                      <w:tab w:val="left" w:pos="4500"/>
                    </w:tabs>
                    <w:adjustRightInd w:val="0"/>
                    <w:snapToGrid w:val="0"/>
                    <w:jc w:val="center"/>
                    <w:rPr>
                      <w:bCs/>
                      <w:color w:val="000000" w:themeColor="text1"/>
                      <w:kern w:val="1"/>
                      <w:szCs w:val="21"/>
                      <w14:textFill>
                        <w14:solidFill>
                          <w14:schemeClr w14:val="tx1"/>
                        </w14:solidFill>
                      </w14:textFill>
                    </w:rPr>
                  </w:pP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固体</w:t>
                  </w:r>
                </w:p>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废物</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副产</w:t>
                  </w:r>
                </w:p>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品</w:t>
                  </w:r>
                </w:p>
              </w:tc>
              <w:tc>
                <w:tcPr>
                  <w:tcW w:w="1009"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来源鉴别①</w:t>
                  </w:r>
                </w:p>
              </w:tc>
              <w:tc>
                <w:tcPr>
                  <w:tcW w:w="875"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处置鉴别②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0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68"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日常生活</w:t>
                  </w:r>
                </w:p>
              </w:tc>
              <w:tc>
                <w:tcPr>
                  <w:tcW w:w="41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s="宋体"/>
                      <w:bCs/>
                      <w:color w:val="000000" w:themeColor="text1"/>
                      <w:kern w:val="0"/>
                      <w:szCs w:val="21"/>
                      <w:lang w:bidi="ar"/>
                      <w14:textFill>
                        <w14:solidFill>
                          <w14:schemeClr w14:val="tx1"/>
                        </w14:solidFill>
                      </w14:textFill>
                    </w:rPr>
                    <w:t>纸张、塑料等</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w:t>
                  </w:r>
                </w:p>
              </w:tc>
              <w:tc>
                <w:tcPr>
                  <w:tcW w:w="75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007" w:type="dxa"/>
                  <w:vAlign w:val="center"/>
                </w:tcPr>
                <w:p>
                  <w:pPr>
                    <w:pStyle w:val="45"/>
                    <w:spacing w:before="24" w:after="24"/>
                    <w:ind w:firstLine="0" w:firstLineChars="0"/>
                    <w:rPr>
                      <w:rFonts w:hint="eastAsia" w:ascii="Times New Roman" w:eastAsia="宋体"/>
                      <w:color w:val="000000" w:themeColor="text1"/>
                      <w:spacing w:val="-10"/>
                      <w:sz w:val="21"/>
                      <w:szCs w:val="21"/>
                      <w:lang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废包装</w:t>
                  </w:r>
                  <w:r>
                    <w:rPr>
                      <w:rFonts w:hint="eastAsia" w:ascii="Times New Roman" w:eastAsia="宋体"/>
                      <w:color w:val="000000" w:themeColor="text1"/>
                      <w:spacing w:val="-10"/>
                      <w:sz w:val="21"/>
                      <w:szCs w:val="21"/>
                      <w:lang w:val="en-US" w:eastAsia="zh-CN"/>
                      <w14:textFill>
                        <w14:solidFill>
                          <w14:schemeClr w14:val="tx1"/>
                        </w14:solidFill>
                      </w14:textFill>
                    </w:rPr>
                    <w:t>袋</w:t>
                  </w:r>
                </w:p>
              </w:tc>
              <w:tc>
                <w:tcPr>
                  <w:tcW w:w="768"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原料包装</w:t>
                  </w:r>
                </w:p>
              </w:tc>
              <w:tc>
                <w:tcPr>
                  <w:tcW w:w="416"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pStyle w:val="45"/>
                    <w:spacing w:before="24" w:after="24"/>
                    <w:ind w:firstLine="0" w:firstLineChars="0"/>
                    <w:rPr>
                      <w:rFonts w:hint="eastAsia"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塑料袋、塑料膜等</w:t>
                  </w:r>
                </w:p>
              </w:tc>
              <w:tc>
                <w:tcPr>
                  <w:tcW w:w="716"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752" w:type="dxa"/>
                  <w:vAlign w:val="center"/>
                </w:tcPr>
                <w:p>
                  <w:pPr>
                    <w:tabs>
                      <w:tab w:val="left" w:pos="4500"/>
                    </w:tabs>
                    <w:adjustRightInd w:val="0"/>
                    <w:snapToGrid w:val="0"/>
                    <w:jc w:val="center"/>
                    <w:rPr>
                      <w:color w:val="000000" w:themeColor="text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1h）</w:t>
                  </w:r>
                </w:p>
              </w:tc>
              <w:tc>
                <w:tcPr>
                  <w:tcW w:w="8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007" w:type="dxa"/>
                  <w:vAlign w:val="center"/>
                </w:tcPr>
                <w:p>
                  <w:pPr>
                    <w:pStyle w:val="45"/>
                    <w:spacing w:before="24" w:after="24"/>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废坩埚</w:t>
                  </w:r>
                </w:p>
              </w:tc>
              <w:tc>
                <w:tcPr>
                  <w:tcW w:w="768" w:type="dxa"/>
                  <w:vAlign w:val="center"/>
                </w:tcPr>
                <w:p>
                  <w:pPr>
                    <w:pStyle w:val="45"/>
                    <w:spacing w:before="24" w:after="24"/>
                    <w:ind w:firstLine="0" w:firstLineChars="0"/>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脱模</w:t>
                  </w:r>
                </w:p>
              </w:tc>
              <w:tc>
                <w:tcPr>
                  <w:tcW w:w="41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pStyle w:val="45"/>
                    <w:spacing w:before="24" w:after="24"/>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坩埚</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5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a）</w:t>
                  </w:r>
                </w:p>
              </w:tc>
              <w:tc>
                <w:tcPr>
                  <w:tcW w:w="8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4</w:t>
                  </w:r>
                </w:p>
              </w:tc>
              <w:tc>
                <w:tcPr>
                  <w:tcW w:w="1007"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废边角料</w:t>
                  </w:r>
                </w:p>
              </w:tc>
              <w:tc>
                <w:tcPr>
                  <w:tcW w:w="768" w:type="dxa"/>
                  <w:vAlign w:val="center"/>
                </w:tcPr>
                <w:p>
                  <w:pPr>
                    <w:pStyle w:val="45"/>
                    <w:spacing w:before="24" w:after="24"/>
                    <w:ind w:firstLine="0" w:firstLineChars="0"/>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开方</w:t>
                  </w:r>
                  <w:r>
                    <w:rPr>
                      <w:rFonts w:hint="eastAsia" w:ascii="Times New Roman" w:eastAsia="宋体"/>
                      <w:color w:val="000000" w:themeColor="text1"/>
                      <w:spacing w:val="-10"/>
                      <w:sz w:val="21"/>
                      <w:szCs w:val="21"/>
                      <w14:textFill>
                        <w14:solidFill>
                          <w14:schemeClr w14:val="tx1"/>
                        </w14:solidFill>
                      </w14:textFill>
                    </w:rPr>
                    <w:t>、</w:t>
                  </w:r>
                  <w:r>
                    <w:rPr>
                      <w:rFonts w:hint="eastAsia" w:ascii="Times New Roman" w:eastAsia="宋体"/>
                      <w:color w:val="000000" w:themeColor="text1"/>
                      <w:spacing w:val="-10"/>
                      <w:sz w:val="21"/>
                      <w:szCs w:val="21"/>
                      <w:lang w:val="en-US" w:eastAsia="zh-CN"/>
                      <w14:textFill>
                        <w14:solidFill>
                          <w14:schemeClr w14:val="tx1"/>
                        </w14:solidFill>
                      </w14:textFill>
                    </w:rPr>
                    <w:t>裁断</w:t>
                  </w:r>
                </w:p>
              </w:tc>
              <w:tc>
                <w:tcPr>
                  <w:tcW w:w="41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pStyle w:val="45"/>
                    <w:spacing w:before="24" w:after="24"/>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硅锭</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w:t>
                  </w:r>
                </w:p>
              </w:tc>
              <w:tc>
                <w:tcPr>
                  <w:tcW w:w="752" w:type="dxa"/>
                  <w:vAlign w:val="center"/>
                </w:tcPr>
                <w:p>
                  <w:pPr>
                    <w:adjustRightInd w:val="0"/>
                    <w:snapToGrid w:val="0"/>
                    <w:spacing w:line="240" w:lineRule="atLeast"/>
                    <w:jc w:val="center"/>
                    <w:rPr>
                      <w:bCs/>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a）</w:t>
                  </w:r>
                </w:p>
              </w:tc>
              <w:tc>
                <w:tcPr>
                  <w:tcW w:w="8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5</w:t>
                  </w:r>
                </w:p>
              </w:tc>
              <w:tc>
                <w:tcPr>
                  <w:tcW w:w="1007" w:type="dxa"/>
                  <w:vAlign w:val="center"/>
                </w:tcPr>
                <w:p>
                  <w:pPr>
                    <w:pStyle w:val="45"/>
                    <w:spacing w:before="24" w:after="24"/>
                    <w:ind w:firstLine="0" w:firstLineChars="0"/>
                    <w:rPr>
                      <w:rFonts w:hint="eastAsia" w:ascii="Times New Roman" w:eastAsia="宋体"/>
                      <w:bCs/>
                      <w:color w:val="000000" w:themeColor="text1"/>
                      <w:kern w:val="1"/>
                      <w:sz w:val="21"/>
                      <w:szCs w:val="21"/>
                      <w:lang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不合格</w:t>
                  </w:r>
                  <w:r>
                    <w:rPr>
                      <w:rFonts w:hint="eastAsia" w:ascii="Times New Roman" w:eastAsia="宋体"/>
                      <w:color w:val="000000" w:themeColor="text1"/>
                      <w:spacing w:val="-10"/>
                      <w:sz w:val="21"/>
                      <w:szCs w:val="21"/>
                      <w:lang w:val="en-US" w:eastAsia="zh-CN"/>
                      <w14:textFill>
                        <w14:solidFill>
                          <w14:schemeClr w14:val="tx1"/>
                        </w14:solidFill>
                      </w14:textFill>
                    </w:rPr>
                    <w:t>品</w:t>
                  </w:r>
                </w:p>
              </w:tc>
              <w:tc>
                <w:tcPr>
                  <w:tcW w:w="768"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性能测试</w:t>
                  </w:r>
                </w:p>
              </w:tc>
              <w:tc>
                <w:tcPr>
                  <w:tcW w:w="416" w:type="dxa"/>
                  <w:vAlign w:val="center"/>
                </w:tcPr>
                <w:p>
                  <w:pPr>
                    <w:adjustRightInd w:val="0"/>
                    <w:snapToGrid w:val="0"/>
                    <w:spacing w:line="240" w:lineRule="atLeast"/>
                    <w:jc w:val="center"/>
                    <w:rPr>
                      <w:bCs/>
                      <w:color w:val="000000" w:themeColor="text1"/>
                      <w:kern w:val="1"/>
                      <w:szCs w:val="21"/>
                      <w14:textFill>
                        <w14:solidFill>
                          <w14:schemeClr w14:val="tx1"/>
                        </w14:solidFill>
                      </w14:textFill>
                    </w:rPr>
                  </w:pPr>
                  <w:r>
                    <w:rPr>
                      <w:rFonts w:hint="eastAsia"/>
                      <w:bCs/>
                      <w:color w:val="000000" w:themeColor="text1"/>
                      <w:kern w:val="1"/>
                      <w:szCs w:val="21"/>
                      <w14:textFill>
                        <w14:solidFill>
                          <w14:schemeClr w14:val="tx1"/>
                        </w14:solidFill>
                      </w14:textFill>
                    </w:rPr>
                    <w:t>固</w:t>
                  </w:r>
                </w:p>
              </w:tc>
              <w:tc>
                <w:tcPr>
                  <w:tcW w:w="120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不合格品</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16.5</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bCs/>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val="en-US"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6</w:t>
                  </w:r>
                </w:p>
              </w:tc>
              <w:tc>
                <w:tcPr>
                  <w:tcW w:w="1007"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沉淀池沉渣</w:t>
                  </w:r>
                </w:p>
              </w:tc>
              <w:tc>
                <w:tcPr>
                  <w:tcW w:w="768"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废水处理</w:t>
                  </w:r>
                </w:p>
              </w:tc>
              <w:tc>
                <w:tcPr>
                  <w:tcW w:w="416" w:type="dxa"/>
                  <w:vAlign w:val="center"/>
                </w:tcPr>
                <w:p>
                  <w:pPr>
                    <w:adjustRightInd w:val="0"/>
                    <w:snapToGrid w:val="0"/>
                    <w:spacing w:line="240" w:lineRule="atLeast"/>
                    <w:ind w:left="-107" w:leftChars="-51" w:right="-107" w:rightChars="-51"/>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w:t>
                  </w:r>
                </w:p>
              </w:tc>
              <w:tc>
                <w:tcPr>
                  <w:tcW w:w="1205"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含硅污泥</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7.026</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7</w:t>
                  </w:r>
                </w:p>
              </w:tc>
              <w:tc>
                <w:tcPr>
                  <w:tcW w:w="1007"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除尘器收集粉尘</w:t>
                  </w:r>
                </w:p>
              </w:tc>
              <w:tc>
                <w:tcPr>
                  <w:tcW w:w="768" w:type="dxa"/>
                  <w:vAlign w:val="center"/>
                </w:tcPr>
                <w:p>
                  <w:pPr>
                    <w:pStyle w:val="45"/>
                    <w:spacing w:before="24" w:after="24"/>
                    <w:ind w:firstLine="0" w:firstLineChars="0"/>
                    <w:rPr>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废气处理</w:t>
                  </w:r>
                </w:p>
              </w:tc>
              <w:tc>
                <w:tcPr>
                  <w:tcW w:w="416"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颗粒物</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6.013</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8</w:t>
                  </w:r>
                </w:p>
              </w:tc>
              <w:tc>
                <w:tcPr>
                  <w:tcW w:w="1007"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废机油</w:t>
                  </w:r>
                </w:p>
              </w:tc>
              <w:tc>
                <w:tcPr>
                  <w:tcW w:w="768" w:type="dxa"/>
                  <w:vAlign w:val="center"/>
                </w:tcPr>
                <w:p>
                  <w:pPr>
                    <w:pStyle w:val="45"/>
                    <w:spacing w:before="24" w:after="24"/>
                    <w:ind w:firstLine="0" w:firstLineChars="0"/>
                    <w:rPr>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设备检修</w:t>
                  </w:r>
                </w:p>
              </w:tc>
              <w:tc>
                <w:tcPr>
                  <w:tcW w:w="416"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120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润滑油等</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05</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default" w:eastAsia="宋体"/>
                      <w:bCs/>
                      <w:color w:val="000000" w:themeColor="text1"/>
                      <w:kern w:val="1"/>
                      <w:szCs w:val="21"/>
                      <w:lang w:val="en-US" w:eastAsia="zh-CN"/>
                      <w14:textFill>
                        <w14:solidFill>
                          <w14:schemeClr w14:val="tx1"/>
                        </w14:solidFill>
                      </w14:textFill>
                    </w:rPr>
                  </w:pPr>
                  <w:r>
                    <w:rPr>
                      <w:rFonts w:hint="eastAsia"/>
                      <w:bCs/>
                      <w:color w:val="000000" w:themeColor="text1"/>
                      <w:kern w:val="1"/>
                      <w:szCs w:val="21"/>
                      <w:lang w:val="en-US" w:eastAsia="zh-CN"/>
                      <w14:textFill>
                        <w14:solidFill>
                          <w14:schemeClr w14:val="tx1"/>
                        </w14:solidFill>
                      </w14:textFill>
                    </w:rPr>
                    <w:t>9</w:t>
                  </w:r>
                </w:p>
              </w:tc>
              <w:tc>
                <w:tcPr>
                  <w:tcW w:w="1007"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废机油桶</w:t>
                  </w:r>
                </w:p>
              </w:tc>
              <w:tc>
                <w:tcPr>
                  <w:tcW w:w="768"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润滑油包装</w:t>
                  </w:r>
                </w:p>
              </w:tc>
              <w:tc>
                <w:tcPr>
                  <w:tcW w:w="416" w:type="dxa"/>
                  <w:vAlign w:val="center"/>
                </w:tcPr>
                <w:p>
                  <w:pPr>
                    <w:adjustRightInd w:val="0"/>
                    <w:snapToGrid w:val="0"/>
                    <w:spacing w:line="240" w:lineRule="atLeast"/>
                    <w:ind w:left="-107" w:leftChars="-51" w:right="-107" w:rightChars="-51"/>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w:t>
                  </w:r>
                </w:p>
              </w:tc>
              <w:tc>
                <w:tcPr>
                  <w:tcW w:w="1205"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润滑油等</w:t>
                  </w:r>
                </w:p>
              </w:tc>
              <w:tc>
                <w:tcPr>
                  <w:tcW w:w="71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3" w:hRule="atLeast"/>
                <w:jc w:val="center"/>
              </w:trPr>
              <w:tc>
                <w:tcPr>
                  <w:tcW w:w="504" w:type="dxa"/>
                  <w:vAlign w:val="center"/>
                </w:tcPr>
                <w:p>
                  <w:pPr>
                    <w:tabs>
                      <w:tab w:val="left" w:pos="4500"/>
                    </w:tabs>
                    <w:adjustRightInd w:val="0"/>
                    <w:snapToGrid w:val="0"/>
                    <w:jc w:val="center"/>
                    <w:rPr>
                      <w:rFonts w:hint="eastAsia" w:eastAsia="宋体"/>
                      <w:bCs/>
                      <w:color w:val="000000" w:themeColor="text1"/>
                      <w:kern w:val="1"/>
                      <w:szCs w:val="21"/>
                      <w:lang w:eastAsia="zh-CN"/>
                      <w14:textFill>
                        <w14:solidFill>
                          <w14:schemeClr w14:val="tx1"/>
                        </w14:solidFill>
                      </w14:textFill>
                    </w:rPr>
                  </w:pPr>
                  <w:r>
                    <w:rPr>
                      <w:rFonts w:hint="eastAsia"/>
                      <w:bCs/>
                      <w:color w:val="000000" w:themeColor="text1"/>
                      <w:kern w:val="1"/>
                      <w:szCs w:val="21"/>
                      <w14:textFill>
                        <w14:solidFill>
                          <w14:schemeClr w14:val="tx1"/>
                        </w14:solidFill>
                      </w14:textFill>
                    </w:rPr>
                    <w:t>1</w:t>
                  </w:r>
                  <w:r>
                    <w:rPr>
                      <w:rFonts w:hint="eastAsia"/>
                      <w:bCs/>
                      <w:color w:val="000000" w:themeColor="text1"/>
                      <w:kern w:val="1"/>
                      <w:szCs w:val="21"/>
                      <w:lang w:val="en-US" w:eastAsia="zh-CN"/>
                      <w14:textFill>
                        <w14:solidFill>
                          <w14:schemeClr w14:val="tx1"/>
                        </w14:solidFill>
                      </w14:textFill>
                    </w:rPr>
                    <w:t>0</w:t>
                  </w:r>
                </w:p>
              </w:tc>
              <w:tc>
                <w:tcPr>
                  <w:tcW w:w="1007"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废含油手套、抹布</w:t>
                  </w:r>
                </w:p>
              </w:tc>
              <w:tc>
                <w:tcPr>
                  <w:tcW w:w="768" w:type="dxa"/>
                  <w:vAlign w:val="center"/>
                </w:tcPr>
                <w:p>
                  <w:pPr>
                    <w:pStyle w:val="45"/>
                    <w:spacing w:before="24" w:after="24"/>
                    <w:ind w:firstLine="0" w:firstLineChars="0"/>
                    <w:rPr>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设备检修</w:t>
                  </w:r>
                </w:p>
              </w:tc>
              <w:tc>
                <w:tcPr>
                  <w:tcW w:w="416"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120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手套、抹布、润滑油</w:t>
                  </w:r>
                </w:p>
              </w:tc>
              <w:tc>
                <w:tcPr>
                  <w:tcW w:w="71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752"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643" w:type="dxa"/>
                  <w:vAlign w:val="center"/>
                </w:tcPr>
                <w:p>
                  <w:pPr>
                    <w:tabs>
                      <w:tab w:val="left" w:pos="4500"/>
                    </w:tabs>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w:t>
                  </w:r>
                </w:p>
              </w:tc>
              <w:tc>
                <w:tcPr>
                  <w:tcW w:w="10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4.1h）</w:t>
                  </w:r>
                </w:p>
              </w:tc>
              <w:tc>
                <w:tcPr>
                  <w:tcW w:w="875" w:type="dxa"/>
                  <w:vAlign w:val="center"/>
                </w:tcPr>
                <w:p>
                  <w:pPr>
                    <w:adjustRightInd w:val="0"/>
                    <w:snapToGrid w:val="0"/>
                    <w:jc w:val="center"/>
                    <w:rPr>
                      <w:bCs/>
                      <w:color w:val="000000" w:themeColor="text1"/>
                      <w:kern w:val="1"/>
                      <w:szCs w:val="21"/>
                      <w14:textFill>
                        <w14:solidFill>
                          <w14:schemeClr w14:val="tx1"/>
                        </w14:solidFill>
                      </w14:textFill>
                    </w:rPr>
                  </w:pPr>
                  <w:r>
                    <w:rPr>
                      <w:bCs/>
                      <w:color w:val="000000" w:themeColor="text1"/>
                      <w:kern w:val="1"/>
                      <w:szCs w:val="21"/>
                      <w14:textFill>
                        <w14:solidFill>
                          <w14:schemeClr w14:val="tx1"/>
                        </w14:solidFill>
                      </w14:textFill>
                    </w:rPr>
                    <w:t>5.1e）</w:t>
                  </w:r>
                </w:p>
              </w:tc>
            </w:tr>
          </w:tbl>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注：上表中</w:t>
            </w:r>
            <w:r>
              <w:rPr>
                <w:rFonts w:hint="eastAsia"/>
                <w:color w:val="000000" w:themeColor="text1"/>
                <w:szCs w:val="21"/>
                <w14:textFill>
                  <w14:solidFill>
                    <w14:schemeClr w14:val="tx1"/>
                  </w14:solidFill>
                </w14:textFill>
              </w:rPr>
              <w:t>①</w:t>
            </w:r>
            <w:r>
              <w:rPr>
                <w:color w:val="000000" w:themeColor="text1"/>
                <w:szCs w:val="21"/>
                <w14:textFill>
                  <w14:solidFill>
                    <w14:schemeClr w14:val="tx1"/>
                  </w14:solidFill>
                </w14:textFill>
              </w:rPr>
              <w:t>《固体废物鉴别标准 通则》（GB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-2017）来源鉴别中“4.1h）”表示：因丧失原有功能而无法继续使用的物质；“4.2a</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表示：产品加工和制造过程中产生的下脚料、边角料、残余物质等</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②</w:t>
            </w:r>
            <w:r>
              <w:rPr>
                <w:color w:val="000000" w:themeColor="text1"/>
                <w:szCs w:val="21"/>
                <w14:textFill>
                  <w14:solidFill>
                    <w14:schemeClr w14:val="tx1"/>
                  </w14:solidFill>
                </w14:textFill>
              </w:rPr>
              <w:t>《固体废物鉴别标准  通则》（GB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-2017）处置鉴别中“5.1e）”表示：国务院环境保护行政主管部门认定的其他处置方式。</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本项目固体废物产生及排放情况分析结果汇总见表4-</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color w:val="000000" w:themeColor="text1"/>
                <w:szCs w:val="21"/>
                <w14:textFill>
                  <w14:solidFill>
                    <w14:schemeClr w14:val="tx1"/>
                  </w14:solidFill>
                </w14:textFill>
              </w:rPr>
              <w:t>，危险废物产生情况见表4-</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表4-2</w:t>
            </w:r>
            <w:r>
              <w:rPr>
                <w:rFonts w:hint="eastAsia"/>
                <w:b/>
                <w:color w:val="000000" w:themeColor="text1"/>
                <w:szCs w:val="21"/>
                <w:lang w:val="en-US" w:eastAsia="zh-CN"/>
                <w14:textFill>
                  <w14:solidFill>
                    <w14:schemeClr w14:val="tx1"/>
                  </w14:solidFill>
                </w14:textFill>
              </w:rPr>
              <w:t>0</w:t>
            </w:r>
            <w:r>
              <w:rPr>
                <w:rFonts w:hint="eastAsia"/>
                <w:b/>
                <w:color w:val="000000" w:themeColor="text1"/>
                <w:szCs w:val="21"/>
                <w14:textFill>
                  <w14:solidFill>
                    <w14:schemeClr w14:val="tx1"/>
                  </w14:solidFill>
                </w14:textFill>
              </w:rPr>
              <w:t xml:space="preserve"> 建设项目固废产生及处置情况</w:t>
            </w:r>
          </w:p>
          <w:tbl>
            <w:tblPr>
              <w:tblStyle w:val="23"/>
              <w:tblW w:w="78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3"/>
              <w:gridCol w:w="804"/>
              <w:gridCol w:w="739"/>
              <w:gridCol w:w="701"/>
              <w:gridCol w:w="615"/>
              <w:gridCol w:w="845"/>
              <w:gridCol w:w="632"/>
              <w:gridCol w:w="686"/>
              <w:gridCol w:w="664"/>
              <w:gridCol w:w="78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34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80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tc>
              <w:tc>
                <w:tcPr>
                  <w:tcW w:w="73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属性</w:t>
                  </w:r>
                </w:p>
              </w:tc>
              <w:tc>
                <w:tcPr>
                  <w:tcW w:w="701"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工序</w:t>
                  </w:r>
                </w:p>
              </w:tc>
              <w:tc>
                <w:tcPr>
                  <w:tcW w:w="615"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845"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成分</w:t>
                  </w:r>
                </w:p>
              </w:tc>
              <w:tc>
                <w:tcPr>
                  <w:tcW w:w="63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特性</w:t>
                  </w:r>
                </w:p>
              </w:tc>
              <w:tc>
                <w:tcPr>
                  <w:tcW w:w="68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66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固废</w:t>
                  </w:r>
                </w:p>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代码</w:t>
                  </w:r>
                </w:p>
              </w:tc>
              <w:tc>
                <w:tcPr>
                  <w:tcW w:w="78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107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0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3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701"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日常生活</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s="宋体"/>
                      <w:bCs/>
                      <w:color w:val="000000" w:themeColor="text1"/>
                      <w:kern w:val="0"/>
                      <w:szCs w:val="21"/>
                      <w:lang w:bidi="ar"/>
                      <w14:textFill>
                        <w14:solidFill>
                          <w14:schemeClr w14:val="tx1"/>
                        </w14:solidFill>
                      </w14:textFill>
                    </w:rPr>
                    <w:t>纸张、塑料等</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7.5</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804"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废包装材料</w:t>
                  </w:r>
                </w:p>
              </w:tc>
              <w:tc>
                <w:tcPr>
                  <w:tcW w:w="739" w:type="dxa"/>
                  <w:vMerge w:val="restart"/>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p>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701"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原料包装</w:t>
                  </w:r>
                </w:p>
              </w:tc>
              <w:tc>
                <w:tcPr>
                  <w:tcW w:w="615"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5"/>
                    <w:spacing w:before="24" w:after="24"/>
                    <w:ind w:firstLine="0" w:firstLineChars="0"/>
                    <w:rPr>
                      <w:rFonts w:hint="eastAsia"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塑料袋、塑料膜等</w:t>
                  </w:r>
                </w:p>
              </w:tc>
              <w:tc>
                <w:tcPr>
                  <w:tcW w:w="632"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废复合包装</w:t>
                  </w:r>
                </w:p>
              </w:tc>
              <w:tc>
                <w:tcPr>
                  <w:tcW w:w="664"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w:t>
                  </w:r>
                </w:p>
              </w:tc>
              <w:tc>
                <w:tcPr>
                  <w:tcW w:w="782"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804"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废坩埚</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脱模</w:t>
                  </w:r>
                </w:p>
              </w:tc>
              <w:tc>
                <w:tcPr>
                  <w:tcW w:w="615"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5"/>
                    <w:spacing w:before="24" w:after="24"/>
                    <w:ind w:firstLine="0" w:firstLineChars="0"/>
                    <w:rPr>
                      <w:rFonts w:hint="eastAsia"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坩埚</w:t>
                  </w:r>
                </w:p>
              </w:tc>
              <w:tc>
                <w:tcPr>
                  <w:tcW w:w="632"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86"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804"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废边角料</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开方</w:t>
                  </w:r>
                  <w:r>
                    <w:rPr>
                      <w:rFonts w:hint="eastAsia" w:ascii="Times New Roman" w:eastAsia="宋体"/>
                      <w:color w:val="000000" w:themeColor="text1"/>
                      <w:spacing w:val="-10"/>
                      <w:sz w:val="21"/>
                      <w:szCs w:val="21"/>
                      <w14:textFill>
                        <w14:solidFill>
                          <w14:schemeClr w14:val="tx1"/>
                        </w14:solidFill>
                      </w14:textFill>
                    </w:rPr>
                    <w:t>、</w:t>
                  </w:r>
                  <w:r>
                    <w:rPr>
                      <w:rFonts w:hint="eastAsia" w:ascii="Times New Roman" w:eastAsia="宋体"/>
                      <w:color w:val="000000" w:themeColor="text1"/>
                      <w:spacing w:val="-10"/>
                      <w:sz w:val="21"/>
                      <w:szCs w:val="21"/>
                      <w:lang w:val="en-US" w:eastAsia="zh-CN"/>
                      <w14:textFill>
                        <w14:solidFill>
                          <w14:schemeClr w14:val="tx1"/>
                        </w14:solidFill>
                      </w14:textFill>
                    </w:rPr>
                    <w:t>裁断</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硅锭</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804"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不合格组件</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性能测试</w:t>
                  </w:r>
                </w:p>
              </w:tc>
              <w:tc>
                <w:tcPr>
                  <w:tcW w:w="61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bCs/>
                      <w:color w:val="000000" w:themeColor="text1"/>
                      <w:kern w:val="1"/>
                      <w:szCs w:val="21"/>
                      <w14:textFill>
                        <w14:solidFill>
                          <w14:schemeClr w14:val="tx1"/>
                        </w14:solidFill>
                      </w14:textFill>
                    </w:rPr>
                    <w:t>固</w:t>
                  </w:r>
                </w:p>
              </w:tc>
              <w:tc>
                <w:tcPr>
                  <w:tcW w:w="84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不合格品</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硅锭</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16.5</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804"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沉淀池沉渣</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废水处理</w:t>
                  </w:r>
                </w:p>
              </w:tc>
              <w:tc>
                <w:tcPr>
                  <w:tcW w:w="615" w:type="dxa"/>
                  <w:vAlign w:val="center"/>
                </w:tcPr>
                <w:p>
                  <w:pPr>
                    <w:adjustRightInd w:val="0"/>
                    <w:snapToGrid w:val="0"/>
                    <w:spacing w:line="240" w:lineRule="atLeast"/>
                    <w:ind w:left="-107" w:leftChars="-51" w:right="-107" w:rightChars="-51"/>
                    <w:jc w:val="center"/>
                    <w:rPr>
                      <w:rFonts w:hint="eastAsia"/>
                      <w:bCs/>
                      <w:color w:val="000000" w:themeColor="text1"/>
                      <w:kern w:val="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固</w:t>
                  </w:r>
                </w:p>
              </w:tc>
              <w:tc>
                <w:tcPr>
                  <w:tcW w:w="845"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含硅污泥</w:t>
                  </w:r>
                </w:p>
              </w:tc>
              <w:tc>
                <w:tcPr>
                  <w:tcW w:w="632"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86"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其他废物</w:t>
                  </w:r>
                </w:p>
              </w:tc>
              <w:tc>
                <w:tcPr>
                  <w:tcW w:w="664"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w:t>
                  </w:r>
                </w:p>
              </w:tc>
              <w:tc>
                <w:tcPr>
                  <w:tcW w:w="782" w:type="dxa"/>
                  <w:vAlign w:val="center"/>
                </w:tcPr>
                <w:p>
                  <w:pPr>
                    <w:adjustRightInd w:val="0"/>
                    <w:snapToGrid w:val="0"/>
                    <w:spacing w:line="240" w:lineRule="atLeas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7.026</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804" w:type="dxa"/>
                  <w:vAlign w:val="center"/>
                </w:tcPr>
                <w:p>
                  <w:pPr>
                    <w:pStyle w:val="45"/>
                    <w:spacing w:before="24" w:after="24"/>
                    <w:ind w:firstLine="0" w:firstLineChars="0"/>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除尘器收集粉尘</w:t>
                  </w:r>
                </w:p>
              </w:tc>
              <w:tc>
                <w:tcPr>
                  <w:tcW w:w="739"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701"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废气处理</w:t>
                  </w:r>
                </w:p>
              </w:tc>
              <w:tc>
                <w:tcPr>
                  <w:tcW w:w="615"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颗粒物</w:t>
                  </w:r>
                </w:p>
              </w:tc>
              <w:tc>
                <w:tcPr>
                  <w:tcW w:w="632"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86"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工业粉尘</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78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6.013</w:t>
                  </w:r>
                </w:p>
              </w:tc>
              <w:tc>
                <w:tcPr>
                  <w:tcW w:w="1072" w:type="dxa"/>
                  <w:vAlign w:val="center"/>
                </w:tcPr>
                <w:p>
                  <w:pPr>
                    <w:adjustRightInd w:val="0"/>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收集外</w:t>
                  </w:r>
                  <w:r>
                    <w:rPr>
                      <w:rFonts w:hint="eastAsia"/>
                      <w:color w:val="000000" w:themeColor="text1"/>
                      <w:szCs w:val="21"/>
                      <w14:textFill>
                        <w14:solidFill>
                          <w14:schemeClr w14:val="tx1"/>
                        </w14:solidFill>
                      </w14:textFill>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343"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804"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废含油手套、抹布</w:t>
                  </w:r>
                </w:p>
              </w:tc>
              <w:tc>
                <w:tcPr>
                  <w:tcW w:w="73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豁免清单</w:t>
                  </w:r>
                </w:p>
              </w:tc>
              <w:tc>
                <w:tcPr>
                  <w:tcW w:w="701"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设备检修</w:t>
                  </w:r>
                </w:p>
              </w:tc>
              <w:tc>
                <w:tcPr>
                  <w:tcW w:w="615" w:type="dxa"/>
                  <w:vAlign w:val="center"/>
                </w:tcPr>
                <w:p>
                  <w:pPr>
                    <w:adjustRightInd w:val="0"/>
                    <w:snapToGrid w:val="0"/>
                    <w:spacing w:line="240" w:lineRule="atLeast"/>
                    <w:ind w:left="-107" w:leftChars="-51" w:right="-107" w:rightChars="-51"/>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w:t>
                  </w:r>
                </w:p>
              </w:tc>
              <w:tc>
                <w:tcPr>
                  <w:tcW w:w="845" w:type="dxa"/>
                  <w:vAlign w:val="center"/>
                </w:tcPr>
                <w:p>
                  <w:pPr>
                    <w:pStyle w:val="45"/>
                    <w:spacing w:before="24" w:after="24"/>
                    <w:ind w:firstLine="0" w:firstLineChars="0"/>
                    <w:rPr>
                      <w:rFonts w:hint="eastAsia" w:ascii="Times New Roman" w:eastAsia="宋体"/>
                      <w:color w:val="000000" w:themeColor="text1"/>
                      <w:spacing w:val="-10"/>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手套、抹布、润滑油</w:t>
                  </w:r>
                </w:p>
              </w:tc>
              <w:tc>
                <w:tcPr>
                  <w:tcW w:w="632" w:type="dxa"/>
                  <w:vAlign w:val="center"/>
                </w:tcPr>
                <w:p>
                  <w:pPr>
                    <w:adjustRightInd w:val="0"/>
                    <w:snapToGrid w:val="0"/>
                    <w:spacing w:line="240" w:lineRule="atLeast"/>
                    <w:ind w:left="-107" w:leftChars="-51" w:right="-107" w:rightChars="-51"/>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86" w:type="dxa"/>
                  <w:vAlign w:val="center"/>
                </w:tcPr>
                <w:p>
                  <w:pPr>
                    <w:pStyle w:val="45"/>
                    <w:spacing w:before="24" w:after="24"/>
                    <w:ind w:firstLine="0" w:firstLineChars="0"/>
                    <w:rPr>
                      <w:rFonts w:hint="eastAsia" w:eastAsia="黑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64"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tc>
              <w:tc>
                <w:tcPr>
                  <w:tcW w:w="782"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072"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混入生活垃圾，全过程不作危废处理</w:t>
                  </w:r>
                </w:p>
              </w:tc>
            </w:tr>
          </w:tbl>
          <w:p>
            <w:pPr>
              <w:adjustRightInd w:val="0"/>
              <w:spacing w:line="360" w:lineRule="auto"/>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注：*废物类别和废物代码参照《一般固体废物分类与代码》（GB/T39198-2020）</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表4-2</w:t>
            </w:r>
            <w:r>
              <w:rPr>
                <w:rFonts w:hint="eastAsia"/>
                <w:b/>
                <w:color w:val="000000" w:themeColor="text1"/>
                <w:szCs w:val="21"/>
                <w:lang w:val="en-US" w:eastAsia="zh-CN"/>
                <w14:textFill>
                  <w14:solidFill>
                    <w14:schemeClr w14:val="tx1"/>
                  </w14:solidFill>
                </w14:textFill>
              </w:rPr>
              <w:t>1</w:t>
            </w:r>
            <w:r>
              <w:rPr>
                <w:rFonts w:hint="eastAsia"/>
                <w:b/>
                <w:color w:val="000000" w:themeColor="text1"/>
                <w:szCs w:val="21"/>
                <w14:textFill>
                  <w14:solidFill>
                    <w14:schemeClr w14:val="tx1"/>
                  </w14:solidFill>
                </w14:textFill>
              </w:rPr>
              <w:t xml:space="preserve">  建设项目危险废物产生情况</w:t>
            </w:r>
          </w:p>
          <w:tbl>
            <w:tblPr>
              <w:tblStyle w:val="23"/>
              <w:tblW w:w="80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
              <w:gridCol w:w="658"/>
              <w:gridCol w:w="690"/>
              <w:gridCol w:w="912"/>
              <w:gridCol w:w="686"/>
              <w:gridCol w:w="836"/>
              <w:gridCol w:w="423"/>
              <w:gridCol w:w="798"/>
              <w:gridCol w:w="729"/>
              <w:gridCol w:w="664"/>
              <w:gridCol w:w="579"/>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58"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危险废物名称</w:t>
                  </w:r>
                </w:p>
              </w:tc>
              <w:tc>
                <w:tcPr>
                  <w:tcW w:w="690"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危险废物类别</w:t>
                  </w:r>
                </w:p>
              </w:tc>
              <w:tc>
                <w:tcPr>
                  <w:tcW w:w="912"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危险废物代码</w:t>
                  </w:r>
                </w:p>
              </w:tc>
              <w:tc>
                <w:tcPr>
                  <w:tcW w:w="68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83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产生工序及装置</w:t>
                  </w:r>
                </w:p>
              </w:tc>
              <w:tc>
                <w:tcPr>
                  <w:tcW w:w="423"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形态</w:t>
                  </w:r>
                </w:p>
              </w:tc>
              <w:tc>
                <w:tcPr>
                  <w:tcW w:w="798"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72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有害成分</w:t>
                  </w:r>
                </w:p>
              </w:tc>
              <w:tc>
                <w:tcPr>
                  <w:tcW w:w="664"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产废周期</w:t>
                  </w:r>
                </w:p>
              </w:tc>
              <w:tc>
                <w:tcPr>
                  <w:tcW w:w="579"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危险特性</w:t>
                  </w:r>
                </w:p>
              </w:tc>
              <w:tc>
                <w:tcPr>
                  <w:tcW w:w="696" w:type="dxa"/>
                  <w:vAlign w:val="center"/>
                </w:tcPr>
                <w:p>
                  <w:pPr>
                    <w:adjustRightInd w:val="0"/>
                    <w:snapToGrid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658"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废机油</w:t>
                  </w:r>
                </w:p>
              </w:tc>
              <w:tc>
                <w:tcPr>
                  <w:tcW w:w="69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912"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tc>
              <w:tc>
                <w:tcPr>
                  <w:tcW w:w="68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05</w:t>
                  </w:r>
                </w:p>
              </w:tc>
              <w:tc>
                <w:tcPr>
                  <w:tcW w:w="836" w:type="dxa"/>
                  <w:vAlign w:val="center"/>
                </w:tcPr>
                <w:p>
                  <w:pPr>
                    <w:pStyle w:val="45"/>
                    <w:spacing w:before="24" w:after="24"/>
                    <w:ind w:firstLine="0" w:firstLineChars="0"/>
                    <w:rPr>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设备检修</w:t>
                  </w:r>
                </w:p>
              </w:tc>
              <w:tc>
                <w:tcPr>
                  <w:tcW w:w="423" w:type="dxa"/>
                  <w:vAlign w:val="center"/>
                </w:tcPr>
                <w:p>
                  <w:pPr>
                    <w:adjustRightInd w:val="0"/>
                    <w:snapToGrid w:val="0"/>
                    <w:spacing w:line="240" w:lineRule="atLeast"/>
                    <w:ind w:left="-107" w:leftChars="-51" w:right="-107" w:rightChars="-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p>
              </w:tc>
              <w:tc>
                <w:tcPr>
                  <w:tcW w:w="798" w:type="dxa"/>
                  <w:vAlign w:val="center"/>
                </w:tcPr>
                <w:p>
                  <w:pPr>
                    <w:pStyle w:val="45"/>
                    <w:spacing w:before="24" w:after="24"/>
                    <w:ind w:firstLine="0" w:firstLineChars="0"/>
                    <w:rPr>
                      <w:rFonts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润滑油等</w:t>
                  </w:r>
                </w:p>
              </w:tc>
              <w:tc>
                <w:tcPr>
                  <w:tcW w:w="72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pacing w:val="-10"/>
                      <w:szCs w:val="21"/>
                      <w14:textFill>
                        <w14:solidFill>
                          <w14:schemeClr w14:val="tx1"/>
                        </w14:solidFill>
                      </w14:textFill>
                    </w:rPr>
                    <w:t>润滑油</w:t>
                  </w:r>
                </w:p>
              </w:tc>
              <w:tc>
                <w:tcPr>
                  <w:tcW w:w="6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30d</w:t>
                  </w:r>
                </w:p>
              </w:tc>
              <w:tc>
                <w:tcPr>
                  <w:tcW w:w="57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w:t>
                  </w:r>
                </w:p>
              </w:tc>
              <w:tc>
                <w:tcPr>
                  <w:tcW w:w="696" w:type="dxa"/>
                  <w:vMerge w:val="restart"/>
                  <w:vAlign w:val="center"/>
                </w:tcPr>
                <w:p>
                  <w:pPr>
                    <w:pStyle w:val="45"/>
                    <w:spacing w:before="24" w:after="24"/>
                    <w:ind w:firstLine="420"/>
                    <w:rPr>
                      <w:rFonts w:asci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Align w:val="center"/>
                </w:tcPr>
                <w:p>
                  <w:pPr>
                    <w:adjustRightInd w:val="0"/>
                    <w:snapToGrid w:val="0"/>
                    <w:spacing w:line="240" w:lineRule="atLeas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658"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废机油桶</w:t>
                  </w:r>
                </w:p>
              </w:tc>
              <w:tc>
                <w:tcPr>
                  <w:tcW w:w="690"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912"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tc>
              <w:tc>
                <w:tcPr>
                  <w:tcW w:w="686"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836" w:type="dxa"/>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润滑油包装</w:t>
                  </w:r>
                </w:p>
              </w:tc>
              <w:tc>
                <w:tcPr>
                  <w:tcW w:w="423" w:type="dxa"/>
                  <w:vAlign w:val="center"/>
                </w:tcPr>
                <w:p>
                  <w:pPr>
                    <w:adjustRightInd w:val="0"/>
                    <w:snapToGrid w:val="0"/>
                    <w:spacing w:line="240" w:lineRule="atLeast"/>
                    <w:ind w:left="-107" w:leftChars="-51" w:right="-107" w:rightChars="-51"/>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固</w:t>
                  </w:r>
                </w:p>
              </w:tc>
              <w:tc>
                <w:tcPr>
                  <w:tcW w:w="798" w:type="dxa"/>
                  <w:vAlign w:val="center"/>
                </w:tcPr>
                <w:p>
                  <w:pPr>
                    <w:pStyle w:val="45"/>
                    <w:spacing w:before="24" w:after="24"/>
                    <w:ind w:firstLine="0" w:firstLineChars="0"/>
                    <w:rPr>
                      <w:rFonts w:hint="eastAsia"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润滑油</w:t>
                  </w:r>
                </w:p>
              </w:tc>
              <w:tc>
                <w:tcPr>
                  <w:tcW w:w="729" w:type="dxa"/>
                  <w:vAlign w:val="center"/>
                </w:tcPr>
                <w:p>
                  <w:pPr>
                    <w:adjustRightInd w:val="0"/>
                    <w:snapToGrid w:val="0"/>
                    <w:spacing w:line="240" w:lineRule="atLeast"/>
                    <w:jc w:val="center"/>
                    <w:rPr>
                      <w:rFonts w:hint="eastAsia"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润滑油</w:t>
                  </w:r>
                </w:p>
              </w:tc>
              <w:tc>
                <w:tcPr>
                  <w:tcW w:w="664"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30d</w:t>
                  </w:r>
                </w:p>
              </w:tc>
              <w:tc>
                <w:tcPr>
                  <w:tcW w:w="579" w:type="dxa"/>
                  <w:vAlign w:val="center"/>
                </w:tcPr>
                <w:p>
                  <w:pPr>
                    <w:adjustRightInd w:val="0"/>
                    <w:snapToGrid w:val="0"/>
                    <w:spacing w:line="240" w:lineRule="atLeast"/>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T/In</w:t>
                  </w:r>
                </w:p>
              </w:tc>
              <w:tc>
                <w:tcPr>
                  <w:tcW w:w="696" w:type="dxa"/>
                  <w:vMerge w:val="continue"/>
                  <w:vAlign w:val="center"/>
                </w:tcPr>
                <w:p>
                  <w:pPr>
                    <w:pStyle w:val="45"/>
                    <w:spacing w:before="24" w:after="24"/>
                    <w:ind w:firstLine="420"/>
                    <w:rPr>
                      <w:rFonts w:asci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4" w:type="dxa"/>
                  <w:gridSpan w:val="12"/>
                  <w:vAlign w:val="center"/>
                </w:tcPr>
                <w:p>
                  <w:pPr>
                    <w:pStyle w:val="45"/>
                    <w:spacing w:before="24" w:after="24"/>
                    <w:ind w:firstLine="0" w:firstLineChars="0"/>
                    <w:jc w:val="both"/>
                    <w:rPr>
                      <w:rFonts w:ascii="Times New Roman" w:eastAsia="宋体"/>
                      <w:color w:val="000000" w:themeColor="text1"/>
                      <w:sz w:val="21"/>
                      <w:szCs w:val="21"/>
                      <w14:textFill>
                        <w14:solidFill>
                          <w14:schemeClr w14:val="tx1"/>
                        </w14:solidFill>
                      </w14:textFill>
                    </w:rPr>
                  </w:pPr>
                  <w:r>
                    <w:rPr>
                      <w:rFonts w:ascii="Times New Roman" w:eastAsia="宋体"/>
                      <w:color w:val="000000" w:themeColor="text1"/>
                      <w:sz w:val="18"/>
                      <w:szCs w:val="18"/>
                      <w14:textFill>
                        <w14:solidFill>
                          <w14:schemeClr w14:val="tx1"/>
                        </w14:solidFill>
                      </w14:textFill>
                    </w:rPr>
                    <w:t>备注：毒性（Toxicity,T），感染性（Infectivity,In），易燃性(Ignitability, I)，腐蚀性（corrosivity，C）</w:t>
                  </w:r>
                </w:p>
              </w:tc>
            </w:tr>
          </w:tbl>
          <w:p>
            <w:pPr>
              <w:adjustRightInd w:val="0"/>
              <w:spacing w:line="360" w:lineRule="auto"/>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注：*危险废物类别、危险废物代码、危险特性参照《国家危险废物名录》（2021年版）</w:t>
            </w:r>
          </w:p>
          <w:p>
            <w:pPr>
              <w:adjustRightInd w:val="0"/>
              <w:snapToGrid w:val="0"/>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一般固废环境管理要求</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一般工业固废的暂存场所应按照《一般工业固体废物贮存和填埋污染控制标准》（GB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-2020）要求建设。</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①贮存场投入运行之前，企业应制定突发环境事件应急预案或在突发事件应急预案中制定环境应急预案专章，说明各种可能发生的突发环境事件情景及应急处置措施；</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②贮存场应制定运行计划，运行管理人员应定期参加企业的岗位培训；</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③贮存场运行企业应建立档案管理制度，并按照国家档案管理等法律法规进行整理与归档，永久保存；</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④不相容的一般工业固体废物应设置不同的分区进行贮存作业；</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⑤危险废物和生活垃圾不得进入一般工业固体废物贮存场。国家及地方有关法律法规、标准另有规定的除外；</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⑥贮存场的环境保护图形标志应符合GB </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.2的规定，并应定期检查和维护；</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⑦易产生扬尘的贮存应采取分区作业、覆盖、洒水等有效抑尘措施防止扬尘污染</w:t>
            </w:r>
            <w:r>
              <w:rPr>
                <w:rFonts w:hint="eastAsia"/>
                <w:color w:val="000000" w:themeColor="text1"/>
                <w:szCs w:val="21"/>
                <w14:textFill>
                  <w14:solidFill>
                    <w14:schemeClr w14:val="tx1"/>
                  </w14:solidFill>
                </w14:textFill>
              </w:rPr>
              <w:t>。</w:t>
            </w:r>
          </w:p>
          <w:p>
            <w:pPr>
              <w:adjustRightInd w:val="0"/>
              <w:snapToGrid w:val="0"/>
              <w:spacing w:line="360" w:lineRule="auto"/>
              <w:ind w:firstLine="422" w:firstLineChars="200"/>
              <w:rPr>
                <w:bCs/>
                <w:color w:val="000000" w:themeColor="text1"/>
                <w:spacing w:val="-10"/>
                <w:szCs w:val="21"/>
                <w14:textFill>
                  <w14:solidFill>
                    <w14:schemeClr w14:val="tx1"/>
                  </w14:solidFill>
                </w14:textFill>
              </w:rPr>
            </w:pP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危险废物环境管理要求</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危险废物在厂内临时贮存时应加强管理，严格执行《危险废物贮存污染控制标准》（GB</w:t>
            </w:r>
            <w:r>
              <w:rPr>
                <w:rFonts w:hint="eastAsia"/>
                <w:color w:val="000000" w:themeColor="text1"/>
                <w:szCs w:val="21"/>
                <w:lang w:eastAsia="zh-CN" w:bidi="ar"/>
                <w14:textFill>
                  <w14:solidFill>
                    <w14:schemeClr w14:val="tx1"/>
                  </w14:solidFill>
                </w14:textFill>
              </w:rPr>
              <w:t>*****</w:t>
            </w:r>
            <w:r>
              <w:rPr>
                <w:rFonts w:hint="eastAsia"/>
                <w:color w:val="000000" w:themeColor="text1"/>
                <w:szCs w:val="21"/>
                <w:lang w:bidi="ar"/>
                <w14:textFill>
                  <w14:solidFill>
                    <w14:schemeClr w14:val="tx1"/>
                  </w14:solidFill>
                </w14:textFill>
              </w:rPr>
              <w:t>-2023）中相关规定：</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①装载危险废物的容器及材质要满足相应的轻度要求；盛装危险废物的容器必须完好无损；盛装危险废物的容器材质和衬里要与危险废物相容；</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②应当设置专用的临时贮存设施，根据危险废物的种类和特性进行分区、分类存放，并必须要做到防雨、防火、防雷、防扬散、防渗漏装置及其他防止污染环境的措施，不得随意露天堆放。</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③危险废物禁止混入非危险废物中贮存，禁止与旅客同一运输工具上载运。</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④在包装箱外可设置醒目的危险废物标志，并用明确易懂的中文标明箱内所装为危险废物等。</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⑤对危险废物的容器或包装物以及收集、贮存、运输、处置危险废物的设施、场所，必须设置危险废物识别标志，配备通讯设备、照明设施和消防设施；在出入口、设施内部、危险废物运输车辆通道等关键位置按照危险废物贮存设施视频监控布设要求设置视频监控。</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⑥将危险废物的实际产生、贮存、利用、处置等情况纳入生产记录，建立危险废物管理台账和企业内部产生的收集、贮存、转移等危险废物交接制度。必须明确企业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危险废物暂存间地面必须采用防渗措施，同时必须防止雨水对危险废物的淋洗，或大风对其卷扬。</w:t>
            </w:r>
          </w:p>
          <w:p>
            <w:pPr>
              <w:keepNext/>
              <w:widowControl/>
              <w:spacing w:line="360" w:lineRule="auto"/>
              <w:ind w:firstLine="420" w:firstLineChars="200"/>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危险废物暂存间，基础采取防渗，防渗层为2毫米厚HDPE防渗膜（渗透系数≤10</w:t>
            </w:r>
            <w:r>
              <w:rPr>
                <w:rFonts w:hint="eastAsia"/>
                <w:color w:val="000000" w:themeColor="text1"/>
                <w:szCs w:val="21"/>
                <w:vertAlign w:val="superscript"/>
                <w:lang w:bidi="ar"/>
                <w14:textFill>
                  <w14:solidFill>
                    <w14:schemeClr w14:val="tx1"/>
                  </w14:solidFill>
                </w14:textFill>
              </w:rPr>
              <w:t>-10</w:t>
            </w:r>
            <w:r>
              <w:rPr>
                <w:rFonts w:hint="eastAsia"/>
                <w:color w:val="000000" w:themeColor="text1"/>
                <w:szCs w:val="21"/>
                <w:lang w:bidi="ar"/>
                <w14:textFill>
                  <w14:solidFill>
                    <w14:schemeClr w14:val="tx1"/>
                  </w14:solidFill>
                </w14:textFill>
              </w:rPr>
              <w:t>cm/s）及防渗混凝土面层，使防渗层渗透系数≤10</w:t>
            </w:r>
            <w:r>
              <w:rPr>
                <w:rFonts w:hint="eastAsia"/>
                <w:color w:val="000000" w:themeColor="text1"/>
                <w:szCs w:val="21"/>
                <w:vertAlign w:val="superscript"/>
                <w:lang w:bidi="ar"/>
                <w14:textFill>
                  <w14:solidFill>
                    <w14:schemeClr w14:val="tx1"/>
                  </w14:solidFill>
                </w14:textFill>
              </w:rPr>
              <w:t>-10</w:t>
            </w:r>
            <w:r>
              <w:rPr>
                <w:rFonts w:hint="eastAsia"/>
                <w:color w:val="000000" w:themeColor="text1"/>
                <w:szCs w:val="21"/>
                <w:lang w:bidi="ar"/>
                <w14:textFill>
                  <w14:solidFill>
                    <w14:schemeClr w14:val="tx1"/>
                  </w14:solidFill>
                </w14:textFill>
              </w:rPr>
              <w:t>cm/s。</w:t>
            </w:r>
          </w:p>
          <w:p>
            <w:pPr>
              <w:adjustRightInd w:val="0"/>
              <w:snapToGrid w:val="0"/>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（4）危险废物环境影响分析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按照《建设项目危险废物环境影响评价指南》要求，对本项目产生的危废的影响及处理处置方式进行如下分析。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①危险废物贮存场所（设施）环境影响分析</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根据《建设项目危险废物环境影响评价指南》要求，危险废物贮存场所（设施）的名称、位置、占地面积、贮存方式、贮存容积、贮存周期等情况详见表4-</w:t>
            </w: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表4-2</w:t>
            </w:r>
            <w:r>
              <w:rPr>
                <w:rFonts w:hint="eastAsia"/>
                <w:b/>
                <w:color w:val="000000" w:themeColor="text1"/>
                <w:szCs w:val="21"/>
                <w:lang w:val="en-US" w:eastAsia="zh-CN"/>
                <w14:textFill>
                  <w14:solidFill>
                    <w14:schemeClr w14:val="tx1"/>
                  </w14:solidFill>
                </w14:textFill>
              </w:rPr>
              <w:t>2</w:t>
            </w:r>
            <w:r>
              <w:rPr>
                <w:rFonts w:hint="eastAsia"/>
                <w:b/>
                <w:color w:val="000000" w:themeColor="text1"/>
                <w:szCs w:val="21"/>
                <w14:textFill>
                  <w14:solidFill>
                    <w14:schemeClr w14:val="tx1"/>
                  </w14:solidFill>
                </w14:textFill>
              </w:rPr>
              <w:t xml:space="preserve">  建设项目危险废物贮存场所（设施）基本情况表</w:t>
            </w:r>
          </w:p>
          <w:tbl>
            <w:tblPr>
              <w:tblStyle w:val="23"/>
              <w:tblW w:w="7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26"/>
              <w:gridCol w:w="1040"/>
              <w:gridCol w:w="900"/>
              <w:gridCol w:w="1232"/>
              <w:gridCol w:w="664"/>
              <w:gridCol w:w="750"/>
              <w:gridCol w:w="729"/>
              <w:gridCol w:w="750"/>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2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贮存场所</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04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危险废物名称</w:t>
                  </w:r>
                </w:p>
              </w:tc>
              <w:tc>
                <w:tcPr>
                  <w:tcW w:w="90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危险废物类别</w:t>
                  </w:r>
                </w:p>
              </w:tc>
              <w:tc>
                <w:tcPr>
                  <w:tcW w:w="1232"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危险废物代码</w:t>
                  </w:r>
                </w:p>
              </w:tc>
              <w:tc>
                <w:tcPr>
                  <w:tcW w:w="66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位置</w:t>
                  </w:r>
                </w:p>
              </w:tc>
              <w:tc>
                <w:tcPr>
                  <w:tcW w:w="75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占地面积</w:t>
                  </w:r>
                </w:p>
              </w:tc>
              <w:tc>
                <w:tcPr>
                  <w:tcW w:w="72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贮存方式</w:t>
                  </w:r>
                </w:p>
              </w:tc>
              <w:tc>
                <w:tcPr>
                  <w:tcW w:w="75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能力</w:t>
                  </w:r>
                </w:p>
              </w:tc>
              <w:tc>
                <w:tcPr>
                  <w:tcW w:w="71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贮存</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26"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危废暂存间</w:t>
                  </w:r>
                </w:p>
              </w:tc>
              <w:tc>
                <w:tcPr>
                  <w:tcW w:w="1040" w:type="dxa"/>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废机油</w:t>
                  </w:r>
                </w:p>
              </w:tc>
              <w:tc>
                <w:tcPr>
                  <w:tcW w:w="9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HW08</w:t>
                  </w:r>
                </w:p>
              </w:tc>
              <w:tc>
                <w:tcPr>
                  <w:tcW w:w="1232"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tc>
              <w:tc>
                <w:tcPr>
                  <w:tcW w:w="664"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厂房内</w:t>
                  </w:r>
                </w:p>
              </w:tc>
              <w:tc>
                <w:tcPr>
                  <w:tcW w:w="750"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10m</w:t>
                  </w:r>
                  <w:r>
                    <w:rPr>
                      <w:rFonts w:hint="eastAsia"/>
                      <w:color w:val="000000" w:themeColor="text1"/>
                      <w:szCs w:val="21"/>
                      <w:vertAlign w:val="superscript"/>
                      <w:lang w:val="en-US" w:eastAsia="zh-CN"/>
                      <w14:textFill>
                        <w14:solidFill>
                          <w14:schemeClr w14:val="tx1"/>
                        </w14:solidFill>
                      </w14:textFill>
                    </w:rPr>
                    <w:t>2</w:t>
                  </w:r>
                </w:p>
              </w:tc>
              <w:tc>
                <w:tcPr>
                  <w:tcW w:w="729" w:type="dxa"/>
                  <w:vAlign w:val="center"/>
                </w:tcPr>
                <w:p>
                  <w:pPr>
                    <w:jc w:val="center"/>
                    <w:rPr>
                      <w:rFonts w:cs="宋体"/>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桶装</w:t>
                  </w:r>
                </w:p>
              </w:tc>
              <w:tc>
                <w:tcPr>
                  <w:tcW w:w="750"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0.1t</w:t>
                  </w:r>
                </w:p>
              </w:tc>
              <w:tc>
                <w:tcPr>
                  <w:tcW w:w="710"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7"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726" w:type="dxa"/>
                  <w:vMerge w:val="continue"/>
                  <w:vAlign w:val="center"/>
                </w:tcPr>
                <w:p>
                  <w:pPr>
                    <w:jc w:val="center"/>
                    <w:rPr>
                      <w:color w:val="000000" w:themeColor="text1"/>
                      <w:szCs w:val="21"/>
                      <w14:textFill>
                        <w14:solidFill>
                          <w14:schemeClr w14:val="tx1"/>
                        </w14:solidFill>
                      </w14:textFill>
                    </w:rPr>
                  </w:pPr>
                </w:p>
              </w:tc>
              <w:tc>
                <w:tcPr>
                  <w:tcW w:w="1040" w:type="dxa"/>
                  <w:vAlign w:val="center"/>
                </w:tcPr>
                <w:p>
                  <w:pPr>
                    <w:pStyle w:val="45"/>
                    <w:spacing w:before="24" w:after="24"/>
                    <w:ind w:firstLine="0" w:firstLineChars="0"/>
                    <w:rPr>
                      <w:rFonts w:hint="default" w:ascii="Times New Roman" w:eastAsia="宋体"/>
                      <w:bCs/>
                      <w:color w:val="000000" w:themeColor="text1"/>
                      <w:kern w:val="1"/>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w:t>
                  </w:r>
                  <w:r>
                    <w:rPr>
                      <w:rFonts w:hint="eastAsia" w:ascii="Times New Roman" w:eastAsia="宋体"/>
                      <w:color w:val="000000" w:themeColor="text1"/>
                      <w:spacing w:val="-10"/>
                      <w:sz w:val="21"/>
                      <w:szCs w:val="21"/>
                      <w:lang w:val="en-US" w:eastAsia="zh-CN"/>
                      <w14:textFill>
                        <w14:solidFill>
                          <w14:schemeClr w14:val="tx1"/>
                        </w14:solidFill>
                      </w14:textFill>
                    </w:rPr>
                    <w:t>机油桶</w:t>
                  </w:r>
                </w:p>
              </w:tc>
              <w:tc>
                <w:tcPr>
                  <w:tcW w:w="900"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tc>
              <w:tc>
                <w:tcPr>
                  <w:tcW w:w="1232"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p>
              </w:tc>
              <w:tc>
                <w:tcPr>
                  <w:tcW w:w="664" w:type="dxa"/>
                  <w:vMerge w:val="continue"/>
                  <w:vAlign w:val="center"/>
                </w:tcPr>
                <w:p>
                  <w:pPr>
                    <w:jc w:val="center"/>
                    <w:rPr>
                      <w:color w:val="000000" w:themeColor="text1"/>
                      <w:szCs w:val="21"/>
                      <w14:textFill>
                        <w14:solidFill>
                          <w14:schemeClr w14:val="tx1"/>
                        </w14:solidFill>
                      </w14:textFill>
                    </w:rPr>
                  </w:pPr>
                </w:p>
              </w:tc>
              <w:tc>
                <w:tcPr>
                  <w:tcW w:w="750" w:type="dxa"/>
                  <w:vMerge w:val="continue"/>
                  <w:vAlign w:val="center"/>
                </w:tcPr>
                <w:p>
                  <w:pPr>
                    <w:jc w:val="center"/>
                    <w:rPr>
                      <w:color w:val="000000" w:themeColor="text1"/>
                      <w:szCs w:val="21"/>
                      <w14:textFill>
                        <w14:solidFill>
                          <w14:schemeClr w14:val="tx1"/>
                        </w14:solidFill>
                      </w14:textFill>
                    </w:rPr>
                  </w:pPr>
                </w:p>
              </w:tc>
              <w:tc>
                <w:tcPr>
                  <w:tcW w:w="729" w:type="dxa"/>
                  <w:vAlign w:val="center"/>
                </w:tcPr>
                <w:p>
                  <w:pPr>
                    <w:jc w:val="center"/>
                    <w:rPr>
                      <w:rFonts w:hint="eastAsia" w:eastAsia="宋体" w:cs="宋体"/>
                      <w:color w:val="000000" w:themeColor="text1"/>
                      <w:szCs w:val="21"/>
                      <w:lang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托盘</w:t>
                  </w:r>
                </w:p>
              </w:tc>
              <w:tc>
                <w:tcPr>
                  <w:tcW w:w="750" w:type="dxa"/>
                  <w:vMerge w:val="continue"/>
                  <w:vAlign w:val="center"/>
                </w:tcPr>
                <w:p>
                  <w:pPr>
                    <w:jc w:val="center"/>
                    <w:rPr>
                      <w:color w:val="000000" w:themeColor="text1"/>
                      <w:szCs w:val="21"/>
                      <w14:textFill>
                        <w14:solidFill>
                          <w14:schemeClr w14:val="tx1"/>
                        </w14:solidFill>
                      </w14:textFill>
                    </w:rPr>
                  </w:pPr>
                </w:p>
              </w:tc>
              <w:tc>
                <w:tcPr>
                  <w:tcW w:w="710" w:type="dxa"/>
                  <w:vMerge w:val="continue"/>
                  <w:vAlign w:val="center"/>
                </w:tcPr>
                <w:p>
                  <w:pPr>
                    <w:jc w:val="center"/>
                    <w:rPr>
                      <w:color w:val="000000" w:themeColor="text1"/>
                      <w:szCs w:val="21"/>
                      <w14:textFill>
                        <w14:solidFill>
                          <w14:schemeClr w14:val="tx1"/>
                        </w14:solidFill>
                      </w14:textFill>
                    </w:rPr>
                  </w:pPr>
                </w:p>
              </w:tc>
            </w:tr>
          </w:tbl>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危废堆场设置合理性分析：</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本项目危废堆场占地面积</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，按照《危险废物贮存污染控制标准》（GB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23</w:t>
            </w:r>
            <w:r>
              <w:rPr>
                <w:color w:val="000000" w:themeColor="text1"/>
                <w:szCs w:val="21"/>
                <w14:textFill>
                  <w14:solidFill>
                    <w14:schemeClr w14:val="tx1"/>
                  </w14:solidFill>
                </w14:textFill>
              </w:rPr>
              <w:t>）要求进行建设，地面基础及内墙采取防渗措施，使用防水混凝土，地面做防滑处理，危险废物临时贮存渗透系数达1.0×10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厘米/秒。本项目危废堆场设置在</w:t>
            </w:r>
            <w:r>
              <w:rPr>
                <w:rFonts w:hint="eastAsia"/>
                <w:color w:val="000000" w:themeColor="text1"/>
                <w:szCs w:val="21"/>
                <w14:textFill>
                  <w14:solidFill>
                    <w14:schemeClr w14:val="tx1"/>
                  </w14:solidFill>
                </w14:textFill>
              </w:rPr>
              <w:t>厂区东南侧</w:t>
            </w:r>
            <w:r>
              <w:rPr>
                <w:color w:val="000000" w:themeColor="text1"/>
                <w:szCs w:val="21"/>
                <w14:textFill>
                  <w14:solidFill>
                    <w14:schemeClr w14:val="tx1"/>
                  </w14:solidFill>
                </w14:textFill>
              </w:rPr>
              <w:t>，运输车辆进出较为方便。</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本项目危废产生量约为</w:t>
            </w:r>
            <w:r>
              <w:rPr>
                <w:rFonts w:hint="eastAsia" w:cs="宋体"/>
                <w:color w:val="000000" w:themeColor="text1"/>
                <w:szCs w:val="21"/>
                <w:lang w:val="en-US" w:eastAsia="zh-CN" w:bidi="ar"/>
                <w14:textFill>
                  <w14:solidFill>
                    <w14:schemeClr w14:val="tx1"/>
                  </w14:solidFill>
                </w14:textFill>
              </w:rPr>
              <w:t>0.055</w:t>
            </w:r>
            <w:r>
              <w:rPr>
                <w:rFonts w:hint="eastAsia" w:cs="宋体"/>
                <w:color w:val="000000" w:themeColor="text1"/>
                <w:szCs w:val="21"/>
                <w:lang w:bidi="ar"/>
                <w14:textFill>
                  <w14:solidFill>
                    <w14:schemeClr w14:val="tx1"/>
                  </w14:solidFill>
                </w14:textFill>
              </w:rPr>
              <w:t>t/a，采用桶装、袋装或密封堆放。危险废物周转频率为</w:t>
            </w:r>
            <w:r>
              <w:rPr>
                <w:rFonts w:hint="eastAsia" w:cs="宋体"/>
                <w:color w:val="000000" w:themeColor="text1"/>
                <w:szCs w:val="21"/>
                <w:lang w:val="en-US" w:eastAsia="zh-CN" w:bidi="ar"/>
                <w14:textFill>
                  <w14:solidFill>
                    <w14:schemeClr w14:val="tx1"/>
                  </w14:solidFill>
                </w14:textFill>
              </w:rPr>
              <w:t>1年</w:t>
            </w:r>
            <w:r>
              <w:rPr>
                <w:rFonts w:hint="eastAsia" w:cs="宋体"/>
                <w:color w:val="000000" w:themeColor="text1"/>
                <w:szCs w:val="21"/>
                <w:lang w:bidi="ar"/>
                <w14:textFill>
                  <w14:solidFill>
                    <w14:schemeClr w14:val="tx1"/>
                  </w14:solidFill>
                </w14:textFill>
              </w:rPr>
              <w:t>，危废间最大储存量约为</w:t>
            </w:r>
            <w:r>
              <w:rPr>
                <w:rFonts w:hint="eastAsia" w:cs="宋体"/>
                <w:color w:val="000000" w:themeColor="text1"/>
                <w:szCs w:val="21"/>
                <w:lang w:val="en-US" w:eastAsia="zh-CN" w:bidi="ar"/>
                <w14:textFill>
                  <w14:solidFill>
                    <w14:schemeClr w14:val="tx1"/>
                  </w14:solidFill>
                </w14:textFill>
              </w:rPr>
              <w:t>0.1</w:t>
            </w:r>
            <w:r>
              <w:rPr>
                <w:rFonts w:hint="eastAsia" w:cs="宋体"/>
                <w:color w:val="000000" w:themeColor="text1"/>
                <w:szCs w:val="21"/>
                <w:lang w:bidi="ar"/>
                <w14:textFill>
                  <w14:solidFill>
                    <w14:schemeClr w14:val="tx1"/>
                  </w14:solidFill>
                </w14:textFill>
              </w:rPr>
              <w:t>t，本报告要求企业每</w:t>
            </w:r>
            <w:r>
              <w:rPr>
                <w:rFonts w:hint="eastAsia" w:cs="宋体"/>
                <w:color w:val="000000" w:themeColor="text1"/>
                <w:szCs w:val="21"/>
                <w:lang w:val="en-US" w:eastAsia="zh-CN" w:bidi="ar"/>
                <w14:textFill>
                  <w14:solidFill>
                    <w14:schemeClr w14:val="tx1"/>
                  </w14:solidFill>
                </w14:textFill>
              </w:rPr>
              <w:t>年</w:t>
            </w:r>
            <w:r>
              <w:rPr>
                <w:rFonts w:hint="eastAsia" w:cs="宋体"/>
                <w:color w:val="000000" w:themeColor="text1"/>
                <w:szCs w:val="21"/>
                <w:lang w:bidi="ar"/>
                <w14:textFill>
                  <w14:solidFill>
                    <w14:schemeClr w14:val="tx1"/>
                  </w14:solidFill>
                </w14:textFill>
              </w:rPr>
              <w:t>转运一次。</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存储场所需做到防风、防雨、防晒，存储场所四周设有截留措施，地面为硬化地面、地面无裂缝，需确保地面和裙脚基础防渗措施符合《危险废物贮存污染控制标准》要求。危废贮存区应按照《危险废物污染技术政策》、《危险废物贮存污染控制标准》等法规的相关规定，装载危险废物的容器及材质要满足相应的轻度要求；</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盛装危险废物的容器必须完好无损；盛装危险废物的容器材质和衬里要与危险废物相容。定期对基础防渗进行检查，如不满足要求，则需加强防渗处理。</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建设单位应按相关要求对危险废物识别标识进行规范化设置，并做好信息公开制度，规范危险废物的收集贮存及视频监控布设。</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②运输过程的环境影响分析</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在危险废物清运过程中，应做好密闭措施，防止固废发出臭味或抛洒遗漏而导致污染扩散，保证运输过程中无抛、洒、滴、漏现象发生。危险废物由危废运输单位委托有资质的运输公司运输，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③委托利用的环境影响分析</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本项目委托处置的危险废物为废机油、废机油桶。委托云南省内有危废处置资质的单位处置。</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④危险废物环境风险评价</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按照《建设项目环境风险评价技术导则》(HJ</w:t>
            </w:r>
            <w:r>
              <w:rPr>
                <w:rFonts w:hint="eastAsia" w:cs="宋体"/>
                <w:color w:val="000000" w:themeColor="text1"/>
                <w:szCs w:val="21"/>
                <w:lang w:eastAsia="zh-CN" w:bidi="ar"/>
                <w14:textFill>
                  <w14:solidFill>
                    <w14:schemeClr w14:val="tx1"/>
                  </w14:solidFill>
                </w14:textFill>
              </w:rPr>
              <w:t>***</w:t>
            </w:r>
            <w:r>
              <w:rPr>
                <w:rFonts w:hint="eastAsia" w:cs="宋体"/>
                <w:color w:val="000000" w:themeColor="text1"/>
                <w:szCs w:val="21"/>
                <w:lang w:bidi="ar"/>
                <w14:textFill>
                  <w14:solidFill>
                    <w14:schemeClr w14:val="tx1"/>
                  </w14:solidFill>
                </w14:textFill>
              </w:rPr>
              <w:t>-2018)，废机油、废机油桶含可燃物，应在危险废物仓库周边设置足够数量的灭火器，以便在发生火灾时能尽快扑灭，且应在贮存区外设置围堰或截留沟等防止泄漏扩散。</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综上所述，本项目所产生的固体废物通过以上方法处理处置后，将不会对周围的环境产生影响，但必须指出的是，固体废物处理处置前在厂内的堆放、贮存场所应按照国家固体废物贮存有关要求设置，避免其对周围环境产生二次污染。</w:t>
            </w:r>
          </w:p>
          <w:p>
            <w:pPr>
              <w:spacing w:line="360" w:lineRule="auto"/>
              <w:ind w:firstLine="42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通过以上措施，建设项目产生的固体废物均得到了妥善处置和利用，对外环境的影响较小。</w:t>
            </w:r>
          </w:p>
          <w:p>
            <w:pPr>
              <w:adjustRightInd w:val="0"/>
              <w:snapToGrid w:val="0"/>
              <w:spacing w:line="360" w:lineRule="auto"/>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（五）</w:t>
            </w:r>
            <w:r>
              <w:rPr>
                <w:b/>
                <w:color w:val="000000" w:themeColor="text1"/>
                <w:spacing w:val="-10"/>
                <w:szCs w:val="21"/>
                <w14:textFill>
                  <w14:solidFill>
                    <w14:schemeClr w14:val="tx1"/>
                  </w14:solidFill>
                </w14:textFill>
              </w:rPr>
              <w:t>地下水、土壤环境影响及保护措施</w:t>
            </w:r>
          </w:p>
          <w:p>
            <w:pPr>
              <w:spacing w:line="360" w:lineRule="auto"/>
              <w:ind w:firstLine="48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地下水、土壤污染类型及途径</w:t>
            </w:r>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项目运营期地下水、土壤污染源主要为生产过程中产生的</w:t>
            </w: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大气沉降，污水因输送管道及处理设施破损发生渗漏，危废堆场内</w:t>
            </w:r>
            <w:r>
              <w:rPr>
                <w:rFonts w:hint="eastAsia"/>
                <w:color w:val="000000" w:themeColor="text1"/>
                <w:szCs w:val="21"/>
                <w14:textFill>
                  <w14:solidFill>
                    <w14:schemeClr w14:val="tx1"/>
                  </w14:solidFill>
                </w14:textFill>
              </w:rPr>
              <w:t>废机油</w:t>
            </w:r>
            <w:r>
              <w:rPr>
                <w:color w:val="000000" w:themeColor="text1"/>
                <w:szCs w:val="21"/>
                <w14:textFill>
                  <w14:solidFill>
                    <w14:schemeClr w14:val="tx1"/>
                  </w14:solidFill>
                </w14:textFill>
              </w:rPr>
              <w:t>等物料泄漏垂直下渗。针对企业生产过程中废气、废水及固体废物产生、输送和处理过程，采取合理有效的工程措施可防止污染物对土壤、地下水的污染。</w:t>
            </w:r>
          </w:p>
          <w:p>
            <w:pPr>
              <w:spacing w:line="360" w:lineRule="auto"/>
              <w:ind w:firstLine="48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地下</w:t>
            </w:r>
            <w:r>
              <w:rPr>
                <w:rFonts w:hint="eastAsia"/>
                <w:b/>
                <w:bCs/>
                <w:color w:val="000000" w:themeColor="text1"/>
                <w:szCs w:val="21"/>
                <w:lang w:val="en-US" w:eastAsia="zh-CN"/>
                <w14:textFill>
                  <w14:solidFill>
                    <w14:schemeClr w14:val="tx1"/>
                  </w14:solidFill>
                </w14:textFill>
              </w:rPr>
              <w:t>水</w:t>
            </w:r>
            <w:r>
              <w:rPr>
                <w:b/>
                <w:bCs/>
                <w:color w:val="000000" w:themeColor="text1"/>
                <w:szCs w:val="21"/>
                <w14:textFill>
                  <w14:solidFill>
                    <w14:schemeClr w14:val="tx1"/>
                  </w14:solidFill>
                </w14:textFill>
              </w:rPr>
              <w:t>、土壤分区防控措施</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为了更好的保护地下水和土壤资源，将拟建项目对地下水和土壤的影响降至最低限度，建议采取分区防控措施。主要包括厂内污染区地面的防渗措施和泄漏、渗漏污染物收集措施，即在污染区地面进行防渗处理，防止洒落地面的污染物渗入地下，并把滞留在地面的污染物收集起来集中处理，从而避免对环境的污染。结合项目各生产设备、贮存等因素，</w:t>
            </w:r>
            <w:r>
              <w:rPr>
                <w:rFonts w:hint="eastAsia"/>
                <w:color w:val="000000" w:themeColor="text1"/>
                <w:szCs w:val="21"/>
                <w14:textFill>
                  <w14:solidFill>
                    <w14:schemeClr w14:val="tx1"/>
                  </w14:solidFill>
                </w14:textFill>
              </w:rPr>
              <w:t>在生产装置、辅助设施及公用工程设施在布置上严格区分防渗区和非防渗区，根据生产装置、辅助设施及公用工程所处位置不同将防渗区划分为一般防渗区和简单防渗区</w:t>
            </w:r>
            <w:r>
              <w:rPr>
                <w:color w:val="000000" w:themeColor="text1"/>
                <w:szCs w:val="21"/>
                <w14:textFill>
                  <w14:solidFill>
                    <w14:schemeClr w14:val="tx1"/>
                  </w14:solidFill>
                </w14:textFill>
              </w:rPr>
              <w:t>，全厂分区防渗区划见表</w:t>
            </w:r>
            <w:r>
              <w:rPr>
                <w:rFonts w:hint="eastAsia"/>
                <w:color w:val="000000" w:themeColor="text1"/>
                <w:szCs w:val="21"/>
                <w14:textFill>
                  <w14:solidFill>
                    <w14:schemeClr w14:val="tx1"/>
                  </w14:solidFill>
                </w14:textFill>
              </w:rPr>
              <w:t>4-2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表4-2</w:t>
            </w: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 xml:space="preserve">  本项目分区防渗方案及防渗措施表</w:t>
            </w:r>
          </w:p>
          <w:tbl>
            <w:tblPr>
              <w:tblStyle w:val="23"/>
              <w:tblW w:w="77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7"/>
              <w:gridCol w:w="1044"/>
              <w:gridCol w:w="1551"/>
              <w:gridCol w:w="4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1044"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防治</w:t>
                  </w:r>
                </w:p>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分区</w:t>
                  </w:r>
                </w:p>
              </w:tc>
              <w:tc>
                <w:tcPr>
                  <w:tcW w:w="155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分区位置</w:t>
                  </w:r>
                </w:p>
              </w:tc>
              <w:tc>
                <w:tcPr>
                  <w:tcW w:w="4551"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4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重点污染防治区</w:t>
                  </w:r>
                </w:p>
              </w:tc>
              <w:tc>
                <w:tcPr>
                  <w:tcW w:w="1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危废暂存场所</w:t>
                  </w:r>
                </w:p>
              </w:tc>
              <w:tc>
                <w:tcPr>
                  <w:tcW w:w="4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依据国家危险贮存标准要求设计、施工，采用</w:t>
                  </w:r>
                  <w:r>
                    <w:rPr>
                      <w:rFonts w:ascii="Times New Roman" w:hAnsi="Times New Roman"/>
                      <w:bCs/>
                      <w:color w:val="000000" w:themeColor="text1"/>
                      <w:sz w:val="21"/>
                      <w:szCs w:val="21"/>
                      <w:lang w:bidi="ar"/>
                      <w14:textFill>
                        <w14:solidFill>
                          <w14:schemeClr w14:val="tx1"/>
                        </w14:solidFill>
                      </w14:textFill>
                    </w:rPr>
                    <w:t>200mm</w:t>
                  </w:r>
                  <w:r>
                    <w:rPr>
                      <w:rFonts w:hint="eastAsia" w:ascii="Times New Roman" w:hAnsi="Times New Roman" w:cs="宋体"/>
                      <w:bCs/>
                      <w:color w:val="000000" w:themeColor="text1"/>
                      <w:sz w:val="21"/>
                      <w:szCs w:val="21"/>
                      <w:lang w:bidi="ar"/>
                      <w14:textFill>
                        <w14:solidFill>
                          <w14:schemeClr w14:val="tx1"/>
                        </w14:solidFill>
                      </w14:textFill>
                    </w:rPr>
                    <w:t>厚</w:t>
                  </w:r>
                  <w:r>
                    <w:rPr>
                      <w:rFonts w:ascii="Times New Roman" w:hAnsi="Times New Roman"/>
                      <w:bCs/>
                      <w:color w:val="000000" w:themeColor="text1"/>
                      <w:sz w:val="21"/>
                      <w:szCs w:val="21"/>
                      <w:lang w:bidi="ar"/>
                      <w14:textFill>
                        <w14:solidFill>
                          <w14:schemeClr w14:val="tx1"/>
                        </w14:solidFill>
                      </w14:textFill>
                    </w:rPr>
                    <w:t>C15</w:t>
                  </w:r>
                  <w:r>
                    <w:rPr>
                      <w:rFonts w:hint="eastAsia" w:ascii="Times New Roman" w:hAnsi="Times New Roman" w:cs="宋体"/>
                      <w:bCs/>
                      <w:color w:val="000000" w:themeColor="text1"/>
                      <w:sz w:val="21"/>
                      <w:szCs w:val="21"/>
                      <w:lang w:bidi="ar"/>
                      <w14:textFill>
                        <w14:solidFill>
                          <w14:schemeClr w14:val="tx1"/>
                        </w14:solidFill>
                      </w14:textFill>
                    </w:rPr>
                    <w:t>砼垫层随打随抹光，设置钢筋混凝土围堰，并采用底部加设土工膜进行防渗，使渗透系数不大于</w:t>
                  </w:r>
                  <w:r>
                    <w:rPr>
                      <w:rFonts w:ascii="Times New Roman" w:hAnsi="Times New Roman"/>
                      <w:bCs/>
                      <w:color w:val="000000" w:themeColor="text1"/>
                      <w:sz w:val="21"/>
                      <w:szCs w:val="21"/>
                      <w:lang w:bidi="ar"/>
                      <w14:textFill>
                        <w14:solidFill>
                          <w14:schemeClr w14:val="tx1"/>
                        </w14:solidFill>
                      </w14:textFill>
                    </w:rPr>
                    <w:t>1.0×10</w:t>
                  </w:r>
                  <w:r>
                    <w:rPr>
                      <w:rFonts w:ascii="Times New Roman" w:hAnsi="Times New Roman"/>
                      <w:bCs/>
                      <w:color w:val="000000" w:themeColor="text1"/>
                      <w:sz w:val="21"/>
                      <w:szCs w:val="21"/>
                      <w:vertAlign w:val="superscript"/>
                      <w:lang w:bidi="ar"/>
                      <w14:textFill>
                        <w14:solidFill>
                          <w14:schemeClr w14:val="tx1"/>
                        </w14:solidFill>
                      </w14:textFill>
                    </w:rPr>
                    <w:t>-10</w:t>
                  </w:r>
                  <w:r>
                    <w:rPr>
                      <w:rFonts w:ascii="Times New Roman" w:hAnsi="Times New Roman"/>
                      <w:bCs/>
                      <w:color w:val="000000" w:themeColor="text1"/>
                      <w:sz w:val="21"/>
                      <w:szCs w:val="21"/>
                      <w:lang w:bidi="ar"/>
                      <w14:textFill>
                        <w14:solidFill>
                          <w14:schemeClr w14:val="tx1"/>
                        </w14:solidFill>
                      </w14:textFill>
                    </w:rPr>
                    <w:t>cm/s</w:t>
                  </w:r>
                  <w:r>
                    <w:rPr>
                      <w:rFonts w:hint="eastAsia" w:ascii="Times New Roman" w:hAnsi="Times New Roman" w:cs="宋体"/>
                      <w:bCs/>
                      <w:color w:val="000000" w:themeColor="text1"/>
                      <w:sz w:val="21"/>
                      <w:szCs w:val="21"/>
                      <w:lang w:bidi="ar"/>
                      <w14:textFill>
                        <w14:solidFill>
                          <w14:schemeClr w14:val="tx1"/>
                        </w14:solidFill>
                      </w14:textFill>
                    </w:rPr>
                    <w:t>，且防雨和防晒。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pStyle w:val="19"/>
                    <w:widowControl w:val="0"/>
                    <w:snapToGrid w:val="0"/>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污水输送、收集管道、化粪池</w:t>
                  </w:r>
                  <w:r>
                    <w:rPr>
                      <w:rFonts w:hint="eastAsia" w:ascii="Times New Roman" w:hAnsi="Times New Roman" w:cs="宋体"/>
                      <w:bCs/>
                      <w:color w:val="000000" w:themeColor="text1"/>
                      <w:sz w:val="21"/>
                      <w:szCs w:val="21"/>
                      <w:lang w:eastAsia="zh-CN" w:bidi="ar"/>
                      <w14:textFill>
                        <w14:solidFill>
                          <w14:schemeClr w14:val="tx1"/>
                        </w14:solidFill>
                      </w14:textFill>
                    </w:rPr>
                    <w:t>、</w:t>
                  </w:r>
                  <w:r>
                    <w:rPr>
                      <w:rFonts w:hint="eastAsia" w:ascii="Times New Roman" w:hAnsi="Times New Roman" w:cs="宋体"/>
                      <w:bCs/>
                      <w:color w:val="000000" w:themeColor="text1"/>
                      <w:sz w:val="21"/>
                      <w:szCs w:val="21"/>
                      <w:lang w:val="en-US" w:eastAsia="zh-CN" w:bidi="ar"/>
                      <w14:textFill>
                        <w14:solidFill>
                          <w14:schemeClr w14:val="tx1"/>
                        </w14:solidFill>
                      </w14:textFill>
                    </w:rPr>
                    <w:t>沉淀池、循环水池</w:t>
                  </w:r>
                </w:p>
              </w:tc>
              <w:tc>
                <w:tcPr>
                  <w:tcW w:w="4551" w:type="dxa"/>
                  <w:vAlign w:val="center"/>
                </w:tcPr>
                <w:p>
                  <w:pPr>
                    <w:pStyle w:val="19"/>
                    <w:widowControl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s="宋体"/>
                      <w:bCs/>
                      <w:color w:val="000000" w:themeColor="text1"/>
                      <w:sz w:val="21"/>
                      <w:szCs w:val="21"/>
                      <w:lang w:bidi="ar"/>
                      <w14:textFill>
                        <w14:solidFill>
                          <w14:schemeClr w14:val="tx1"/>
                        </w14:solidFill>
                      </w14:textFill>
                    </w:rPr>
                    <w:t>对废水收集沟渠、管网、阀门严格质量管理，如发现问题，应及时解决。管沟、污水渠与污水集水井相连，并设计不低于</w:t>
                  </w:r>
                  <w:r>
                    <w:rPr>
                      <w:rFonts w:ascii="Times New Roman" w:hAnsi="Times New Roman"/>
                      <w:bCs/>
                      <w:color w:val="000000" w:themeColor="text1"/>
                      <w:sz w:val="21"/>
                      <w:szCs w:val="21"/>
                      <w:lang w:bidi="ar"/>
                      <w14:textFill>
                        <w14:solidFill>
                          <w14:schemeClr w14:val="tx1"/>
                        </w14:solidFill>
                      </w14:textFill>
                    </w:rPr>
                    <w:t>5‰</w:t>
                  </w:r>
                  <w:r>
                    <w:rPr>
                      <w:rFonts w:hint="eastAsia" w:ascii="Times New Roman" w:hAnsi="Times New Roman" w:cs="宋体"/>
                      <w:bCs/>
                      <w:color w:val="000000" w:themeColor="text1"/>
                      <w:sz w:val="21"/>
                      <w:szCs w:val="21"/>
                      <w:lang w:bidi="ar"/>
                      <w14:textFill>
                        <w14:solidFill>
                          <w14:schemeClr w14:val="tx1"/>
                        </w14:solidFill>
                      </w14:textFill>
                    </w:rPr>
                    <w:t>的排水坡度，便于废水排至集水井统一处理。要做好沿途污水管网的防渗工作。工程管道</w:t>
                  </w:r>
                  <w:r>
                    <w:rPr>
                      <w:rFonts w:ascii="Times New Roman" w:hAnsi="Times New Roman"/>
                      <w:bCs/>
                      <w:color w:val="000000" w:themeColor="text1"/>
                      <w:sz w:val="21"/>
                      <w:szCs w:val="21"/>
                      <w:lang w:bidi="ar"/>
                      <w14:textFill>
                        <w14:solidFill>
                          <w14:schemeClr w14:val="tx1"/>
                        </w14:solidFill>
                      </w14:textFill>
                    </w:rPr>
                    <w:t>DN500</w:t>
                  </w:r>
                  <w:r>
                    <w:rPr>
                      <w:rFonts w:hint="eastAsia" w:ascii="Times New Roman" w:hAnsi="Times New Roman" w:cs="宋体"/>
                      <w:bCs/>
                      <w:color w:val="000000" w:themeColor="text1"/>
                      <w:sz w:val="21"/>
                      <w:szCs w:val="21"/>
                      <w:lang w:bidi="ar"/>
                      <w14:textFill>
                        <w14:solidFill>
                          <w14:schemeClr w14:val="tx1"/>
                        </w14:solidFill>
                      </w14:textFill>
                    </w:rPr>
                    <w:t>及以上管道采用钢筋混凝土管，管径小于</w:t>
                  </w:r>
                  <w:r>
                    <w:rPr>
                      <w:rFonts w:ascii="Times New Roman" w:hAnsi="Times New Roman"/>
                      <w:bCs/>
                      <w:color w:val="000000" w:themeColor="text1"/>
                      <w:sz w:val="21"/>
                      <w:szCs w:val="21"/>
                      <w:lang w:bidi="ar"/>
                      <w14:textFill>
                        <w14:solidFill>
                          <w14:schemeClr w14:val="tx1"/>
                        </w14:solidFill>
                      </w14:textFill>
                    </w:rPr>
                    <w:t>DN500</w:t>
                  </w:r>
                  <w:r>
                    <w:rPr>
                      <w:rFonts w:hint="eastAsia" w:ascii="Times New Roman" w:hAnsi="Times New Roman" w:cs="宋体"/>
                      <w:bCs/>
                      <w:color w:val="000000" w:themeColor="text1"/>
                      <w:sz w:val="21"/>
                      <w:szCs w:val="21"/>
                      <w:lang w:bidi="ar"/>
                      <w14:textFill>
                        <w14:solidFill>
                          <w14:schemeClr w14:val="tx1"/>
                        </w14:solidFill>
                      </w14:textFill>
                    </w:rPr>
                    <w:t>的管道采用</w:t>
                  </w:r>
                  <w:r>
                    <w:rPr>
                      <w:rFonts w:ascii="Times New Roman" w:hAnsi="Times New Roman"/>
                      <w:bCs/>
                      <w:color w:val="000000" w:themeColor="text1"/>
                      <w:sz w:val="21"/>
                      <w:szCs w:val="21"/>
                      <w:lang w:bidi="ar"/>
                      <w14:textFill>
                        <w14:solidFill>
                          <w14:schemeClr w14:val="tx1"/>
                        </w14:solidFill>
                      </w14:textFill>
                    </w:rPr>
                    <w:t>HDPE</w:t>
                  </w:r>
                  <w:r>
                    <w:rPr>
                      <w:rFonts w:hint="eastAsia" w:ascii="Times New Roman" w:hAnsi="Times New Roman" w:cs="宋体"/>
                      <w:bCs/>
                      <w:color w:val="000000" w:themeColor="text1"/>
                      <w:sz w:val="21"/>
                      <w:szCs w:val="21"/>
                      <w:lang w:bidi="ar"/>
                      <w14:textFill>
                        <w14:solidFill>
                          <w14:schemeClr w14:val="tx1"/>
                        </w14:solidFill>
                      </w14:textFill>
                    </w:rPr>
                    <w:t>管。两种管材防水性均较好。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原料堆放区</w:t>
                  </w:r>
                </w:p>
              </w:tc>
              <w:tc>
                <w:tcPr>
                  <w:tcW w:w="4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等效黏土防渗层Mb≥6.0m，地面基础防渗和构筑物防渗等级达到渗透系数≤1.0×10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cm/s;或者参考GB18598执行。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4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一般污染防治区</w:t>
                  </w: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一般固废暂存场所</w:t>
                  </w:r>
                </w:p>
              </w:tc>
              <w:tc>
                <w:tcPr>
                  <w:tcW w:w="455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地面基础防渗和构筑物防渗等级达到渗透系数≤1.0×10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cm/s，相当于不小于1.5m厚的粘土防护层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044" w:type="dxa"/>
                  <w:vMerge w:val="continue"/>
                  <w:vAlign w:val="center"/>
                </w:tcPr>
                <w:p>
                  <w:pPr>
                    <w:jc w:val="center"/>
                    <w:rPr>
                      <w:color w:val="000000" w:themeColor="text1"/>
                      <w:szCs w:val="21"/>
                      <w14:textFill>
                        <w14:solidFill>
                          <w14:schemeClr w14:val="tx1"/>
                        </w14:solidFill>
                      </w14:textFill>
                    </w:rPr>
                  </w:pP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4551"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2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简单防渗区</w:t>
                  </w:r>
                </w:p>
              </w:tc>
              <w:tc>
                <w:tcPr>
                  <w:tcW w:w="1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w:t>
                  </w:r>
                </w:p>
              </w:tc>
              <w:tc>
                <w:tcPr>
                  <w:tcW w:w="45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一般地面硬化</w:t>
                  </w: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（3）</w:t>
            </w:r>
            <w:r>
              <w:rPr>
                <w:b/>
                <w:color w:val="000000" w:themeColor="text1"/>
                <w:spacing w:val="-10"/>
                <w:szCs w:val="21"/>
                <w14:textFill>
                  <w14:solidFill>
                    <w14:schemeClr w14:val="tx1"/>
                  </w14:solidFill>
                </w14:textFill>
              </w:rPr>
              <w:t>跟踪监测</w:t>
            </w:r>
          </w:p>
          <w:p>
            <w:pPr>
              <w:adjustRightInd w:val="0"/>
              <w:spacing w:line="360" w:lineRule="auto"/>
              <w:ind w:firstLine="420" w:firstLineChars="200"/>
              <w:rPr>
                <w:color w:val="000000" w:themeColor="text1"/>
                <w:szCs w:val="21"/>
                <w:lang w:bidi="ar"/>
                <w14:textFill>
                  <w14:solidFill>
                    <w14:schemeClr w14:val="tx1"/>
                  </w14:solidFill>
                </w14:textFill>
              </w:rPr>
            </w:pPr>
            <w:r>
              <w:rPr>
                <w:color w:val="000000" w:themeColor="text1"/>
                <w:szCs w:val="21"/>
                <w14:textFill>
                  <w14:solidFill>
                    <w14:schemeClr w14:val="tx1"/>
                  </w14:solidFill>
                </w14:textFill>
              </w:rPr>
              <w:t>对照《环境影响评价技术导则 地下水环境》（HJ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-2016）附录A，本项目为“69、石墨及其他非金属矿物制品——其他”，为IV类项目。根据《环境影响评价技术导则—地下水环境》（HJ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—2016）中“4.1一般性原则-Ⅳ类建设项目不开展地下水环境影响评价”。综上，本项目属于Ⅳ类建设项目</w:t>
            </w:r>
            <w:r>
              <w:rPr>
                <w:color w:val="000000" w:themeColor="text1"/>
                <w:szCs w:val="21"/>
                <w:lang w:bidi="ar"/>
                <w14:textFill>
                  <w14:solidFill>
                    <w14:schemeClr w14:val="tx1"/>
                  </w14:solidFill>
                </w14:textFill>
              </w:rPr>
              <w:t>，无需进行跟踪监测。</w:t>
            </w:r>
          </w:p>
          <w:p>
            <w:pPr>
              <w:pStyle w:val="76"/>
              <w:spacing w:line="360" w:lineRule="auto"/>
              <w:ind w:firstLine="0" w:firstLineChars="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（六）环境风险影响和保护措施</w:t>
            </w:r>
          </w:p>
          <w:p>
            <w:pPr>
              <w:adjustRightInd w:val="0"/>
              <w:snapToGrid w:val="0"/>
              <w:spacing w:line="360" w:lineRule="auto"/>
              <w:ind w:firstLine="480"/>
              <w:rPr>
                <w:color w:val="000000" w:themeColor="text1"/>
                <w:szCs w:val="21"/>
                <w14:textFill>
                  <w14:solidFill>
                    <w14:schemeClr w14:val="tx1"/>
                  </w14:solidFill>
                </w14:textFill>
              </w:rPr>
            </w:pPr>
            <w:bookmarkStart w:id="39" w:name="_Toc16561"/>
            <w:r>
              <w:rPr>
                <w:color w:val="000000" w:themeColor="text1"/>
                <w:szCs w:val="21"/>
                <w14:textFill>
                  <w14:solidFill>
                    <w14:schemeClr w14:val="tx1"/>
                  </w14:solidFill>
                </w14:textFill>
              </w:rPr>
              <w:t xml:space="preserve">对照《危险化学品目录》及《建设项目环境风险评价技术导则》（HJ </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-2018）附录B中表B.1突发环境事件风险物质及临界量表，本项目所含有害物质的最大储存量及分布位置见下表。</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24</w:t>
            </w:r>
            <w:r>
              <w:rPr>
                <w:rFonts w:hint="eastAsia"/>
                <w:b/>
                <w:color w:val="000000" w:themeColor="text1"/>
                <w:szCs w:val="21"/>
                <w14:textFill>
                  <w14:solidFill>
                    <w14:schemeClr w14:val="tx1"/>
                  </w14:solidFill>
                </w14:textFill>
              </w:rPr>
              <w:t xml:space="preserve">  项目涉及的危险物料最大储存量及分布位置</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706"/>
              <w:gridCol w:w="2285"/>
              <w:gridCol w:w="1360"/>
              <w:gridCol w:w="18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07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43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最大储存量（t）</w:t>
                  </w:r>
                </w:p>
              </w:tc>
              <w:tc>
                <w:tcPr>
                  <w:tcW w:w="855"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储存方式</w:t>
                  </w:r>
                </w:p>
              </w:tc>
              <w:tc>
                <w:tcPr>
                  <w:tcW w:w="1184"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储存位置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073" w:type="pct"/>
                  <w:vAlign w:val="center"/>
                </w:tcPr>
                <w:p>
                  <w:pPr>
                    <w:pStyle w:val="45"/>
                    <w:spacing w:before="24" w:after="24"/>
                    <w:ind w:firstLine="0" w:firstLineChars="0"/>
                    <w:rPr>
                      <w:rFonts w:hint="eastAsia" w:ascii="Times New Roman" w:eastAsia="宋体"/>
                      <w:color w:val="000000" w:themeColor="text1"/>
                      <w:sz w:val="21"/>
                      <w:szCs w:val="21"/>
                      <w:lang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机油</w:t>
                  </w:r>
                </w:p>
              </w:tc>
              <w:tc>
                <w:tcPr>
                  <w:tcW w:w="1437" w:type="pct"/>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1.0</w:t>
                  </w:r>
                </w:p>
              </w:tc>
              <w:tc>
                <w:tcPr>
                  <w:tcW w:w="855" w:type="pct"/>
                  <w:vAlign w:val="center"/>
                </w:tcPr>
                <w:p>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桶装</w:t>
                  </w:r>
                </w:p>
              </w:tc>
              <w:tc>
                <w:tcPr>
                  <w:tcW w:w="1184" w:type="pct"/>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原料暂存间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073" w:type="pct"/>
                  <w:vAlign w:val="center"/>
                </w:tcPr>
                <w:p>
                  <w:pPr>
                    <w:pStyle w:val="45"/>
                    <w:spacing w:before="24" w:after="24"/>
                    <w:ind w:firstLine="0" w:firstLineChars="0"/>
                    <w:rPr>
                      <w:rFonts w:ascii="Times New Roman" w:eastAsia="宋体"/>
                      <w:bCs/>
                      <w:color w:val="000000" w:themeColor="text1"/>
                      <w:kern w:val="1"/>
                      <w:sz w:val="21"/>
                      <w:szCs w:val="21"/>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废机油</w:t>
                  </w:r>
                </w:p>
              </w:tc>
              <w:tc>
                <w:tcPr>
                  <w:tcW w:w="1437" w:type="pct"/>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5</w:t>
                  </w:r>
                </w:p>
              </w:tc>
              <w:tc>
                <w:tcPr>
                  <w:tcW w:w="855" w:type="pct"/>
                  <w:vAlign w:val="center"/>
                </w:tcPr>
                <w:p>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桶装</w:t>
                  </w:r>
                </w:p>
              </w:tc>
              <w:tc>
                <w:tcPr>
                  <w:tcW w:w="1184" w:type="pct"/>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48"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073" w:type="pct"/>
                  <w:vAlign w:val="center"/>
                </w:tcPr>
                <w:p>
                  <w:pPr>
                    <w:pStyle w:val="45"/>
                    <w:spacing w:before="24" w:after="24"/>
                    <w:ind w:firstLine="0" w:firstLineChars="0"/>
                    <w:rPr>
                      <w:rFonts w:hint="default" w:ascii="Times New Roman" w:eastAsia="宋体"/>
                      <w:color w:val="000000" w:themeColor="text1"/>
                      <w:spacing w:val="-1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废机油桶</w:t>
                  </w:r>
                </w:p>
              </w:tc>
              <w:tc>
                <w:tcPr>
                  <w:tcW w:w="1437" w:type="pct"/>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0.005</w:t>
                  </w:r>
                </w:p>
              </w:tc>
              <w:tc>
                <w:tcPr>
                  <w:tcW w:w="855"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托盘</w:t>
                  </w:r>
                </w:p>
              </w:tc>
              <w:tc>
                <w:tcPr>
                  <w:tcW w:w="1184" w:type="pct"/>
                  <w:vMerge w:val="continue"/>
                  <w:vAlign w:val="center"/>
                </w:tcPr>
                <w:p>
                  <w:pPr>
                    <w:jc w:val="center"/>
                    <w:rPr>
                      <w:color w:val="000000" w:themeColor="text1"/>
                      <w:szCs w:val="21"/>
                      <w14:textFill>
                        <w14:solidFill>
                          <w14:schemeClr w14:val="tx1"/>
                        </w14:solidFill>
                      </w14:textFill>
                    </w:rPr>
                  </w:pP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（1）风险潜势初判和风险评价等级</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w:t>
            </w:r>
            <w:bookmarkStart w:id="40" w:name="_Hlk12633651"/>
            <w:r>
              <w:rPr>
                <w:color w:val="000000" w:themeColor="text1"/>
                <w:szCs w:val="21"/>
                <w14:textFill>
                  <w14:solidFill>
                    <w14:schemeClr w14:val="tx1"/>
                  </w14:solidFill>
                </w14:textFill>
              </w:rPr>
              <w:t>《建设项目环境风险评价技术导则》（HJ</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-2018）</w:t>
            </w:r>
            <w:bookmarkEnd w:id="40"/>
            <w:r>
              <w:rPr>
                <w:color w:val="000000" w:themeColor="text1"/>
                <w:szCs w:val="21"/>
                <w14:textFill>
                  <w14:solidFill>
                    <w14:schemeClr w14:val="tx1"/>
                  </w14:solidFill>
                </w14:textFill>
              </w:rPr>
              <w:t>附录B中对物质临界量的规定，确定危险物质的临界量。</w:t>
            </w:r>
          </w:p>
          <w:p>
            <w:pPr>
              <w:spacing w:line="360" w:lineRule="auto"/>
              <w:ind w:firstLine="48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当只涉及一种危险物质时，计算该物质的总量与其临界量的比值，即为Q；</w:t>
            </w:r>
          </w:p>
          <w:p>
            <w:pPr>
              <w:spacing w:line="360" w:lineRule="auto"/>
              <w:ind w:firstLine="480"/>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color w:val="000000" w:themeColor="text1"/>
                <w:szCs w:val="21"/>
                <w14:textFill>
                  <w14:solidFill>
                    <w14:schemeClr w14:val="tx1"/>
                  </w14:solidFill>
                </w14:textFill>
              </w:rPr>
              <w:t>当存在多种危险物质时，则按下列公式计算物质的总量与其临界量的比值（Q）。</w:t>
            </w:r>
          </w:p>
          <w:p>
            <w:pPr>
              <w:ind w:firstLine="482"/>
              <w:jc w:val="center"/>
              <w:rPr>
                <w:color w:val="000000" w:themeColor="text1"/>
                <w:szCs w:val="21"/>
                <w14:textFill>
                  <w14:solidFill>
                    <w14:schemeClr w14:val="tx1"/>
                  </w14:solidFill>
                </w14:textFill>
              </w:rPr>
            </w:pPr>
            <m:oMathPara>
              <m:oMath>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1</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m:t>
                </m:r>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2</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m:t>
                </m:r>
                <m:f>
                  <m:fPr>
                    <m:ctrlPr>
                      <w:rPr>
                        <w:rFonts w:ascii="Cambria Math" w:hAnsi="Cambria Math"/>
                        <w:i/>
                        <w:color w:val="000000" w:themeColor="text1"/>
                        <w:sz w:val="28"/>
                        <w:szCs w:val="28"/>
                        <w14:textFill>
                          <w14:solidFill>
                            <w14:schemeClr w14:val="tx1"/>
                          </w14:solidFill>
                        </w14:textFill>
                      </w:rPr>
                    </m:ctrlPr>
                  </m:fPr>
                  <m:num>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n</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num>
                  <m:den>
                    <m:sSub>
                      <m:sSubPr>
                        <m:ctrlPr>
                          <w:rPr>
                            <w:rFonts w:ascii="Cambria Math" w:hAnsi="Cambria Math"/>
                            <w:i/>
                            <w:color w:val="000000" w:themeColor="text1"/>
                            <w:sz w:val="28"/>
                            <w:szCs w:val="28"/>
                            <w14:textFill>
                              <w14:solidFill>
                                <w14:schemeClr w14:val="tx1"/>
                              </w14:solidFill>
                            </w14:textFill>
                          </w:rPr>
                        </m:ctrlPr>
                      </m:sSubPr>
                      <m:e>
                        <m:r>
                          <m:rPr/>
                          <w:rPr>
                            <w:rFonts w:ascii="Cambria Math" w:hAnsi="Cambria Math"/>
                            <w:color w:val="000000" w:themeColor="text1"/>
                            <w:sz w:val="28"/>
                            <w:szCs w:val="28"/>
                            <w14:textFill>
                              <w14:solidFill>
                                <w14:schemeClr w14:val="tx1"/>
                              </w14:solidFill>
                            </w14:textFill>
                          </w:rPr>
                          <m:t>Q</m:t>
                        </m:r>
                        <m:ctrlPr>
                          <w:rPr>
                            <w:rFonts w:ascii="Cambria Math" w:hAnsi="Cambria Math"/>
                            <w:i/>
                            <w:color w:val="000000" w:themeColor="text1"/>
                            <w:sz w:val="28"/>
                            <w:szCs w:val="28"/>
                            <w14:textFill>
                              <w14:solidFill>
                                <w14:schemeClr w14:val="tx1"/>
                              </w14:solidFill>
                            </w14:textFill>
                          </w:rPr>
                        </m:ctrlPr>
                      </m:e>
                      <m:sub>
                        <m:r>
                          <m:rPr/>
                          <w:rPr>
                            <w:rFonts w:ascii="Cambria Math" w:hAnsi="Cambria Math"/>
                            <w:color w:val="000000" w:themeColor="text1"/>
                            <w:sz w:val="28"/>
                            <w:szCs w:val="28"/>
                            <w14:textFill>
                              <w14:solidFill>
                                <w14:schemeClr w14:val="tx1"/>
                              </w14:solidFill>
                            </w14:textFill>
                          </w:rPr>
                          <m:t>n</m:t>
                        </m:r>
                        <m:ctrlPr>
                          <w:rPr>
                            <w:rFonts w:ascii="Cambria Math" w:hAnsi="Cambria Math"/>
                            <w:i/>
                            <w:color w:val="000000" w:themeColor="text1"/>
                            <w:sz w:val="28"/>
                            <w:szCs w:val="28"/>
                            <w14:textFill>
                              <w14:solidFill>
                                <w14:schemeClr w14:val="tx1"/>
                              </w14:solidFill>
                            </w14:textFill>
                          </w:rPr>
                        </m:ctrlPr>
                      </m:sub>
                    </m:sSub>
                    <m:ctrlPr>
                      <w:rPr>
                        <w:rFonts w:ascii="Cambria Math" w:hAnsi="Cambria Math"/>
                        <w:i/>
                        <w:color w:val="000000" w:themeColor="text1"/>
                        <w:sz w:val="28"/>
                        <w:szCs w:val="28"/>
                        <w14:textFill>
                          <w14:solidFill>
                            <w14:schemeClr w14:val="tx1"/>
                          </w14:solidFill>
                        </w14:textFill>
                      </w:rPr>
                    </m:ctrlPr>
                  </m:den>
                </m:f>
                <m:r>
                  <m:rPr/>
                  <w:rPr>
                    <w:rFonts w:ascii="Cambria Math" w:hAnsi="Cambria Math"/>
                    <w:color w:val="000000" w:themeColor="text1"/>
                    <w:sz w:val="28"/>
                    <w:szCs w:val="28"/>
                    <w14:textFill>
                      <w14:solidFill>
                        <w14:schemeClr w14:val="tx1"/>
                      </w14:solidFill>
                    </w14:textFill>
                  </w:rPr>
                  <m:t>=Q</m:t>
                </m:r>
              </m:oMath>
            </m:oMathPara>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式中：q1、q2、qn-每种危险物质实际存在量，t；</w:t>
            </w:r>
          </w:p>
          <w:p>
            <w:pPr>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Q1、Q2、Qn-各危险物质相对应的生产场所或贮存区临界量，t。</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本项目厂区较小，且生产单元与储存单元距离较近，因此把整个厂区作为一个单元分析，生产单元和储存单元涉及的危险物质最大使用量及临界量见下表</w:t>
            </w:r>
            <w:r>
              <w:rPr>
                <w:rFonts w:hint="eastAsia"/>
                <w:color w:val="000000" w:themeColor="text1"/>
                <w:szCs w:val="21"/>
                <w14:textFill>
                  <w14:solidFill>
                    <w14:schemeClr w14:val="tx1"/>
                  </w14:solidFill>
                </w14:textFill>
              </w:rPr>
              <w:t>。</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25</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危险物质</w:t>
            </w:r>
            <w:r>
              <w:rPr>
                <w:rFonts w:hint="eastAsia"/>
                <w:b/>
                <w:color w:val="000000" w:themeColor="text1"/>
                <w:szCs w:val="21"/>
                <w14:textFill>
                  <w14:solidFill>
                    <w14:schemeClr w14:val="tx1"/>
                  </w14:solidFill>
                </w14:textFill>
              </w:rPr>
              <w:t>最大储存</w:t>
            </w:r>
            <w:r>
              <w:rPr>
                <w:b/>
                <w:color w:val="000000" w:themeColor="text1"/>
                <w:szCs w:val="21"/>
                <w14:textFill>
                  <w14:solidFill>
                    <w14:schemeClr w14:val="tx1"/>
                  </w14:solidFill>
                </w14:textFill>
              </w:rPr>
              <w:t>量及临界量</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649"/>
              <w:gridCol w:w="1575"/>
              <w:gridCol w:w="1243"/>
              <w:gridCol w:w="1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物料量</w:t>
                  </w:r>
                </w:p>
              </w:tc>
              <w:tc>
                <w:tcPr>
                  <w:tcW w:w="1649"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最大储存量t</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临界量t</w:t>
                  </w:r>
                </w:p>
              </w:tc>
              <w:tc>
                <w:tcPr>
                  <w:tcW w:w="1243"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q/Q</w:t>
                  </w: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是否重大危险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864"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机油</w:t>
                  </w:r>
                </w:p>
              </w:tc>
              <w:tc>
                <w:tcPr>
                  <w:tcW w:w="1649"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500</w:t>
                  </w:r>
                </w:p>
              </w:tc>
              <w:tc>
                <w:tcPr>
                  <w:tcW w:w="1243" w:type="dxa"/>
                  <w:vMerge w:val="restart"/>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0015</w:t>
                  </w: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864"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649" w:type="dxa"/>
                  <w:vAlign w:val="center"/>
                </w:tcPr>
                <w:p>
                  <w:pPr>
                    <w:adjustRightInd w:val="0"/>
                    <w:snapToGrid w:val="0"/>
                    <w:spacing w:line="240" w:lineRule="atLeas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5</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43"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864"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机油桶</w:t>
                  </w:r>
                </w:p>
              </w:tc>
              <w:tc>
                <w:tcPr>
                  <w:tcW w:w="1649" w:type="dxa"/>
                  <w:vAlign w:val="center"/>
                </w:tcPr>
                <w:p>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05</w:t>
                  </w:r>
                </w:p>
              </w:tc>
              <w:tc>
                <w:tcPr>
                  <w:tcW w:w="1575"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43" w:type="dxa"/>
                  <w:vMerge w:val="continue"/>
                  <w:vAlign w:val="center"/>
                </w:tcPr>
                <w:p>
                  <w:pPr>
                    <w:adjustRightInd w:val="0"/>
                    <w:snapToGrid w:val="0"/>
                    <w:spacing w:line="240" w:lineRule="atLeast"/>
                    <w:jc w:val="center"/>
                    <w:rPr>
                      <w:color w:val="000000" w:themeColor="text1"/>
                      <w:szCs w:val="21"/>
                      <w14:textFill>
                        <w14:solidFill>
                          <w14:schemeClr w14:val="tx1"/>
                        </w14:solidFill>
                      </w14:textFill>
                    </w:rPr>
                  </w:pPr>
                </w:p>
              </w:tc>
              <w:tc>
                <w:tcPr>
                  <w:tcW w:w="1567" w:type="dxa"/>
                  <w:vAlign w:val="center"/>
                </w:tcPr>
                <w:p>
                  <w:pPr>
                    <w:adjustRightInd w:val="0"/>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bl>
          <w:p>
            <w:pPr>
              <w:rPr>
                <w:b/>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注：*</w:t>
            </w:r>
            <w:r>
              <w:rPr>
                <w:rFonts w:hint="eastAsia" w:cs="宋体"/>
                <w:b/>
                <w:color w:val="000000" w:themeColor="text1"/>
                <w:sz w:val="18"/>
                <w:szCs w:val="18"/>
                <w:lang w:bidi="ar"/>
                <w14:textFill>
                  <w14:solidFill>
                    <w14:schemeClr w14:val="tx1"/>
                  </w14:solidFill>
                </w14:textFill>
              </w:rPr>
              <w:t>废机油、</w:t>
            </w:r>
            <w:r>
              <w:rPr>
                <w:rFonts w:hint="eastAsia" w:cs="宋体"/>
                <w:b/>
                <w:color w:val="000000" w:themeColor="text1"/>
                <w:sz w:val="18"/>
                <w:szCs w:val="18"/>
                <w:lang w:val="en-US" w:eastAsia="zh-CN" w:bidi="ar"/>
                <w14:textFill>
                  <w14:solidFill>
                    <w14:schemeClr w14:val="tx1"/>
                  </w14:solidFill>
                </w14:textFill>
              </w:rPr>
              <w:t>废机油桶</w:t>
            </w:r>
            <w:r>
              <w:rPr>
                <w:rFonts w:hint="eastAsia" w:cs="宋体"/>
                <w:b/>
                <w:color w:val="000000" w:themeColor="text1"/>
                <w:sz w:val="18"/>
                <w:szCs w:val="18"/>
                <w:lang w:bidi="ar"/>
                <w14:textFill>
                  <w14:solidFill>
                    <w14:schemeClr w14:val="tx1"/>
                  </w14:solidFill>
                </w14:textFill>
              </w:rPr>
              <w:t>的临界量参照《建设项目环境风险评价技术导则》（</w:t>
            </w:r>
            <w:r>
              <w:rPr>
                <w:b/>
                <w:color w:val="000000" w:themeColor="text1"/>
                <w:sz w:val="18"/>
                <w:szCs w:val="18"/>
                <w:lang w:bidi="ar"/>
                <w14:textFill>
                  <w14:solidFill>
                    <w14:schemeClr w14:val="tx1"/>
                  </w14:solidFill>
                </w14:textFill>
              </w:rPr>
              <w:t>HJ</w:t>
            </w:r>
            <w:r>
              <w:rPr>
                <w:rFonts w:hint="eastAsia"/>
                <w:b/>
                <w:color w:val="000000" w:themeColor="text1"/>
                <w:sz w:val="18"/>
                <w:szCs w:val="18"/>
                <w:lang w:eastAsia="zh-CN" w:bidi="ar"/>
                <w14:textFill>
                  <w14:solidFill>
                    <w14:schemeClr w14:val="tx1"/>
                  </w14:solidFill>
                </w14:textFill>
              </w:rPr>
              <w:t>***</w:t>
            </w:r>
            <w:r>
              <w:rPr>
                <w:b/>
                <w:color w:val="000000" w:themeColor="text1"/>
                <w:sz w:val="18"/>
                <w:szCs w:val="18"/>
                <w:lang w:bidi="ar"/>
                <w14:textFill>
                  <w14:solidFill>
                    <w14:schemeClr w14:val="tx1"/>
                  </w14:solidFill>
                </w14:textFill>
              </w:rPr>
              <w:t>-2018</w:t>
            </w:r>
            <w:r>
              <w:rPr>
                <w:rFonts w:hint="eastAsia" w:cs="宋体"/>
                <w:b/>
                <w:color w:val="000000" w:themeColor="text1"/>
                <w:sz w:val="18"/>
                <w:szCs w:val="18"/>
                <w:lang w:bidi="ar"/>
                <w14:textFill>
                  <w14:solidFill>
                    <w14:schemeClr w14:val="tx1"/>
                  </w14:solidFill>
                </w14:textFill>
              </w:rPr>
              <w:t>）附录</w:t>
            </w:r>
            <w:r>
              <w:rPr>
                <w:b/>
                <w:color w:val="000000" w:themeColor="text1"/>
                <w:sz w:val="18"/>
                <w:szCs w:val="18"/>
                <w:lang w:bidi="ar"/>
                <w14:textFill>
                  <w14:solidFill>
                    <w14:schemeClr w14:val="tx1"/>
                  </w14:solidFill>
                </w14:textFill>
              </w:rPr>
              <w:t>B</w:t>
            </w:r>
            <w:r>
              <w:rPr>
                <w:rFonts w:hint="eastAsia" w:cs="宋体"/>
                <w:b/>
                <w:color w:val="000000" w:themeColor="text1"/>
                <w:sz w:val="18"/>
                <w:szCs w:val="18"/>
                <w:lang w:bidi="ar"/>
                <w14:textFill>
                  <w14:solidFill>
                    <w14:schemeClr w14:val="tx1"/>
                  </w14:solidFill>
                </w14:textFill>
              </w:rPr>
              <w:t>表</w:t>
            </w:r>
            <w:r>
              <w:rPr>
                <w:b/>
                <w:color w:val="000000" w:themeColor="text1"/>
                <w:sz w:val="18"/>
                <w:szCs w:val="18"/>
                <w:lang w:bidi="ar"/>
                <w14:textFill>
                  <w14:solidFill>
                    <w14:schemeClr w14:val="tx1"/>
                  </w14:solidFill>
                </w14:textFill>
              </w:rPr>
              <w:t>B.2</w:t>
            </w:r>
            <w:r>
              <w:rPr>
                <w:rFonts w:hint="eastAsia" w:cs="宋体"/>
                <w:b/>
                <w:color w:val="000000" w:themeColor="text1"/>
                <w:sz w:val="18"/>
                <w:szCs w:val="18"/>
                <w:lang w:bidi="ar"/>
                <w14:textFill>
                  <w14:solidFill>
                    <w14:schemeClr w14:val="tx1"/>
                  </w14:solidFill>
                </w14:textFill>
              </w:rPr>
              <w:t>中健康危险急性毒性物质（类别</w:t>
            </w:r>
            <w:r>
              <w:rPr>
                <w:b/>
                <w:color w:val="000000" w:themeColor="text1"/>
                <w:sz w:val="18"/>
                <w:szCs w:val="18"/>
                <w:lang w:bidi="ar"/>
                <w14:textFill>
                  <w14:solidFill>
                    <w14:schemeClr w14:val="tx1"/>
                  </w14:solidFill>
                </w14:textFill>
              </w:rPr>
              <w:t>2</w:t>
            </w:r>
            <w:r>
              <w:rPr>
                <w:rFonts w:hint="eastAsia" w:cs="宋体"/>
                <w:b/>
                <w:color w:val="000000" w:themeColor="text1"/>
                <w:sz w:val="18"/>
                <w:szCs w:val="18"/>
                <w:lang w:bidi="ar"/>
                <w14:textFill>
                  <w14:solidFill>
                    <w14:schemeClr w14:val="tx1"/>
                  </w14:solidFill>
                </w14:textFill>
              </w:rPr>
              <w:t>，类别</w:t>
            </w:r>
            <w:r>
              <w:rPr>
                <w:b/>
                <w:color w:val="000000" w:themeColor="text1"/>
                <w:sz w:val="18"/>
                <w:szCs w:val="18"/>
                <w:lang w:bidi="ar"/>
                <w14:textFill>
                  <w14:solidFill>
                    <w14:schemeClr w14:val="tx1"/>
                  </w14:solidFill>
                </w14:textFill>
              </w:rPr>
              <w:t>3</w:t>
            </w:r>
            <w:r>
              <w:rPr>
                <w:rFonts w:hint="eastAsia" w:cs="宋体"/>
                <w:b/>
                <w:color w:val="000000" w:themeColor="text1"/>
                <w:sz w:val="18"/>
                <w:szCs w:val="18"/>
                <w:lang w:bidi="ar"/>
                <w14:textFill>
                  <w14:solidFill>
                    <w14:schemeClr w14:val="tx1"/>
                  </w14:solidFill>
                </w14:textFill>
              </w:rPr>
              <w:t>）的临界量。</w:t>
            </w:r>
          </w:p>
          <w:p>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根据计算Q=</w:t>
            </w: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0015</w:t>
            </w:r>
            <w:r>
              <w:rPr>
                <w:color w:val="000000" w:themeColor="text1"/>
                <w:szCs w:val="21"/>
                <w14:textFill>
                  <w14:solidFill>
                    <w14:schemeClr w14:val="tx1"/>
                  </w14:solidFill>
                </w14:textFill>
              </w:rPr>
              <w:t>&lt;1，确定本项目环境风险潜势为</w:t>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 1 \* ROMAN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I</w:t>
            </w:r>
            <w:r>
              <w:rPr>
                <w:color w:val="000000" w:themeColor="text1"/>
                <w:szCs w:val="21"/>
                <w14:textFill>
                  <w14:solidFill>
                    <w14:schemeClr w14:val="tx1"/>
                  </w14:solidFill>
                </w14:textFill>
              </w:rPr>
              <w:fldChar w:fldCharType="end"/>
            </w:r>
            <w:r>
              <w:rPr>
                <w:rFonts w:hint="eastAsia"/>
                <w:color w:val="000000" w:themeColor="text1"/>
                <w:szCs w:val="21"/>
                <w14:textFill>
                  <w14:solidFill>
                    <w14:schemeClr w14:val="tx1"/>
                  </w14:solidFill>
                </w14:textFill>
              </w:rPr>
              <w:t>，根据《建设项目环境风险评价技术导则》（HJ</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-2018）中表1可知，本项目仅需对环境风险进行简单分析。</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（2）</w:t>
            </w:r>
            <w:r>
              <w:rPr>
                <w:b/>
                <w:color w:val="000000" w:themeColor="text1"/>
                <w:spacing w:val="-10"/>
                <w:szCs w:val="21"/>
                <w14:textFill>
                  <w14:solidFill>
                    <w14:schemeClr w14:val="tx1"/>
                  </w14:solidFill>
                </w14:textFill>
              </w:rPr>
              <w:t>环境</w:t>
            </w:r>
            <w:r>
              <w:rPr>
                <w:rFonts w:hint="eastAsia"/>
                <w:b/>
                <w:color w:val="000000" w:themeColor="text1"/>
                <w:spacing w:val="-10"/>
                <w:szCs w:val="21"/>
                <w14:textFill>
                  <w14:solidFill>
                    <w14:schemeClr w14:val="tx1"/>
                  </w14:solidFill>
                </w14:textFill>
              </w:rPr>
              <w:t>风险简单分析</w:t>
            </w:r>
          </w:p>
          <w:p>
            <w:pPr>
              <w:spacing w:line="360" w:lineRule="auto"/>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26</w:t>
            </w:r>
            <w:r>
              <w:rPr>
                <w:b/>
                <w:color w:val="000000" w:themeColor="text1"/>
                <w:szCs w:val="21"/>
                <w14:textFill>
                  <w14:solidFill>
                    <w14:schemeClr w14:val="tx1"/>
                  </w14:solidFill>
                </w14:textFill>
              </w:rPr>
              <w:t xml:space="preserve">  建设项目环境风险简单分析内容表</w:t>
            </w:r>
          </w:p>
          <w:tbl>
            <w:tblPr>
              <w:tblStyle w:val="23"/>
              <w:tblW w:w="78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4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177" w:type="dxa"/>
                  <w:tcBorders>
                    <w:bottom w:val="single" w:color="auto" w:sz="12" w:space="0"/>
                  </w:tcBorders>
                  <w:vAlign w:val="center"/>
                </w:tcPr>
                <w:p>
                  <w:pPr>
                    <w:pStyle w:val="66"/>
                    <w:spacing w:line="240" w:lineRule="auto"/>
                    <w:ind w:firstLine="0" w:firstLineChars="0"/>
                    <w:jc w:val="center"/>
                    <w:rPr>
                      <w:b/>
                      <w:bCs/>
                      <w:snapToGrid w:val="0"/>
                      <w:color w:val="000000" w:themeColor="text1"/>
                      <w:sz w:val="21"/>
                      <w:szCs w:val="21"/>
                      <w14:textFill>
                        <w14:solidFill>
                          <w14:schemeClr w14:val="tx1"/>
                        </w14:solidFill>
                      </w14:textFill>
                    </w:rPr>
                  </w:pPr>
                  <w:r>
                    <w:rPr>
                      <w:b/>
                      <w:bCs/>
                      <w:snapToGrid w:val="0"/>
                      <w:color w:val="000000" w:themeColor="text1"/>
                      <w:sz w:val="21"/>
                      <w:szCs w:val="21"/>
                      <w14:textFill>
                        <w14:solidFill>
                          <w14:schemeClr w14:val="tx1"/>
                        </w14:solidFill>
                      </w14:textFill>
                    </w:rPr>
                    <w:t>建设项目名称</w:t>
                  </w:r>
                </w:p>
              </w:tc>
              <w:tc>
                <w:tcPr>
                  <w:tcW w:w="4669" w:type="dxa"/>
                  <w:tcBorders>
                    <w:bottom w:val="single" w:color="auto" w:sz="12" w:space="0"/>
                  </w:tcBorders>
                  <w:vAlign w:val="center"/>
                </w:tcPr>
                <w:p>
                  <w:pPr>
                    <w:pStyle w:val="66"/>
                    <w:spacing w:line="240" w:lineRule="auto"/>
                    <w:ind w:firstLine="0" w:firstLineChars="0"/>
                    <w:jc w:val="center"/>
                    <w:rPr>
                      <w:b/>
                      <w:bCs/>
                      <w:snapToGrid w:val="0"/>
                      <w:color w:val="000000" w:themeColor="text1"/>
                      <w:sz w:val="21"/>
                      <w:szCs w:val="21"/>
                      <w14:textFill>
                        <w14:solidFill>
                          <w14:schemeClr w14:val="tx1"/>
                        </w14:solidFill>
                      </w14:textFill>
                    </w:rPr>
                  </w:pPr>
                  <w:r>
                    <w:rPr>
                      <w:rFonts w:hint="eastAsia"/>
                      <w:b/>
                      <w:bCs/>
                      <w:snapToGrid w:val="0"/>
                      <w:color w:val="000000" w:themeColor="text1"/>
                      <w:sz w:val="21"/>
                      <w:szCs w:val="21"/>
                      <w14:textFill>
                        <w14:solidFill>
                          <w14:schemeClr w14:val="tx1"/>
                        </w14:solidFill>
                      </w14:textFill>
                    </w:rPr>
                    <w:t>多晶硅碎片综合利用项目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7" w:type="dxa"/>
                  <w:tcBorders>
                    <w:top w:val="single" w:color="auto" w:sz="12" w:space="0"/>
                  </w:tcBorders>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建设地点</w:t>
                  </w:r>
                </w:p>
              </w:tc>
              <w:tc>
                <w:tcPr>
                  <w:tcW w:w="4669" w:type="dxa"/>
                  <w:tcBorders>
                    <w:top w:val="single" w:color="auto" w:sz="12" w:space="0"/>
                  </w:tcBorders>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 xml:space="preserve">云南省昆明市东川区碧谷工业园区（新格路与碧龙路交叉口南上段标准化厂房内）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7" w:type="dxa"/>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地理坐标</w:t>
                  </w:r>
                </w:p>
              </w:tc>
              <w:tc>
                <w:tcPr>
                  <w:tcW w:w="4669" w:type="dxa"/>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经度：103度9分42秒； 纬度：26度7分43秒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7" w:type="dxa"/>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主要危险物质及分布</w:t>
                  </w:r>
                </w:p>
              </w:tc>
              <w:tc>
                <w:tcPr>
                  <w:tcW w:w="4669" w:type="dxa"/>
                  <w:vAlign w:val="center"/>
                </w:tcPr>
                <w:p>
                  <w:pPr>
                    <w:pStyle w:val="66"/>
                    <w:spacing w:line="240" w:lineRule="auto"/>
                    <w:ind w:left="56" w:right="56" w:firstLine="420"/>
                    <w:jc w:val="center"/>
                    <w:rPr>
                      <w:bCs/>
                      <w:snapToGrid w:val="0"/>
                      <w:color w:val="000000" w:themeColor="text1"/>
                      <w:sz w:val="21"/>
                      <w:szCs w:val="21"/>
                      <w14:textFill>
                        <w14:solidFill>
                          <w14:schemeClr w14:val="tx1"/>
                        </w14:solidFill>
                      </w14:textFill>
                    </w:rPr>
                  </w:pPr>
                  <w:r>
                    <w:rPr>
                      <w:rFonts w:hint="eastAsia"/>
                      <w:bCs/>
                      <w:snapToGrid w:val="0"/>
                      <w:color w:val="000000" w:themeColor="text1"/>
                      <w:sz w:val="21"/>
                      <w:szCs w:val="21"/>
                      <w14:textFill>
                        <w14:solidFill>
                          <w14:schemeClr w14:val="tx1"/>
                        </w14:solidFill>
                      </w14:textFill>
                    </w:rPr>
                    <w:t>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7" w:type="dxa"/>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环境影响途径及危害后果（大气、地表水、地下水等）</w:t>
                  </w:r>
                </w:p>
              </w:tc>
              <w:tc>
                <w:tcPr>
                  <w:tcW w:w="4669" w:type="dxa"/>
                  <w:vAlign w:val="center"/>
                </w:tcPr>
                <w:p>
                  <w:pPr>
                    <w:pStyle w:val="5"/>
                    <w:snapToGrid w:val="0"/>
                    <w:ind w:firstLine="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火灾燃烧产物CO、黑烟等，源强不易预测，主要影响区域大气环境；消防废水中污染物主要为SS，可能对项目区下游水环境造成影响。；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7" w:type="dxa"/>
                  <w:vAlign w:val="center"/>
                </w:tcPr>
                <w:p>
                  <w:pPr>
                    <w:pStyle w:val="66"/>
                    <w:spacing w:line="240" w:lineRule="auto"/>
                    <w:ind w:firstLine="0" w:firstLineChars="0"/>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风险防范措施要求</w:t>
                  </w:r>
                </w:p>
              </w:tc>
              <w:tc>
                <w:tcPr>
                  <w:tcW w:w="4669" w:type="dxa"/>
                  <w:vAlign w:val="center"/>
                </w:tcPr>
                <w:p>
                  <w:pPr>
                    <w:pStyle w:val="66"/>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①项目内加强管理，在原料堆场、成品堆场等生产区禁止火源，杜绝火灾事故发生；</w:t>
                  </w:r>
                </w:p>
                <w:p>
                  <w:pPr>
                    <w:pStyle w:val="66"/>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②项目内配备消防箱、灭火器等，事故发生后第一时间采取措施；</w:t>
                  </w:r>
                </w:p>
                <w:p>
                  <w:pPr>
                    <w:pStyle w:val="66"/>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③发现起火，立即报警，通过消防灭火。首先采用抗溶性泡沫、干粉、二氧化碳等灭火器灭火。</w:t>
                  </w:r>
                </w:p>
                <w:p>
                  <w:pPr>
                    <w:pStyle w:val="66"/>
                    <w:spacing w:line="240" w:lineRule="auto"/>
                    <w:ind w:firstLine="0" w:firstLineChars="0"/>
                    <w:jc w:val="left"/>
                    <w:rPr>
                      <w:snapToGrid w:val="0"/>
                      <w:color w:val="000000" w:themeColor="text1"/>
                      <w:kern w:val="24"/>
                      <w:sz w:val="21"/>
                      <w:szCs w:val="21"/>
                      <w14:textFill>
                        <w14:solidFill>
                          <w14:schemeClr w14:val="tx1"/>
                        </w14:solidFill>
                      </w14:textFill>
                    </w:rPr>
                  </w:pPr>
                  <w:r>
                    <w:rPr>
                      <w:snapToGrid w:val="0"/>
                      <w:color w:val="000000" w:themeColor="text1"/>
                      <w:kern w:val="24"/>
                      <w:sz w:val="21"/>
                      <w:szCs w:val="21"/>
                      <w14:textFill>
                        <w14:solidFill>
                          <w14:schemeClr w14:val="tx1"/>
                        </w14:solidFill>
                      </w14:textFill>
                    </w:rPr>
                    <w:t xml:space="preserve">④切断火势漫延的途径，冷却和疏散受火势威胁的可燃物，控制燃烧范围。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846" w:type="dxa"/>
                  <w:gridSpan w:val="2"/>
                  <w:vAlign w:val="center"/>
                </w:tcPr>
                <w:p>
                  <w:pPr>
                    <w:pStyle w:val="66"/>
                    <w:spacing w:line="240" w:lineRule="auto"/>
                    <w:ind w:firstLine="0" w:firstLineChars="0"/>
                    <w:jc w:val="left"/>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根据《建设项目环境风险评价技术导则》(HJ</w:t>
                  </w:r>
                  <w:r>
                    <w:rPr>
                      <w:rFonts w:hint="eastAsia"/>
                      <w:snapToGrid w:val="0"/>
                      <w:color w:val="000000" w:themeColor="text1"/>
                      <w:sz w:val="21"/>
                      <w:szCs w:val="21"/>
                      <w:lang w:eastAsia="zh-CN"/>
                      <w14:textFill>
                        <w14:solidFill>
                          <w14:schemeClr w14:val="tx1"/>
                        </w14:solidFill>
                      </w14:textFill>
                    </w:rPr>
                    <w:t>***</w:t>
                  </w:r>
                  <w:r>
                    <w:rPr>
                      <w:snapToGrid w:val="0"/>
                      <w:color w:val="000000" w:themeColor="text1"/>
                      <w:sz w:val="21"/>
                      <w:szCs w:val="21"/>
                      <w14:textFill>
                        <w14:solidFill>
                          <w14:schemeClr w14:val="tx1"/>
                        </w14:solidFill>
                      </w14:textFill>
                    </w:rPr>
                    <w:t>-2018)，本项目风险潜势为</w:t>
                  </w:r>
                  <w:r>
                    <w:rPr>
                      <w:snapToGrid w:val="0"/>
                      <w:color w:val="000000" w:themeColor="text1"/>
                      <w:sz w:val="21"/>
                      <w:szCs w:val="21"/>
                      <w14:textFill>
                        <w14:solidFill>
                          <w14:schemeClr w14:val="tx1"/>
                        </w14:solidFill>
                      </w14:textFill>
                    </w:rPr>
                    <w:fldChar w:fldCharType="begin"/>
                  </w:r>
                  <w:r>
                    <w:rPr>
                      <w:snapToGrid w:val="0"/>
                      <w:color w:val="000000" w:themeColor="text1"/>
                      <w:sz w:val="21"/>
                      <w:szCs w:val="21"/>
                      <w14:textFill>
                        <w14:solidFill>
                          <w14:schemeClr w14:val="tx1"/>
                        </w14:solidFill>
                      </w14:textFill>
                    </w:rPr>
                    <w:instrText xml:space="preserve"> = 1 \* ROMAN </w:instrText>
                  </w:r>
                  <w:r>
                    <w:rPr>
                      <w:snapToGrid w:val="0"/>
                      <w:color w:val="000000" w:themeColor="text1"/>
                      <w:sz w:val="21"/>
                      <w:szCs w:val="21"/>
                      <w14:textFill>
                        <w14:solidFill>
                          <w14:schemeClr w14:val="tx1"/>
                        </w14:solidFill>
                      </w14:textFill>
                    </w:rPr>
                    <w:fldChar w:fldCharType="separate"/>
                  </w:r>
                  <w:r>
                    <w:rPr>
                      <w:snapToGrid w:val="0"/>
                      <w:color w:val="000000" w:themeColor="text1"/>
                      <w:sz w:val="21"/>
                      <w:szCs w:val="21"/>
                      <w14:textFill>
                        <w14:solidFill>
                          <w14:schemeClr w14:val="tx1"/>
                        </w14:solidFill>
                      </w14:textFill>
                    </w:rPr>
                    <w:t>I</w:t>
                  </w:r>
                  <w:r>
                    <w:rPr>
                      <w:snapToGrid w:val="0"/>
                      <w:color w:val="000000" w:themeColor="text1"/>
                      <w:sz w:val="21"/>
                      <w:szCs w:val="21"/>
                      <w14:textFill>
                        <w14:solidFill>
                          <w14:schemeClr w14:val="tx1"/>
                        </w14:solidFill>
                      </w14:textFill>
                    </w:rPr>
                    <w:fldChar w:fldCharType="end"/>
                  </w:r>
                  <w:r>
                    <w:rPr>
                      <w:snapToGrid w:val="0"/>
                      <w:color w:val="000000" w:themeColor="text1"/>
                      <w:sz w:val="21"/>
                      <w:szCs w:val="21"/>
                      <w14:textFill>
                        <w14:solidFill>
                          <w14:schemeClr w14:val="tx1"/>
                        </w14:solidFill>
                      </w14:textFill>
                    </w:rPr>
                    <w:t>，仅开展简单分析。</w:t>
                  </w:r>
                </w:p>
              </w:tc>
            </w:tr>
          </w:tbl>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（3）源项分析</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风险源项分析的主要目的是确定最大可信事故的发生概率。按照《建设项目环境风险评价技术导则》中的定义，最大可信事故指：在所有预测的概率不为零的事故中，对环境(或健康) 危害最严重的重大事故。本项目原料仓库乙醇、助焊剂等液体原料发生泄漏事故的发生概率不为零，若及时发现，立即采取措施，可消除其影响。本项目若废气处理设施出现故障，未经处理或处理不完全的颗粒物、有机废气会直接排入大气，加重对周围大气的影响，从而对人体健康产生危害，若及时发现，可立即采取措施消除影响。若“四防”措施不到位，本项目危废仓库危废可能发生意外泄漏，将通过地面渗漏进而影响土壤和地下水；企业将按照《关于加强危险废物交换和转移管理工作的通知》、《危险废物贮存污染控制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-2023）相关要求进行危险废物的收集、暂存、转移、处置，采取相应的措施后，危险废物渗漏发生的可性较小。本项目废机油、废含油手套、抹布、废抹布易燃，乙醇遇明火、受热可燃且与空气混合明火、受热可爆，可能引起火灾爆炸事故，其危害远大于物料泄露及废气处理设施出现故障所引起的危害。</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因此，结合项目特点，本项目最大可信事故确定为</w:t>
            </w:r>
            <w:r>
              <w:rPr>
                <w:rFonts w:hint="eastAsia"/>
                <w:color w:val="000000" w:themeColor="text1"/>
                <w:szCs w:val="21"/>
                <w:lang w:val="en-US" w:eastAsia="zh-CN"/>
                <w14:textFill>
                  <w14:solidFill>
                    <w14:schemeClr w14:val="tx1"/>
                  </w14:solidFill>
                </w14:textFill>
              </w:rPr>
              <w:t>机油</w:t>
            </w:r>
            <w:r>
              <w:rPr>
                <w:rFonts w:hint="eastAsia"/>
                <w:color w:val="000000" w:themeColor="text1"/>
                <w:szCs w:val="21"/>
                <w14:textFill>
                  <w14:solidFill>
                    <w14:schemeClr w14:val="tx1"/>
                  </w14:solidFill>
                </w14:textFill>
              </w:rPr>
              <w:t>、废机油可能引起的火灾爆炸事故。目前国内绝大多数企业能安全运行。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（4）风险管理要求</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针对本项目特点，提出以下几点环境风险管理要求：</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①严格按照防火规范进行平面布置。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②定期检查、维护原料仓库危险品储存区设施、设备，以确保正常运行。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③危险品储存区设置明显的禁火标志。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④安装火灾设备检测仪表、消防自控设施。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⑤在项目正式投产运行前，制定出供正常、异常或紧急状态下的操作和维修计划，并对操 作和维修人员进行岗前培训，避免因严重操作失误而造成人为事故。</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⑦采取相应的火灾、爆炸事故的预防措施。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⑧加强员工的事故安全知识教育，要求全体人员了解事故处理的程序，事故处理器材的使用方法，一旦出现事故可以立即停产，控制事故的危害范围和程度。</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（5）风险防范措施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针对本项目可能发生的环境风险事故，提出以下风险防范措施：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①贮运工程风险防范措施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a.原料桶不得露天堆放，储存于阴凉通风仓间内，远离火种、热源，防止阳光直射，应与易燃或可燃物分开存放。搬运时轻装轻卸，防止原料桶破损或倾倒。</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b.划定禁火区，在明显地点设有警示标志，输配电线、灯具、火灾事故照明和疏散指示标志均应符合安全要求；严禁未安装灭火星装置的车辆出入生产装置区。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c.在涂料贮存仓库设环形沟，并进行了地面防渗；发生大量泄漏：引流入环形沟收容；用泡沫覆盖，抑制蒸发；小量泄漏时应用活性炭或其它惰性材料吸收。</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d.合理规划运输路线及时间，加强危险化学物品运输车辆的管理，严格遵守危险品运输管理规定，避免运输过程事故的发生。</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②废气事故排放防范措施 发生事故的原因主要由以下几个：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a.废气处理系统出现故障、设备开车、停车检修时废气直接排入大气环境中；</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b.生产过程中由于设备老化、腐蚀、实务操作等原因造成车间废气浓度超标；</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c.厂内突然停电、废气处理系统停止工作，致使废气不能得到及时处理；</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d.对废气治理措施疏于管理，使治理措施处理效率降低造成废气浓度超标；</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为杜绝事故性废气排放，建议采用以下措施确保废气达标排放：</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a.平时加强废气处理设施的维护保养，及时发现处理设备的隐患，并及时进行维修，确保废气处理系统正常运行；</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b.建立健全的环保机构，配置必要的监测仪器，对管理人员和技术人员进行岗位培训，对废气处理实行全过程跟踪控制；</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③固废暂存及转移过程环境风险措施</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a、按《一般工业固体废物贮存、处置场污染控制标准》（GB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-2020）、《危险废物贮存污染控制标准》（GB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-2023）要求做好地面硬化、防渗处理；对废机油等采用桶装贮存；堆放场所四周设置导流渠，防止雨水径流进入堆放场内。</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b、建设单位应做好危废转移申报、转移联单等相关手续，需满足《关于加强危险废物交换和转移管理工作的通知》要求；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c、加强对固体废弃物管理，做好跟踪管理，建立管理台帐；在转移危险废物前，须按照国家有关规定报批危险废物转移计划； </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d、经批准后，应当向移出地环境保护行政主管部门申请。产生单位应当在危险废物转移前三日内报告移出地环境保护行政主管部门，并同时将预期到达时间报告接受地环境保护行政主管部门。</w:t>
            </w:r>
          </w:p>
          <w:p>
            <w:pPr>
              <w:adjustRightIn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e、危险废物委托处置单位应具备相应的资质，运输车辆须经主管单位检查，并持有有关单位签发的许可证，承载危险废物的车辆须有明显的标志。 </w:t>
            </w:r>
          </w:p>
          <w:p>
            <w:pPr>
              <w:adjustRightInd w:val="0"/>
              <w:snapToGrid w:val="0"/>
              <w:spacing w:line="360" w:lineRule="auto"/>
              <w:ind w:firstLine="382" w:firstLineChars="200"/>
              <w:rPr>
                <w:b/>
                <w:color w:val="000000" w:themeColor="text1"/>
                <w:spacing w:val="-10"/>
                <w:szCs w:val="21"/>
                <w14:textFill>
                  <w14:solidFill>
                    <w14:schemeClr w14:val="tx1"/>
                  </w14:solidFill>
                </w14:textFill>
              </w:rPr>
            </w:pPr>
            <w:r>
              <w:rPr>
                <w:rFonts w:hint="eastAsia"/>
                <w:b/>
                <w:color w:val="000000" w:themeColor="text1"/>
                <w:spacing w:val="-10"/>
                <w:szCs w:val="21"/>
                <w14:textFill>
                  <w14:solidFill>
                    <w14:schemeClr w14:val="tx1"/>
                  </w14:solidFill>
                </w14:textFill>
              </w:rPr>
              <w:t>（6）事故应急预案</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①制定环境风险应急预案，建立应急组织机构，负责应急突发事件的组织、指挥、抢修、控制、协调等应急响应行动； </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②风险事故应急队伍收到事故信息后，应立即赶赴现场，确认事故应急状态等级和危急程序，确定应急抢修方案，迅速开展各项抢修、抢救工作。若事故严重，同事请求政府应急支援；</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③设置火警专线电话，以确保紧急情况下通讯畅通；</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④应急计划制定后，平时安排人员培训与演练；对邻近地区开展公众教育、培训和发布有关信息等； </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⑤应急预案完成后应向当地生态环境局备案。</w:t>
            </w:r>
          </w:p>
          <w:p>
            <w:pPr>
              <w:spacing w:line="360" w:lineRule="auto"/>
              <w:ind w:firstLine="420" w:firstLineChars="200"/>
              <w:contextualSpacing/>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上分析，由于项目风险物质存放量较小，产生事故的概率较小，建设单位在加强环境风险管理，制定完善的风险预案的前提下，可确保发生风险事故时不会危及到周围敏感目标及污染外环境，事故风险处于可控状态。应急对策和预案的内容及要求如下表：</w:t>
            </w:r>
          </w:p>
          <w:p>
            <w:pPr>
              <w:spacing w:line="360" w:lineRule="auto"/>
              <w:ind w:firstLine="422" w:firstLineChars="20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27</w:t>
            </w:r>
            <w:r>
              <w:rPr>
                <w:rFonts w:hint="eastAsia"/>
                <w:b/>
                <w:color w:val="000000" w:themeColor="text1"/>
                <w:szCs w:val="21"/>
                <w14:textFill>
                  <w14:solidFill>
                    <w14:schemeClr w14:val="tx1"/>
                  </w14:solidFill>
                </w14:textFill>
              </w:rPr>
              <w:t xml:space="preserve"> 应急预案内容</w:t>
            </w:r>
          </w:p>
          <w:tbl>
            <w:tblPr>
              <w:tblStyle w:val="23"/>
              <w:tblW w:w="791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28"/>
              <w:gridCol w:w="2571"/>
              <w:gridCol w:w="412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内容及要求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应急计划区</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危险目标：生产区、贮存区、环境保护目标等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应急组织机构、人员</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工厂、地区应急组织机构、人员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预案分级响应条件</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应急救援保障</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报警、通讯联络方式</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规定应急状态下的报警通讯方式、通知方式和交通保障、管制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应急环境监测、抢险、救援及控制措施</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由专业队伍负责对事故现场进行侦察监测，对事故性质、参数与后果进行评估，为指挥部门提供决策依据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应急检测、防护措施、器材</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事故现场、邻近区域、控制防火区域，控制和清除污染措施及相应设备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人员紧急撤离、疏散，应急剂量控制、撤离组织计划</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事故现场、工厂邻近区、受事故影响的区域人员及公众对毒物应急剂量控制规定，撤离组织计划及救护，医疗救护与公众健康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事故应急救援关闭程序与恢复措施</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事故现场善后处理，恢复措施</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邻近区域解除事故警戒及善后恢复措施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应急培训计划</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22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5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公众教育和信息</w:t>
                  </w:r>
                </w:p>
              </w:tc>
              <w:tc>
                <w:tcPr>
                  <w:tcW w:w="41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对厂区邻近地区开展公众教育、培训和发布有关信息</w:t>
                  </w:r>
                </w:p>
              </w:tc>
            </w:tr>
            <w:bookmarkEnd w:id="39"/>
          </w:tbl>
          <w:p>
            <w:pPr>
              <w:pStyle w:val="76"/>
              <w:spacing w:line="360" w:lineRule="auto"/>
              <w:ind w:firstLine="0" w:firstLineChars="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w:t>
            </w:r>
            <w:r>
              <w:rPr>
                <w:rFonts w:hint="eastAsia" w:eastAsia="宋体"/>
                <w:b/>
                <w:bCs/>
                <w:color w:val="000000" w:themeColor="text1"/>
                <w:sz w:val="21"/>
                <w:szCs w:val="21"/>
                <w:lang w:val="en-US" w:eastAsia="zh-CN"/>
                <w14:textFill>
                  <w14:solidFill>
                    <w14:schemeClr w14:val="tx1"/>
                  </w14:solidFill>
                </w14:textFill>
              </w:rPr>
              <w:t>七</w:t>
            </w:r>
            <w:r>
              <w:rPr>
                <w:rFonts w:hint="eastAsia" w:eastAsia="宋体"/>
                <w:b/>
                <w:bCs/>
                <w:color w:val="000000" w:themeColor="text1"/>
                <w:sz w:val="21"/>
                <w:szCs w:val="21"/>
                <w14:textFill>
                  <w14:solidFill>
                    <w14:schemeClr w14:val="tx1"/>
                  </w14:solidFill>
                </w14:textFill>
              </w:rPr>
              <w:t>）排污许可证管理要求</w:t>
            </w:r>
          </w:p>
          <w:p>
            <w:pPr>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根据《国民经济行业分类》（GB/T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-2017）本项目属于</w:t>
            </w:r>
            <w:r>
              <w:rPr>
                <w:color w:val="000000" w:themeColor="text1"/>
                <w:szCs w:val="21"/>
                <w14:textFill>
                  <w14:solidFill>
                    <w14:schemeClr w14:val="tx1"/>
                  </w14:solidFill>
                </w14:textFill>
              </w:rPr>
              <w:t>C3099其他非金属矿物制品制造</w:t>
            </w:r>
            <w:r>
              <w:rPr>
                <w:rFonts w:hint="eastAsia"/>
                <w:color w:val="000000" w:themeColor="text1"/>
                <w:szCs w:val="21"/>
                <w14:textFill>
                  <w14:solidFill>
                    <w14:schemeClr w14:val="tx1"/>
                  </w14:solidFill>
                </w14:textFill>
              </w:rPr>
              <w:t>，根据《固定污染源排污许可分类管理名录》（2019版），属于简化管理，应按时申领排污许可证。</w:t>
            </w: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p>
            <w:pPr>
              <w:adjustRightInd w:val="0"/>
              <w:snapToGrid w:val="0"/>
              <w:rPr>
                <w:rFonts w:hint="eastAsia" w:ascii="宋体" w:hAnsi="宋体" w:cs="宋体"/>
                <w:bCs/>
                <w:color w:val="000000" w:themeColor="text1"/>
                <w:spacing w:val="-10"/>
                <w:szCs w:val="21"/>
                <w:lang w:val="en-US" w:eastAsia="zh-CN"/>
                <w14:textFill>
                  <w14:solidFill>
                    <w14:schemeClr w14:val="tx1"/>
                  </w14:solidFill>
                </w14:textFill>
              </w:rPr>
            </w:pPr>
          </w:p>
          <w:p>
            <w:pPr>
              <w:adjustRightInd w:val="0"/>
              <w:snapToGrid w:val="0"/>
              <w:rPr>
                <w:rFonts w:ascii="宋体" w:hAnsi="宋体" w:cs="宋体"/>
                <w:bCs/>
                <w:color w:val="000000" w:themeColor="text1"/>
                <w:spacing w:val="-10"/>
                <w:szCs w:val="21"/>
                <w14:textFill>
                  <w14:solidFill>
                    <w14:schemeClr w14:val="tx1"/>
                  </w14:solidFill>
                </w14:textFill>
              </w:rPr>
            </w:pPr>
          </w:p>
        </w:tc>
      </w:tr>
    </w:tbl>
    <w:p>
      <w:pPr>
        <w:pStyle w:val="9"/>
        <w:rPr>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center"/>
        <w:outlineLvl w:val="0"/>
        <w:rPr>
          <w:rFonts w:ascii="黑体" w:hAnsi="黑体" w:eastAsia="黑体"/>
          <w:snapToGrid w:val="0"/>
          <w:color w:val="000000" w:themeColor="text1"/>
          <w:sz w:val="30"/>
          <w:szCs w:val="30"/>
          <w14:textFill>
            <w14:solidFill>
              <w14:schemeClr w14:val="tx1"/>
            </w14:solidFill>
          </w14:textFill>
        </w:rPr>
      </w:pPr>
      <w:bookmarkStart w:id="41" w:name="_Toc24163"/>
      <w:bookmarkStart w:id="42" w:name="_Toc21155"/>
      <w:r>
        <w:rPr>
          <w:rFonts w:hint="eastAsia" w:ascii="黑体" w:hAnsi="黑体" w:eastAsia="黑体"/>
          <w:snapToGrid w:val="0"/>
          <w:color w:val="000000" w:themeColor="text1"/>
          <w:sz w:val="30"/>
          <w:szCs w:val="30"/>
          <w14:textFill>
            <w14:solidFill>
              <w14:schemeClr w14:val="tx1"/>
            </w14:solidFill>
          </w14:textFill>
        </w:rPr>
        <w:t>五、</w:t>
      </w:r>
      <w:bookmarkStart w:id="43"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41"/>
      <w:bookmarkEnd w:id="42"/>
      <w:bookmarkEnd w:id="4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329"/>
        <w:gridCol w:w="1716"/>
        <w:gridCol w:w="2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78" w:type="dxa"/>
            <w:tcBorders>
              <w:tl2br w:val="single" w:color="auto" w:sz="4" w:space="0"/>
            </w:tcBorders>
          </w:tcPr>
          <w:p>
            <w:pPr>
              <w:adjustRightInd w:val="0"/>
              <w:snapToGrid w:val="0"/>
              <w:ind w:firstLine="84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内容</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要素</w:t>
            </w:r>
          </w:p>
        </w:tc>
        <w:tc>
          <w:tcPr>
            <w:tcW w:w="1755"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排放口(编号、</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名称)/污染源</w:t>
            </w:r>
          </w:p>
        </w:tc>
        <w:tc>
          <w:tcPr>
            <w:tcW w:w="1329"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污染物项目</w:t>
            </w:r>
          </w:p>
        </w:tc>
        <w:tc>
          <w:tcPr>
            <w:tcW w:w="1716"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环境保护措施</w:t>
            </w:r>
          </w:p>
        </w:tc>
        <w:tc>
          <w:tcPr>
            <w:tcW w:w="2222"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755"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DA001</w:t>
            </w:r>
          </w:p>
        </w:tc>
        <w:tc>
          <w:tcPr>
            <w:tcW w:w="1329"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716"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脉冲式布袋除尘器</w:t>
            </w:r>
          </w:p>
        </w:tc>
        <w:tc>
          <w:tcPr>
            <w:tcW w:w="2222"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w:t>
            </w:r>
          </w:p>
        </w:tc>
        <w:tc>
          <w:tcPr>
            <w:tcW w:w="1329" w:type="dxa"/>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716" w:type="dxa"/>
            <w:vAlign w:val="center"/>
          </w:tcPr>
          <w:p>
            <w:pPr>
              <w:adjustRightInd w:val="0"/>
              <w:snapToGrid w:val="0"/>
              <w:jc w:val="center"/>
              <w:rPr>
                <w:rFonts w:hint="eastAsia"/>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脉冲式布袋除尘器</w:t>
            </w:r>
          </w:p>
        </w:tc>
        <w:tc>
          <w:tcPr>
            <w:tcW w:w="2222" w:type="dxa"/>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无组织废气</w:t>
            </w:r>
          </w:p>
        </w:tc>
        <w:tc>
          <w:tcPr>
            <w:tcW w:w="1329" w:type="dxa"/>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716" w:type="dxa"/>
            <w:vAlign w:val="center"/>
          </w:tcPr>
          <w:p>
            <w:pPr>
              <w:adjustRightInd w:val="0"/>
              <w:snapToGrid w:val="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w:t>
            </w:r>
          </w:p>
        </w:tc>
        <w:tc>
          <w:tcPr>
            <w:tcW w:w="2222" w:type="dxa"/>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大气污染物综合排放标准》（GB</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-1996）中表2</w:t>
            </w:r>
            <w:r>
              <w:rPr>
                <w:rFonts w:hint="eastAsia"/>
                <w:color w:val="000000" w:themeColor="text1"/>
                <w:szCs w:val="21"/>
                <w:lang w:val="en-US" w:eastAsia="zh-CN"/>
                <w14:textFill>
                  <w14:solidFill>
                    <w14:schemeClr w14:val="tx1"/>
                  </w14:solidFill>
                </w14:textFill>
              </w:rPr>
              <w:t>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1329"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、氨氮、动植物油、SS</w:t>
            </w:r>
          </w:p>
        </w:tc>
        <w:tc>
          <w:tcPr>
            <w:tcW w:w="1716"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w:t>
            </w:r>
          </w:p>
        </w:tc>
        <w:tc>
          <w:tcPr>
            <w:tcW w:w="222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《污水排入城市下水道水质标准》（GB/T3</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-2015）中</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冷却循环水</w:t>
            </w:r>
          </w:p>
        </w:tc>
        <w:tc>
          <w:tcPr>
            <w:tcW w:w="1329" w:type="dxa"/>
            <w:vAlign w:val="center"/>
          </w:tcPr>
          <w:p>
            <w:pPr>
              <w:adjustRightInd w:val="0"/>
              <w:snapToGrid w:val="0"/>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COD、SS</w:t>
            </w:r>
          </w:p>
        </w:tc>
        <w:tc>
          <w:tcPr>
            <w:tcW w:w="1716" w:type="dxa"/>
            <w:vAlign w:val="center"/>
          </w:tcPr>
          <w:p>
            <w:pPr>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冷却循环水池</w:t>
            </w:r>
          </w:p>
        </w:tc>
        <w:tc>
          <w:tcPr>
            <w:tcW w:w="222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生产废水</w:t>
            </w:r>
          </w:p>
        </w:tc>
        <w:tc>
          <w:tcPr>
            <w:tcW w:w="1329" w:type="dxa"/>
            <w:vAlign w:val="center"/>
          </w:tcPr>
          <w:p>
            <w:pPr>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COD、SS</w:t>
            </w:r>
          </w:p>
        </w:tc>
        <w:tc>
          <w:tcPr>
            <w:tcW w:w="1716" w:type="dxa"/>
            <w:vAlign w:val="center"/>
          </w:tcPr>
          <w:p>
            <w:pPr>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沉淀池处理</w:t>
            </w:r>
          </w:p>
        </w:tc>
        <w:tc>
          <w:tcPr>
            <w:tcW w:w="2222"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75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设备、车辆、人员</w:t>
            </w:r>
          </w:p>
        </w:tc>
        <w:tc>
          <w:tcPr>
            <w:tcW w:w="132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71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设备加装减震垫、墙体隔声</w:t>
            </w:r>
          </w:p>
        </w:tc>
        <w:tc>
          <w:tcPr>
            <w:tcW w:w="222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达到《工业企业厂界环境噪声排放标准》（GB</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电磁辐射</w:t>
            </w:r>
          </w:p>
        </w:tc>
        <w:tc>
          <w:tcPr>
            <w:tcW w:w="1755"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1329"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1716"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2222"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778"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固体废物</w:t>
            </w:r>
          </w:p>
        </w:tc>
        <w:tc>
          <w:tcPr>
            <w:tcW w:w="7022" w:type="dxa"/>
            <w:gridSpan w:val="4"/>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详见固废章节</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土壤及地下水</w:t>
            </w:r>
          </w:p>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污染防治措施</w:t>
            </w:r>
          </w:p>
        </w:tc>
        <w:tc>
          <w:tcPr>
            <w:tcW w:w="7022" w:type="dxa"/>
            <w:gridSpan w:val="4"/>
            <w:vAlign w:val="center"/>
          </w:tcPr>
          <w:p>
            <w:pPr>
              <w:adjustRightInd w:val="0"/>
              <w:snapToGrid w:val="0"/>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重点防渗区采用防渗涂料，渗透系数≤1.0×10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cm/s；一般污染防治区，渗透系数≤1.0×1</w:t>
            </w:r>
            <w:r>
              <w:rPr>
                <w:rFonts w:hint="eastAsia"/>
                <w:color w:val="000000" w:themeColor="text1"/>
                <w:szCs w:val="21"/>
                <w14:textFill>
                  <w14:solidFill>
                    <w14:schemeClr w14:val="tx1"/>
                  </w14:solidFill>
                </w14:textFill>
              </w:rPr>
              <w:t>0</w:t>
            </w:r>
            <w:r>
              <w:rPr>
                <w:color w:val="000000" w:themeColor="text1"/>
                <w:szCs w:val="21"/>
                <w:vertAlign w:val="superscript"/>
                <w14:textFill>
                  <w14:solidFill>
                    <w14:schemeClr w14:val="tx1"/>
                  </w14:solidFill>
                </w14:textFill>
              </w:rPr>
              <w:t xml:space="preserve"> -7</w:t>
            </w:r>
            <w:r>
              <w:rPr>
                <w:color w:val="000000" w:themeColor="text1"/>
                <w:szCs w:val="21"/>
                <w14:textFill>
                  <w14:solidFill>
                    <w14:schemeClr w14:val="tx1"/>
                  </w14:solidFill>
                </w14:textFill>
              </w:rPr>
              <w:t>cm/s，通过加强定期检查消除污染隐患，发现有污染物泄漏或渗漏，及时修补。</w:t>
            </w:r>
          </w:p>
          <w:p>
            <w:pPr>
              <w:adjustRightInd w:val="0"/>
              <w:snapToGrid w:val="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2</w:t>
            </w:r>
            <w:r>
              <w:rPr>
                <w:rFonts w:hint="eastAsia"/>
                <w:color w:val="000000" w:themeColor="text1"/>
                <w:szCs w:val="21"/>
                <w14:textFill>
                  <w14:solidFill>
                    <w14:schemeClr w14:val="tx1"/>
                  </w14:solidFill>
                </w14:textFill>
              </w:rPr>
              <w:t>）产品储存</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车间内设置产品存储区，面积约200m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，最大储存量约500吨。产品高纯度硅材料采用吨袋进行包装，产品储存区也在车间内。</w:t>
            </w:r>
          </w:p>
          <w:p>
            <w:pPr>
              <w:adjustRightInd w:val="0"/>
              <w:snapToGrid w:val="0"/>
              <w:jc w:val="left"/>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3）原料及产品储存区污染控制及防渗处理要求</w:t>
            </w:r>
            <w:r>
              <w:rPr>
                <w:rFonts w:hint="eastAsia"/>
                <w:color w:val="000000" w:themeColor="text1"/>
                <w:szCs w:val="21"/>
                <w:lang w:eastAsia="zh-CN"/>
                <w14:textFill>
                  <w14:solidFill>
                    <w14:schemeClr w14:val="tx1"/>
                  </w14:solidFill>
                </w14:textFill>
              </w:rPr>
              <w:t>：</w:t>
            </w:r>
          </w:p>
          <w:p>
            <w:pPr>
              <w:adjustRightInd w:val="0"/>
              <w:snapToGrid w:val="0"/>
              <w:jc w:val="left"/>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整个生产车间基础进行防渗处理，地基处理由底层至地面分别为：基础→砂层→土工布→HDPE防渗膜→土工布→砂层→混凝土地面→耐磨面层（环氧树脂地坪），渗透系数≤10</w:t>
            </w:r>
            <w:r>
              <w:rPr>
                <w:rFonts w:hint="eastAsia"/>
                <w:color w:val="000000" w:themeColor="text1"/>
                <w:szCs w:val="21"/>
                <w:vertAlign w:val="superscript"/>
                <w14:textFill>
                  <w14:solidFill>
                    <w14:schemeClr w14:val="tx1"/>
                  </w14:solidFill>
                </w14:textFill>
              </w:rPr>
              <w:t>-10</w:t>
            </w:r>
            <w:r>
              <w:rPr>
                <w:rFonts w:hint="eastAsia"/>
                <w:color w:val="000000" w:themeColor="text1"/>
                <w:szCs w:val="21"/>
                <w14:textFill>
                  <w14:solidFill>
                    <w14:schemeClr w14:val="tx1"/>
                  </w14:solidFill>
                </w14:textFill>
              </w:rPr>
              <w:t>cm/s；原料暂存库在室内，具有防风、防雨、防晒功能。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生态保护措施</w:t>
            </w:r>
          </w:p>
        </w:tc>
        <w:tc>
          <w:tcPr>
            <w:tcW w:w="7022" w:type="dxa"/>
            <w:gridSpan w:val="4"/>
            <w:vAlign w:val="center"/>
          </w:tcPr>
          <w:p>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项目产生的“三废”及噪声通过采取环评的提出的各项措施后，可使其对环境的影响降到最低，对生态环境影响较小。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Align w:val="center"/>
          </w:tcPr>
          <w:p>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环境风险</w:t>
            </w:r>
          </w:p>
          <w:p>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防范措施</w:t>
            </w:r>
          </w:p>
        </w:tc>
        <w:tc>
          <w:tcPr>
            <w:tcW w:w="7022" w:type="dxa"/>
            <w:gridSpan w:val="4"/>
            <w:vAlign w:val="center"/>
          </w:tcPr>
          <w:p>
            <w:pPr>
              <w:numPr>
                <w:ilvl w:val="0"/>
                <w:numId w:val="6"/>
              </w:num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编制突发环境事件应急预案，并报</w:t>
            </w:r>
            <w:r>
              <w:rPr>
                <w:rFonts w:hint="eastAsia"/>
                <w:color w:val="000000" w:themeColor="text1"/>
                <w:szCs w:val="21"/>
                <w:lang w:val="en-US" w:eastAsia="zh-CN"/>
                <w14:textFill>
                  <w14:solidFill>
                    <w14:schemeClr w14:val="tx1"/>
                  </w14:solidFill>
                </w14:textFill>
              </w:rPr>
              <w:t>主管部门</w:t>
            </w:r>
            <w:r>
              <w:rPr>
                <w:color w:val="000000" w:themeColor="text1"/>
                <w:szCs w:val="21"/>
                <w14:textFill>
                  <w14:solidFill>
                    <w14:schemeClr w14:val="tx1"/>
                  </w14:solidFill>
                </w14:textFill>
              </w:rPr>
              <w:t xml:space="preserve">备案。 </w:t>
            </w:r>
          </w:p>
          <w:p>
            <w:pPr>
              <w:numPr>
                <w:ilvl w:val="0"/>
                <w:numId w:val="6"/>
              </w:num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定期或不定期对从业人员进行专业技术培训、安全教育培训等。</w:t>
            </w:r>
          </w:p>
          <w:p>
            <w:pPr>
              <w:numPr>
                <w:ilvl w:val="0"/>
                <w:numId w:val="6"/>
              </w:num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妥善进行机油储存，避免出现泄漏等风险。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其他环境</w:t>
            </w:r>
          </w:p>
          <w:p>
            <w:pPr>
              <w:adjustRightInd w:val="0"/>
              <w:snapToGrid w:val="0"/>
              <w:jc w:val="center"/>
              <w:rPr>
                <w:rFonts w:ascii="宋体" w:hAnsi="宋体" w:cs="宋体"/>
                <w:color w:val="000000" w:themeColor="text1"/>
                <w:spacing w:val="-8"/>
                <w:szCs w:val="21"/>
                <w14:textFill>
                  <w14:solidFill>
                    <w14:schemeClr w14:val="tx1"/>
                  </w14:solidFill>
                </w14:textFill>
              </w:rPr>
            </w:pPr>
            <w:r>
              <w:rPr>
                <w:rFonts w:hint="eastAsia" w:ascii="宋体" w:hAnsi="宋体" w:cs="宋体"/>
                <w:color w:val="000000" w:themeColor="text1"/>
                <w:spacing w:val="-8"/>
                <w:szCs w:val="21"/>
                <w14:textFill>
                  <w14:solidFill>
                    <w14:schemeClr w14:val="tx1"/>
                  </w14:solidFill>
                </w14:textFill>
              </w:rPr>
              <w:t>管理要求</w:t>
            </w:r>
          </w:p>
        </w:tc>
        <w:tc>
          <w:tcPr>
            <w:tcW w:w="7022" w:type="dxa"/>
            <w:gridSpan w:val="4"/>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1、管理机构</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在项目施工期、运营期，建设方应建立自上而下的专职环境保护机构负责制，并由环境保护主管部门监督，切实落实施工期、运营期各项环保措施，环境管理机构其主要职责是：</w:t>
            </w:r>
          </w:p>
          <w:p>
            <w:pPr>
              <w:numPr>
                <w:ilvl w:val="0"/>
                <w:numId w:val="7"/>
              </w:num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贯彻执行国家、地方环境保持法规和标准； </w:t>
            </w:r>
          </w:p>
          <w:p>
            <w:pPr>
              <w:numPr>
                <w:ilvl w:val="0"/>
                <w:numId w:val="7"/>
              </w:num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随着工程进展情况，不断落实环评中的环境保护措施，确保环境保  护措施与工程同步协调进行；</w:t>
            </w:r>
          </w:p>
          <w:p>
            <w:pPr>
              <w:numPr>
                <w:ilvl w:val="0"/>
                <w:numId w:val="7"/>
              </w:num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制定项目污染物排放和环保设施运转情况，组织开展环境教育和技术培训、提高全体工作人员环境保护意识。 </w:t>
            </w:r>
          </w:p>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2、环境管理实施计划 </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（1）建立“项目污染物安全管理制度”，环保治理设施不得无故减负荷运行或停运，否则将对责任者予以处罚，确保环保治理设施满负荷正常运行；</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（2）建立严格的环保指标考核制度，做到奖罚分明；</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（3）定期组织环保管理人员进行业务学习，技术培训，提高管理水平；  </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（4）加强企业职工环境知识的教育与宣传，在教育中增加环保方针、政 策、法纪等内容，在科普教育中列进环保与生态内容，教育干部职工树立文明 生产，遵纪守法的良好习惯和保护环境造福于人民的责任心。</w:t>
            </w:r>
          </w:p>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3、其他要求 </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要求建设单位应制定相关制度并设立专人负责环保设施的正常运行，定期检查废气处理设施，并设立台账管理制度，记录使用废气处理设施的主要运行和维护信息，如运行时间、废气处理量、操作温度、更换备件的时间等关键运行参数，确保项目产生的污染物均处理达标后排放；</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（2）合理安排运营时间，尽量减少项目生产噪声对周边居民的影响。  </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产生、收集、贮存、运输、利用、处置固体废物的单位，应当依法及时公开固体废物污染环境防治信息：包括企业基础信息；排污信息（包括主要污染物及特征污染物的名称、排放方式和排放浓度和总量）、排放口数量和分布情况以及执行的污染物排放标准、核定的排放总量；防治污染设施的建设和运行情况；环境影响评价及“三同时”手续情况；以及其他根据法律法规应公开或临时公开的内容等；一般般工业固体废物贮存、处置场，禁止危险废物和生活垃圾混入。</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（4）排位许可申报</w:t>
            </w:r>
          </w:p>
          <w:p>
            <w:pPr>
              <w:adjustRightInd w:val="0"/>
              <w:snapToGrid w:val="0"/>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根据《重点排污单位名录管理规定（试行）》和《固定污染源排污许可分类管理名录（2019年版）》，本项目属于简化管理。需申报排污许可证。</w:t>
            </w:r>
          </w:p>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4、竣工验收要求</w:t>
            </w:r>
          </w:p>
          <w:p>
            <w:pPr>
              <w:adjustRightInd w:val="0"/>
              <w:snapToGrid w:val="0"/>
              <w:ind w:firstLine="420" w:firstLineChars="200"/>
              <w:jc w:val="left"/>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项目建成后，根据《建设项目环境保护管理条例》及《建设项目竣工环境保护验收暂行办法》等有关规定自主开展竣工环保验收，待项目验收合格后方可正式投入运行</w:t>
            </w:r>
            <w:r>
              <w:rPr>
                <w:rFonts w:hint="eastAsia"/>
                <w:color w:val="000000" w:themeColor="text1"/>
                <w:szCs w:val="21"/>
                <w:lang w:eastAsia="zh-CN"/>
                <w14:textFill>
                  <w14:solidFill>
                    <w14:schemeClr w14:val="tx1"/>
                  </w14:solidFill>
                </w14:textFill>
              </w:rPr>
              <w:t>。</w:t>
            </w:r>
          </w:p>
        </w:tc>
      </w:tr>
    </w:tbl>
    <w:p>
      <w:pPr>
        <w:pStyle w:val="19"/>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bookmarkStart w:id="44" w:name="_Toc10118"/>
      <w:bookmarkStart w:id="45" w:name="_Toc28854"/>
      <w:r>
        <w:rPr>
          <w:rFonts w:hint="eastAsia" w:ascii="黑体" w:hAnsi="黑体" w:eastAsia="黑体"/>
          <w:snapToGrid w:val="0"/>
          <w:color w:val="000000" w:themeColor="text1"/>
          <w:sz w:val="30"/>
          <w:szCs w:val="30"/>
          <w14:textFill>
            <w14:solidFill>
              <w14:schemeClr w14:val="tx1"/>
            </w14:solidFill>
          </w14:textFill>
        </w:rPr>
        <w:t>六、结论</w:t>
      </w:r>
      <w:bookmarkEnd w:id="44"/>
      <w:bookmarkEnd w:id="4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3" w:hRule="atLeast"/>
          <w:jc w:val="center"/>
        </w:trPr>
        <w:tc>
          <w:tcPr>
            <w:tcW w:w="8865" w:type="dxa"/>
            <w:vAlign w:val="center"/>
          </w:tcPr>
          <w:p>
            <w:pPr>
              <w:autoSpaceDE w:val="0"/>
              <w:autoSpaceDN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昆明市东川区嘉粟科技有限责任公司建设的“多晶硅碎片综合利用项目”符合国家产业政策，符合相关规划，选址合理，项目建设满足“三线一单”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 </w:t>
            </w:r>
          </w:p>
          <w:p>
            <w:pPr>
              <w:spacing w:line="360" w:lineRule="auto"/>
              <w:rPr>
                <w:rFonts w:ascii="宋体" w:cs="宋体"/>
                <w:color w:val="000000" w:themeColor="text1"/>
                <w:sz w:val="24"/>
                <w14:textFill>
                  <w14:solidFill>
                    <w14:schemeClr w14:val="tx1"/>
                  </w14:solidFill>
                </w14:textFill>
              </w:rPr>
            </w:pP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r>
              <w:rPr>
                <w:rFonts w:ascii="宋体" w:cs="宋体"/>
                <w:color w:val="000000" w:themeColor="text1"/>
                <w:sz w:val="24"/>
                <w14:textFill>
                  <w14:solidFill>
                    <w14:schemeClr w14:val="tx1"/>
                  </w14:solidFill>
                </w14:textFill>
              </w:rPr>
              <w:br w:type="textWrapping"/>
            </w:r>
          </w:p>
        </w:tc>
      </w:tr>
    </w:tbl>
    <w:p>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outlineLvl w:val="0"/>
        <w:rPr>
          <w:rFonts w:ascii="黑体" w:hAnsi="黑体" w:eastAsia="黑体"/>
          <w:snapToGrid w:val="0"/>
          <w:color w:val="000000" w:themeColor="text1"/>
          <w:sz w:val="32"/>
          <w:szCs w:val="32"/>
          <w14:textFill>
            <w14:solidFill>
              <w14:schemeClr w14:val="tx1"/>
            </w14:solidFill>
          </w14:textFill>
        </w:rPr>
      </w:pPr>
      <w:bookmarkStart w:id="46" w:name="_Toc13543"/>
      <w:bookmarkStart w:id="47" w:name="_Toc28155"/>
      <w:r>
        <w:rPr>
          <w:rFonts w:hint="eastAsia" w:ascii="黑体" w:hAnsi="黑体" w:eastAsia="黑体"/>
          <w:snapToGrid w:val="0"/>
          <w:color w:val="000000" w:themeColor="text1"/>
          <w:sz w:val="32"/>
          <w:szCs w:val="32"/>
          <w14:textFill>
            <w14:solidFill>
              <w14:schemeClr w14:val="tx1"/>
            </w14:solidFill>
          </w14:textFill>
        </w:rPr>
        <w:t>附表</w:t>
      </w:r>
      <w:bookmarkEnd w:id="46"/>
      <w:bookmarkEnd w:id="47"/>
    </w:p>
    <w:p>
      <w:pPr>
        <w:pStyle w:val="19"/>
        <w:adjustRightInd w:val="0"/>
        <w:snapToGrid w:val="0"/>
        <w:spacing w:before="0" w:beforeAutospacing="0" w:after="0" w:afterAutospacing="0"/>
        <w:jc w:val="center"/>
        <w:outlineLvl w:val="0"/>
        <w:rPr>
          <w:rFonts w:hint="eastAsia" w:ascii="方正小标宋_GBK" w:hAnsi="黑体" w:eastAsia="方正小标宋_GBK"/>
          <w:snapToGrid w:val="0"/>
          <w:color w:val="000000" w:themeColor="text1"/>
          <w:sz w:val="38"/>
          <w:szCs w:val="38"/>
          <w14:textFill>
            <w14:solidFill>
              <w14:schemeClr w14:val="tx1"/>
            </w14:solidFill>
          </w14:textFill>
        </w:rPr>
      </w:pPr>
      <w:bookmarkStart w:id="48" w:name="_Toc27289"/>
      <w:bookmarkStart w:id="49" w:name="_Toc11813"/>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bookmarkEnd w:id="48"/>
      <w:bookmarkEnd w:id="49"/>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820"/>
        <w:gridCol w:w="1632"/>
        <w:gridCol w:w="1276"/>
        <w:gridCol w:w="1701"/>
        <w:gridCol w:w="1559"/>
        <w:gridCol w:w="1761"/>
        <w:gridCol w:w="1848"/>
        <w:gridCol w:w="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4" w:type="dxa"/>
            <w:tcBorders>
              <w:tl2br w:val="single" w:color="auto" w:sz="4" w:space="0"/>
            </w:tcBorders>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jc w:val="right"/>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项目</w:t>
            </w:r>
          </w:p>
          <w:p>
            <w:pPr>
              <w:pStyle w:val="45"/>
              <w:keepNext w:val="0"/>
              <w:keepLines w:val="0"/>
              <w:pageBreakBefore w:val="0"/>
              <w:kinsoku/>
              <w:wordWrap/>
              <w:overflowPunct/>
              <w:topLinePunct w:val="0"/>
              <w:autoSpaceDE/>
              <w:autoSpaceDN/>
              <w:bidi w:val="0"/>
              <w:spacing w:beforeLines="0" w:afterLines="0" w:line="240" w:lineRule="auto"/>
              <w:jc w:val="left"/>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分类</w:t>
            </w:r>
          </w:p>
        </w:tc>
        <w:tc>
          <w:tcPr>
            <w:tcW w:w="1820"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污染物名称</w:t>
            </w:r>
          </w:p>
        </w:tc>
        <w:tc>
          <w:tcPr>
            <w:tcW w:w="1632"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276"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许可排放量</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701"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在建工程</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559"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本项目</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761"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以新带老削减量</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end"/>
            </w:r>
          </w:p>
        </w:tc>
        <w:tc>
          <w:tcPr>
            <w:tcW w:w="1848"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本项目建成后</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end"/>
            </w:r>
          </w:p>
        </w:tc>
        <w:tc>
          <w:tcPr>
            <w:tcW w:w="937" w:type="dxa"/>
            <w:noWrap w:val="0"/>
            <w:tcMar>
              <w:left w:w="28" w:type="dxa"/>
              <w:right w:w="28" w:type="dxa"/>
            </w:tcMar>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变化量</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254"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废气</w:t>
            </w:r>
          </w:p>
        </w:tc>
        <w:tc>
          <w:tcPr>
            <w:tcW w:w="1820"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颗粒物</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0.461</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0.461</w:t>
            </w:r>
          </w:p>
        </w:tc>
        <w:tc>
          <w:tcPr>
            <w:tcW w:w="937" w:type="dxa"/>
            <w:noWrap w:val="0"/>
            <w:vAlign w:val="center"/>
          </w:tcPr>
          <w:p>
            <w:pPr>
              <w:keepNext w:val="0"/>
              <w:keepLines w:val="0"/>
              <w:pageBreakBefore w:val="0"/>
              <w:kinsoku/>
              <w:wordWrap/>
              <w:overflowPunct/>
              <w:topLinePunct w:val="0"/>
              <w:autoSpaceDE/>
              <w:autoSpaceDN/>
              <w:bidi w:val="0"/>
              <w:spacing w:beforeLines="0" w:afterLines="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0.461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54" w:type="dxa"/>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废水</w:t>
            </w:r>
            <w:r>
              <w:rPr>
                <w:rFonts w:hint="eastAsia" w:ascii="Times New Roman" w:hAnsi="Times New Roman" w:cs="Times New Roman"/>
                <w:snapToGrid w:val="0"/>
                <w:color w:val="000000" w:themeColor="text1"/>
                <w:kern w:val="21"/>
                <w:sz w:val="21"/>
                <w:szCs w:val="21"/>
                <w:lang w:eastAsia="zh-CN"/>
                <w14:textFill>
                  <w14:solidFill>
                    <w14:schemeClr w14:val="tx1"/>
                  </w14:solidFill>
                </w14:textFill>
              </w:rPr>
              <w:t>（</w:t>
            </w: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600t/a）</w:t>
            </w: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CODcr</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0.120</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0.120</w:t>
            </w:r>
          </w:p>
        </w:tc>
        <w:tc>
          <w:tcPr>
            <w:tcW w:w="937"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BOD</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5</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0.060</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0.060</w:t>
            </w:r>
          </w:p>
        </w:tc>
        <w:tc>
          <w:tcPr>
            <w:tcW w:w="937"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SS</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0.072</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0.072</w:t>
            </w:r>
          </w:p>
        </w:tc>
        <w:tc>
          <w:tcPr>
            <w:tcW w:w="937"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NH</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-N</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0.017</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0.017</w:t>
            </w:r>
          </w:p>
        </w:tc>
        <w:tc>
          <w:tcPr>
            <w:tcW w:w="937" w:type="dxa"/>
            <w:noWrap w:val="0"/>
            <w:vAlign w:val="center"/>
          </w:tcPr>
          <w:p>
            <w:pPr>
              <w:widowControl/>
              <w:snapToGrid w:val="0"/>
              <w:ind w:firstLine="0" w:firstLine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动植物油</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0.036</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0.036</w:t>
            </w:r>
          </w:p>
        </w:tc>
        <w:tc>
          <w:tcPr>
            <w:tcW w:w="937" w:type="dxa"/>
            <w:noWrap w:val="0"/>
            <w:vAlign w:val="center"/>
          </w:tcPr>
          <w:p>
            <w:pPr>
              <w:widowControl/>
              <w:snapToGrid w:val="0"/>
              <w:ind w:firstLine="0" w:firstLine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TP</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widowControl/>
              <w:snapToGrid w:val="0"/>
              <w:ind w:firstLine="0" w:firstLineChars="0"/>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0.0006</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48"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0.0006</w:t>
            </w:r>
          </w:p>
        </w:tc>
        <w:tc>
          <w:tcPr>
            <w:tcW w:w="937" w:type="dxa"/>
            <w:noWrap w:val="0"/>
            <w:vAlign w:val="center"/>
          </w:tcPr>
          <w:p>
            <w:pPr>
              <w:widowControl/>
              <w:snapToGrid w:val="0"/>
              <w:ind w:firstLine="0" w:firstLineChars="0"/>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54" w:type="dxa"/>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一般工业</w:t>
            </w:r>
          </w:p>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固体废物</w:t>
            </w:r>
          </w:p>
        </w:tc>
        <w:tc>
          <w:tcPr>
            <w:tcW w:w="1820" w:type="dxa"/>
            <w:noWrap w:val="0"/>
            <w:vAlign w:val="center"/>
          </w:tcPr>
          <w:p>
            <w:pPr>
              <w:pStyle w:val="45"/>
              <w:spacing w:before="24" w:after="24"/>
              <w:ind w:firstLine="0" w:firstLineChars="0"/>
              <w:rPr>
                <w:rFonts w:hint="default" w:eastAsia="宋体"/>
                <w:bCs/>
                <w:color w:val="000000" w:themeColor="text1"/>
                <w:kern w:val="0"/>
                <w:sz w:val="21"/>
                <w:szCs w:val="21"/>
                <w:lang w:val="en-US" w:eastAsia="zh-CN" w:bidi="ar-SA"/>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废包装</w:t>
            </w:r>
            <w:r>
              <w:rPr>
                <w:rFonts w:hint="eastAsia" w:ascii="Times New Roman"/>
                <w:color w:val="000000" w:themeColor="text1"/>
                <w:spacing w:val="-10"/>
                <w:sz w:val="21"/>
                <w:szCs w:val="21"/>
                <w:lang w:val="en-US" w:eastAsia="zh-CN"/>
                <w14:textFill>
                  <w14:solidFill>
                    <w14:schemeClr w14:val="tx1"/>
                  </w14:solidFill>
                </w14:textFill>
              </w:rPr>
              <w:t>袋</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adjustRightInd w:val="0"/>
              <w:snapToGrid w:val="0"/>
              <w:spacing w:line="240" w:lineRule="atLeast"/>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937" w:type="dxa"/>
            <w:noWrap w:val="0"/>
            <w:vAlign w:val="center"/>
          </w:tcPr>
          <w:p>
            <w:pPr>
              <w:adjustRightInd w:val="0"/>
              <w:snapToGrid w:val="0"/>
              <w:spacing w:line="240" w:lineRule="atLeast"/>
              <w:jc w:val="center"/>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45"/>
              <w:spacing w:before="24" w:after="24"/>
              <w:ind w:firstLine="0" w:firstLineChars="0"/>
              <w:rPr>
                <w:rFonts w:hint="eastAsia" w:eastAsia="宋体"/>
                <w:bCs/>
                <w:color w:val="000000" w:themeColor="text1"/>
                <w:kern w:val="0"/>
                <w:sz w:val="21"/>
                <w:szCs w:val="21"/>
                <w:lang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废坩埚</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937"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45"/>
              <w:spacing w:before="24" w:after="24"/>
              <w:ind w:firstLine="0" w:firstLineChars="0"/>
              <w:rPr>
                <w:rFonts w:hint="eastAsia" w:eastAsia="宋体"/>
                <w:bCs/>
                <w:color w:val="000000" w:themeColor="text1"/>
                <w:kern w:val="0"/>
                <w:sz w:val="21"/>
                <w:szCs w:val="21"/>
                <w:lang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废边角料</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w:t>
            </w:r>
          </w:p>
        </w:tc>
        <w:tc>
          <w:tcPr>
            <w:tcW w:w="937"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45"/>
              <w:spacing w:before="24" w:after="24"/>
              <w:ind w:firstLine="0" w:firstLineChars="0"/>
              <w:rPr>
                <w:rFonts w:hint="eastAsia" w:eastAsia="宋体"/>
                <w:bCs/>
                <w:color w:val="000000" w:themeColor="text1"/>
                <w:kern w:val="0"/>
                <w:sz w:val="21"/>
                <w:szCs w:val="21"/>
                <w:lang w:eastAsia="zh-CN"/>
                <w14:textFill>
                  <w14:solidFill>
                    <w14:schemeClr w14:val="tx1"/>
                  </w14:solidFill>
                </w14:textFill>
              </w:rPr>
            </w:pPr>
            <w:r>
              <w:rPr>
                <w:rFonts w:hint="eastAsia" w:ascii="Times New Roman" w:eastAsia="宋体"/>
                <w:color w:val="000000" w:themeColor="text1"/>
                <w:spacing w:val="-10"/>
                <w:sz w:val="21"/>
                <w:szCs w:val="21"/>
                <w14:textFill>
                  <w14:solidFill>
                    <w14:schemeClr w14:val="tx1"/>
                  </w14:solidFill>
                </w14:textFill>
              </w:rPr>
              <w:t>不合格</w:t>
            </w:r>
            <w:r>
              <w:rPr>
                <w:rFonts w:hint="eastAsia" w:ascii="Times New Roman"/>
                <w:color w:val="000000" w:themeColor="text1"/>
                <w:spacing w:val="-10"/>
                <w:sz w:val="21"/>
                <w:szCs w:val="21"/>
                <w:lang w:val="en-US" w:eastAsia="zh-CN"/>
                <w14:textFill>
                  <w14:solidFill>
                    <w14:schemeClr w14:val="tx1"/>
                  </w14:solidFill>
                </w14:textFill>
              </w:rPr>
              <w:t>品</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16.5</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16.5</w:t>
            </w:r>
          </w:p>
        </w:tc>
        <w:tc>
          <w:tcPr>
            <w:tcW w:w="937"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45"/>
              <w:spacing w:before="24" w:after="24"/>
              <w:ind w:firstLine="0" w:firstLineChars="0"/>
              <w:rPr>
                <w:rFonts w:hint="eastAsia" w:eastAsia="宋体"/>
                <w:bCs/>
                <w:color w:val="000000" w:themeColor="text1"/>
                <w:kern w:val="0"/>
                <w:sz w:val="21"/>
                <w:szCs w:val="21"/>
                <w:lang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沉淀池沉渣</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7.026</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7.026</w:t>
            </w:r>
          </w:p>
        </w:tc>
        <w:tc>
          <w:tcPr>
            <w:tcW w:w="937" w:type="dxa"/>
            <w:noWrap w:val="0"/>
            <w:vAlign w:val="center"/>
          </w:tcPr>
          <w:p>
            <w:pPr>
              <w:adjustRightInd w:val="0"/>
              <w:snapToGrid w:val="0"/>
              <w:spacing w:line="240" w:lineRule="atLeast"/>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45"/>
              <w:spacing w:before="24" w:after="24"/>
              <w:ind w:firstLine="0" w:firstLineChars="0"/>
              <w:rPr>
                <w:rFonts w:hint="default" w:eastAsia="宋体"/>
                <w:bCs/>
                <w:color w:val="000000" w:themeColor="text1"/>
                <w:kern w:val="0"/>
                <w:sz w:val="21"/>
                <w:szCs w:val="21"/>
                <w:lang w:val="en-US" w:eastAsia="zh-CN"/>
                <w14:textFill>
                  <w14:solidFill>
                    <w14:schemeClr w14:val="tx1"/>
                  </w14:solidFill>
                </w14:textFill>
              </w:rPr>
            </w:pPr>
            <w:r>
              <w:rPr>
                <w:rFonts w:hint="eastAsia" w:ascii="Times New Roman" w:eastAsia="宋体"/>
                <w:color w:val="000000" w:themeColor="text1"/>
                <w:spacing w:val="-10"/>
                <w:sz w:val="21"/>
                <w:szCs w:val="21"/>
                <w:lang w:val="en-US" w:eastAsia="zh-CN"/>
                <w14:textFill>
                  <w14:solidFill>
                    <w14:schemeClr w14:val="tx1"/>
                  </w14:solidFill>
                </w14:textFill>
              </w:rPr>
              <w:t>除尘器收集粉尘</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adjustRightInd w:val="0"/>
              <w:snapToGrid w:val="0"/>
              <w:spacing w:line="240" w:lineRule="atLeast"/>
              <w:jc w:val="center"/>
              <w:rPr>
                <w:rFonts w:hint="default"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6.013</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adjustRightInd w:val="0"/>
              <w:snapToGrid w:val="0"/>
              <w:spacing w:line="240" w:lineRule="atLeast"/>
              <w:jc w:val="center"/>
              <w:rPr>
                <w:rFonts w:hint="default"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6.013</w:t>
            </w:r>
          </w:p>
        </w:tc>
        <w:tc>
          <w:tcPr>
            <w:tcW w:w="937" w:type="dxa"/>
            <w:noWrap w:val="0"/>
            <w:vAlign w:val="center"/>
          </w:tcPr>
          <w:p>
            <w:pPr>
              <w:adjustRightInd w:val="0"/>
              <w:snapToGrid w:val="0"/>
              <w:spacing w:line="240" w:lineRule="atLeast"/>
              <w:jc w:val="center"/>
              <w:rPr>
                <w:rFonts w:hint="default" w:eastAsia="宋体"/>
                <w:bCs/>
                <w:color w:val="000000" w:themeColor="text1"/>
                <w:kern w:val="0"/>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54" w:type="dxa"/>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危险废物</w:t>
            </w:r>
          </w:p>
        </w:tc>
        <w:tc>
          <w:tcPr>
            <w:tcW w:w="1820" w:type="dxa"/>
            <w:noWrap w:val="0"/>
            <w:vAlign w:val="center"/>
          </w:tcPr>
          <w:p>
            <w:pPr>
              <w:pStyle w:val="84"/>
              <w:ind w:firstLine="0" w:firstLineChars="0"/>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废</w:t>
            </w:r>
            <w:r>
              <w:rPr>
                <w:rFonts w:hint="eastAsia" w:eastAsia="宋体"/>
                <w:color w:val="000000" w:themeColor="text1"/>
                <w:sz w:val="21"/>
                <w:szCs w:val="21"/>
                <w:lang w:val="en-US" w:eastAsia="zh-CN"/>
                <w14:textFill>
                  <w14:solidFill>
                    <w14:schemeClr w14:val="tx1"/>
                  </w14:solidFill>
                </w14:textFill>
              </w:rPr>
              <w:t>机油</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p>
        </w:tc>
        <w:tc>
          <w:tcPr>
            <w:tcW w:w="1559" w:type="dxa"/>
            <w:noWrap w:val="0"/>
            <w:vAlign w:val="center"/>
          </w:tcPr>
          <w:p>
            <w:pPr>
              <w:pStyle w:val="84"/>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pStyle w:val="84"/>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c>
          <w:tcPr>
            <w:tcW w:w="937" w:type="dxa"/>
            <w:noWrap w:val="0"/>
            <w:vAlign w:val="center"/>
          </w:tcPr>
          <w:p>
            <w:pPr>
              <w:pStyle w:val="84"/>
              <w:ind w:firstLine="0" w:firstLineChars="0"/>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820" w:type="dxa"/>
            <w:noWrap w:val="0"/>
            <w:vAlign w:val="center"/>
          </w:tcPr>
          <w:p>
            <w:pPr>
              <w:pStyle w:val="84"/>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废机油桶</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pStyle w:val="84"/>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0.005</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pStyle w:val="84"/>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0.005</w:t>
            </w:r>
          </w:p>
        </w:tc>
        <w:tc>
          <w:tcPr>
            <w:tcW w:w="937" w:type="dxa"/>
            <w:noWrap w:val="0"/>
            <w:vAlign w:val="center"/>
          </w:tcPr>
          <w:p>
            <w:pPr>
              <w:pStyle w:val="84"/>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54" w:type="dxa"/>
            <w:vMerge w:val="restart"/>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生活垃圾</w:t>
            </w:r>
          </w:p>
        </w:tc>
        <w:tc>
          <w:tcPr>
            <w:tcW w:w="1820" w:type="dxa"/>
            <w:noWrap w:val="0"/>
            <w:vAlign w:val="center"/>
          </w:tcPr>
          <w:p>
            <w:pPr>
              <w:pStyle w:val="84"/>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7.5</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7.5</w:t>
            </w:r>
          </w:p>
        </w:tc>
        <w:tc>
          <w:tcPr>
            <w:tcW w:w="937"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254" w:type="dxa"/>
            <w:vMerge w:val="continue"/>
            <w:noWrap w:val="0"/>
            <w:vAlign w:val="center"/>
          </w:tcPr>
          <w:p>
            <w:pPr>
              <w:pStyle w:val="45"/>
              <w:keepNext w:val="0"/>
              <w:keepLines w:val="0"/>
              <w:pageBreakBefore w:val="0"/>
              <w:kinsoku/>
              <w:wordWrap/>
              <w:overflowPunct/>
              <w:topLinePunct w:val="0"/>
              <w:autoSpaceDE/>
              <w:autoSpaceDN/>
              <w:bidi w:val="0"/>
              <w:spacing w:beforeLines="0" w:afterLines="0" w:line="240" w:lineRule="auto"/>
              <w:textAlignment w:val="auto"/>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820" w:type="dxa"/>
            <w:noWrap w:val="0"/>
            <w:vAlign w:val="center"/>
          </w:tcPr>
          <w:p>
            <w:pPr>
              <w:pStyle w:val="84"/>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废含油手套、抹布</w:t>
            </w:r>
          </w:p>
        </w:tc>
        <w:tc>
          <w:tcPr>
            <w:tcW w:w="1632"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276"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70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p>
        </w:tc>
        <w:tc>
          <w:tcPr>
            <w:tcW w:w="1559"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0.05</w:t>
            </w:r>
          </w:p>
        </w:tc>
        <w:tc>
          <w:tcPr>
            <w:tcW w:w="1761" w:type="dxa"/>
            <w:noWrap w:val="0"/>
            <w:vAlign w:val="center"/>
          </w:tcPr>
          <w:p>
            <w:pPr>
              <w:pStyle w:val="45"/>
              <w:keepNext w:val="0"/>
              <w:keepLines w:val="0"/>
              <w:pageBreakBefore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p>
        </w:tc>
        <w:tc>
          <w:tcPr>
            <w:tcW w:w="1848"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0.05</w:t>
            </w:r>
          </w:p>
        </w:tc>
        <w:tc>
          <w:tcPr>
            <w:tcW w:w="937" w:type="dxa"/>
            <w:noWrap w:val="0"/>
            <w:vAlign w:val="center"/>
          </w:tcPr>
          <w:p>
            <w:pPr>
              <w:pStyle w:val="84"/>
              <w:ind w:firstLine="0" w:firstLineChars="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0.05</w:t>
            </w:r>
          </w:p>
        </w:tc>
      </w:tr>
    </w:tbl>
    <w:p>
      <w:pPr>
        <w:pStyle w:val="45"/>
        <w:spacing w:before="192" w:beforeLines="80" w:after="24"/>
        <w:jc w:val="left"/>
        <w:outlineLvl w:val="0"/>
        <w:rPr>
          <w:rFonts w:ascii="宋体" w:hAnsi="宋体" w:eastAsia="黑体"/>
          <w:color w:val="000000" w:themeColor="text1"/>
          <w14:textFill>
            <w14:solidFill>
              <w14:schemeClr w14:val="tx1"/>
            </w14:solidFill>
          </w14:textFill>
        </w:rPr>
      </w:pPr>
      <w:bookmarkStart w:id="50" w:name="_Toc10096"/>
      <w:bookmarkStart w:id="51" w:name="_Toc19049"/>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bookmarkEnd w:id="50"/>
      <w:bookmarkEnd w:id="51"/>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体">
    <w:altName w:val="微软雅黑"/>
    <w:panose1 w:val="00000000000000000000"/>
    <w:charset w:val="86"/>
    <w:family w:val="swiss"/>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rPr>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17</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WLeNgBAAC0AwAADgAAAGRycy9lMm9Eb2MueG1srVPNjtMwEL4j8Q6W&#10;7zTZaoWiqukKtlqEhABp4QFcx2ks+U+eaZPyAPAGnLhw57n6HIydpAvLZQ9ckvHM+JvvmxmvbwZr&#10;2FFF0N7V/GpRcqac9I12+5p//nT3ouIMULhGGO9UzU8K+M3m+bN1H1Zq6TtvGhUZgThY9aHmHWJY&#10;FQXITlkBCx+Uo2DroxVIx7gvmih6QremWJbly6L3sQnRSwVA3u0Y5BNifAqgb1st1dbLg1UOR9So&#10;jECSBJ0OwDeZbdsqiR/aFhQyU3NSivlLRcjepW+xWYvVPorQaTlREE+h8EiTFdpR0QvUVqBgh6j/&#10;gbJaRg++xYX0thiF5I6QiqvyUW/uOxFU1kKthnBpOvw/WPn++DEy3dAmVDR4JyyN/Pz92/nHr/PP&#10;r+w6NagPsKK8+0CZOLz2AyXPfiBn0j200aY/KWIUp/aeLu1VAzKZLlXLqiopJCk2Hwi/eLgeIuAb&#10;5S1LRs0jzS+3VRzfAY6pc0qq5vydNibP0Li/HISZPEXiPnJMFg67YRK0882J9NBDoDqdj18462kN&#10;au5o6zkzbx11OW3MbMTZ2M2GcJIu1hw5G81bzJuViEB4dUBil0mn0mO9iRENM8ueFi9ty5/nnPXw&#10;2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8FYt42AEAALQDAAAOAAAAAAAAAAEAIAAA&#10;AB4BAABkcnMvZTJvRG9jLnhtbFBLBQYAAAAABgAGAFkBAABo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40</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oCtcBAAC0AwAADgAAAGRycy9lMm9Eb2MueG1srVPBjtMwEL0j8Q+W&#10;7zTZHlYlaroCqkVICJCW/QDXcRpLtseyp03KB8AfcOLCne/qdzB2ki4slz1wScYz4zfvzYzXN4M1&#10;7KhC1OBqfrUoOVNOQqPdvub3n29frDiLKFwjDDhV85OK/Gbz/Nm695VaQgemUYERiItV72veIfqq&#10;KKLslBVxAV45CrYQrEA6hn3RBNETujXFsiyvix5C4wNIFSN5t2OQT4jhKYDQtlqqLciDVQ5H1KCM&#10;QJIUO+0j32S2baskfmzbqJCZmpNSzF8qQvYufYvNWlT7IHyn5URBPIXCI01WaEdFL1BbgYIdgv4H&#10;ymoZIEKLCwm2GIXkjpCKq/JRb+464VXWQq2O/tL0+P9g5Yfjp8B0Q5vwknrihKWRn79/O//4df75&#10;lV2nBvU+VpR35ykTh9cwUPLsj+RMuoc22PQnRYziBHW6tFcNyGS6tFquViWFJMXmA+EXD9d9iPhW&#10;gWXJqHmg+eW2iuP7iGPqnJKqObjVxuQZGveXgzCTp0jcR47JwmE3TIJ20JxIDz0EqtNB+MJZT2tQ&#10;c0dbz5l556jLxBVnI8zGbjaEk3Sx5sjZaL7BvFmJSPSvDkjsMulUeqw3MaJhZtnT4qVt+fOcsx4e&#10;2+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5fqArXAQAAtAMAAA4AAAAAAAAAAQAgAAAA&#10;HgEAAGRycy9lMm9Eb2MueG1sUEsFBgAAAAAGAAYAWQEAAGc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rPr>
        <w:rFonts w:ascii="宋体" w:hAnsi="宋体" w:cs="宋体"/>
        <w:color w:val="000000"/>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D0673C"/>
    <w:multiLevelType w:val="singleLevel"/>
    <w:tmpl w:val="FDD0673C"/>
    <w:lvl w:ilvl="0" w:tentative="0">
      <w:start w:val="1"/>
      <w:numFmt w:val="decimal"/>
      <w:lvlText w:val="%1."/>
      <w:lvlJc w:val="left"/>
      <w:pPr>
        <w:tabs>
          <w:tab w:val="left" w:pos="312"/>
        </w:tabs>
      </w:pPr>
    </w:lvl>
  </w:abstractNum>
  <w:abstractNum w:abstractNumId="1">
    <w:nsid w:val="0000001A"/>
    <w:multiLevelType w:val="singleLevel"/>
    <w:tmpl w:val="0000001A"/>
    <w:lvl w:ilvl="0" w:tentative="0">
      <w:start w:val="1"/>
      <w:numFmt w:val="decimal"/>
      <w:lvlText w:val="%1."/>
      <w:lvlJc w:val="left"/>
      <w:pPr>
        <w:tabs>
          <w:tab w:val="left" w:pos="842"/>
        </w:tabs>
        <w:ind w:left="0" w:firstLine="482"/>
      </w:pPr>
      <w:rPr>
        <w:rFonts w:hint="eastAsia"/>
      </w:rPr>
    </w:lvl>
  </w:abstractNum>
  <w:abstractNum w:abstractNumId="2">
    <w:nsid w:val="00892BB5"/>
    <w:multiLevelType w:val="singleLevel"/>
    <w:tmpl w:val="00892BB5"/>
    <w:lvl w:ilvl="0" w:tentative="0">
      <w:start w:val="1"/>
      <w:numFmt w:val="decimal"/>
      <w:suff w:val="nothing"/>
      <w:lvlText w:val="%1）"/>
      <w:lvlJc w:val="left"/>
    </w:lvl>
  </w:abstractNum>
  <w:abstractNum w:abstractNumId="3">
    <w:nsid w:val="208ECA38"/>
    <w:multiLevelType w:val="singleLevel"/>
    <w:tmpl w:val="208ECA38"/>
    <w:lvl w:ilvl="0" w:tentative="0">
      <w:start w:val="1"/>
      <w:numFmt w:val="decimal"/>
      <w:suff w:val="nothing"/>
      <w:lvlText w:val="（%1）"/>
      <w:lvlJc w:val="left"/>
    </w:lvl>
  </w:abstractNum>
  <w:abstractNum w:abstractNumId="4">
    <w:nsid w:val="4B0DE8A8"/>
    <w:multiLevelType w:val="singleLevel"/>
    <w:tmpl w:val="4B0DE8A8"/>
    <w:lvl w:ilvl="0" w:tentative="0">
      <w:start w:val="1"/>
      <w:numFmt w:val="decimal"/>
      <w:suff w:val="nothing"/>
      <w:lvlText w:val="%1、"/>
      <w:lvlJc w:val="left"/>
    </w:lvl>
  </w:abstractNum>
  <w:abstractNum w:abstractNumId="5">
    <w:nsid w:val="5DB25411"/>
    <w:multiLevelType w:val="singleLevel"/>
    <w:tmpl w:val="5DB25411"/>
    <w:lvl w:ilvl="0" w:tentative="0">
      <w:start w:val="1"/>
      <w:numFmt w:val="chineseCounting"/>
      <w:suff w:val="nothing"/>
      <w:lvlText w:val="（%1）"/>
      <w:lvlJc w:val="left"/>
      <w:rPr>
        <w:rFonts w:hint="eastAsia"/>
      </w:rPr>
    </w:lvl>
  </w:abstractNum>
  <w:abstractNum w:abstractNumId="6">
    <w:nsid w:val="737551B7"/>
    <w:multiLevelType w:val="singleLevel"/>
    <w:tmpl w:val="737551B7"/>
    <w:lvl w:ilvl="0" w:tentative="0">
      <w:start w:val="1"/>
      <w:numFmt w:val="decimal"/>
      <w:suff w:val="nothing"/>
      <w:lvlText w:val="（%1）"/>
      <w:lvlJc w:val="left"/>
    </w:lvl>
  </w:abstractNum>
  <w:num w:numId="1">
    <w:abstractNumId w:val="1"/>
  </w:num>
  <w:num w:numId="2">
    <w:abstractNumId w:val="6"/>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1" w:cryptProviderType="rsaFull" w:cryptAlgorithmClass="hash" w:cryptAlgorithmType="typeAny" w:cryptAlgorithmSid="4" w:cryptSpinCount="0" w:hash="nX6oo0pRUi+ArkniAvmydnHY3A8=" w:salt="51uMHbv8I10MywpPKF2tow=="/>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1M2VhNWI3Y2NlNTRmOTViMzQ3N2IwZDJiZGVlNW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3122"/>
    <w:rsid w:val="002506BC"/>
    <w:rsid w:val="00254345"/>
    <w:rsid w:val="00264557"/>
    <w:rsid w:val="00275599"/>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76C60"/>
    <w:rsid w:val="00594D77"/>
    <w:rsid w:val="005969E4"/>
    <w:rsid w:val="005A06B7"/>
    <w:rsid w:val="005A1759"/>
    <w:rsid w:val="005A68A7"/>
    <w:rsid w:val="005B7D64"/>
    <w:rsid w:val="005D36AB"/>
    <w:rsid w:val="00617CC3"/>
    <w:rsid w:val="006377A6"/>
    <w:rsid w:val="00637A3D"/>
    <w:rsid w:val="006411EF"/>
    <w:rsid w:val="006748B8"/>
    <w:rsid w:val="006775C3"/>
    <w:rsid w:val="0069290A"/>
    <w:rsid w:val="006960E0"/>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4977"/>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0D18"/>
    <w:rsid w:val="0081293E"/>
    <w:rsid w:val="00815465"/>
    <w:rsid w:val="00817E9A"/>
    <w:rsid w:val="008306BD"/>
    <w:rsid w:val="00831A80"/>
    <w:rsid w:val="00833743"/>
    <w:rsid w:val="008340A4"/>
    <w:rsid w:val="0087135F"/>
    <w:rsid w:val="00872D94"/>
    <w:rsid w:val="00876676"/>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2BD4"/>
    <w:rsid w:val="00A368DB"/>
    <w:rsid w:val="00A423AA"/>
    <w:rsid w:val="00A53EC6"/>
    <w:rsid w:val="00A55C0F"/>
    <w:rsid w:val="00A563D8"/>
    <w:rsid w:val="00A8713F"/>
    <w:rsid w:val="00A90BA1"/>
    <w:rsid w:val="00A97A9A"/>
    <w:rsid w:val="00AA0671"/>
    <w:rsid w:val="00AA2531"/>
    <w:rsid w:val="00AA7357"/>
    <w:rsid w:val="00AB1E09"/>
    <w:rsid w:val="00AB5330"/>
    <w:rsid w:val="00AB7747"/>
    <w:rsid w:val="00AC14CE"/>
    <w:rsid w:val="00AC2A56"/>
    <w:rsid w:val="00AD055E"/>
    <w:rsid w:val="00AD47A7"/>
    <w:rsid w:val="00AD49A9"/>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55F9B"/>
    <w:rsid w:val="00D614F8"/>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73527"/>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0713D7"/>
    <w:rsid w:val="025530AD"/>
    <w:rsid w:val="02697903"/>
    <w:rsid w:val="02F96569"/>
    <w:rsid w:val="030D32EC"/>
    <w:rsid w:val="03EA7B21"/>
    <w:rsid w:val="05EF5014"/>
    <w:rsid w:val="05F83EAE"/>
    <w:rsid w:val="060B4610"/>
    <w:rsid w:val="063E7D85"/>
    <w:rsid w:val="06EF528C"/>
    <w:rsid w:val="07293586"/>
    <w:rsid w:val="07295285"/>
    <w:rsid w:val="075A118C"/>
    <w:rsid w:val="07636392"/>
    <w:rsid w:val="07770C56"/>
    <w:rsid w:val="08042C69"/>
    <w:rsid w:val="08872B64"/>
    <w:rsid w:val="08FB402E"/>
    <w:rsid w:val="092217DD"/>
    <w:rsid w:val="093A7294"/>
    <w:rsid w:val="09BE5016"/>
    <w:rsid w:val="0A263993"/>
    <w:rsid w:val="0A2D3AC2"/>
    <w:rsid w:val="0A343092"/>
    <w:rsid w:val="0AA755DF"/>
    <w:rsid w:val="0AC90DEE"/>
    <w:rsid w:val="0B120D44"/>
    <w:rsid w:val="0B2027B9"/>
    <w:rsid w:val="0BD27BF6"/>
    <w:rsid w:val="0C3B3C7D"/>
    <w:rsid w:val="0C9F7C02"/>
    <w:rsid w:val="0CA20585"/>
    <w:rsid w:val="0CAB2EAE"/>
    <w:rsid w:val="0D621C7D"/>
    <w:rsid w:val="0D730B18"/>
    <w:rsid w:val="0DA371A3"/>
    <w:rsid w:val="0E28785D"/>
    <w:rsid w:val="0E73034D"/>
    <w:rsid w:val="0E866B5C"/>
    <w:rsid w:val="0F13775A"/>
    <w:rsid w:val="0F4719A8"/>
    <w:rsid w:val="0F5F45FE"/>
    <w:rsid w:val="0F63637C"/>
    <w:rsid w:val="0F9A112B"/>
    <w:rsid w:val="104229AB"/>
    <w:rsid w:val="106D2F64"/>
    <w:rsid w:val="10B63710"/>
    <w:rsid w:val="10F10820"/>
    <w:rsid w:val="111C2F7A"/>
    <w:rsid w:val="11665CA1"/>
    <w:rsid w:val="11BC7571"/>
    <w:rsid w:val="125626EB"/>
    <w:rsid w:val="12EB059C"/>
    <w:rsid w:val="13065D45"/>
    <w:rsid w:val="13951726"/>
    <w:rsid w:val="13D7291C"/>
    <w:rsid w:val="14396509"/>
    <w:rsid w:val="14D82D4D"/>
    <w:rsid w:val="14DD2C3C"/>
    <w:rsid w:val="16087E1D"/>
    <w:rsid w:val="16D4634C"/>
    <w:rsid w:val="17701D14"/>
    <w:rsid w:val="17735226"/>
    <w:rsid w:val="189F624C"/>
    <w:rsid w:val="1A1C66C0"/>
    <w:rsid w:val="1A42393B"/>
    <w:rsid w:val="1A65530C"/>
    <w:rsid w:val="1A731BCF"/>
    <w:rsid w:val="1A812911"/>
    <w:rsid w:val="1A9C050E"/>
    <w:rsid w:val="1AAD45DE"/>
    <w:rsid w:val="1B046F80"/>
    <w:rsid w:val="1B3267B5"/>
    <w:rsid w:val="1B40161D"/>
    <w:rsid w:val="1B441859"/>
    <w:rsid w:val="1B6606B1"/>
    <w:rsid w:val="1C5E7925"/>
    <w:rsid w:val="1CFD070F"/>
    <w:rsid w:val="1D5576EE"/>
    <w:rsid w:val="1D5F6196"/>
    <w:rsid w:val="1D6132A5"/>
    <w:rsid w:val="1D8E56D5"/>
    <w:rsid w:val="1E7A43DA"/>
    <w:rsid w:val="1E9E217C"/>
    <w:rsid w:val="1FE7539E"/>
    <w:rsid w:val="20671BE0"/>
    <w:rsid w:val="20963CB8"/>
    <w:rsid w:val="20A81A1B"/>
    <w:rsid w:val="20B07FB6"/>
    <w:rsid w:val="20B646FB"/>
    <w:rsid w:val="213B74B1"/>
    <w:rsid w:val="215A2310"/>
    <w:rsid w:val="218B3C37"/>
    <w:rsid w:val="21CF2494"/>
    <w:rsid w:val="21DE318A"/>
    <w:rsid w:val="21EF5B80"/>
    <w:rsid w:val="22511AE3"/>
    <w:rsid w:val="22576990"/>
    <w:rsid w:val="22F47480"/>
    <w:rsid w:val="238F23E9"/>
    <w:rsid w:val="23C40081"/>
    <w:rsid w:val="23DE1C48"/>
    <w:rsid w:val="240210CD"/>
    <w:rsid w:val="24BF09F7"/>
    <w:rsid w:val="24DA5A85"/>
    <w:rsid w:val="252D53FE"/>
    <w:rsid w:val="25542F9A"/>
    <w:rsid w:val="25EC2D81"/>
    <w:rsid w:val="262E18B0"/>
    <w:rsid w:val="2698171C"/>
    <w:rsid w:val="275C263C"/>
    <w:rsid w:val="277057A2"/>
    <w:rsid w:val="289C1BD0"/>
    <w:rsid w:val="29206EB8"/>
    <w:rsid w:val="29595666"/>
    <w:rsid w:val="29874881"/>
    <w:rsid w:val="29AF1164"/>
    <w:rsid w:val="29BD04DE"/>
    <w:rsid w:val="29E325E0"/>
    <w:rsid w:val="2A452503"/>
    <w:rsid w:val="2A9C1A44"/>
    <w:rsid w:val="2B6D64D6"/>
    <w:rsid w:val="2BA936A8"/>
    <w:rsid w:val="2C315A5A"/>
    <w:rsid w:val="2C4B1C25"/>
    <w:rsid w:val="2CA72B88"/>
    <w:rsid w:val="2CDC302E"/>
    <w:rsid w:val="2D263C9E"/>
    <w:rsid w:val="2D9E56F5"/>
    <w:rsid w:val="2DAA62ED"/>
    <w:rsid w:val="2E667F96"/>
    <w:rsid w:val="2E6B26ED"/>
    <w:rsid w:val="2E8226AB"/>
    <w:rsid w:val="2F2E2553"/>
    <w:rsid w:val="2FD065E6"/>
    <w:rsid w:val="2FD96870"/>
    <w:rsid w:val="30580BC9"/>
    <w:rsid w:val="311E2ED7"/>
    <w:rsid w:val="315619EE"/>
    <w:rsid w:val="315C449C"/>
    <w:rsid w:val="31B82709"/>
    <w:rsid w:val="31D05482"/>
    <w:rsid w:val="32400B34"/>
    <w:rsid w:val="324A1A89"/>
    <w:rsid w:val="326E0826"/>
    <w:rsid w:val="329E6876"/>
    <w:rsid w:val="333015F2"/>
    <w:rsid w:val="334B6320"/>
    <w:rsid w:val="33527864"/>
    <w:rsid w:val="33675D4F"/>
    <w:rsid w:val="33C0215C"/>
    <w:rsid w:val="33D934D4"/>
    <w:rsid w:val="33FE2F6A"/>
    <w:rsid w:val="340E07E5"/>
    <w:rsid w:val="34235BF7"/>
    <w:rsid w:val="345E722D"/>
    <w:rsid w:val="358C5FA8"/>
    <w:rsid w:val="35C15DF1"/>
    <w:rsid w:val="36074A7F"/>
    <w:rsid w:val="362E7E30"/>
    <w:rsid w:val="36923549"/>
    <w:rsid w:val="36B75FBF"/>
    <w:rsid w:val="36BD0C45"/>
    <w:rsid w:val="374829D8"/>
    <w:rsid w:val="37D6090D"/>
    <w:rsid w:val="37DD56F8"/>
    <w:rsid w:val="37E00298"/>
    <w:rsid w:val="37F2207F"/>
    <w:rsid w:val="384A557E"/>
    <w:rsid w:val="38B302F9"/>
    <w:rsid w:val="38F12CD3"/>
    <w:rsid w:val="38F94775"/>
    <w:rsid w:val="392971ED"/>
    <w:rsid w:val="39325651"/>
    <w:rsid w:val="39463B55"/>
    <w:rsid w:val="39547874"/>
    <w:rsid w:val="3A1B3E31"/>
    <w:rsid w:val="3A872856"/>
    <w:rsid w:val="3AA343F7"/>
    <w:rsid w:val="3B2E1D9C"/>
    <w:rsid w:val="3B3763D1"/>
    <w:rsid w:val="3BD03F0B"/>
    <w:rsid w:val="3BEF6B1D"/>
    <w:rsid w:val="3C2F6E1E"/>
    <w:rsid w:val="3C4F64BA"/>
    <w:rsid w:val="3CA84516"/>
    <w:rsid w:val="3CDA245A"/>
    <w:rsid w:val="3D1E06B7"/>
    <w:rsid w:val="3D8D1CBC"/>
    <w:rsid w:val="3EDA0523"/>
    <w:rsid w:val="3EDB4B00"/>
    <w:rsid w:val="3F55073D"/>
    <w:rsid w:val="407A6407"/>
    <w:rsid w:val="408A4B8F"/>
    <w:rsid w:val="4200449D"/>
    <w:rsid w:val="42137F29"/>
    <w:rsid w:val="423A3BCC"/>
    <w:rsid w:val="424E57D2"/>
    <w:rsid w:val="42B26C49"/>
    <w:rsid w:val="433A6FE6"/>
    <w:rsid w:val="43480868"/>
    <w:rsid w:val="4350713C"/>
    <w:rsid w:val="435D3AE4"/>
    <w:rsid w:val="436653E0"/>
    <w:rsid w:val="43C4431A"/>
    <w:rsid w:val="43E840AB"/>
    <w:rsid w:val="441A605F"/>
    <w:rsid w:val="443E2AC1"/>
    <w:rsid w:val="44B951CC"/>
    <w:rsid w:val="44CD14E0"/>
    <w:rsid w:val="44F20B0B"/>
    <w:rsid w:val="452E5F4C"/>
    <w:rsid w:val="4550182E"/>
    <w:rsid w:val="45612018"/>
    <w:rsid w:val="458946E9"/>
    <w:rsid w:val="45A47C0E"/>
    <w:rsid w:val="45C6554D"/>
    <w:rsid w:val="46577FD6"/>
    <w:rsid w:val="469D4EE8"/>
    <w:rsid w:val="46D955A7"/>
    <w:rsid w:val="46E52A0F"/>
    <w:rsid w:val="47133957"/>
    <w:rsid w:val="4735245D"/>
    <w:rsid w:val="47A07E0C"/>
    <w:rsid w:val="481D6E94"/>
    <w:rsid w:val="4870272E"/>
    <w:rsid w:val="489D3768"/>
    <w:rsid w:val="491B577D"/>
    <w:rsid w:val="49DC7715"/>
    <w:rsid w:val="4A023139"/>
    <w:rsid w:val="4A3F0932"/>
    <w:rsid w:val="4A4F7DD7"/>
    <w:rsid w:val="4A7B576F"/>
    <w:rsid w:val="4A891CD9"/>
    <w:rsid w:val="4AF561A9"/>
    <w:rsid w:val="4B0F7229"/>
    <w:rsid w:val="4BFB5A29"/>
    <w:rsid w:val="4C4A0649"/>
    <w:rsid w:val="4C6325CA"/>
    <w:rsid w:val="4C7E5ECA"/>
    <w:rsid w:val="4C876AA5"/>
    <w:rsid w:val="4CDE5AD8"/>
    <w:rsid w:val="4D0E00FB"/>
    <w:rsid w:val="4D176606"/>
    <w:rsid w:val="4DEC4FB0"/>
    <w:rsid w:val="4E075D8A"/>
    <w:rsid w:val="4E5862CB"/>
    <w:rsid w:val="4EC00FAD"/>
    <w:rsid w:val="4EEB5F20"/>
    <w:rsid w:val="4F503003"/>
    <w:rsid w:val="4F9843DC"/>
    <w:rsid w:val="4FC62A8C"/>
    <w:rsid w:val="4FE20F0D"/>
    <w:rsid w:val="4FE51552"/>
    <w:rsid w:val="4FF61E6D"/>
    <w:rsid w:val="501057A9"/>
    <w:rsid w:val="50504C4B"/>
    <w:rsid w:val="50595D47"/>
    <w:rsid w:val="509C6E7C"/>
    <w:rsid w:val="50D82611"/>
    <w:rsid w:val="511F2916"/>
    <w:rsid w:val="515F392D"/>
    <w:rsid w:val="5162104E"/>
    <w:rsid w:val="53505621"/>
    <w:rsid w:val="53A039CC"/>
    <w:rsid w:val="53A1505A"/>
    <w:rsid w:val="53DD4D33"/>
    <w:rsid w:val="53E91CA7"/>
    <w:rsid w:val="54063E08"/>
    <w:rsid w:val="543437E8"/>
    <w:rsid w:val="54F36406"/>
    <w:rsid w:val="54F73313"/>
    <w:rsid w:val="54F80955"/>
    <w:rsid w:val="555170A7"/>
    <w:rsid w:val="5587536D"/>
    <w:rsid w:val="559B174B"/>
    <w:rsid w:val="55CE0CF4"/>
    <w:rsid w:val="55E801A9"/>
    <w:rsid w:val="56B22A9C"/>
    <w:rsid w:val="56D540AC"/>
    <w:rsid w:val="56F13CE2"/>
    <w:rsid w:val="57142DDF"/>
    <w:rsid w:val="57B72A76"/>
    <w:rsid w:val="57C3426C"/>
    <w:rsid w:val="57CE1F93"/>
    <w:rsid w:val="588743D1"/>
    <w:rsid w:val="5887701A"/>
    <w:rsid w:val="58B574CB"/>
    <w:rsid w:val="59C0439F"/>
    <w:rsid w:val="59CF0737"/>
    <w:rsid w:val="59E65F2B"/>
    <w:rsid w:val="5ABE2233"/>
    <w:rsid w:val="5BD93B92"/>
    <w:rsid w:val="5BDF5D95"/>
    <w:rsid w:val="5BFE7528"/>
    <w:rsid w:val="5CC876B3"/>
    <w:rsid w:val="5D511478"/>
    <w:rsid w:val="5E2467F1"/>
    <w:rsid w:val="5E753140"/>
    <w:rsid w:val="5EE925AF"/>
    <w:rsid w:val="5F1A2B43"/>
    <w:rsid w:val="5FB837BB"/>
    <w:rsid w:val="60020007"/>
    <w:rsid w:val="60CC405A"/>
    <w:rsid w:val="60CE0985"/>
    <w:rsid w:val="61E215D8"/>
    <w:rsid w:val="62150410"/>
    <w:rsid w:val="621B3775"/>
    <w:rsid w:val="62364782"/>
    <w:rsid w:val="636700A3"/>
    <w:rsid w:val="6394356A"/>
    <w:rsid w:val="63A453F5"/>
    <w:rsid w:val="63C61B2C"/>
    <w:rsid w:val="63D40BE9"/>
    <w:rsid w:val="64102431"/>
    <w:rsid w:val="64A5243A"/>
    <w:rsid w:val="64F531DE"/>
    <w:rsid w:val="65373578"/>
    <w:rsid w:val="671F124A"/>
    <w:rsid w:val="67315545"/>
    <w:rsid w:val="677A33C6"/>
    <w:rsid w:val="681F6961"/>
    <w:rsid w:val="682A3D3A"/>
    <w:rsid w:val="68610A2F"/>
    <w:rsid w:val="68805514"/>
    <w:rsid w:val="692A3AC4"/>
    <w:rsid w:val="69316E2F"/>
    <w:rsid w:val="694E2071"/>
    <w:rsid w:val="69766163"/>
    <w:rsid w:val="697A3B33"/>
    <w:rsid w:val="69D44760"/>
    <w:rsid w:val="6A02528F"/>
    <w:rsid w:val="6A520EC7"/>
    <w:rsid w:val="6AF87E20"/>
    <w:rsid w:val="6B322639"/>
    <w:rsid w:val="6C4F294A"/>
    <w:rsid w:val="6C636C38"/>
    <w:rsid w:val="6D501CFF"/>
    <w:rsid w:val="6DB34098"/>
    <w:rsid w:val="6DB545B6"/>
    <w:rsid w:val="6DE02FB4"/>
    <w:rsid w:val="6E1C6639"/>
    <w:rsid w:val="6E514CED"/>
    <w:rsid w:val="6EB563D5"/>
    <w:rsid w:val="6ED92677"/>
    <w:rsid w:val="6F225983"/>
    <w:rsid w:val="6F334F1A"/>
    <w:rsid w:val="6F714572"/>
    <w:rsid w:val="6FCE24F0"/>
    <w:rsid w:val="6FFC5590"/>
    <w:rsid w:val="706D1DD0"/>
    <w:rsid w:val="70856B87"/>
    <w:rsid w:val="70D527EE"/>
    <w:rsid w:val="70FF605A"/>
    <w:rsid w:val="710D1049"/>
    <w:rsid w:val="715B5300"/>
    <w:rsid w:val="71D27F8A"/>
    <w:rsid w:val="71D5166B"/>
    <w:rsid w:val="72553024"/>
    <w:rsid w:val="725C3D0A"/>
    <w:rsid w:val="727760AD"/>
    <w:rsid w:val="72D56A7D"/>
    <w:rsid w:val="73122968"/>
    <w:rsid w:val="731F5D5E"/>
    <w:rsid w:val="73AA068F"/>
    <w:rsid w:val="73C51AD5"/>
    <w:rsid w:val="741E793C"/>
    <w:rsid w:val="744254BA"/>
    <w:rsid w:val="745E3944"/>
    <w:rsid w:val="745F0469"/>
    <w:rsid w:val="7512727C"/>
    <w:rsid w:val="7635099D"/>
    <w:rsid w:val="76A0073D"/>
    <w:rsid w:val="77762421"/>
    <w:rsid w:val="77B56B1F"/>
    <w:rsid w:val="77F42AFA"/>
    <w:rsid w:val="780F09F4"/>
    <w:rsid w:val="780F71BE"/>
    <w:rsid w:val="78A90480"/>
    <w:rsid w:val="7A364017"/>
    <w:rsid w:val="7A8265E1"/>
    <w:rsid w:val="7AD105D0"/>
    <w:rsid w:val="7AF718EC"/>
    <w:rsid w:val="7B686D42"/>
    <w:rsid w:val="7B841746"/>
    <w:rsid w:val="7B891212"/>
    <w:rsid w:val="7C6C5AC7"/>
    <w:rsid w:val="7CB37264"/>
    <w:rsid w:val="7CC6544B"/>
    <w:rsid w:val="7D0239FF"/>
    <w:rsid w:val="7D5E1312"/>
    <w:rsid w:val="7D5E40CD"/>
    <w:rsid w:val="7DAA666A"/>
    <w:rsid w:val="7DCD56F2"/>
    <w:rsid w:val="7E2A7C52"/>
    <w:rsid w:val="7E2B6169"/>
    <w:rsid w:val="7EA96C28"/>
    <w:rsid w:val="7EED214E"/>
    <w:rsid w:val="7F001CE7"/>
    <w:rsid w:val="7FE47E50"/>
    <w:rsid w:val="7FF86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adjustRightInd w:val="0"/>
      <w:spacing w:line="348" w:lineRule="auto"/>
      <w:textAlignment w:val="baseline"/>
      <w:outlineLvl w:val="2"/>
    </w:pPr>
    <w:rPr>
      <w:kern w:val="0"/>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locked/>
    <w:uiPriority w:val="0"/>
    <w:pPr>
      <w:spacing w:before="120" w:beforeLines="0" w:beforeAutospacing="0"/>
    </w:pPr>
    <w:rPr>
      <w:rFonts w:ascii="Arial" w:hAnsi="Arial"/>
      <w:sz w:val="24"/>
    </w:rPr>
  </w:style>
  <w:style w:type="paragraph" w:styleId="5">
    <w:name w:val="Normal Indent"/>
    <w:basedOn w:val="1"/>
    <w:qFormat/>
    <w:locked/>
    <w:uiPriority w:val="0"/>
    <w:pPr>
      <w:ind w:firstLine="420"/>
    </w:pPr>
    <w:rPr>
      <w:rFonts w:ascii="Calibri" w:hAnsi="Calibri"/>
      <w:szCs w:val="22"/>
    </w:rPr>
  </w:style>
  <w:style w:type="paragraph" w:styleId="6">
    <w:name w:val="caption"/>
    <w:basedOn w:val="1"/>
    <w:next w:val="1"/>
    <w:qFormat/>
    <w:locked/>
    <w:uiPriority w:val="0"/>
    <w:pPr>
      <w:widowControl/>
      <w:jc w:val="left"/>
    </w:pPr>
    <w:rPr>
      <w:rFonts w:ascii="Arial" w:hAnsi="Arial" w:eastAsia="黑体" w:cs="Arial"/>
      <w:sz w:val="20"/>
      <w:szCs w:val="20"/>
    </w:rPr>
  </w:style>
  <w:style w:type="paragraph" w:styleId="7">
    <w:name w:val="annotation text"/>
    <w:basedOn w:val="1"/>
    <w:link w:val="32"/>
    <w:semiHidden/>
    <w:qFormat/>
    <w:uiPriority w:val="0"/>
    <w:pPr>
      <w:jc w:val="left"/>
    </w:pPr>
    <w:rPr>
      <w:kern w:val="0"/>
      <w:sz w:val="24"/>
      <w:szCs w:val="20"/>
    </w:rPr>
  </w:style>
  <w:style w:type="paragraph" w:styleId="8">
    <w:name w:val="Body Text"/>
    <w:basedOn w:val="1"/>
    <w:next w:val="9"/>
    <w:link w:val="33"/>
    <w:qFormat/>
    <w:uiPriority w:val="0"/>
    <w:pPr>
      <w:widowControl/>
      <w:snapToGrid w:val="0"/>
      <w:spacing w:before="60" w:after="160" w:line="259" w:lineRule="auto"/>
      <w:ind w:right="113"/>
    </w:pPr>
    <w:rPr>
      <w:kern w:val="0"/>
      <w:sz w:val="18"/>
      <w:szCs w:val="20"/>
    </w:rPr>
  </w:style>
  <w:style w:type="paragraph" w:customStyle="1" w:styleId="9">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0">
    <w:name w:val="Body Text Indent"/>
    <w:basedOn w:val="1"/>
    <w:link w:val="34"/>
    <w:qFormat/>
    <w:uiPriority w:val="0"/>
    <w:pPr>
      <w:spacing w:after="120"/>
      <w:ind w:left="420" w:leftChars="200"/>
    </w:pPr>
    <w:rPr>
      <w:kern w:val="0"/>
      <w:sz w:val="24"/>
      <w:szCs w:val="20"/>
    </w:rPr>
  </w:style>
  <w:style w:type="paragraph" w:styleId="11">
    <w:name w:val="Plain Text"/>
    <w:basedOn w:val="1"/>
    <w:next w:val="1"/>
    <w:qFormat/>
    <w:locked/>
    <w:uiPriority w:val="0"/>
    <w:rPr>
      <w:rFonts w:ascii="仿宋_GB2312" w:hAnsi="仿宋_GB2312"/>
      <w:szCs w:val="22"/>
    </w:rPr>
  </w:style>
  <w:style w:type="paragraph" w:styleId="12">
    <w:name w:val="Date"/>
    <w:basedOn w:val="1"/>
    <w:next w:val="1"/>
    <w:link w:val="35"/>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36"/>
    <w:semiHidden/>
    <w:qFormat/>
    <w:uiPriority w:val="0"/>
    <w:rPr>
      <w:kern w:val="0"/>
      <w:sz w:val="18"/>
      <w:szCs w:val="20"/>
    </w:rPr>
  </w:style>
  <w:style w:type="paragraph" w:styleId="15">
    <w:name w:val="footer"/>
    <w:basedOn w:val="1"/>
    <w:link w:val="37"/>
    <w:qFormat/>
    <w:uiPriority w:val="99"/>
    <w:pPr>
      <w:tabs>
        <w:tab w:val="center" w:pos="4153"/>
        <w:tab w:val="right" w:pos="8306"/>
      </w:tabs>
      <w:snapToGrid w:val="0"/>
      <w:jc w:val="left"/>
    </w:pPr>
    <w:rPr>
      <w:kern w:val="0"/>
      <w:sz w:val="18"/>
      <w:szCs w:val="20"/>
    </w:rPr>
  </w:style>
  <w:style w:type="paragraph" w:styleId="16">
    <w:name w:val="header"/>
    <w:basedOn w:val="1"/>
    <w:next w:val="6"/>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qFormat/>
    <w:locked/>
    <w:uiPriority w:val="0"/>
    <w:pPr>
      <w:ind w:left="200" w:hanging="200" w:hangingChars="200"/>
      <w:contextualSpacing/>
    </w:pPr>
  </w:style>
  <w:style w:type="paragraph" w:styleId="18">
    <w:name w:val="Body Text Indent 3"/>
    <w:basedOn w:val="1"/>
    <w:qFormat/>
    <w:locked/>
    <w:uiPriority w:val="0"/>
    <w:pPr>
      <w:spacing w:line="360" w:lineRule="auto"/>
      <w:ind w:firstLine="560" w:firstLineChars="200"/>
    </w:pPr>
    <w:rPr>
      <w:rFonts w:ascii="宋体" w:hAnsi="宋体"/>
      <w:sz w:val="28"/>
      <w:szCs w:val="22"/>
    </w:rPr>
  </w:style>
  <w:style w:type="paragraph" w:styleId="19">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40"/>
    <w:semiHidden/>
    <w:qFormat/>
    <w:uiPriority w:val="0"/>
    <w:rPr>
      <w:b/>
    </w:rPr>
  </w:style>
  <w:style w:type="paragraph" w:styleId="21">
    <w:name w:val="Body Text First Indent"/>
    <w:basedOn w:val="8"/>
    <w:qFormat/>
    <w:locked/>
    <w:uiPriority w:val="0"/>
    <w:pPr>
      <w:ind w:firstLine="420" w:firstLineChars="100"/>
    </w:pPr>
  </w:style>
  <w:style w:type="paragraph" w:styleId="22">
    <w:name w:val="Body Text First Indent 2"/>
    <w:basedOn w:val="10"/>
    <w:unhideWhenUsed/>
    <w:qFormat/>
    <w:locked/>
    <w:uiPriority w:val="99"/>
    <w:pPr>
      <w:ind w:firstLine="420" w:firstLineChars="20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locked/>
    <w:uiPriority w:val="0"/>
  </w:style>
  <w:style w:type="character" w:styleId="27">
    <w:name w:val="Hyperlink"/>
    <w:basedOn w:val="25"/>
    <w:qFormat/>
    <w:locked/>
    <w:uiPriority w:val="0"/>
    <w:rPr>
      <w:color w:val="0000FF"/>
      <w:u w:val="single"/>
    </w:rPr>
  </w:style>
  <w:style w:type="character" w:styleId="28">
    <w:name w:val="annotation reference"/>
    <w:semiHidden/>
    <w:qFormat/>
    <w:uiPriority w:val="0"/>
    <w:rPr>
      <w:sz w:val="21"/>
    </w:rPr>
  </w:style>
  <w:style w:type="paragraph" w:customStyle="1" w:styleId="29">
    <w:name w:val="样式 小四 行距: 1.5 倍行距"/>
    <w:basedOn w:val="1"/>
    <w:qFormat/>
    <w:uiPriority w:val="0"/>
    <w:pPr>
      <w:ind w:firstLine="480" w:firstLineChars="200"/>
    </w:pPr>
    <w:rPr>
      <w:rFonts w:hint="default" w:cs="宋体"/>
    </w:rPr>
  </w:style>
  <w:style w:type="paragraph" w:customStyle="1" w:styleId="30">
    <w:name w:val="Default"/>
    <w:basedOn w:val="3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1">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character" w:customStyle="1" w:styleId="32">
    <w:name w:val="批注文字 Char"/>
    <w:link w:val="7"/>
    <w:qFormat/>
    <w:locked/>
    <w:uiPriority w:val="0"/>
    <w:rPr>
      <w:rFonts w:ascii="Times New Roman" w:hAnsi="Times New Roman" w:eastAsia="宋体"/>
      <w:sz w:val="24"/>
    </w:rPr>
  </w:style>
  <w:style w:type="character" w:customStyle="1" w:styleId="33">
    <w:name w:val="正文文本 Char"/>
    <w:basedOn w:val="25"/>
    <w:link w:val="8"/>
    <w:qFormat/>
    <w:locked/>
    <w:uiPriority w:val="0"/>
    <w:rPr>
      <w:sz w:val="18"/>
    </w:rPr>
  </w:style>
  <w:style w:type="character" w:customStyle="1" w:styleId="34">
    <w:name w:val="正文文本缩进 Char"/>
    <w:link w:val="10"/>
    <w:semiHidden/>
    <w:qFormat/>
    <w:locked/>
    <w:uiPriority w:val="0"/>
    <w:rPr>
      <w:rFonts w:ascii="Times New Roman" w:hAnsi="Times New Roman" w:eastAsia="宋体"/>
      <w:sz w:val="24"/>
    </w:rPr>
  </w:style>
  <w:style w:type="character" w:customStyle="1" w:styleId="35">
    <w:name w:val="日期 Char"/>
    <w:link w:val="12"/>
    <w:qFormat/>
    <w:locked/>
    <w:uiPriority w:val="0"/>
    <w:rPr>
      <w:rFonts w:ascii="Times New Roman" w:hAnsi="Times New Roman" w:eastAsia="宋体"/>
      <w:sz w:val="24"/>
    </w:rPr>
  </w:style>
  <w:style w:type="character" w:customStyle="1" w:styleId="36">
    <w:name w:val="批注框文本 Char"/>
    <w:link w:val="14"/>
    <w:semiHidden/>
    <w:qFormat/>
    <w:locked/>
    <w:uiPriority w:val="0"/>
    <w:rPr>
      <w:rFonts w:ascii="Times New Roman" w:hAnsi="Times New Roman" w:eastAsia="宋体"/>
      <w:sz w:val="18"/>
    </w:rPr>
  </w:style>
  <w:style w:type="character" w:customStyle="1" w:styleId="37">
    <w:name w:val="页脚 Char"/>
    <w:link w:val="15"/>
    <w:qFormat/>
    <w:locked/>
    <w:uiPriority w:val="99"/>
    <w:rPr>
      <w:sz w:val="18"/>
    </w:rPr>
  </w:style>
  <w:style w:type="character" w:customStyle="1" w:styleId="38">
    <w:name w:val="页眉 Char"/>
    <w:link w:val="16"/>
    <w:qFormat/>
    <w:locked/>
    <w:uiPriority w:val="0"/>
    <w:rPr>
      <w:sz w:val="18"/>
    </w:rPr>
  </w:style>
  <w:style w:type="character" w:customStyle="1" w:styleId="39">
    <w:name w:val="普通(网站) Char"/>
    <w:link w:val="19"/>
    <w:qFormat/>
    <w:locked/>
    <w:uiPriority w:val="0"/>
    <w:rPr>
      <w:rFonts w:ascii="宋体" w:hAnsi="宋体" w:eastAsia="宋体"/>
      <w:sz w:val="24"/>
    </w:rPr>
  </w:style>
  <w:style w:type="character" w:customStyle="1" w:styleId="40">
    <w:name w:val="批注主题 Char"/>
    <w:link w:val="20"/>
    <w:semiHidden/>
    <w:qFormat/>
    <w:locked/>
    <w:uiPriority w:val="0"/>
    <w:rPr>
      <w:rFonts w:ascii="Times New Roman" w:hAnsi="Times New Roman" w:eastAsia="宋体"/>
      <w:b/>
      <w:kern w:val="2"/>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日期 字符"/>
    <w:semiHidden/>
    <w:qFormat/>
    <w:uiPriority w:val="0"/>
    <w:rPr>
      <w:rFonts w:ascii="Times New Roman" w:hAnsi="Times New Roman" w:eastAsia="宋体"/>
      <w:sz w:val="24"/>
    </w:rPr>
  </w:style>
  <w:style w:type="character" w:customStyle="1" w:styleId="43">
    <w:name w:val="页脚 字符"/>
    <w:basedOn w:val="25"/>
    <w:qFormat/>
    <w:uiPriority w:val="99"/>
  </w:style>
  <w:style w:type="character" w:customStyle="1" w:styleId="44">
    <w:name w:val="表格 Char"/>
    <w:link w:val="45"/>
    <w:qFormat/>
    <w:locked/>
    <w:uiPriority w:val="0"/>
    <w:rPr>
      <w:rFonts w:ascii="宋体"/>
      <w:sz w:val="21"/>
    </w:rPr>
  </w:style>
  <w:style w:type="paragraph" w:customStyle="1" w:styleId="45">
    <w:name w:val="表格"/>
    <w:basedOn w:val="46"/>
    <w:next w:val="1"/>
    <w:link w:val="44"/>
    <w:qFormat/>
    <w:uiPriority w:val="0"/>
    <w:pPr>
      <w:adjustRightInd w:val="0"/>
      <w:snapToGrid w:val="0"/>
      <w:spacing w:beforeLines="10" w:afterLines="10" w:line="259" w:lineRule="auto"/>
      <w:jc w:val="center"/>
    </w:pPr>
    <w:rPr>
      <w:rFonts w:ascii="宋体"/>
      <w:kern w:val="0"/>
      <w:szCs w:val="20"/>
    </w:rPr>
  </w:style>
  <w:style w:type="paragraph" w:customStyle="1" w:styleId="46">
    <w:name w:val="表格正文"/>
    <w:basedOn w:val="1"/>
    <w:next w:val="1"/>
    <w:qFormat/>
    <w:uiPriority w:val="0"/>
    <w:pPr>
      <w:adjustRightInd w:val="0"/>
      <w:snapToGrid w:val="0"/>
      <w:spacing w:line="240" w:lineRule="auto"/>
      <w:ind w:firstLine="0"/>
      <w:jc w:val="center"/>
      <w:textAlignment w:val="baseline"/>
    </w:pPr>
    <w:rPr>
      <w:snapToGrid w:val="0"/>
      <w:kern w:val="0"/>
      <w:sz w:val="21"/>
      <w:szCs w:val="21"/>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表格内文字"/>
    <w:basedOn w:val="1"/>
    <w:next w:val="1"/>
    <w:qFormat/>
    <w:uiPriority w:val="0"/>
    <w:pPr>
      <w:widowControl/>
      <w:tabs>
        <w:tab w:val="left" w:pos="3345"/>
      </w:tabs>
      <w:adjustRightInd w:val="0"/>
      <w:snapToGrid w:val="0"/>
      <w:jc w:val="center"/>
    </w:pPr>
    <w:rPr>
      <w:iCs/>
      <w:kern w:val="0"/>
      <w:szCs w:val="18"/>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正1"/>
    <w:basedOn w:val="1"/>
    <w:qFormat/>
    <w:uiPriority w:val="0"/>
    <w:pPr>
      <w:spacing w:line="360" w:lineRule="auto"/>
      <w:ind w:firstLine="200" w:firstLineChars="200"/>
      <w:jc w:val="left"/>
    </w:pPr>
    <w:rPr>
      <w:rFonts w:eastAsia="楷体_GB2312"/>
      <w:sz w:val="24"/>
    </w:rPr>
  </w:style>
  <w:style w:type="paragraph" w:customStyle="1" w:styleId="52">
    <w:name w:val="表格内容"/>
    <w:basedOn w:val="1"/>
    <w:qFormat/>
    <w:uiPriority w:val="0"/>
    <w:pPr>
      <w:jc w:val="center"/>
    </w:pPr>
    <w:rPr>
      <w:rFonts w:cs="宋体"/>
      <w:szCs w:val="20"/>
    </w:rPr>
  </w:style>
  <w:style w:type="paragraph" w:customStyle="1" w:styleId="53">
    <w:name w:val="表头"/>
    <w:basedOn w:val="54"/>
    <w:next w:val="1"/>
    <w:qFormat/>
    <w:uiPriority w:val="0"/>
    <w:pPr>
      <w:adjustRightInd w:val="0"/>
      <w:textAlignment w:val="baseline"/>
    </w:pPr>
    <w:rPr>
      <w:rFonts w:ascii="黑体" w:eastAsia="黑体"/>
      <w:kern w:val="0"/>
      <w:sz w:val="24"/>
    </w:rPr>
  </w:style>
  <w:style w:type="paragraph" w:customStyle="1" w:styleId="54">
    <w:name w:val="文本"/>
    <w:basedOn w:val="1"/>
    <w:qFormat/>
    <w:uiPriority w:val="0"/>
    <w:pPr>
      <w:adjustRightInd w:val="0"/>
      <w:snapToGrid w:val="0"/>
      <w:spacing w:line="360" w:lineRule="auto"/>
      <w:ind w:firstLine="1446" w:firstLineChars="200"/>
    </w:pPr>
    <w:rPr>
      <w:sz w:val="24"/>
    </w:rPr>
  </w:style>
  <w:style w:type="paragraph" w:customStyle="1" w:styleId="55">
    <w:name w:val="样式1"/>
    <w:basedOn w:val="5"/>
    <w:qFormat/>
    <w:uiPriority w:val="0"/>
    <w:pPr>
      <w:spacing w:after="40" w:line="300" w:lineRule="atLeast"/>
      <w:jc w:val="center"/>
      <w:outlineLvl w:val="2"/>
    </w:pPr>
    <w:rPr>
      <w:rFonts w:eastAsia="楷体_GB2312"/>
    </w:rPr>
  </w:style>
  <w:style w:type="character" w:customStyle="1" w:styleId="56">
    <w:name w:val="font01"/>
    <w:basedOn w:val="25"/>
    <w:qFormat/>
    <w:uiPriority w:val="0"/>
    <w:rPr>
      <w:rFonts w:hint="eastAsia" w:ascii="宋体" w:hAnsi="宋体" w:eastAsia="宋体" w:cs="宋体"/>
      <w:b/>
      <w:color w:val="000000"/>
      <w:sz w:val="20"/>
      <w:szCs w:val="20"/>
      <w:u w:val="none"/>
    </w:rPr>
  </w:style>
  <w:style w:type="character" w:customStyle="1" w:styleId="57">
    <w:name w:val="font41"/>
    <w:basedOn w:val="25"/>
    <w:qFormat/>
    <w:uiPriority w:val="0"/>
    <w:rPr>
      <w:rFonts w:hint="default" w:ascii="Times New Roman" w:hAnsi="Times New Roman" w:cs="Times New Roman"/>
      <w:color w:val="000000"/>
      <w:sz w:val="18"/>
      <w:szCs w:val="18"/>
      <w:u w:val="none"/>
    </w:rPr>
  </w:style>
  <w:style w:type="paragraph" w:customStyle="1" w:styleId="58">
    <w:name w:val="正文表头"/>
    <w:basedOn w:val="59"/>
    <w:qFormat/>
    <w:uiPriority w:val="0"/>
    <w:pPr>
      <w:jc w:val="center"/>
    </w:pPr>
  </w:style>
  <w:style w:type="paragraph" w:customStyle="1" w:styleId="59">
    <w:name w:val="正文加粗"/>
    <w:basedOn w:val="60"/>
    <w:qFormat/>
    <w:uiPriority w:val="0"/>
    <w:pPr>
      <w:spacing w:after="0"/>
      <w:ind w:firstLine="0" w:firstLineChars="0"/>
    </w:pPr>
    <w:rPr>
      <w:b/>
      <w:color w:val="auto"/>
      <w:szCs w:val="24"/>
    </w:rPr>
  </w:style>
  <w:style w:type="paragraph" w:customStyle="1" w:styleId="60">
    <w:name w:val="样式 君邦正文 + 蓝色1"/>
    <w:basedOn w:val="61"/>
    <w:qFormat/>
    <w:uiPriority w:val="0"/>
    <w:rPr>
      <w:color w:val="0000FF"/>
    </w:rPr>
  </w:style>
  <w:style w:type="paragraph" w:customStyle="1" w:styleId="61">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62">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63">
    <w:name w:val="列出段落1"/>
    <w:basedOn w:val="1"/>
    <w:qFormat/>
    <w:uiPriority w:val="0"/>
    <w:pPr>
      <w:jc w:val="center"/>
      <w:outlineLvl w:val="8"/>
    </w:pPr>
    <w:rPr>
      <w:sz w:val="18"/>
      <w:szCs w:val="22"/>
    </w:rPr>
  </w:style>
  <w:style w:type="character" w:customStyle="1" w:styleId="64">
    <w:name w:val="font11"/>
    <w:basedOn w:val="25"/>
    <w:qFormat/>
    <w:uiPriority w:val="0"/>
    <w:rPr>
      <w:rFonts w:hint="default" w:ascii="Times New Roman" w:hAnsi="Times New Roman" w:cs="Times New Roman"/>
      <w:b/>
      <w:color w:val="000000"/>
      <w:sz w:val="21"/>
      <w:szCs w:val="21"/>
      <w:u w:val="none"/>
      <w:vertAlign w:val="superscript"/>
    </w:rPr>
  </w:style>
  <w:style w:type="paragraph" w:customStyle="1" w:styleId="65">
    <w:name w:val="表内文字"/>
    <w:basedOn w:val="1"/>
    <w:next w:val="1"/>
    <w:qFormat/>
    <w:uiPriority w:val="0"/>
    <w:pPr>
      <w:tabs>
        <w:tab w:val="left" w:pos="3345"/>
      </w:tabs>
      <w:snapToGrid w:val="0"/>
      <w:jc w:val="center"/>
    </w:pPr>
    <w:rPr>
      <w:iCs/>
      <w:szCs w:val="18"/>
    </w:rPr>
  </w:style>
  <w:style w:type="paragraph" w:customStyle="1" w:styleId="66">
    <w:name w:val="1正文，首行缩进"/>
    <w:basedOn w:val="1"/>
    <w:qFormat/>
    <w:uiPriority w:val="0"/>
    <w:pPr>
      <w:topLinePunct/>
      <w:adjustRightInd w:val="0"/>
      <w:snapToGrid w:val="0"/>
      <w:spacing w:line="360" w:lineRule="auto"/>
      <w:ind w:firstLine="200" w:firstLineChars="200"/>
    </w:pPr>
    <w:rPr>
      <w:color w:val="000000"/>
      <w:kern w:val="0"/>
      <w:sz w:val="24"/>
    </w:rPr>
  </w:style>
  <w:style w:type="paragraph" w:styleId="67">
    <w:name w:val="List Paragraph"/>
    <w:basedOn w:val="1"/>
    <w:unhideWhenUsed/>
    <w:qFormat/>
    <w:uiPriority w:val="99"/>
    <w:pPr>
      <w:ind w:firstLine="420" w:firstLineChars="200"/>
    </w:pPr>
  </w:style>
  <w:style w:type="paragraph" w:customStyle="1" w:styleId="68">
    <w:name w:val="UserStyle_1"/>
    <w:basedOn w:val="1"/>
    <w:qFormat/>
    <w:uiPriority w:val="0"/>
    <w:pPr>
      <w:snapToGrid w:val="0"/>
      <w:spacing w:line="400" w:lineRule="exact"/>
      <w:jc w:val="center"/>
      <w:textAlignment w:val="baseline"/>
    </w:pPr>
    <w:rPr>
      <w:kern w:val="0"/>
      <w:szCs w:val="18"/>
    </w:rPr>
  </w:style>
  <w:style w:type="character" w:customStyle="1" w:styleId="69">
    <w:name w:val="NormalCharacter"/>
    <w:qFormat/>
    <w:uiPriority w:val="0"/>
    <w:rPr>
      <w:rFonts w:ascii="Times New Roman" w:hAnsi="Times New Roman" w:eastAsia="宋体" w:cs="Times New Roman"/>
      <w:kern w:val="2"/>
      <w:sz w:val="21"/>
      <w:lang w:val="en-US" w:eastAsia="zh-CN" w:bidi="ar-SA"/>
    </w:rPr>
  </w:style>
  <w:style w:type="paragraph" w:customStyle="1" w:styleId="70">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bCs/>
      <w:snapToGrid w:val="0"/>
      <w:color w:val="000000"/>
      <w:kern w:val="32"/>
      <w:szCs w:val="20"/>
      <w:lang w:val="zh-CN"/>
    </w:rPr>
  </w:style>
  <w:style w:type="paragraph" w:customStyle="1" w:styleId="71">
    <w:name w:val="Table caption|1"/>
    <w:basedOn w:val="1"/>
    <w:qFormat/>
    <w:uiPriority w:val="0"/>
    <w:rPr>
      <w:rFonts w:ascii="宋体" w:hAnsi="宋体" w:cs="宋体"/>
      <w:sz w:val="22"/>
      <w:szCs w:val="22"/>
      <w:lang w:val="zh-TW" w:eastAsia="zh-TW" w:bidi="zh-TW"/>
    </w:rPr>
  </w:style>
  <w:style w:type="paragraph" w:customStyle="1" w:styleId="72">
    <w:name w:val="Other|1"/>
    <w:basedOn w:val="1"/>
    <w:qFormat/>
    <w:uiPriority w:val="0"/>
    <w:pPr>
      <w:spacing w:line="300" w:lineRule="exact"/>
      <w:jc w:val="center"/>
    </w:pPr>
    <w:rPr>
      <w:rFonts w:ascii="宋体" w:hAnsi="宋体" w:cs="宋体"/>
      <w:sz w:val="20"/>
      <w:szCs w:val="20"/>
      <w:lang w:val="zh-TW" w:eastAsia="zh-TW" w:bidi="zh-TW"/>
    </w:rPr>
  </w:style>
  <w:style w:type="paragraph" w:customStyle="1" w:styleId="73">
    <w:name w:val="魏秀珍   正文"/>
    <w:basedOn w:val="5"/>
    <w:qFormat/>
    <w:uiPriority w:val="0"/>
    <w:rPr>
      <w:rFonts w:cs="宋体"/>
      <w:kern w:val="0"/>
      <w:szCs w:val="20"/>
    </w:rPr>
  </w:style>
  <w:style w:type="paragraph" w:customStyle="1" w:styleId="74">
    <w:name w:val="Char"/>
    <w:basedOn w:val="1"/>
    <w:qFormat/>
    <w:uiPriority w:val="0"/>
  </w:style>
  <w:style w:type="paragraph" w:customStyle="1" w:styleId="75">
    <w:name w:val="WPSOffice手动目录 1"/>
    <w:qFormat/>
    <w:uiPriority w:val="0"/>
    <w:rPr>
      <w:rFonts w:ascii="等线" w:hAnsi="等线" w:eastAsia="等线" w:cs="Times New Roman"/>
      <w:lang w:val="en-US" w:eastAsia="zh-CN" w:bidi="ar-SA"/>
    </w:rPr>
  </w:style>
  <w:style w:type="paragraph" w:customStyle="1" w:styleId="76">
    <w:name w:val="报告表正文"/>
    <w:basedOn w:val="77"/>
    <w:qFormat/>
    <w:uiPriority w:val="0"/>
    <w:pPr>
      <w:ind w:firstLine="200" w:firstLineChars="200"/>
      <w:jc w:val="left"/>
    </w:pPr>
    <w:rPr>
      <w:rFonts w:ascii="Times New Roman" w:hAnsi="Times New Roman"/>
      <w:szCs w:val="24"/>
    </w:rPr>
  </w:style>
  <w:style w:type="paragraph" w:customStyle="1" w:styleId="77">
    <w:name w:val="列表1"/>
    <w:basedOn w:val="1"/>
    <w:qFormat/>
    <w:uiPriority w:val="0"/>
    <w:pPr>
      <w:spacing w:line="400" w:lineRule="exact"/>
      <w:jc w:val="center"/>
    </w:pPr>
    <w:rPr>
      <w:rFonts w:ascii="宋体" w:hAnsi="宋体" w:eastAsia="仿宋_GB2312"/>
      <w:sz w:val="24"/>
      <w:szCs w:val="20"/>
    </w:rPr>
  </w:style>
  <w:style w:type="paragraph" w:customStyle="1" w:styleId="78">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9">
    <w:name w:val="表格普通"/>
    <w:basedOn w:val="1"/>
    <w:qFormat/>
    <w:uiPriority w:val="0"/>
    <w:pPr>
      <w:jc w:val="center"/>
    </w:pPr>
    <w:rPr>
      <w:rFonts w:eastAsia="仿宋_GB2312"/>
      <w:szCs w:val="21"/>
    </w:rPr>
  </w:style>
  <w:style w:type="paragraph" w:customStyle="1" w:styleId="80">
    <w:name w:val="表格式"/>
    <w:basedOn w:val="17"/>
    <w:qFormat/>
    <w:uiPriority w:val="0"/>
    <w:pPr>
      <w:spacing w:line="400" w:lineRule="exact"/>
      <w:ind w:left="0" w:firstLine="0" w:firstLineChars="0"/>
      <w:jc w:val="center"/>
    </w:pPr>
    <w:rPr>
      <w:rFonts w:ascii="宋体" w:hAnsi="Calibri"/>
      <w:szCs w:val="20"/>
    </w:rPr>
  </w:style>
  <w:style w:type="paragraph" w:customStyle="1" w:styleId="81">
    <w:name w:val="Table Paragraph"/>
    <w:basedOn w:val="1"/>
    <w:qFormat/>
    <w:uiPriority w:val="1"/>
    <w:pPr>
      <w:jc w:val="center"/>
    </w:pPr>
    <w:rPr>
      <w:rFonts w:eastAsia="Times New Roman"/>
    </w:rPr>
  </w:style>
  <w:style w:type="paragraph" w:customStyle="1" w:styleId="82">
    <w:name w:val="友朋表内文字（中）"/>
    <w:qFormat/>
    <w:uiPriority w:val="0"/>
    <w:pPr>
      <w:jc w:val="center"/>
    </w:pPr>
    <w:rPr>
      <w:rFonts w:ascii="Times New Roman" w:hAnsi="Times New Roman" w:eastAsia="宋体" w:cs="Times New Roman"/>
      <w:sz w:val="18"/>
      <w:lang w:val="en-US" w:eastAsia="zh-CN" w:bidi="ar-SA"/>
    </w:rPr>
  </w:style>
  <w:style w:type="paragraph" w:customStyle="1" w:styleId="83">
    <w:name w:val="表格 32"/>
    <w:basedOn w:val="1"/>
    <w:qFormat/>
    <w:uiPriority w:val="0"/>
    <w:pPr>
      <w:autoSpaceDE w:val="0"/>
      <w:autoSpaceDN w:val="0"/>
      <w:adjustRightInd w:val="0"/>
      <w:ind w:firstLine="0"/>
      <w:jc w:val="center"/>
      <w:textAlignment w:val="baseline"/>
    </w:pPr>
    <w:rPr>
      <w:rFonts w:eastAsia="楷体_GB2312"/>
      <w:sz w:val="24"/>
      <w:lang w:val="en-US" w:eastAsia="zh-CN" w:bidi="ar-SA"/>
    </w:rPr>
  </w:style>
  <w:style w:type="paragraph" w:customStyle="1" w:styleId="84">
    <w:name w:val="表1表2"/>
    <w:basedOn w:val="1"/>
    <w:qFormat/>
    <w:uiPriority w:val="0"/>
    <w:pPr>
      <w:autoSpaceDE w:val="0"/>
      <w:autoSpaceDN w:val="0"/>
      <w:adjustRightInd w:val="0"/>
      <w:ind w:firstLine="0"/>
      <w:jc w:val="center"/>
      <w:textAlignment w:val="center"/>
    </w:pPr>
    <w:rPr>
      <w:rFonts w:eastAsia="仿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emf"/><Relationship Id="rId27" Type="http://schemas.openxmlformats.org/officeDocument/2006/relationships/oleObject" Target="embeddings/oleObject5.bin"/><Relationship Id="rId26" Type="http://schemas.openxmlformats.org/officeDocument/2006/relationships/image" Target="media/image13.emf"/><Relationship Id="rId25" Type="http://schemas.openxmlformats.org/officeDocument/2006/relationships/oleObject" Target="embeddings/oleObject4.bin"/><Relationship Id="rId24" Type="http://schemas.openxmlformats.org/officeDocument/2006/relationships/image" Target="media/image12.emf"/><Relationship Id="rId23" Type="http://schemas.openxmlformats.org/officeDocument/2006/relationships/oleObject" Target="embeddings/oleObject3.bin"/><Relationship Id="rId22" Type="http://schemas.openxmlformats.org/officeDocument/2006/relationships/image" Target="media/image11.emf"/><Relationship Id="rId21" Type="http://schemas.openxmlformats.org/officeDocument/2006/relationships/oleObject" Target="embeddings/oleObject2.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39495</Words>
  <Characters>44586</Characters>
  <Lines>49</Lines>
  <Paragraphs>64</Paragraphs>
  <TotalTime>110</TotalTime>
  <ScaleCrop>false</ScaleCrop>
  <LinksUpToDate>false</LinksUpToDate>
  <CharactersWithSpaces>44858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2021-11-10T11:25:00Z</dcterms:created>
  <dc:creator>lhj</dc:creator>
  <cp:lastModifiedBy>Administrator</cp:lastModifiedBy>
  <cp:lastPrinted>2020-12-29T02:43:00Z</cp:lastPrinted>
  <dcterms:modified xsi:type="dcterms:W3CDTF">2023-06-19T07:00:27Z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AA534DBE402845208241EED62355099B_13</vt:lpwstr>
  </property>
</Properties>
</file>